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2.jpeg" ContentType="image/jpeg"/>
  <Override PartName="/word/media/image19.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292.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42.xml" ContentType="application/vnd.openxmlformats-officedocument.wordprocessingml.footer+xml"/>
  <Override PartName="/word/footer453.xml" ContentType="application/vnd.openxmlformats-officedocument.wordprocessingml.footer+xml"/>
  <Override PartName="/word/footer441.xml" ContentType="application/vnd.openxmlformats-officedocument.wordprocessingml.footer+xml"/>
  <Override PartName="/word/footer452.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43.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بحوث فی الملل و النحل جلد </w:t>
      </w:r>
      <w:r>
        <w:rPr/>
        <w:t>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284035_73709187">
            <w:r>
              <w:rPr>
                <w:webHidden/>
                <w:rStyle w:val="IndexLink"/>
                <w:rtl w:val="true"/>
              </w:rPr>
              <w:t>هویة الکتاب</w:t>
            </w:r>
            <w:r>
              <w:rPr>
                <w:rStyle w:val="IndexLink"/>
                <w:rtl w:val="true"/>
              </w:rPr>
              <w:tab/>
            </w:r>
            <w:r>
              <w:rPr>
                <w:rStyle w:val="IndexLink"/>
              </w:rPr>
              <w:t>10</w:t>
            </w:r>
          </w:hyperlink>
        </w:p>
        <w:p>
          <w:pPr>
            <w:pStyle w:val="Contents2"/>
            <w:tabs>
              <w:tab w:val="clear" w:pos="8743"/>
              <w:tab w:val="right" w:pos="9026" w:leader="dot"/>
            </w:tabs>
            <w:rPr/>
          </w:pPr>
          <w:hyperlink w:anchor="__RefHeading___Toc4284037_73709187">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4284039_73709187">
            <w:r>
              <w:rPr>
                <w:webHidden/>
                <w:rStyle w:val="IndexLink"/>
                <w:rtl w:val="true"/>
              </w:rPr>
              <w:t>مقدمة</w:t>
            </w:r>
            <w:r>
              <w:rPr>
                <w:rStyle w:val="IndexLink"/>
                <w:rtl w:val="true"/>
              </w:rPr>
              <w:tab/>
            </w:r>
            <w:r>
              <w:rPr>
                <w:rStyle w:val="IndexLink"/>
              </w:rPr>
              <w:t>12</w:t>
            </w:r>
          </w:hyperlink>
        </w:p>
        <w:p>
          <w:pPr>
            <w:pStyle w:val="Contents3"/>
            <w:tabs>
              <w:tab w:val="clear" w:pos="8459"/>
              <w:tab w:val="right" w:pos="9026" w:leader="dot"/>
            </w:tabs>
            <w:rPr/>
          </w:pPr>
          <w:hyperlink w:anchor="__RefHeading___Toc4284041_73709187">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4284043_73709187">
            <w:r>
              <w:rPr>
                <w:webHidden/>
                <w:rStyle w:val="IndexLink"/>
                <w:rtl w:val="true"/>
              </w:rPr>
              <w:t>تمهيد</w:t>
            </w:r>
            <w:r>
              <w:rPr>
                <w:rStyle w:val="IndexLink"/>
                <w:rtl w:val="true"/>
              </w:rPr>
              <w:tab/>
            </w:r>
            <w:r>
              <w:rPr>
                <w:rStyle w:val="IndexLink"/>
              </w:rPr>
              <w:t>12</w:t>
            </w:r>
          </w:hyperlink>
        </w:p>
        <w:p>
          <w:pPr>
            <w:pStyle w:val="Contents2"/>
            <w:tabs>
              <w:tab w:val="clear" w:pos="8743"/>
              <w:tab w:val="right" w:pos="9026" w:leader="dot"/>
            </w:tabs>
            <w:rPr/>
          </w:pPr>
          <w:hyperlink w:anchor="__RefHeading___Toc4284045_73709187">
            <w:r>
              <w:rPr>
                <w:webHidden/>
                <w:rStyle w:val="IndexLink"/>
                <w:rtl w:val="true"/>
              </w:rPr>
              <w:t>الفصل الأوّل</w:t>
            </w:r>
            <w:r>
              <w:rPr>
                <w:rStyle w:val="IndexLink"/>
                <w:rtl w:val="true"/>
              </w:rPr>
              <w:t xml:space="preserve">: </w:t>
            </w:r>
            <w:r>
              <w:rPr>
                <w:rStyle w:val="IndexLink"/>
                <w:rtl w:val="true"/>
              </w:rPr>
              <w:t>الخطوط العريضة للمذهب الإسماعيلي</w:t>
            </w:r>
            <w:r>
              <w:rPr>
                <w:rStyle w:val="IndexLink"/>
                <w:rtl w:val="true"/>
              </w:rPr>
              <w:tab/>
            </w:r>
            <w:r>
              <w:rPr>
                <w:rStyle w:val="IndexLink"/>
              </w:rPr>
              <w:t>14</w:t>
            </w:r>
          </w:hyperlink>
        </w:p>
        <w:p>
          <w:pPr>
            <w:pStyle w:val="Contents3"/>
            <w:tabs>
              <w:tab w:val="clear" w:pos="8459"/>
              <w:tab w:val="right" w:pos="9026" w:leader="dot"/>
            </w:tabs>
            <w:rPr/>
          </w:pPr>
          <w:hyperlink w:anchor="__RefHeading___Toc4284047_73709187">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4284049_73709187">
            <w:r>
              <w:rPr>
                <w:webHidden/>
                <w:rStyle w:val="IndexLink"/>
                <w:rtl w:val="true"/>
              </w:rPr>
              <w:t>الأُولى</w:t>
            </w:r>
            <w:r>
              <w:rPr>
                <w:rStyle w:val="IndexLink"/>
                <w:rtl w:val="true"/>
              </w:rPr>
              <w:t xml:space="preserve">: </w:t>
            </w:r>
            <w:r>
              <w:rPr>
                <w:rStyle w:val="IndexLink"/>
                <w:rtl w:val="true"/>
              </w:rPr>
              <w:t>انتماؤهم إلى بيت الوحي و الرسالة</w:t>
            </w:r>
            <w:r>
              <w:rPr>
                <w:rStyle w:val="IndexLink"/>
                <w:rtl w:val="true"/>
              </w:rPr>
              <w:tab/>
            </w:r>
            <w:r>
              <w:rPr>
                <w:rStyle w:val="IndexLink"/>
              </w:rPr>
              <w:t>16</w:t>
            </w:r>
          </w:hyperlink>
        </w:p>
        <w:p>
          <w:pPr>
            <w:pStyle w:val="Contents3"/>
            <w:tabs>
              <w:tab w:val="clear" w:pos="8459"/>
              <w:tab w:val="right" w:pos="9026" w:leader="dot"/>
            </w:tabs>
            <w:rPr/>
          </w:pPr>
          <w:hyperlink w:anchor="__RefHeading___Toc4284051_73709187">
            <w:r>
              <w:rPr>
                <w:webHidden/>
                <w:rStyle w:val="IndexLink"/>
                <w:rtl w:val="true"/>
              </w:rPr>
              <w:t>الثانية</w:t>
            </w:r>
            <w:r>
              <w:rPr>
                <w:rStyle w:val="IndexLink"/>
                <w:rtl w:val="true"/>
              </w:rPr>
              <w:t xml:space="preserve">: </w:t>
            </w:r>
            <w:r>
              <w:rPr>
                <w:rStyle w:val="IndexLink"/>
                <w:rtl w:val="true"/>
              </w:rPr>
              <w:t>تأويل الظواهر</w:t>
            </w:r>
            <w:r>
              <w:rPr>
                <w:rStyle w:val="IndexLink"/>
                <w:rtl w:val="true"/>
              </w:rPr>
              <w:tab/>
            </w:r>
            <w:r>
              <w:rPr>
                <w:rStyle w:val="IndexLink"/>
              </w:rPr>
              <w:t>17</w:t>
            </w:r>
          </w:hyperlink>
        </w:p>
        <w:p>
          <w:pPr>
            <w:pStyle w:val="Contents3"/>
            <w:tabs>
              <w:tab w:val="clear" w:pos="8459"/>
              <w:tab w:val="right" w:pos="9026" w:leader="dot"/>
            </w:tabs>
            <w:rPr/>
          </w:pPr>
          <w:hyperlink w:anchor="__RefHeading___Toc4284053_73709187">
            <w:r>
              <w:rPr>
                <w:webHidden/>
                <w:rStyle w:val="IndexLink"/>
                <w:rtl w:val="true"/>
              </w:rPr>
              <w:t>الثالثة</w:t>
            </w:r>
            <w:r>
              <w:rPr>
                <w:rStyle w:val="IndexLink"/>
                <w:rtl w:val="true"/>
              </w:rPr>
              <w:t xml:space="preserve">: </w:t>
            </w:r>
            <w:r>
              <w:rPr>
                <w:rStyle w:val="IndexLink"/>
                <w:rtl w:val="true"/>
              </w:rPr>
              <w:t>تطعيم مذهبهم بالمسائل الفلسفية</w:t>
            </w:r>
            <w:r>
              <w:rPr>
                <w:rStyle w:val="IndexLink"/>
                <w:rtl w:val="true"/>
              </w:rPr>
              <w:tab/>
            </w:r>
            <w:r>
              <w:rPr>
                <w:rStyle w:val="IndexLink"/>
              </w:rPr>
              <w:t>17</w:t>
            </w:r>
          </w:hyperlink>
        </w:p>
        <w:p>
          <w:pPr>
            <w:pStyle w:val="Contents3"/>
            <w:tabs>
              <w:tab w:val="clear" w:pos="8459"/>
              <w:tab w:val="right" w:pos="9026" w:leader="dot"/>
            </w:tabs>
            <w:rPr/>
          </w:pPr>
          <w:hyperlink w:anchor="__RefHeading___Toc4284055_73709187">
            <w:r>
              <w:rPr>
                <w:webHidden/>
                <w:rStyle w:val="IndexLink"/>
                <w:rtl w:val="true"/>
              </w:rPr>
              <w:t>الرابعة</w:t>
            </w:r>
            <w:r>
              <w:rPr>
                <w:rStyle w:val="IndexLink"/>
                <w:rtl w:val="true"/>
              </w:rPr>
              <w:t xml:space="preserve">: </w:t>
            </w:r>
            <w:r>
              <w:rPr>
                <w:rStyle w:val="IndexLink"/>
                <w:rtl w:val="true"/>
              </w:rPr>
              <w:t>تنظيم الدعوة</w:t>
            </w:r>
            <w:r>
              <w:rPr>
                <w:rStyle w:val="IndexLink"/>
                <w:rtl w:val="true"/>
              </w:rPr>
              <w:tab/>
            </w:r>
            <w:r>
              <w:rPr>
                <w:rStyle w:val="IndexLink"/>
              </w:rPr>
              <w:t>18</w:t>
            </w:r>
          </w:hyperlink>
        </w:p>
        <w:p>
          <w:pPr>
            <w:pStyle w:val="Contents3"/>
            <w:tabs>
              <w:tab w:val="clear" w:pos="8459"/>
              <w:tab w:val="right" w:pos="9026" w:leader="dot"/>
            </w:tabs>
            <w:rPr/>
          </w:pPr>
          <w:hyperlink w:anchor="__RefHeading___Toc4284057_73709187">
            <w:r>
              <w:rPr>
                <w:webHidden/>
                <w:rStyle w:val="IndexLink"/>
                <w:rtl w:val="true"/>
              </w:rPr>
              <w:t>الخامسة</w:t>
            </w:r>
            <w:r>
              <w:rPr>
                <w:rStyle w:val="IndexLink"/>
                <w:rtl w:val="true"/>
              </w:rPr>
              <w:t xml:space="preserve">: </w:t>
            </w:r>
            <w:r>
              <w:rPr>
                <w:rStyle w:val="IndexLink"/>
                <w:rtl w:val="true"/>
              </w:rPr>
              <w:t>إضفاء طابع القداسة على أئمّتهم و دعاتهم</w:t>
            </w:r>
            <w:r>
              <w:rPr>
                <w:rStyle w:val="IndexLink"/>
                <w:rtl w:val="true"/>
              </w:rPr>
              <w:tab/>
            </w:r>
            <w:r>
              <w:rPr>
                <w:rStyle w:val="IndexLink"/>
              </w:rPr>
              <w:t>19</w:t>
            </w:r>
          </w:hyperlink>
        </w:p>
        <w:p>
          <w:pPr>
            <w:pStyle w:val="Contents3"/>
            <w:tabs>
              <w:tab w:val="clear" w:pos="8459"/>
              <w:tab w:val="right" w:pos="9026" w:leader="dot"/>
            </w:tabs>
            <w:rPr/>
          </w:pPr>
          <w:hyperlink w:anchor="__RefHeading___Toc4284059_73709187">
            <w:r>
              <w:rPr>
                <w:webHidden/>
                <w:rStyle w:val="IndexLink"/>
                <w:rtl w:val="true"/>
              </w:rPr>
              <w:t>السادسة</w:t>
            </w:r>
            <w:r>
              <w:rPr>
                <w:rStyle w:val="IndexLink"/>
                <w:rtl w:val="true"/>
              </w:rPr>
              <w:t xml:space="preserve">: </w:t>
            </w:r>
            <w:r>
              <w:rPr>
                <w:rStyle w:val="IndexLink"/>
                <w:rtl w:val="true"/>
              </w:rPr>
              <w:t>تربية الفدائيين للدفاع عن المذهب</w:t>
            </w:r>
            <w:r>
              <w:rPr>
                <w:rStyle w:val="IndexLink"/>
                <w:rtl w:val="true"/>
              </w:rPr>
              <w:tab/>
            </w:r>
            <w:r>
              <w:rPr>
                <w:rStyle w:val="IndexLink"/>
              </w:rPr>
              <w:t>21</w:t>
            </w:r>
          </w:hyperlink>
        </w:p>
        <w:p>
          <w:pPr>
            <w:pStyle w:val="Contents3"/>
            <w:tabs>
              <w:tab w:val="clear" w:pos="8459"/>
              <w:tab w:val="right" w:pos="9026" w:leader="dot"/>
            </w:tabs>
            <w:rPr/>
          </w:pPr>
          <w:hyperlink w:anchor="__RefHeading___Toc4284061_73709187">
            <w:r>
              <w:rPr>
                <w:webHidden/>
                <w:rStyle w:val="IndexLink"/>
                <w:rtl w:val="true"/>
              </w:rPr>
              <w:t>السابعة</w:t>
            </w:r>
            <w:r>
              <w:rPr>
                <w:rStyle w:val="IndexLink"/>
                <w:rtl w:val="true"/>
              </w:rPr>
              <w:t xml:space="preserve">: </w:t>
            </w:r>
            <w:r>
              <w:rPr>
                <w:rStyle w:val="IndexLink"/>
                <w:rtl w:val="true"/>
              </w:rPr>
              <w:t>كتمان الوثائق</w:t>
            </w:r>
            <w:r>
              <w:rPr>
                <w:rStyle w:val="IndexLink"/>
                <w:rtl w:val="true"/>
              </w:rPr>
              <w:tab/>
            </w:r>
            <w:r>
              <w:rPr>
                <w:rStyle w:val="IndexLink"/>
              </w:rPr>
              <w:t>22</w:t>
            </w:r>
          </w:hyperlink>
        </w:p>
        <w:p>
          <w:pPr>
            <w:pStyle w:val="Contents3"/>
            <w:tabs>
              <w:tab w:val="clear" w:pos="8459"/>
              <w:tab w:val="right" w:pos="9026" w:leader="dot"/>
            </w:tabs>
            <w:rPr/>
          </w:pPr>
          <w:hyperlink w:anchor="__RefHeading___Toc4284063_73709187">
            <w:r>
              <w:rPr>
                <w:webHidden/>
                <w:rStyle w:val="IndexLink"/>
                <w:rtl w:val="true"/>
              </w:rPr>
              <w:t>الثامنة</w:t>
            </w:r>
            <w:r>
              <w:rPr>
                <w:rStyle w:val="IndexLink"/>
                <w:rtl w:val="true"/>
              </w:rPr>
              <w:t xml:space="preserve">: </w:t>
            </w:r>
            <w:r>
              <w:rPr>
                <w:rStyle w:val="IndexLink"/>
                <w:rtl w:val="true"/>
              </w:rPr>
              <w:t>الأئمّة المستورون</w:t>
            </w:r>
            <w:r>
              <w:rPr>
                <w:rStyle w:val="IndexLink"/>
                <w:rtl w:val="true"/>
              </w:rPr>
              <w:tab/>
            </w:r>
            <w:r>
              <w:rPr>
                <w:rStyle w:val="IndexLink"/>
              </w:rPr>
              <w:t>24</w:t>
            </w:r>
          </w:hyperlink>
        </w:p>
        <w:p>
          <w:pPr>
            <w:pStyle w:val="Contents3"/>
            <w:tabs>
              <w:tab w:val="clear" w:pos="8459"/>
              <w:tab w:val="right" w:pos="9026" w:leader="dot"/>
            </w:tabs>
            <w:rPr/>
          </w:pPr>
          <w:hyperlink w:anchor="__RefHeading___Toc4284065_73709187">
            <w:r>
              <w:rPr>
                <w:webHidden/>
                <w:rStyle w:val="IndexLink"/>
                <w:rtl w:val="true"/>
              </w:rPr>
              <w:t>التاسعة</w:t>
            </w:r>
            <w:r>
              <w:rPr>
                <w:rStyle w:val="IndexLink"/>
                <w:rtl w:val="true"/>
              </w:rPr>
              <w:t>:</w:t>
              <w:tab/>
            </w:r>
            <w:r>
              <w:rPr>
                <w:rStyle w:val="IndexLink"/>
              </w:rPr>
              <w:t>25</w:t>
            </w:r>
          </w:hyperlink>
        </w:p>
        <w:p>
          <w:pPr>
            <w:pStyle w:val="Contents3"/>
            <w:tabs>
              <w:tab w:val="clear" w:pos="8459"/>
              <w:tab w:val="right" w:pos="9026" w:leader="dot"/>
            </w:tabs>
            <w:rPr/>
          </w:pPr>
          <w:hyperlink w:anchor="__RefHeading___Toc4284067_73709187">
            <w:r>
              <w:rPr>
                <w:webHidden/>
                <w:rStyle w:val="IndexLink"/>
                <w:rtl w:val="true"/>
              </w:rPr>
              <w:t>العاشرة</w:t>
            </w:r>
            <w:r>
              <w:rPr>
                <w:rStyle w:val="IndexLink"/>
                <w:rtl w:val="true"/>
              </w:rPr>
              <w:t>:</w:t>
              <w:tab/>
            </w:r>
            <w:r>
              <w:rPr>
                <w:rStyle w:val="IndexLink"/>
              </w:rPr>
              <w:t>26</w:t>
            </w:r>
          </w:hyperlink>
        </w:p>
        <w:p>
          <w:pPr>
            <w:pStyle w:val="Contents3"/>
            <w:tabs>
              <w:tab w:val="clear" w:pos="8459"/>
              <w:tab w:val="right" w:pos="9026" w:leader="dot"/>
            </w:tabs>
            <w:rPr/>
          </w:pPr>
          <w:hyperlink w:anchor="__RefHeading___Toc4284069_73709187">
            <w:r>
              <w:rPr>
                <w:webHidden/>
                <w:rStyle w:val="IndexLink"/>
                <w:rtl w:val="true"/>
              </w:rPr>
              <w:t>الحادية عشرة</w:t>
            </w:r>
            <w:r>
              <w:rPr>
                <w:rStyle w:val="IndexLink"/>
                <w:rtl w:val="true"/>
              </w:rPr>
              <w:t>:</w:t>
              <w:tab/>
            </w:r>
            <w:r>
              <w:rPr>
                <w:rStyle w:val="IndexLink"/>
              </w:rPr>
              <w:t>27</w:t>
            </w:r>
          </w:hyperlink>
        </w:p>
        <w:p>
          <w:pPr>
            <w:pStyle w:val="Contents2"/>
            <w:tabs>
              <w:tab w:val="clear" w:pos="8743"/>
              <w:tab w:val="right" w:pos="9026" w:leader="dot"/>
            </w:tabs>
            <w:rPr/>
          </w:pPr>
          <w:hyperlink w:anchor="__RefHeading___Toc4284071_73709187">
            <w:r>
              <w:rPr>
                <w:webHidden/>
                <w:rStyle w:val="IndexLink"/>
                <w:rtl w:val="true"/>
              </w:rPr>
              <w:t>الفصل الثاني</w:t>
            </w:r>
            <w:r>
              <w:rPr>
                <w:rStyle w:val="IndexLink"/>
                <w:rtl w:val="true"/>
              </w:rPr>
              <w:t xml:space="preserve">: </w:t>
            </w:r>
            <w:r>
              <w:rPr>
                <w:rStyle w:val="IndexLink"/>
                <w:rtl w:val="true"/>
              </w:rPr>
              <w:t>الإسماعيلية في معاجم الملل و النحل</w:t>
            </w:r>
            <w:r>
              <w:rPr>
                <w:rStyle w:val="IndexLink"/>
                <w:rtl w:val="true"/>
              </w:rPr>
              <w:tab/>
            </w:r>
            <w:r>
              <w:rPr>
                <w:rStyle w:val="IndexLink"/>
              </w:rPr>
              <w:t>30</w:t>
            </w:r>
          </w:hyperlink>
        </w:p>
        <w:p>
          <w:pPr>
            <w:pStyle w:val="Contents3"/>
            <w:tabs>
              <w:tab w:val="clear" w:pos="8459"/>
              <w:tab w:val="right" w:pos="9026" w:leader="dot"/>
            </w:tabs>
            <w:rPr/>
          </w:pPr>
          <w:hyperlink w:anchor="__RefHeading___Toc4284073_73709187">
            <w:r>
              <w:rPr>
                <w:webHidden/>
                <w:rStyle w:val="IndexLink"/>
                <w:rtl w:val="true"/>
              </w:rPr>
              <w:t>اشارة</w:t>
            </w:r>
            <w:r>
              <w:rPr>
                <w:rStyle w:val="IndexLink"/>
                <w:rtl w:val="true"/>
              </w:rPr>
              <w:tab/>
            </w:r>
            <w:r>
              <w:rPr>
                <w:rStyle w:val="IndexLink"/>
              </w:rPr>
              <w:t>30</w:t>
            </w:r>
          </w:hyperlink>
        </w:p>
        <w:p>
          <w:pPr>
            <w:pStyle w:val="Contents3"/>
            <w:tabs>
              <w:tab w:val="clear" w:pos="8459"/>
              <w:tab w:val="right" w:pos="9026" w:leader="dot"/>
            </w:tabs>
            <w:rPr/>
          </w:pPr>
          <w:hyperlink w:anchor="__RefHeading___Toc4284075_73709187">
            <w:r>
              <w:rPr>
                <w:webHidden/>
                <w:rStyle w:val="IndexLink"/>
                <w:rtl w:val="true"/>
              </w:rPr>
              <w:t>إحداهما</w:t>
            </w:r>
            <w:r>
              <w:rPr>
                <w:rStyle w:val="IndexLink"/>
                <w:rtl w:val="true"/>
              </w:rPr>
              <w:t xml:space="preserve">: </w:t>
            </w:r>
            <w:r>
              <w:rPr>
                <w:rStyle w:val="IndexLink"/>
                <w:rtl w:val="true"/>
              </w:rPr>
              <w:t>الآغاخانية</w:t>
            </w:r>
            <w:r>
              <w:rPr>
                <w:rStyle w:val="IndexLink"/>
                <w:rtl w:val="true"/>
              </w:rPr>
              <w:tab/>
            </w:r>
            <w:r>
              <w:rPr>
                <w:rStyle w:val="IndexLink"/>
              </w:rPr>
              <w:t>36</w:t>
            </w:r>
          </w:hyperlink>
        </w:p>
        <w:p>
          <w:pPr>
            <w:pStyle w:val="Contents3"/>
            <w:tabs>
              <w:tab w:val="clear" w:pos="8459"/>
              <w:tab w:val="right" w:pos="9026" w:leader="dot"/>
            </w:tabs>
            <w:rPr/>
          </w:pPr>
          <w:hyperlink w:anchor="__RefHeading___Toc4284077_73709187">
            <w:r>
              <w:rPr>
                <w:webHidden/>
                <w:rStyle w:val="IndexLink"/>
                <w:rtl w:val="true"/>
              </w:rPr>
              <w:t>و الفرقة الثانية</w:t>
            </w:r>
            <w:r>
              <w:rPr>
                <w:rStyle w:val="IndexLink"/>
                <w:rtl w:val="true"/>
              </w:rPr>
              <w:t xml:space="preserve">: </w:t>
            </w:r>
            <w:r>
              <w:rPr>
                <w:rStyle w:val="IndexLink"/>
                <w:rtl w:val="true"/>
              </w:rPr>
              <w:t>البُهْرَة</w:t>
            </w:r>
            <w:r>
              <w:rPr>
                <w:rStyle w:val="IndexLink"/>
                <w:rtl w:val="true"/>
              </w:rPr>
              <w:tab/>
            </w:r>
            <w:r>
              <w:rPr>
                <w:rStyle w:val="IndexLink"/>
              </w:rPr>
              <w:t>36</w:t>
            </w:r>
          </w:hyperlink>
        </w:p>
        <w:p>
          <w:pPr>
            <w:pStyle w:val="Contents2"/>
            <w:tabs>
              <w:tab w:val="clear" w:pos="8743"/>
              <w:tab w:val="right" w:pos="9026" w:leader="dot"/>
            </w:tabs>
            <w:rPr/>
          </w:pPr>
          <w:hyperlink w:anchor="__RefHeading___Toc4284079_73709187">
            <w:r>
              <w:rPr>
                <w:webHidden/>
                <w:rStyle w:val="IndexLink"/>
                <w:rtl w:val="true"/>
              </w:rPr>
              <w:t>الفصل الثالث</w:t>
            </w:r>
            <w:r>
              <w:rPr>
                <w:rStyle w:val="IndexLink"/>
                <w:rtl w:val="true"/>
              </w:rPr>
              <w:t xml:space="preserve">: </w:t>
            </w:r>
            <w:r>
              <w:rPr>
                <w:rStyle w:val="IndexLink"/>
                <w:rtl w:val="true"/>
              </w:rPr>
              <w:t>الحركات الباطنية في عصر الإمام الصادق عليه السّلام</w:t>
            </w:r>
            <w:r>
              <w:rPr>
                <w:rStyle w:val="IndexLink"/>
                <w:rtl w:val="true"/>
              </w:rPr>
              <w:tab/>
            </w:r>
            <w:r>
              <w:rPr>
                <w:rStyle w:val="IndexLink"/>
              </w:rPr>
              <w:t>40</w:t>
            </w:r>
          </w:hyperlink>
        </w:p>
        <w:p>
          <w:pPr>
            <w:pStyle w:val="Contents3"/>
            <w:tabs>
              <w:tab w:val="clear" w:pos="8459"/>
              <w:tab w:val="right" w:pos="9026" w:leader="dot"/>
            </w:tabs>
            <w:rPr/>
          </w:pPr>
          <w:hyperlink w:anchor="__RefHeading___Toc4284081_73709187">
            <w:r>
              <w:rPr>
                <w:webHidden/>
                <w:rStyle w:val="IndexLink"/>
                <w:rtl w:val="true"/>
              </w:rPr>
              <w:t>اشارة</w:t>
            </w:r>
            <w:r>
              <w:rPr>
                <w:rStyle w:val="IndexLink"/>
                <w:rtl w:val="true"/>
              </w:rPr>
              <w:tab/>
            </w:r>
            <w:r>
              <w:rPr>
                <w:rStyle w:val="IndexLink"/>
              </w:rPr>
              <w:t>40</w:t>
            </w:r>
          </w:hyperlink>
        </w:p>
        <w:p>
          <w:pPr>
            <w:pStyle w:val="Contents3"/>
            <w:tabs>
              <w:tab w:val="clear" w:pos="8459"/>
              <w:tab w:val="right" w:pos="9026" w:leader="dot"/>
            </w:tabs>
            <w:rPr/>
          </w:pPr>
          <w:hyperlink w:anchor="__RefHeading___Toc4284083_73709187">
            <w:r>
              <w:rPr>
                <w:webHidden/>
                <w:rStyle w:val="IndexLink"/>
              </w:rPr>
              <w:t>1</w:t>
            </w:r>
            <w:r>
              <w:rPr>
                <w:rStyle w:val="IndexLink"/>
                <w:rtl w:val="true"/>
              </w:rPr>
              <w:t xml:space="preserve"> - </w:t>
            </w:r>
            <w:r>
              <w:rPr>
                <w:rStyle w:val="IndexLink"/>
                <w:rtl w:val="true"/>
              </w:rPr>
              <w:t>الكشي و الخطابية</w:t>
            </w:r>
            <w:r>
              <w:rPr>
                <w:rStyle w:val="IndexLink"/>
                <w:rtl w:val="true"/>
              </w:rPr>
              <w:tab/>
            </w:r>
            <w:r>
              <w:rPr>
                <w:rStyle w:val="IndexLink"/>
              </w:rPr>
              <w:t>43</w:t>
            </w:r>
          </w:hyperlink>
        </w:p>
        <w:p>
          <w:pPr>
            <w:pStyle w:val="Contents3"/>
            <w:tabs>
              <w:tab w:val="clear" w:pos="8459"/>
              <w:tab w:val="right" w:pos="9026" w:leader="dot"/>
            </w:tabs>
            <w:rPr/>
          </w:pPr>
          <w:hyperlink w:anchor="__RefHeading___Toc4284085_73709187">
            <w:r>
              <w:rPr>
                <w:webHidden/>
                <w:rStyle w:val="IndexLink"/>
              </w:rPr>
              <w:t>2</w:t>
            </w:r>
            <w:r>
              <w:rPr>
                <w:rStyle w:val="IndexLink"/>
                <w:rtl w:val="true"/>
              </w:rPr>
              <w:t xml:space="preserve"> - </w:t>
            </w:r>
            <w:r>
              <w:rPr>
                <w:rStyle w:val="IndexLink"/>
                <w:rtl w:val="true"/>
              </w:rPr>
              <w:t>الأشعري و الخطابية</w:t>
            </w:r>
            <w:r>
              <w:rPr>
                <w:rStyle w:val="IndexLink"/>
                <w:rtl w:val="true"/>
              </w:rPr>
              <w:tab/>
            </w:r>
            <w:r>
              <w:rPr>
                <w:rStyle w:val="IndexLink"/>
              </w:rPr>
              <w:t>45</w:t>
            </w:r>
          </w:hyperlink>
        </w:p>
        <w:p>
          <w:pPr>
            <w:pStyle w:val="Contents3"/>
            <w:tabs>
              <w:tab w:val="clear" w:pos="8459"/>
              <w:tab w:val="right" w:pos="9026" w:leader="dot"/>
            </w:tabs>
            <w:rPr/>
          </w:pPr>
          <w:hyperlink w:anchor="__RefHeading___Toc4284087_73709187">
            <w:r>
              <w:rPr>
                <w:webHidden/>
                <w:rStyle w:val="IndexLink"/>
              </w:rPr>
              <w:t>3</w:t>
            </w:r>
            <w:r>
              <w:rPr>
                <w:rStyle w:val="IndexLink"/>
                <w:rtl w:val="true"/>
              </w:rPr>
              <w:t xml:space="preserve"> - </w:t>
            </w:r>
            <w:r>
              <w:rPr>
                <w:rStyle w:val="IndexLink"/>
                <w:rtl w:val="true"/>
              </w:rPr>
              <w:t>النوبختي و الخطابية</w:t>
            </w:r>
            <w:r>
              <w:rPr>
                <w:rStyle w:val="IndexLink"/>
                <w:rtl w:val="true"/>
              </w:rPr>
              <w:tab/>
            </w:r>
            <w:r>
              <w:rPr>
                <w:rStyle w:val="IndexLink"/>
              </w:rPr>
              <w:t>47</w:t>
            </w:r>
          </w:hyperlink>
        </w:p>
        <w:p>
          <w:pPr>
            <w:pStyle w:val="Contents3"/>
            <w:tabs>
              <w:tab w:val="clear" w:pos="8459"/>
              <w:tab w:val="right" w:pos="9026" w:leader="dot"/>
            </w:tabs>
            <w:rPr/>
          </w:pPr>
          <w:hyperlink w:anchor="__RefHeading___Toc4284089_73709187">
            <w:r>
              <w:rPr>
                <w:webHidden/>
                <w:rStyle w:val="IndexLink"/>
              </w:rPr>
              <w:t>4</w:t>
            </w:r>
            <w:r>
              <w:rPr>
                <w:rStyle w:val="IndexLink"/>
                <w:rtl w:val="true"/>
              </w:rPr>
              <w:t xml:space="preserve"> - </w:t>
            </w:r>
            <w:r>
              <w:rPr>
                <w:rStyle w:val="IndexLink"/>
                <w:rtl w:val="true"/>
              </w:rPr>
              <w:t>الطبري و الحركات الباطنية</w:t>
            </w:r>
            <w:r>
              <w:rPr>
                <w:rStyle w:val="IndexLink"/>
                <w:rtl w:val="true"/>
              </w:rPr>
              <w:tab/>
            </w:r>
            <w:r>
              <w:rPr>
                <w:rStyle w:val="IndexLink"/>
              </w:rPr>
              <w:t>48</w:t>
            </w:r>
          </w:hyperlink>
        </w:p>
        <w:p>
          <w:pPr>
            <w:pStyle w:val="Contents4"/>
            <w:tabs>
              <w:tab w:val="clear" w:pos="8176"/>
              <w:tab w:val="right" w:pos="9026" w:leader="dot"/>
            </w:tabs>
            <w:rPr/>
          </w:pPr>
          <w:hyperlink w:anchor="__RefHeading___Toc4284091_73709187">
            <w:r>
              <w:rPr>
                <w:webHidden/>
                <w:rStyle w:val="IndexLink"/>
                <w:rtl w:val="true"/>
              </w:rPr>
              <w:t>اشارة</w:t>
            </w:r>
            <w:r>
              <w:rPr>
                <w:rStyle w:val="IndexLink"/>
                <w:rtl w:val="true"/>
              </w:rPr>
              <w:tab/>
            </w:r>
            <w:r>
              <w:rPr>
                <w:rStyle w:val="IndexLink"/>
              </w:rPr>
              <w:t>48</w:t>
            </w:r>
          </w:hyperlink>
        </w:p>
        <w:p>
          <w:pPr>
            <w:pStyle w:val="Contents4"/>
            <w:tabs>
              <w:tab w:val="clear" w:pos="8176"/>
              <w:tab w:val="right" w:pos="9026" w:leader="dot"/>
            </w:tabs>
            <w:rPr/>
          </w:pPr>
          <w:hyperlink w:anchor="__RefHeading___Toc4284093_73709187">
            <w:r>
              <w:rPr>
                <w:webHidden/>
                <w:rStyle w:val="IndexLink"/>
                <w:rtl w:val="true"/>
              </w:rPr>
              <w:t>تحول الخطابية إلى الإسماعيلية</w:t>
            </w:r>
            <w:r>
              <w:rPr>
                <w:rStyle w:val="IndexLink"/>
                <w:rtl w:val="true"/>
              </w:rPr>
              <w:tab/>
            </w:r>
            <w:r>
              <w:rPr>
                <w:rStyle w:val="IndexLink"/>
              </w:rPr>
              <w:t>49</w:t>
            </w:r>
          </w:hyperlink>
        </w:p>
        <w:p>
          <w:pPr>
            <w:pStyle w:val="Contents2"/>
            <w:tabs>
              <w:tab w:val="clear" w:pos="8743"/>
              <w:tab w:val="right" w:pos="9026" w:leader="dot"/>
            </w:tabs>
            <w:rPr/>
          </w:pPr>
          <w:hyperlink w:anchor="__RefHeading___Toc4284095_73709187">
            <w:r>
              <w:rPr>
                <w:webHidden/>
                <w:rStyle w:val="IndexLink"/>
                <w:rtl w:val="true"/>
              </w:rPr>
              <w:t>الفصل الرابع</w:t>
            </w:r>
            <w:r>
              <w:rPr>
                <w:rStyle w:val="IndexLink"/>
                <w:rtl w:val="true"/>
              </w:rPr>
              <w:t xml:space="preserve">: </w:t>
            </w:r>
            <w:r>
              <w:rPr>
                <w:rStyle w:val="IndexLink"/>
                <w:rtl w:val="true"/>
              </w:rPr>
              <w:t>عبد اللّٰه بن ميمون القداح إسماعيلي أو اثنا عشري؟</w:t>
            </w:r>
            <w:r>
              <w:rPr>
                <w:rStyle w:val="IndexLink"/>
                <w:rtl w:val="true"/>
              </w:rPr>
              <w:tab/>
            </w:r>
            <w:r>
              <w:rPr>
                <w:rStyle w:val="IndexLink"/>
              </w:rPr>
              <w:t>54</w:t>
            </w:r>
          </w:hyperlink>
        </w:p>
        <w:p>
          <w:pPr>
            <w:pStyle w:val="Contents3"/>
            <w:tabs>
              <w:tab w:val="clear" w:pos="8459"/>
              <w:tab w:val="right" w:pos="9026" w:leader="dot"/>
            </w:tabs>
            <w:rPr/>
          </w:pPr>
          <w:hyperlink w:anchor="__RefHeading___Toc4284097_73709187">
            <w:r>
              <w:rPr>
                <w:webHidden/>
                <w:rStyle w:val="IndexLink"/>
                <w:rtl w:val="true"/>
              </w:rPr>
              <w:t>اشارة</w:t>
            </w:r>
            <w:r>
              <w:rPr>
                <w:rStyle w:val="IndexLink"/>
                <w:rtl w:val="true"/>
              </w:rPr>
              <w:tab/>
            </w:r>
            <w:r>
              <w:rPr>
                <w:rStyle w:val="IndexLink"/>
              </w:rPr>
              <w:t>54</w:t>
            </w:r>
          </w:hyperlink>
        </w:p>
        <w:p>
          <w:pPr>
            <w:pStyle w:val="Contents3"/>
            <w:tabs>
              <w:tab w:val="clear" w:pos="8459"/>
              <w:tab w:val="right" w:pos="9026" w:leader="dot"/>
            </w:tabs>
            <w:rPr/>
          </w:pPr>
          <w:hyperlink w:anchor="__RefHeading___Toc4284099_73709187">
            <w:r>
              <w:rPr>
                <w:webHidden/>
                <w:rStyle w:val="IndexLink"/>
                <w:rtl w:val="true"/>
              </w:rPr>
              <w:t>عبد اللّٰه بن ميمون الإمامي في كتب الرجال</w:t>
            </w:r>
            <w:r>
              <w:rPr>
                <w:rStyle w:val="IndexLink"/>
                <w:rtl w:val="true"/>
              </w:rPr>
              <w:tab/>
            </w:r>
            <w:r>
              <w:rPr>
                <w:rStyle w:val="IndexLink"/>
              </w:rPr>
              <w:t>57</w:t>
            </w:r>
          </w:hyperlink>
        </w:p>
        <w:p>
          <w:pPr>
            <w:pStyle w:val="Contents3"/>
            <w:tabs>
              <w:tab w:val="clear" w:pos="8459"/>
              <w:tab w:val="right" w:pos="9026" w:leader="dot"/>
            </w:tabs>
            <w:rPr/>
          </w:pPr>
          <w:hyperlink w:anchor="__RefHeading___Toc4284101_73709187">
            <w:r>
              <w:rPr>
                <w:webHidden/>
                <w:rStyle w:val="IndexLink"/>
                <w:rtl w:val="true"/>
              </w:rPr>
              <w:t>عبد اللّٰه بن ميمون الإسماعيلي</w:t>
            </w:r>
            <w:r>
              <w:rPr>
                <w:rStyle w:val="IndexLink"/>
                <w:rtl w:val="true"/>
              </w:rPr>
              <w:tab/>
            </w:r>
            <w:r>
              <w:rPr>
                <w:rStyle w:val="IndexLink"/>
              </w:rPr>
              <w:t>59</w:t>
            </w:r>
          </w:hyperlink>
        </w:p>
        <w:p>
          <w:pPr>
            <w:pStyle w:val="Contents3"/>
            <w:tabs>
              <w:tab w:val="clear" w:pos="8459"/>
              <w:tab w:val="right" w:pos="9026" w:leader="dot"/>
            </w:tabs>
            <w:rPr/>
          </w:pPr>
          <w:hyperlink w:anchor="__RefHeading___Toc4284103_73709187">
            <w:r>
              <w:rPr>
                <w:webHidden/>
                <w:rStyle w:val="IndexLink"/>
                <w:rtl w:val="true"/>
              </w:rPr>
              <w:t>ما روي عن عبد اللّٰه بن ميمون الإمامى في الجوامع الحديثية</w:t>
            </w:r>
            <w:r>
              <w:rPr>
                <w:rStyle w:val="IndexLink"/>
                <w:rtl w:val="true"/>
              </w:rPr>
              <w:tab/>
            </w:r>
            <w:r>
              <w:rPr>
                <w:rStyle w:val="IndexLink"/>
              </w:rPr>
              <w:t>64</w:t>
            </w:r>
          </w:hyperlink>
        </w:p>
        <w:p>
          <w:pPr>
            <w:pStyle w:val="Contents2"/>
            <w:tabs>
              <w:tab w:val="clear" w:pos="8743"/>
              <w:tab w:val="right" w:pos="9026" w:leader="dot"/>
            </w:tabs>
            <w:rPr/>
          </w:pPr>
          <w:hyperlink w:anchor="__RefHeading___Toc4284105_73709187">
            <w:r>
              <w:rPr>
                <w:webHidden/>
                <w:rStyle w:val="IndexLink"/>
                <w:rtl w:val="true"/>
              </w:rPr>
              <w:t>الفصل الخامس</w:t>
            </w:r>
            <w:r>
              <w:rPr>
                <w:rStyle w:val="IndexLink"/>
                <w:rtl w:val="true"/>
              </w:rPr>
              <w:t xml:space="preserve">: </w:t>
            </w:r>
            <w:r>
              <w:rPr>
                <w:rStyle w:val="IndexLink"/>
                <w:rtl w:val="true"/>
              </w:rPr>
              <w:t>في الأئمة المستورين</w:t>
            </w:r>
            <w:r>
              <w:rPr>
                <w:rStyle w:val="IndexLink"/>
                <w:rtl w:val="true"/>
              </w:rPr>
              <w:tab/>
            </w:r>
            <w:r>
              <w:rPr>
                <w:rStyle w:val="IndexLink"/>
              </w:rPr>
              <w:t>76</w:t>
            </w:r>
          </w:hyperlink>
        </w:p>
        <w:p>
          <w:pPr>
            <w:pStyle w:val="Contents3"/>
            <w:tabs>
              <w:tab w:val="clear" w:pos="8459"/>
              <w:tab w:val="right" w:pos="9026" w:leader="dot"/>
            </w:tabs>
            <w:rPr/>
          </w:pPr>
          <w:hyperlink w:anchor="__RefHeading___Toc4284107_73709187">
            <w:r>
              <w:rPr>
                <w:webHidden/>
                <w:rStyle w:val="IndexLink"/>
                <w:rtl w:val="true"/>
              </w:rPr>
              <w:t>اشارة</w:t>
            </w:r>
            <w:r>
              <w:rPr>
                <w:rStyle w:val="IndexLink"/>
                <w:rtl w:val="true"/>
              </w:rPr>
              <w:tab/>
            </w:r>
            <w:r>
              <w:rPr>
                <w:rStyle w:val="IndexLink"/>
              </w:rPr>
              <w:t>76</w:t>
            </w:r>
          </w:hyperlink>
        </w:p>
        <w:p>
          <w:pPr>
            <w:pStyle w:val="Contents3"/>
            <w:tabs>
              <w:tab w:val="clear" w:pos="8459"/>
              <w:tab w:val="right" w:pos="9026" w:leader="dot"/>
            </w:tabs>
            <w:rPr/>
          </w:pPr>
          <w:hyperlink w:anchor="__RefHeading___Toc4284109_73709187">
            <w:r>
              <w:rPr>
                <w:webHidden/>
                <w:rStyle w:val="IndexLink"/>
                <w:rtl w:val="true"/>
              </w:rPr>
              <w:t>الإمام الأوّل</w:t>
            </w:r>
            <w:r>
              <w:rPr>
                <w:rStyle w:val="IndexLink"/>
                <w:rtl w:val="true"/>
              </w:rPr>
              <w:t xml:space="preserve">: </w:t>
            </w:r>
            <w:r>
              <w:rPr>
                <w:rStyle w:val="IndexLink"/>
                <w:rtl w:val="true"/>
              </w:rPr>
              <w:t xml:space="preserve">إسماعيل بن جعفر الصادق </w:t>
            </w:r>
            <w:r>
              <w:rPr>
                <w:rStyle w:val="IndexLink"/>
                <w:rtl w:val="true"/>
              </w:rPr>
              <w:t>(</w:t>
            </w:r>
            <w:r>
              <w:rPr>
                <w:rStyle w:val="IndexLink"/>
              </w:rPr>
              <w:t>110</w:t>
            </w:r>
            <w:r>
              <w:rPr>
                <w:rStyle w:val="IndexLink"/>
                <w:rtl w:val="true"/>
              </w:rPr>
              <w:t>-</w:t>
            </w:r>
            <w:r>
              <w:rPr>
                <w:rStyle w:val="IndexLink"/>
              </w:rPr>
              <w:t>145</w:t>
            </w:r>
            <w:r>
              <w:rPr>
                <w:rStyle w:val="IndexLink"/>
                <w:rtl w:val="true"/>
              </w:rPr>
              <w:t xml:space="preserve"> </w:t>
            </w:r>
            <w:r>
              <w:rPr>
                <w:rStyle w:val="IndexLink"/>
                <w:rtl w:val="true"/>
              </w:rPr>
              <w:t>ه</w:t>
            </w:r>
            <w:r>
              <w:rPr>
                <w:rStyle w:val="IndexLink"/>
                <w:rtl w:val="true"/>
              </w:rPr>
              <w:t>)</w:t>
              <w:tab/>
            </w:r>
            <w:r>
              <w:rPr>
                <w:rStyle w:val="IndexLink"/>
              </w:rPr>
              <w:t>80</w:t>
            </w:r>
          </w:hyperlink>
        </w:p>
        <w:p>
          <w:pPr>
            <w:pStyle w:val="Contents4"/>
            <w:tabs>
              <w:tab w:val="clear" w:pos="8176"/>
              <w:tab w:val="right" w:pos="9026" w:leader="dot"/>
            </w:tabs>
            <w:rPr/>
          </w:pPr>
          <w:hyperlink w:anchor="__RefHeading___Toc4284111_73709187">
            <w:r>
              <w:rPr>
                <w:webHidden/>
                <w:rStyle w:val="IndexLink"/>
                <w:rtl w:val="true"/>
              </w:rPr>
              <w:t>اشارة</w:t>
            </w:r>
            <w:r>
              <w:rPr>
                <w:rStyle w:val="IndexLink"/>
                <w:rtl w:val="true"/>
              </w:rPr>
              <w:tab/>
            </w:r>
            <w:r>
              <w:rPr>
                <w:rStyle w:val="IndexLink"/>
              </w:rPr>
              <w:t>80</w:t>
            </w:r>
          </w:hyperlink>
        </w:p>
        <w:p>
          <w:pPr>
            <w:pStyle w:val="Contents4"/>
            <w:tabs>
              <w:tab w:val="clear" w:pos="8176"/>
              <w:tab w:val="right" w:pos="9026" w:leader="dot"/>
            </w:tabs>
            <w:rPr/>
          </w:pPr>
          <w:hyperlink w:anchor="__RefHeading___Toc4284113_73709187">
            <w:r>
              <w:rPr>
                <w:webHidden/>
                <w:rStyle w:val="IndexLink"/>
                <w:rtl w:val="true"/>
              </w:rPr>
              <w:t>[</w:t>
            </w:r>
            <w:r>
              <w:rPr>
                <w:rStyle w:val="IndexLink"/>
                <w:rtl w:val="true"/>
              </w:rPr>
              <w:t>جلالة منزلة إسماعيل، عند والده</w:t>
            </w:r>
            <w:r>
              <w:rPr>
                <w:rStyle w:val="IndexLink"/>
                <w:rtl w:val="true"/>
              </w:rPr>
              <w:t>]</w:t>
              <w:tab/>
            </w:r>
            <w:r>
              <w:rPr>
                <w:rStyle w:val="IndexLink"/>
              </w:rPr>
              <w:t>83</w:t>
            </w:r>
          </w:hyperlink>
        </w:p>
        <w:p>
          <w:pPr>
            <w:pStyle w:val="Contents5"/>
            <w:tabs>
              <w:tab w:val="clear" w:pos="7892"/>
              <w:tab w:val="right" w:pos="9026" w:leader="dot"/>
            </w:tabs>
            <w:rPr/>
          </w:pPr>
          <w:hyperlink w:anchor="__RefHeading___Toc4284115_73709187">
            <w:r>
              <w:rPr>
                <w:webHidden/>
                <w:rStyle w:val="IndexLink"/>
              </w:rPr>
              <w:t>1</w:t>
            </w:r>
            <w:r>
              <w:rPr>
                <w:rStyle w:val="IndexLink"/>
                <w:rtl w:val="true"/>
              </w:rPr>
              <w:t xml:space="preserve"> - </w:t>
            </w:r>
            <w:r>
              <w:rPr>
                <w:rStyle w:val="IndexLink"/>
                <w:rtl w:val="true"/>
              </w:rPr>
              <w:t>الإمام الصادق عليه السّلام يستأجر من يحجّ عن إسماعيل</w:t>
            </w:r>
            <w:r>
              <w:rPr>
                <w:rStyle w:val="IndexLink"/>
                <w:rtl w:val="true"/>
              </w:rPr>
              <w:t>:</w:t>
              <w:tab/>
            </w:r>
            <w:r>
              <w:rPr>
                <w:rStyle w:val="IndexLink"/>
              </w:rPr>
              <w:t>83</w:t>
            </w:r>
          </w:hyperlink>
        </w:p>
        <w:p>
          <w:pPr>
            <w:pStyle w:val="Contents5"/>
            <w:tabs>
              <w:tab w:val="clear" w:pos="7892"/>
              <w:tab w:val="right" w:pos="9026" w:leader="dot"/>
            </w:tabs>
            <w:rPr/>
          </w:pPr>
          <w:hyperlink w:anchor="__RefHeading___Toc4284117_73709187">
            <w:r>
              <w:rPr>
                <w:webHidden/>
                <w:rStyle w:val="IndexLink"/>
              </w:rPr>
              <w:t>2</w:t>
            </w:r>
            <w:r>
              <w:rPr>
                <w:rStyle w:val="IndexLink"/>
                <w:rtl w:val="true"/>
              </w:rPr>
              <w:t xml:space="preserve"> - </w:t>
            </w:r>
            <w:r>
              <w:rPr>
                <w:rStyle w:val="IndexLink"/>
                <w:rtl w:val="true"/>
              </w:rPr>
              <w:t>الإمام ينصحه من الائتمان بالفاسق</w:t>
            </w:r>
            <w:r>
              <w:rPr>
                <w:rStyle w:val="IndexLink"/>
                <w:rtl w:val="true"/>
              </w:rPr>
              <w:t>:</w:t>
              <w:tab/>
            </w:r>
            <w:r>
              <w:rPr>
                <w:rStyle w:val="IndexLink"/>
              </w:rPr>
              <w:t>84</w:t>
            </w:r>
          </w:hyperlink>
        </w:p>
        <w:p>
          <w:pPr>
            <w:pStyle w:val="Contents4"/>
            <w:tabs>
              <w:tab w:val="clear" w:pos="8176"/>
              <w:tab w:val="right" w:pos="9026" w:leader="dot"/>
            </w:tabs>
            <w:rPr/>
          </w:pPr>
          <w:hyperlink w:anchor="__RefHeading___Toc4284119_73709187">
            <w:r>
              <w:rPr>
                <w:webHidden/>
                <w:rStyle w:val="IndexLink"/>
                <w:rtl w:val="true"/>
              </w:rPr>
              <w:t>قلة رواياته</w:t>
            </w:r>
            <w:r>
              <w:rPr>
                <w:rStyle w:val="IndexLink"/>
                <w:rtl w:val="true"/>
              </w:rPr>
              <w:tab/>
            </w:r>
            <w:r>
              <w:rPr>
                <w:rStyle w:val="IndexLink"/>
              </w:rPr>
              <w:t>85</w:t>
            </w:r>
          </w:hyperlink>
        </w:p>
        <w:p>
          <w:pPr>
            <w:pStyle w:val="Contents4"/>
            <w:tabs>
              <w:tab w:val="clear" w:pos="8176"/>
              <w:tab w:val="right" w:pos="9026" w:leader="dot"/>
            </w:tabs>
            <w:rPr/>
          </w:pPr>
          <w:hyperlink w:anchor="__RefHeading___Toc4284121_73709187">
            <w:r>
              <w:rPr>
                <w:webHidden/>
                <w:rStyle w:val="IndexLink"/>
                <w:rtl w:val="true"/>
              </w:rPr>
              <w:t>وفاته</w:t>
            </w:r>
            <w:r>
              <w:rPr>
                <w:rStyle w:val="IndexLink"/>
                <w:rtl w:val="true"/>
              </w:rPr>
              <w:tab/>
            </w:r>
            <w:r>
              <w:rPr>
                <w:rStyle w:val="IndexLink"/>
              </w:rPr>
              <w:t>86</w:t>
            </w:r>
          </w:hyperlink>
        </w:p>
        <w:p>
          <w:pPr>
            <w:pStyle w:val="Contents4"/>
            <w:tabs>
              <w:tab w:val="clear" w:pos="8176"/>
              <w:tab w:val="right" w:pos="9026" w:leader="dot"/>
            </w:tabs>
            <w:rPr/>
          </w:pPr>
          <w:hyperlink w:anchor="__RefHeading___Toc4284123_73709187">
            <w:r>
              <w:rPr>
                <w:webHidden/>
                <w:rStyle w:val="IndexLink"/>
                <w:rtl w:val="true"/>
              </w:rPr>
              <w:t>استشهاد الإمام الصادق عليه السّلام على موته</w:t>
            </w:r>
            <w:r>
              <w:rPr>
                <w:rStyle w:val="IndexLink"/>
                <w:rtl w:val="true"/>
              </w:rPr>
              <w:t>:</w:t>
              <w:tab/>
            </w:r>
            <w:r>
              <w:rPr>
                <w:rStyle w:val="IndexLink"/>
              </w:rPr>
              <w:t>86</w:t>
            </w:r>
          </w:hyperlink>
        </w:p>
        <w:p>
          <w:pPr>
            <w:pStyle w:val="Contents4"/>
            <w:tabs>
              <w:tab w:val="clear" w:pos="8176"/>
              <w:tab w:val="right" w:pos="9026" w:leader="dot"/>
            </w:tabs>
            <w:rPr/>
          </w:pPr>
          <w:hyperlink w:anchor="__RefHeading___Toc4284125_73709187">
            <w:r>
              <w:rPr>
                <w:webHidden/>
                <w:rStyle w:val="IndexLink"/>
                <w:rtl w:val="true"/>
              </w:rPr>
              <w:t>هل كان عمل الإمام تغطية لستره؟</w:t>
            </w:r>
            <w:r>
              <w:rPr>
                <w:rStyle w:val="IndexLink"/>
                <w:rtl w:val="true"/>
              </w:rPr>
              <w:tab/>
            </w:r>
            <w:r>
              <w:rPr>
                <w:rStyle w:val="IndexLink"/>
              </w:rPr>
              <w:t>89</w:t>
            </w:r>
          </w:hyperlink>
        </w:p>
        <w:p>
          <w:pPr>
            <w:pStyle w:val="Contents4"/>
            <w:tabs>
              <w:tab w:val="clear" w:pos="8176"/>
              <w:tab w:val="right" w:pos="9026" w:leader="dot"/>
            </w:tabs>
            <w:rPr/>
          </w:pPr>
          <w:hyperlink w:anchor="__RefHeading___Toc4284127_73709187">
            <w:r>
              <w:rPr>
                <w:webHidden/>
                <w:rStyle w:val="IndexLink"/>
                <w:rtl w:val="true"/>
              </w:rPr>
              <w:t>اسطورة حياته بعد رحيل أبيه</w:t>
            </w:r>
            <w:r>
              <w:rPr>
                <w:rStyle w:val="IndexLink"/>
                <w:rtl w:val="true"/>
              </w:rPr>
              <w:tab/>
            </w:r>
            <w:r>
              <w:rPr>
                <w:rStyle w:val="IndexLink"/>
              </w:rPr>
              <w:t>90</w:t>
            </w:r>
          </w:hyperlink>
        </w:p>
        <w:p>
          <w:pPr>
            <w:pStyle w:val="Contents3"/>
            <w:tabs>
              <w:tab w:val="clear" w:pos="8459"/>
              <w:tab w:val="right" w:pos="9026" w:leader="dot"/>
            </w:tabs>
            <w:rPr/>
          </w:pPr>
          <w:hyperlink w:anchor="__RefHeading___Toc4284129_73709187">
            <w:r>
              <w:rPr>
                <w:webHidden/>
                <w:rStyle w:val="IndexLink"/>
                <w:rtl w:val="true"/>
              </w:rPr>
              <w:t>الإمام الثاني</w:t>
            </w:r>
            <w:r>
              <w:rPr>
                <w:rStyle w:val="IndexLink"/>
                <w:rtl w:val="true"/>
              </w:rPr>
              <w:t xml:space="preserve">: </w:t>
            </w:r>
            <w:r>
              <w:rPr>
                <w:rStyle w:val="IndexLink"/>
                <w:rtl w:val="true"/>
              </w:rPr>
              <w:t xml:space="preserve">محمد بن إسماعيل </w:t>
            </w:r>
            <w:r>
              <w:rPr>
                <w:rStyle w:val="IndexLink"/>
                <w:rtl w:val="true"/>
              </w:rPr>
              <w:t>(</w:t>
            </w:r>
            <w:r>
              <w:rPr>
                <w:rStyle w:val="IndexLink"/>
              </w:rPr>
              <w:t>132</w:t>
            </w:r>
            <w:r>
              <w:rPr>
                <w:rStyle w:val="IndexLink"/>
                <w:rtl w:val="true"/>
              </w:rPr>
              <w:t>-</w:t>
            </w:r>
            <w:r>
              <w:rPr>
                <w:rStyle w:val="IndexLink"/>
              </w:rPr>
              <w:t>193</w:t>
            </w:r>
            <w:r>
              <w:rPr>
                <w:rStyle w:val="IndexLink"/>
                <w:rtl w:val="true"/>
              </w:rPr>
              <w:t xml:space="preserve"> </w:t>
            </w:r>
            <w:r>
              <w:rPr>
                <w:rStyle w:val="IndexLink"/>
                <w:rtl w:val="true"/>
              </w:rPr>
              <w:t>ه</w:t>
            </w:r>
            <w:r>
              <w:rPr>
                <w:rStyle w:val="IndexLink"/>
                <w:rtl w:val="true"/>
              </w:rPr>
              <w:t>)</w:t>
              <w:tab/>
            </w:r>
            <w:r>
              <w:rPr>
                <w:rStyle w:val="IndexLink"/>
              </w:rPr>
              <w:t>95</w:t>
            </w:r>
          </w:hyperlink>
        </w:p>
        <w:p>
          <w:pPr>
            <w:pStyle w:val="Contents3"/>
            <w:tabs>
              <w:tab w:val="clear" w:pos="8459"/>
              <w:tab w:val="right" w:pos="9026" w:leader="dot"/>
            </w:tabs>
            <w:rPr/>
          </w:pPr>
          <w:hyperlink w:anchor="__RefHeading___Toc4284131_73709187">
            <w:r>
              <w:rPr>
                <w:webHidden/>
                <w:rStyle w:val="IndexLink"/>
                <w:rtl w:val="true"/>
              </w:rPr>
              <w:t>الإمام الثالث</w:t>
            </w:r>
            <w:r>
              <w:rPr>
                <w:rStyle w:val="IndexLink"/>
                <w:rtl w:val="true"/>
              </w:rPr>
              <w:t xml:space="preserve">: </w:t>
            </w:r>
            <w:r>
              <w:rPr>
                <w:rStyle w:val="IndexLink"/>
                <w:rtl w:val="true"/>
              </w:rPr>
              <w:t xml:space="preserve">عبد اللّٰه بن محمد بن إسماعيل </w:t>
            </w:r>
            <w:r>
              <w:rPr>
                <w:rStyle w:val="IndexLink"/>
                <w:rtl w:val="true"/>
              </w:rPr>
              <w:t>(</w:t>
            </w:r>
            <w:r>
              <w:rPr>
                <w:rStyle w:val="IndexLink"/>
              </w:rPr>
              <w:t>179</w:t>
            </w:r>
            <w:r>
              <w:rPr>
                <w:rStyle w:val="IndexLink"/>
                <w:rtl w:val="true"/>
              </w:rPr>
              <w:t>-</w:t>
            </w:r>
            <w:r>
              <w:rPr>
                <w:rStyle w:val="IndexLink"/>
              </w:rPr>
              <w:t>212</w:t>
            </w:r>
            <w:r>
              <w:rPr>
                <w:rStyle w:val="IndexLink"/>
                <w:rtl w:val="true"/>
              </w:rPr>
              <w:t xml:space="preserve"> </w:t>
            </w:r>
            <w:r>
              <w:rPr>
                <w:rStyle w:val="IndexLink"/>
                <w:rtl w:val="true"/>
              </w:rPr>
              <w:t>ه</w:t>
            </w:r>
            <w:r>
              <w:rPr>
                <w:rStyle w:val="IndexLink"/>
                <w:rtl w:val="true"/>
              </w:rPr>
              <w:t>)</w:t>
              <w:tab/>
            </w:r>
            <w:r>
              <w:rPr>
                <w:rStyle w:val="IndexLink"/>
              </w:rPr>
              <w:t>102</w:t>
            </w:r>
          </w:hyperlink>
        </w:p>
        <w:p>
          <w:pPr>
            <w:pStyle w:val="Contents3"/>
            <w:tabs>
              <w:tab w:val="clear" w:pos="8459"/>
              <w:tab w:val="right" w:pos="9026" w:leader="dot"/>
            </w:tabs>
            <w:rPr/>
          </w:pPr>
          <w:hyperlink w:anchor="__RefHeading___Toc4284133_73709187">
            <w:r>
              <w:rPr>
                <w:webHidden/>
                <w:rStyle w:val="IndexLink"/>
                <w:rtl w:val="true"/>
              </w:rPr>
              <w:t>الإمام الرابع</w:t>
            </w:r>
            <w:r>
              <w:rPr>
                <w:rStyle w:val="IndexLink"/>
                <w:rtl w:val="true"/>
              </w:rPr>
              <w:t xml:space="preserve">: </w:t>
            </w:r>
            <w:r>
              <w:rPr>
                <w:rStyle w:val="IndexLink"/>
                <w:rtl w:val="true"/>
              </w:rPr>
              <w:t xml:space="preserve">أحمد بن عبد اللّٰه </w:t>
            </w:r>
            <w:r>
              <w:rPr>
                <w:rStyle w:val="IndexLink"/>
                <w:rtl w:val="true"/>
              </w:rPr>
              <w:t>(</w:t>
            </w:r>
            <w:r>
              <w:rPr>
                <w:rStyle w:val="IndexLink"/>
              </w:rPr>
              <w:t>198</w:t>
            </w:r>
            <w:r>
              <w:rPr>
                <w:rStyle w:val="IndexLink"/>
                <w:rtl w:val="true"/>
              </w:rPr>
              <w:t>-</w:t>
            </w:r>
            <w:r>
              <w:rPr>
                <w:rStyle w:val="IndexLink"/>
              </w:rPr>
              <w:t>265</w:t>
            </w:r>
            <w:r>
              <w:rPr>
                <w:rStyle w:val="IndexLink"/>
                <w:rtl w:val="true"/>
              </w:rPr>
              <w:t xml:space="preserve"> </w:t>
            </w:r>
            <w:r>
              <w:rPr>
                <w:rStyle w:val="IndexLink"/>
                <w:rtl w:val="true"/>
              </w:rPr>
              <w:t>ه</w:t>
            </w:r>
            <w:r>
              <w:rPr>
                <w:rStyle w:val="IndexLink"/>
                <w:rtl w:val="true"/>
              </w:rPr>
              <w:t>)</w:t>
              <w:tab/>
            </w:r>
            <w:r>
              <w:rPr>
                <w:rStyle w:val="IndexLink"/>
              </w:rPr>
              <w:t>104</w:t>
            </w:r>
          </w:hyperlink>
        </w:p>
        <w:p>
          <w:pPr>
            <w:pStyle w:val="Contents3"/>
            <w:tabs>
              <w:tab w:val="clear" w:pos="8459"/>
              <w:tab w:val="right" w:pos="9026" w:leader="dot"/>
            </w:tabs>
            <w:rPr/>
          </w:pPr>
          <w:hyperlink w:anchor="__RefHeading___Toc4284135_73709187">
            <w:r>
              <w:rPr>
                <w:webHidden/>
                <w:rStyle w:val="IndexLink"/>
                <w:rtl w:val="true"/>
              </w:rPr>
              <w:t>الإمام الخامس</w:t>
            </w:r>
            <w:r>
              <w:rPr>
                <w:rStyle w:val="IndexLink"/>
                <w:rtl w:val="true"/>
              </w:rPr>
              <w:t xml:space="preserve">: </w:t>
            </w:r>
            <w:r>
              <w:rPr>
                <w:rStyle w:val="IndexLink"/>
                <w:rtl w:val="true"/>
              </w:rPr>
              <w:t xml:space="preserve">الحسين بن أحمد </w:t>
            </w:r>
            <w:r>
              <w:rPr>
                <w:rStyle w:val="IndexLink"/>
                <w:rtl w:val="true"/>
              </w:rPr>
              <w:t>(</w:t>
            </w:r>
            <w:r>
              <w:rPr>
                <w:rStyle w:val="IndexLink"/>
              </w:rPr>
              <w:t>219</w:t>
            </w:r>
            <w:r>
              <w:rPr>
                <w:rStyle w:val="IndexLink"/>
                <w:rtl w:val="true"/>
              </w:rPr>
              <w:t>-</w:t>
            </w:r>
            <w:r>
              <w:rPr>
                <w:rStyle w:val="IndexLink"/>
              </w:rPr>
              <w:t>289</w:t>
            </w:r>
            <w:r>
              <w:rPr>
                <w:rStyle w:val="IndexLink"/>
                <w:rtl w:val="true"/>
              </w:rPr>
              <w:t xml:space="preserve"> </w:t>
            </w:r>
            <w:r>
              <w:rPr>
                <w:rStyle w:val="IndexLink"/>
                <w:rtl w:val="true"/>
              </w:rPr>
              <w:t>ه</w:t>
            </w:r>
            <w:r>
              <w:rPr>
                <w:rStyle w:val="IndexLink"/>
                <w:rtl w:val="true"/>
              </w:rPr>
              <w:t>)</w:t>
              <w:tab/>
            </w:r>
            <w:r>
              <w:rPr>
                <w:rStyle w:val="IndexLink"/>
              </w:rPr>
              <w:t>106</w:t>
            </w:r>
          </w:hyperlink>
        </w:p>
        <w:p>
          <w:pPr>
            <w:pStyle w:val="Contents3"/>
            <w:tabs>
              <w:tab w:val="clear" w:pos="8459"/>
              <w:tab w:val="right" w:pos="9026" w:leader="dot"/>
            </w:tabs>
            <w:rPr/>
          </w:pPr>
          <w:hyperlink w:anchor="__RefHeading___Toc4284137_73709187">
            <w:r>
              <w:rPr>
                <w:webHidden/>
                <w:rStyle w:val="IndexLink"/>
                <w:rtl w:val="true"/>
              </w:rPr>
              <w:t>تتمة</w:t>
            </w:r>
            <w:r>
              <w:rPr>
                <w:rStyle w:val="IndexLink"/>
                <w:rtl w:val="true"/>
              </w:rPr>
              <w:tab/>
            </w:r>
            <w:r>
              <w:rPr>
                <w:rStyle w:val="IndexLink"/>
              </w:rPr>
              <w:t>112</w:t>
            </w:r>
          </w:hyperlink>
        </w:p>
        <w:p>
          <w:pPr>
            <w:pStyle w:val="Contents2"/>
            <w:tabs>
              <w:tab w:val="clear" w:pos="8743"/>
              <w:tab w:val="right" w:pos="9026" w:leader="dot"/>
            </w:tabs>
            <w:rPr/>
          </w:pPr>
          <w:hyperlink w:anchor="__RefHeading___Toc4284139_73709187">
            <w:r>
              <w:rPr>
                <w:webHidden/>
                <w:rStyle w:val="IndexLink"/>
                <w:rtl w:val="true"/>
              </w:rPr>
              <w:t>الفصل السادس</w:t>
            </w:r>
            <w:r>
              <w:rPr>
                <w:rStyle w:val="IndexLink"/>
                <w:rtl w:val="true"/>
              </w:rPr>
              <w:t xml:space="preserve">: </w:t>
            </w:r>
            <w:r>
              <w:rPr>
                <w:rStyle w:val="IndexLink"/>
                <w:rtl w:val="true"/>
              </w:rPr>
              <w:t>في الأئمة الظاهرين</w:t>
            </w:r>
            <w:r>
              <w:rPr>
                <w:rStyle w:val="IndexLink"/>
                <w:rtl w:val="true"/>
              </w:rPr>
              <w:t>:</w:t>
              <w:tab/>
            </w:r>
            <w:r>
              <w:rPr>
                <w:rStyle w:val="IndexLink"/>
              </w:rPr>
              <w:t>114</w:t>
            </w:r>
          </w:hyperlink>
        </w:p>
        <w:p>
          <w:pPr>
            <w:pStyle w:val="Contents3"/>
            <w:tabs>
              <w:tab w:val="clear" w:pos="8459"/>
              <w:tab w:val="right" w:pos="9026" w:leader="dot"/>
            </w:tabs>
            <w:rPr/>
          </w:pPr>
          <w:hyperlink w:anchor="__RefHeading___Toc4284141_73709187">
            <w:r>
              <w:rPr>
                <w:webHidden/>
                <w:rStyle w:val="IndexLink"/>
                <w:rtl w:val="true"/>
              </w:rPr>
              <w:t>اشارة</w:t>
            </w:r>
            <w:r>
              <w:rPr>
                <w:rStyle w:val="IndexLink"/>
                <w:rtl w:val="true"/>
              </w:rPr>
              <w:tab/>
            </w:r>
            <w:r>
              <w:rPr>
                <w:rStyle w:val="IndexLink"/>
              </w:rPr>
              <w:t>114</w:t>
            </w:r>
          </w:hyperlink>
        </w:p>
        <w:p>
          <w:pPr>
            <w:pStyle w:val="Contents3"/>
            <w:tabs>
              <w:tab w:val="clear" w:pos="8459"/>
              <w:tab w:val="right" w:pos="9026" w:leader="dot"/>
            </w:tabs>
            <w:rPr/>
          </w:pPr>
          <w:hyperlink w:anchor="__RefHeading___Toc4284143_73709187">
            <w:r>
              <w:rPr>
                <w:webHidden/>
                <w:rStyle w:val="IndexLink"/>
                <w:rtl w:val="true"/>
              </w:rPr>
              <w:t>الإمام السادس</w:t>
            </w:r>
            <w:r>
              <w:rPr>
                <w:rStyle w:val="IndexLink"/>
                <w:rtl w:val="true"/>
              </w:rPr>
              <w:t xml:space="preserve">: </w:t>
            </w:r>
            <w:r>
              <w:rPr>
                <w:rStyle w:val="IndexLink"/>
                <w:rtl w:val="true"/>
              </w:rPr>
              <w:t xml:space="preserve">عبيد اللّٰه المهدي </w:t>
            </w:r>
            <w:r>
              <w:rPr>
                <w:rStyle w:val="IndexLink"/>
                <w:rtl w:val="true"/>
              </w:rPr>
              <w:t>(</w:t>
            </w:r>
            <w:r>
              <w:rPr>
                <w:rStyle w:val="IndexLink"/>
              </w:rPr>
              <w:t>260</w:t>
            </w:r>
            <w:r>
              <w:rPr>
                <w:rStyle w:val="IndexLink"/>
                <w:rtl w:val="true"/>
              </w:rPr>
              <w:t>-</w:t>
            </w:r>
            <w:r>
              <w:rPr>
                <w:rStyle w:val="IndexLink"/>
              </w:rPr>
              <w:t>322</w:t>
            </w:r>
            <w:r>
              <w:rPr>
                <w:rStyle w:val="IndexLink"/>
                <w:rtl w:val="true"/>
              </w:rPr>
              <w:t xml:space="preserve"> </w:t>
            </w:r>
            <w:r>
              <w:rPr>
                <w:rStyle w:val="IndexLink"/>
                <w:rtl w:val="true"/>
              </w:rPr>
              <w:t>ه</w:t>
            </w:r>
            <w:r>
              <w:rPr>
                <w:rStyle w:val="IndexLink"/>
                <w:rtl w:val="true"/>
              </w:rPr>
              <w:t>)</w:t>
              <w:tab/>
            </w:r>
            <w:r>
              <w:rPr>
                <w:rStyle w:val="IndexLink"/>
              </w:rPr>
              <w:t>116</w:t>
            </w:r>
          </w:hyperlink>
        </w:p>
        <w:p>
          <w:pPr>
            <w:pStyle w:val="Contents4"/>
            <w:tabs>
              <w:tab w:val="clear" w:pos="8176"/>
              <w:tab w:val="right" w:pos="9026" w:leader="dot"/>
            </w:tabs>
            <w:rPr/>
          </w:pPr>
          <w:hyperlink w:anchor="__RefHeading___Toc4284145_73709187">
            <w:r>
              <w:rPr>
                <w:webHidden/>
                <w:rStyle w:val="IndexLink"/>
                <w:rtl w:val="true"/>
              </w:rPr>
              <w:t>اشارة</w:t>
            </w:r>
            <w:r>
              <w:rPr>
                <w:rStyle w:val="IndexLink"/>
                <w:rtl w:val="true"/>
              </w:rPr>
              <w:tab/>
            </w:r>
            <w:r>
              <w:rPr>
                <w:rStyle w:val="IndexLink"/>
              </w:rPr>
              <w:t>116</w:t>
            </w:r>
          </w:hyperlink>
        </w:p>
        <w:p>
          <w:pPr>
            <w:pStyle w:val="Contents4"/>
            <w:tabs>
              <w:tab w:val="clear" w:pos="8176"/>
              <w:tab w:val="right" w:pos="9026" w:leader="dot"/>
            </w:tabs>
            <w:rPr/>
          </w:pPr>
          <w:hyperlink w:anchor="__RefHeading___Toc4284147_73709187">
            <w:r>
              <w:rPr>
                <w:webHidden/>
                <w:rStyle w:val="IndexLink"/>
                <w:rtl w:val="true"/>
              </w:rPr>
              <w:t>ذهاب عبيد اللّٰه إلى إفريقية</w:t>
            </w:r>
            <w:r>
              <w:rPr>
                <w:rStyle w:val="IndexLink"/>
                <w:rtl w:val="true"/>
              </w:rPr>
              <w:tab/>
            </w:r>
            <w:r>
              <w:rPr>
                <w:rStyle w:val="IndexLink"/>
              </w:rPr>
              <w:t>123</w:t>
            </w:r>
          </w:hyperlink>
        </w:p>
        <w:p>
          <w:pPr>
            <w:pStyle w:val="Contents3"/>
            <w:tabs>
              <w:tab w:val="clear" w:pos="8459"/>
              <w:tab w:val="right" w:pos="9026" w:leader="dot"/>
            </w:tabs>
            <w:rPr/>
          </w:pPr>
          <w:hyperlink w:anchor="__RefHeading___Toc4284149_73709187">
            <w:r>
              <w:rPr>
                <w:webHidden/>
                <w:rStyle w:val="IndexLink"/>
                <w:rtl w:val="true"/>
              </w:rPr>
              <w:t>الإمام السابع</w:t>
            </w:r>
            <w:r>
              <w:rPr>
                <w:rStyle w:val="IndexLink"/>
                <w:rtl w:val="true"/>
              </w:rPr>
              <w:t xml:space="preserve">: </w:t>
            </w:r>
            <w:r>
              <w:rPr>
                <w:rStyle w:val="IndexLink"/>
                <w:rtl w:val="true"/>
              </w:rPr>
              <w:t xml:space="preserve">القائم بأمر اللّٰه </w:t>
            </w:r>
            <w:r>
              <w:rPr>
                <w:rStyle w:val="IndexLink"/>
                <w:rtl w:val="true"/>
              </w:rPr>
              <w:t>(</w:t>
            </w:r>
            <w:r>
              <w:rPr>
                <w:rStyle w:val="IndexLink"/>
              </w:rPr>
              <w:t>280</w:t>
            </w:r>
            <w:r>
              <w:rPr>
                <w:rStyle w:val="IndexLink"/>
                <w:rtl w:val="true"/>
              </w:rPr>
              <w:t>-</w:t>
            </w:r>
            <w:r>
              <w:rPr>
                <w:rStyle w:val="IndexLink"/>
              </w:rPr>
              <w:t>334</w:t>
            </w:r>
            <w:r>
              <w:rPr>
                <w:rStyle w:val="IndexLink"/>
                <w:rtl w:val="true"/>
              </w:rPr>
              <w:t xml:space="preserve"> </w:t>
            </w:r>
            <w:r>
              <w:rPr>
                <w:rStyle w:val="IndexLink"/>
                <w:rtl w:val="true"/>
              </w:rPr>
              <w:t>ه</w:t>
            </w:r>
            <w:r>
              <w:rPr>
                <w:rStyle w:val="IndexLink"/>
                <w:rtl w:val="true"/>
              </w:rPr>
              <w:t>)</w:t>
              <w:tab/>
            </w:r>
            <w:r>
              <w:rPr>
                <w:rStyle w:val="IndexLink"/>
              </w:rPr>
              <w:t>126</w:t>
            </w:r>
          </w:hyperlink>
        </w:p>
        <w:p>
          <w:pPr>
            <w:pStyle w:val="Contents3"/>
            <w:tabs>
              <w:tab w:val="clear" w:pos="8459"/>
              <w:tab w:val="right" w:pos="9026" w:leader="dot"/>
            </w:tabs>
            <w:rPr/>
          </w:pPr>
          <w:hyperlink w:anchor="__RefHeading___Toc4284151_73709187">
            <w:r>
              <w:rPr>
                <w:webHidden/>
                <w:rStyle w:val="IndexLink"/>
                <w:rtl w:val="true"/>
              </w:rPr>
              <w:t>الإمام الثامن</w:t>
            </w:r>
            <w:r>
              <w:rPr>
                <w:rStyle w:val="IndexLink"/>
                <w:rtl w:val="true"/>
              </w:rPr>
              <w:t xml:space="preserve">: </w:t>
            </w:r>
            <w:r>
              <w:rPr>
                <w:rStyle w:val="IndexLink"/>
                <w:rtl w:val="true"/>
              </w:rPr>
              <w:t xml:space="preserve">الإمام المنصور باللّٰه </w:t>
            </w:r>
            <w:r>
              <w:rPr>
                <w:rStyle w:val="IndexLink"/>
                <w:rtl w:val="true"/>
              </w:rPr>
              <w:t>(</w:t>
            </w:r>
            <w:r>
              <w:rPr>
                <w:rStyle w:val="IndexLink"/>
              </w:rPr>
              <w:t>303</w:t>
            </w:r>
            <w:r>
              <w:rPr>
                <w:rStyle w:val="IndexLink"/>
                <w:rtl w:val="true"/>
              </w:rPr>
              <w:t>-</w:t>
            </w:r>
            <w:r>
              <w:rPr>
                <w:rStyle w:val="IndexLink"/>
              </w:rPr>
              <w:t>346</w:t>
            </w:r>
            <w:r>
              <w:rPr>
                <w:rStyle w:val="IndexLink"/>
                <w:rtl w:val="true"/>
              </w:rPr>
              <w:t xml:space="preserve"> </w:t>
            </w:r>
            <w:r>
              <w:rPr>
                <w:rStyle w:val="IndexLink"/>
                <w:rtl w:val="true"/>
              </w:rPr>
              <w:t>ه</w:t>
            </w:r>
            <w:r>
              <w:rPr>
                <w:rStyle w:val="IndexLink"/>
                <w:rtl w:val="true"/>
              </w:rPr>
              <w:t>)</w:t>
              <w:tab/>
            </w:r>
            <w:r>
              <w:rPr>
                <w:rStyle w:val="IndexLink"/>
              </w:rPr>
              <w:t>129</w:t>
            </w:r>
          </w:hyperlink>
        </w:p>
        <w:p>
          <w:pPr>
            <w:pStyle w:val="Contents3"/>
            <w:tabs>
              <w:tab w:val="clear" w:pos="8459"/>
              <w:tab w:val="right" w:pos="9026" w:leader="dot"/>
            </w:tabs>
            <w:rPr/>
          </w:pPr>
          <w:hyperlink w:anchor="__RefHeading___Toc4284153_73709187">
            <w:r>
              <w:rPr>
                <w:webHidden/>
                <w:rStyle w:val="IndexLink"/>
                <w:rtl w:val="true"/>
              </w:rPr>
              <w:t>الإمام التاسع</w:t>
            </w:r>
            <w:r>
              <w:rPr>
                <w:rStyle w:val="IndexLink"/>
                <w:rtl w:val="true"/>
              </w:rPr>
              <w:t xml:space="preserve">: </w:t>
            </w:r>
            <w:r>
              <w:rPr>
                <w:rStyle w:val="IndexLink"/>
                <w:rtl w:val="true"/>
              </w:rPr>
              <w:t xml:space="preserve">المعزّ لدين اللّٰه مؤسس الدولة الفاطمية في مصر </w:t>
            </w:r>
            <w:r>
              <w:rPr>
                <w:rStyle w:val="IndexLink"/>
                <w:rtl w:val="true"/>
              </w:rPr>
              <w:t>(</w:t>
            </w:r>
            <w:r>
              <w:rPr>
                <w:rStyle w:val="IndexLink"/>
              </w:rPr>
              <w:t>319</w:t>
            </w:r>
            <w:r>
              <w:rPr>
                <w:rStyle w:val="IndexLink"/>
                <w:rtl w:val="true"/>
              </w:rPr>
              <w:t>-</w:t>
            </w:r>
            <w:r>
              <w:rPr>
                <w:rStyle w:val="IndexLink"/>
              </w:rPr>
              <w:t>365</w:t>
            </w:r>
            <w:r>
              <w:rPr>
                <w:rStyle w:val="IndexLink"/>
                <w:rtl w:val="true"/>
              </w:rPr>
              <w:t xml:space="preserve"> </w:t>
            </w:r>
            <w:r>
              <w:rPr>
                <w:rStyle w:val="IndexLink"/>
                <w:rtl w:val="true"/>
              </w:rPr>
              <w:t>ه</w:t>
            </w:r>
            <w:r>
              <w:rPr>
                <w:rStyle w:val="IndexLink"/>
                <w:rtl w:val="true"/>
              </w:rPr>
              <w:t>)</w:t>
              <w:tab/>
            </w:r>
            <w:r>
              <w:rPr>
                <w:rStyle w:val="IndexLink"/>
              </w:rPr>
              <w:t>131</w:t>
            </w:r>
          </w:hyperlink>
        </w:p>
        <w:p>
          <w:pPr>
            <w:pStyle w:val="Contents3"/>
            <w:tabs>
              <w:tab w:val="clear" w:pos="8459"/>
              <w:tab w:val="right" w:pos="9026" w:leader="dot"/>
            </w:tabs>
            <w:rPr/>
          </w:pPr>
          <w:hyperlink w:anchor="__RefHeading___Toc4284155_73709187">
            <w:r>
              <w:rPr>
                <w:webHidden/>
                <w:rStyle w:val="IndexLink"/>
                <w:rtl w:val="true"/>
              </w:rPr>
              <w:t>الإمام العاشر</w:t>
            </w:r>
            <w:r>
              <w:rPr>
                <w:rStyle w:val="IndexLink"/>
                <w:rtl w:val="true"/>
              </w:rPr>
              <w:t xml:space="preserve">: </w:t>
            </w:r>
            <w:r>
              <w:rPr>
                <w:rStyle w:val="IndexLink"/>
                <w:rtl w:val="true"/>
              </w:rPr>
              <w:t xml:space="preserve">العزيز باللّٰه </w:t>
            </w:r>
            <w:r>
              <w:rPr>
                <w:rStyle w:val="IndexLink"/>
                <w:rtl w:val="true"/>
              </w:rPr>
              <w:t>(</w:t>
            </w:r>
            <w:r>
              <w:rPr>
                <w:rStyle w:val="IndexLink"/>
              </w:rPr>
              <w:t>344</w:t>
            </w:r>
            <w:r>
              <w:rPr>
                <w:rStyle w:val="IndexLink"/>
                <w:rtl w:val="true"/>
              </w:rPr>
              <w:t>-</w:t>
            </w:r>
            <w:r>
              <w:rPr>
                <w:rStyle w:val="IndexLink"/>
              </w:rPr>
              <w:t>386</w:t>
            </w:r>
            <w:r>
              <w:rPr>
                <w:rStyle w:val="IndexLink"/>
                <w:rtl w:val="true"/>
              </w:rPr>
              <w:t xml:space="preserve"> </w:t>
            </w:r>
            <w:r>
              <w:rPr>
                <w:rStyle w:val="IndexLink"/>
                <w:rtl w:val="true"/>
              </w:rPr>
              <w:t>ه</w:t>
            </w:r>
            <w:r>
              <w:rPr>
                <w:rStyle w:val="IndexLink"/>
                <w:rtl w:val="true"/>
              </w:rPr>
              <w:t>)</w:t>
              <w:tab/>
            </w:r>
            <w:r>
              <w:rPr>
                <w:rStyle w:val="IndexLink"/>
              </w:rPr>
              <w:t>137</w:t>
            </w:r>
          </w:hyperlink>
        </w:p>
        <w:p>
          <w:pPr>
            <w:pStyle w:val="Contents3"/>
            <w:tabs>
              <w:tab w:val="clear" w:pos="8459"/>
              <w:tab w:val="right" w:pos="9026" w:leader="dot"/>
            </w:tabs>
            <w:rPr/>
          </w:pPr>
          <w:hyperlink w:anchor="__RefHeading___Toc4284157_73709187">
            <w:r>
              <w:rPr>
                <w:webHidden/>
                <w:rStyle w:val="IndexLink"/>
                <w:rtl w:val="true"/>
              </w:rPr>
              <w:t>الإمام الحادي عشر</w:t>
            </w:r>
            <w:r>
              <w:rPr>
                <w:rStyle w:val="IndexLink"/>
                <w:rtl w:val="true"/>
              </w:rPr>
              <w:t xml:space="preserve">: </w:t>
            </w:r>
            <w:r>
              <w:rPr>
                <w:rStyle w:val="IndexLink"/>
                <w:rtl w:val="true"/>
              </w:rPr>
              <w:t xml:space="preserve">الحاكم بأمر اللّٰه </w:t>
            </w:r>
            <w:r>
              <w:rPr>
                <w:rStyle w:val="IndexLink"/>
                <w:rtl w:val="true"/>
              </w:rPr>
              <w:t>(</w:t>
            </w:r>
            <w:r>
              <w:rPr>
                <w:rStyle w:val="IndexLink"/>
              </w:rPr>
              <w:t>375</w:t>
            </w:r>
            <w:r>
              <w:rPr>
                <w:rStyle w:val="IndexLink"/>
                <w:rtl w:val="true"/>
              </w:rPr>
              <w:t>-</w:t>
            </w:r>
            <w:r>
              <w:rPr>
                <w:rStyle w:val="IndexLink"/>
              </w:rPr>
              <w:t>411</w:t>
            </w:r>
            <w:r>
              <w:rPr>
                <w:rStyle w:val="IndexLink"/>
                <w:rtl w:val="true"/>
              </w:rPr>
              <w:t xml:space="preserve"> </w:t>
            </w:r>
            <w:r>
              <w:rPr>
                <w:rStyle w:val="IndexLink"/>
                <w:rtl w:val="true"/>
              </w:rPr>
              <w:t>ه</w:t>
            </w:r>
            <w:r>
              <w:rPr>
                <w:rStyle w:val="IndexLink"/>
                <w:rtl w:val="true"/>
              </w:rPr>
              <w:t>)</w:t>
              <w:tab/>
            </w:r>
            <w:r>
              <w:rPr>
                <w:rStyle w:val="IndexLink"/>
              </w:rPr>
              <w:t>140</w:t>
            </w:r>
          </w:hyperlink>
        </w:p>
        <w:p>
          <w:pPr>
            <w:pStyle w:val="Contents4"/>
            <w:tabs>
              <w:tab w:val="clear" w:pos="8176"/>
              <w:tab w:val="right" w:pos="9026" w:leader="dot"/>
            </w:tabs>
            <w:rPr/>
          </w:pPr>
          <w:hyperlink w:anchor="__RefHeading___Toc4284159_73709187">
            <w:r>
              <w:rPr>
                <w:webHidden/>
                <w:rStyle w:val="IndexLink"/>
                <w:rtl w:val="true"/>
              </w:rPr>
              <w:t>اشارة</w:t>
            </w:r>
            <w:r>
              <w:rPr>
                <w:rStyle w:val="IndexLink"/>
                <w:rtl w:val="true"/>
              </w:rPr>
              <w:tab/>
            </w:r>
            <w:r>
              <w:rPr>
                <w:rStyle w:val="IndexLink"/>
              </w:rPr>
              <w:t>140</w:t>
            </w:r>
          </w:hyperlink>
        </w:p>
        <w:p>
          <w:pPr>
            <w:pStyle w:val="Contents4"/>
            <w:tabs>
              <w:tab w:val="clear" w:pos="8176"/>
              <w:tab w:val="right" w:pos="9026" w:leader="dot"/>
            </w:tabs>
            <w:rPr/>
          </w:pPr>
          <w:hyperlink w:anchor="__RefHeading___Toc4284161_73709187">
            <w:r>
              <w:rPr>
                <w:webHidden/>
                <w:rStyle w:val="IndexLink"/>
                <w:rtl w:val="true"/>
              </w:rPr>
              <w:t>انشقاق الإسماعيلية</w:t>
            </w:r>
            <w:r>
              <w:rPr>
                <w:rStyle w:val="IndexLink"/>
                <w:rtl w:val="true"/>
              </w:rPr>
              <w:tab/>
            </w:r>
            <w:r>
              <w:rPr>
                <w:rStyle w:val="IndexLink"/>
              </w:rPr>
              <w:t>143</w:t>
            </w:r>
          </w:hyperlink>
        </w:p>
        <w:p>
          <w:pPr>
            <w:pStyle w:val="Contents3"/>
            <w:tabs>
              <w:tab w:val="clear" w:pos="8459"/>
              <w:tab w:val="right" w:pos="9026" w:leader="dot"/>
            </w:tabs>
            <w:rPr/>
          </w:pPr>
          <w:hyperlink w:anchor="__RefHeading___Toc4284163_73709187">
            <w:r>
              <w:rPr>
                <w:webHidden/>
                <w:rStyle w:val="IndexLink"/>
                <w:rtl w:val="true"/>
              </w:rPr>
              <w:t>الإمام الثاني عشر</w:t>
            </w:r>
            <w:r>
              <w:rPr>
                <w:rStyle w:val="IndexLink"/>
                <w:rtl w:val="true"/>
              </w:rPr>
              <w:t xml:space="preserve">: </w:t>
            </w:r>
            <w:r>
              <w:rPr>
                <w:rStyle w:val="IndexLink"/>
                <w:rtl w:val="true"/>
              </w:rPr>
              <w:t xml:space="preserve">الظاهر لإعزاز دين اللّٰه علي بن منصور </w:t>
            </w:r>
            <w:r>
              <w:rPr>
                <w:rStyle w:val="IndexLink"/>
                <w:rtl w:val="true"/>
              </w:rPr>
              <w:t>(</w:t>
            </w:r>
            <w:r>
              <w:rPr>
                <w:rStyle w:val="IndexLink"/>
              </w:rPr>
              <w:t>395</w:t>
            </w:r>
            <w:r>
              <w:rPr>
                <w:rStyle w:val="IndexLink"/>
                <w:rtl w:val="true"/>
              </w:rPr>
              <w:t>-</w:t>
            </w:r>
            <w:r>
              <w:rPr>
                <w:rStyle w:val="IndexLink"/>
              </w:rPr>
              <w:t>427</w:t>
            </w:r>
            <w:r>
              <w:rPr>
                <w:rStyle w:val="IndexLink"/>
                <w:rtl w:val="true"/>
              </w:rPr>
              <w:t xml:space="preserve"> </w:t>
            </w:r>
            <w:r>
              <w:rPr>
                <w:rStyle w:val="IndexLink"/>
                <w:rtl w:val="true"/>
              </w:rPr>
              <w:t>ه</w:t>
            </w:r>
            <w:r>
              <w:rPr>
                <w:rStyle w:val="IndexLink"/>
                <w:rtl w:val="true"/>
              </w:rPr>
              <w:t>)</w:t>
              <w:tab/>
            </w:r>
            <w:r>
              <w:rPr>
                <w:rStyle w:val="IndexLink"/>
              </w:rPr>
              <w:t>145</w:t>
            </w:r>
          </w:hyperlink>
        </w:p>
        <w:p>
          <w:pPr>
            <w:pStyle w:val="Contents3"/>
            <w:tabs>
              <w:tab w:val="clear" w:pos="8459"/>
              <w:tab w:val="right" w:pos="9026" w:leader="dot"/>
            </w:tabs>
            <w:rPr/>
          </w:pPr>
          <w:hyperlink w:anchor="__RefHeading___Toc4284165_73709187">
            <w:r>
              <w:rPr>
                <w:webHidden/>
                <w:rStyle w:val="IndexLink"/>
                <w:rtl w:val="true"/>
              </w:rPr>
              <w:t>الإمام الثالث عشر</w:t>
            </w:r>
            <w:r>
              <w:rPr>
                <w:rStyle w:val="IndexLink"/>
                <w:rtl w:val="true"/>
              </w:rPr>
              <w:t xml:space="preserve">: </w:t>
            </w:r>
            <w:r>
              <w:rPr>
                <w:rStyle w:val="IndexLink"/>
                <w:rtl w:val="true"/>
              </w:rPr>
              <w:t xml:space="preserve">المستنصر باللّٰه </w:t>
            </w:r>
            <w:r>
              <w:rPr>
                <w:rStyle w:val="IndexLink"/>
                <w:rtl w:val="true"/>
              </w:rPr>
              <w:t>(</w:t>
            </w:r>
            <w:r>
              <w:rPr>
                <w:rStyle w:val="IndexLink"/>
              </w:rPr>
              <w:t>420</w:t>
            </w:r>
            <w:r>
              <w:rPr>
                <w:rStyle w:val="IndexLink"/>
                <w:rtl w:val="true"/>
              </w:rPr>
              <w:t>-</w:t>
            </w:r>
            <w:r>
              <w:rPr>
                <w:rStyle w:val="IndexLink"/>
              </w:rPr>
              <w:t>487</w:t>
            </w:r>
            <w:r>
              <w:rPr>
                <w:rStyle w:val="IndexLink"/>
                <w:rtl w:val="true"/>
              </w:rPr>
              <w:t xml:space="preserve"> </w:t>
            </w:r>
            <w:r>
              <w:rPr>
                <w:rStyle w:val="IndexLink"/>
                <w:rtl w:val="true"/>
              </w:rPr>
              <w:t>ه</w:t>
            </w:r>
            <w:r>
              <w:rPr>
                <w:rStyle w:val="IndexLink"/>
                <w:rtl w:val="true"/>
              </w:rPr>
              <w:t>)</w:t>
              <w:tab/>
            </w:r>
            <w:r>
              <w:rPr>
                <w:rStyle w:val="IndexLink"/>
              </w:rPr>
              <w:t>147</w:t>
            </w:r>
          </w:hyperlink>
        </w:p>
        <w:p>
          <w:pPr>
            <w:pStyle w:val="Contents2"/>
            <w:tabs>
              <w:tab w:val="clear" w:pos="8743"/>
              <w:tab w:val="right" w:pos="9026" w:leader="dot"/>
            </w:tabs>
            <w:rPr/>
          </w:pPr>
          <w:hyperlink w:anchor="__RefHeading___Toc4284167_73709187">
            <w:r>
              <w:rPr>
                <w:webHidden/>
                <w:rStyle w:val="IndexLink"/>
                <w:rtl w:val="true"/>
              </w:rPr>
              <w:t>الفصل السابع</w:t>
            </w:r>
            <w:r>
              <w:rPr>
                <w:rStyle w:val="IndexLink"/>
                <w:rtl w:val="true"/>
              </w:rPr>
              <w:t xml:space="preserve">: </w:t>
            </w:r>
            <w:r>
              <w:rPr>
                <w:rStyle w:val="IndexLink"/>
                <w:rtl w:val="true"/>
              </w:rPr>
              <w:t>في أئمة المستعلية</w:t>
            </w:r>
            <w:r>
              <w:rPr>
                <w:rStyle w:val="IndexLink"/>
                <w:rtl w:val="true"/>
              </w:rPr>
              <w:tab/>
            </w:r>
            <w:r>
              <w:rPr>
                <w:rStyle w:val="IndexLink"/>
              </w:rPr>
              <w:t>150</w:t>
            </w:r>
          </w:hyperlink>
        </w:p>
        <w:p>
          <w:pPr>
            <w:pStyle w:val="Contents3"/>
            <w:tabs>
              <w:tab w:val="clear" w:pos="8459"/>
              <w:tab w:val="right" w:pos="9026" w:leader="dot"/>
            </w:tabs>
            <w:rPr/>
          </w:pPr>
          <w:hyperlink w:anchor="__RefHeading___Toc4284169_73709187">
            <w:r>
              <w:rPr>
                <w:webHidden/>
                <w:rStyle w:val="IndexLink"/>
                <w:rtl w:val="true"/>
              </w:rPr>
              <w:t>اشارة</w:t>
            </w:r>
            <w:r>
              <w:rPr>
                <w:rStyle w:val="IndexLink"/>
                <w:rtl w:val="true"/>
              </w:rPr>
              <w:tab/>
            </w:r>
            <w:r>
              <w:rPr>
                <w:rStyle w:val="IndexLink"/>
              </w:rPr>
              <w:t>150</w:t>
            </w:r>
          </w:hyperlink>
        </w:p>
        <w:p>
          <w:pPr>
            <w:pStyle w:val="Contents3"/>
            <w:tabs>
              <w:tab w:val="clear" w:pos="8459"/>
              <w:tab w:val="right" w:pos="9026" w:leader="dot"/>
            </w:tabs>
            <w:rPr/>
          </w:pPr>
          <w:hyperlink w:anchor="__RefHeading___Toc4284171_73709187">
            <w:r>
              <w:rPr>
                <w:webHidden/>
                <w:rStyle w:val="IndexLink"/>
                <w:rtl w:val="true"/>
              </w:rPr>
              <w:t>الإمام الأوّل</w:t>
            </w:r>
            <w:r>
              <w:rPr>
                <w:rStyle w:val="IndexLink"/>
                <w:rtl w:val="true"/>
              </w:rPr>
              <w:t xml:space="preserve">: </w:t>
            </w:r>
            <w:r>
              <w:rPr>
                <w:rStyle w:val="IndexLink"/>
                <w:rtl w:val="true"/>
              </w:rPr>
              <w:t xml:space="preserve">المستعلي باللّٰه </w:t>
            </w:r>
            <w:r>
              <w:rPr>
                <w:rStyle w:val="IndexLink"/>
                <w:rtl w:val="true"/>
              </w:rPr>
              <w:t>(</w:t>
            </w:r>
            <w:r>
              <w:rPr>
                <w:rStyle w:val="IndexLink"/>
              </w:rPr>
              <w:t>467</w:t>
            </w:r>
            <w:r>
              <w:rPr>
                <w:rStyle w:val="IndexLink"/>
                <w:rtl w:val="true"/>
              </w:rPr>
              <w:t>-</w:t>
            </w:r>
            <w:r>
              <w:rPr>
                <w:rStyle w:val="IndexLink"/>
              </w:rPr>
              <w:t>495</w:t>
            </w:r>
            <w:r>
              <w:rPr>
                <w:rStyle w:val="IndexLink"/>
                <w:rtl w:val="true"/>
              </w:rPr>
              <w:t xml:space="preserve"> </w:t>
            </w:r>
            <w:r>
              <w:rPr>
                <w:rStyle w:val="IndexLink"/>
                <w:rtl w:val="true"/>
              </w:rPr>
              <w:t>ه</w:t>
            </w:r>
            <w:r>
              <w:rPr>
                <w:rStyle w:val="IndexLink"/>
                <w:rtl w:val="true"/>
              </w:rPr>
              <w:t>)</w:t>
              <w:tab/>
            </w:r>
            <w:r>
              <w:rPr>
                <w:rStyle w:val="IndexLink"/>
              </w:rPr>
              <w:t>152</w:t>
            </w:r>
          </w:hyperlink>
        </w:p>
        <w:p>
          <w:pPr>
            <w:pStyle w:val="Contents3"/>
            <w:tabs>
              <w:tab w:val="clear" w:pos="8459"/>
              <w:tab w:val="right" w:pos="9026" w:leader="dot"/>
            </w:tabs>
            <w:rPr/>
          </w:pPr>
          <w:hyperlink w:anchor="__RefHeading___Toc4284173_73709187">
            <w:r>
              <w:rPr>
                <w:webHidden/>
                <w:rStyle w:val="IndexLink"/>
                <w:rtl w:val="true"/>
              </w:rPr>
              <w:t>الإمام الثاني</w:t>
            </w:r>
            <w:r>
              <w:rPr>
                <w:rStyle w:val="IndexLink"/>
                <w:rtl w:val="true"/>
              </w:rPr>
              <w:t xml:space="preserve">: </w:t>
            </w:r>
            <w:r>
              <w:rPr>
                <w:rStyle w:val="IndexLink"/>
                <w:rtl w:val="true"/>
              </w:rPr>
              <w:t xml:space="preserve">الآمر بأحكام اللّٰه </w:t>
            </w:r>
            <w:r>
              <w:rPr>
                <w:rStyle w:val="IndexLink"/>
                <w:rtl w:val="true"/>
              </w:rPr>
              <w:t>(</w:t>
            </w:r>
            <w:r>
              <w:rPr>
                <w:rStyle w:val="IndexLink"/>
              </w:rPr>
              <w:t>490</w:t>
            </w:r>
            <w:r>
              <w:rPr>
                <w:rStyle w:val="IndexLink"/>
                <w:rtl w:val="true"/>
              </w:rPr>
              <w:t>-</w:t>
            </w:r>
            <w:r>
              <w:rPr>
                <w:rStyle w:val="IndexLink"/>
              </w:rPr>
              <w:t>524</w:t>
            </w:r>
            <w:r>
              <w:rPr>
                <w:rStyle w:val="IndexLink"/>
                <w:rtl w:val="true"/>
              </w:rPr>
              <w:t xml:space="preserve"> </w:t>
            </w:r>
            <w:r>
              <w:rPr>
                <w:rStyle w:val="IndexLink"/>
                <w:rtl w:val="true"/>
              </w:rPr>
              <w:t>ه</w:t>
            </w:r>
            <w:r>
              <w:rPr>
                <w:rStyle w:val="IndexLink"/>
                <w:rtl w:val="true"/>
              </w:rPr>
              <w:t>)</w:t>
              <w:tab/>
            </w:r>
            <w:r>
              <w:rPr>
                <w:rStyle w:val="IndexLink"/>
              </w:rPr>
              <w:t>153</w:t>
            </w:r>
          </w:hyperlink>
        </w:p>
        <w:p>
          <w:pPr>
            <w:pStyle w:val="Contents3"/>
            <w:tabs>
              <w:tab w:val="clear" w:pos="8459"/>
              <w:tab w:val="right" w:pos="9026" w:leader="dot"/>
            </w:tabs>
            <w:rPr/>
          </w:pPr>
          <w:hyperlink w:anchor="__RefHeading___Toc4284175_73709187">
            <w:r>
              <w:rPr>
                <w:webHidden/>
                <w:rStyle w:val="IndexLink"/>
                <w:rtl w:val="true"/>
              </w:rPr>
              <w:t>الإمام الثالث</w:t>
            </w:r>
            <w:r>
              <w:rPr>
                <w:rStyle w:val="IndexLink"/>
                <w:rtl w:val="true"/>
              </w:rPr>
              <w:t xml:space="preserve">: </w:t>
            </w:r>
            <w:r>
              <w:rPr>
                <w:rStyle w:val="IndexLink"/>
                <w:rtl w:val="true"/>
              </w:rPr>
              <w:t xml:space="preserve">الحافظ لدين اللّٰه </w:t>
            </w:r>
            <w:r>
              <w:rPr>
                <w:rStyle w:val="IndexLink"/>
                <w:rtl w:val="true"/>
              </w:rPr>
              <w:t>(</w:t>
            </w:r>
            <w:r>
              <w:rPr>
                <w:rStyle w:val="IndexLink"/>
              </w:rPr>
              <w:t>467</w:t>
            </w:r>
            <w:r>
              <w:rPr>
                <w:rStyle w:val="IndexLink"/>
                <w:rtl w:val="true"/>
              </w:rPr>
              <w:t>-</w:t>
            </w:r>
            <w:r>
              <w:rPr>
                <w:rStyle w:val="IndexLink"/>
              </w:rPr>
              <w:t>544</w:t>
            </w:r>
            <w:r>
              <w:rPr>
                <w:rStyle w:val="IndexLink"/>
                <w:rtl w:val="true"/>
              </w:rPr>
              <w:t xml:space="preserve"> </w:t>
            </w:r>
            <w:r>
              <w:rPr>
                <w:rStyle w:val="IndexLink"/>
                <w:rtl w:val="true"/>
              </w:rPr>
              <w:t>ه</w:t>
            </w:r>
            <w:r>
              <w:rPr>
                <w:rStyle w:val="IndexLink"/>
                <w:rtl w:val="true"/>
              </w:rPr>
              <w:t>)</w:t>
              <w:tab/>
            </w:r>
            <w:r>
              <w:rPr>
                <w:rStyle w:val="IndexLink"/>
              </w:rPr>
              <w:t>156</w:t>
            </w:r>
          </w:hyperlink>
        </w:p>
        <w:p>
          <w:pPr>
            <w:pStyle w:val="Contents3"/>
            <w:tabs>
              <w:tab w:val="clear" w:pos="8459"/>
              <w:tab w:val="right" w:pos="9026" w:leader="dot"/>
            </w:tabs>
            <w:rPr/>
          </w:pPr>
          <w:hyperlink w:anchor="__RefHeading___Toc4284177_73709187">
            <w:r>
              <w:rPr>
                <w:webHidden/>
                <w:rStyle w:val="IndexLink"/>
                <w:rtl w:val="true"/>
              </w:rPr>
              <w:t>الإمام الرابع</w:t>
            </w:r>
            <w:r>
              <w:rPr>
                <w:rStyle w:val="IndexLink"/>
                <w:rtl w:val="true"/>
              </w:rPr>
              <w:t xml:space="preserve">: </w:t>
            </w:r>
            <w:r>
              <w:rPr>
                <w:rStyle w:val="IndexLink"/>
                <w:rtl w:val="true"/>
              </w:rPr>
              <w:t xml:space="preserve">الظافر بأمر اللّٰه </w:t>
            </w:r>
            <w:r>
              <w:rPr>
                <w:rStyle w:val="IndexLink"/>
                <w:rtl w:val="true"/>
              </w:rPr>
              <w:t>(</w:t>
            </w:r>
            <w:r>
              <w:rPr>
                <w:rStyle w:val="IndexLink"/>
              </w:rPr>
              <w:t>527</w:t>
            </w:r>
            <w:r>
              <w:rPr>
                <w:rStyle w:val="IndexLink"/>
                <w:rtl w:val="true"/>
              </w:rPr>
              <w:t>-</w:t>
            </w:r>
            <w:r>
              <w:rPr>
                <w:rStyle w:val="IndexLink"/>
              </w:rPr>
              <w:t>549</w:t>
            </w:r>
            <w:r>
              <w:rPr>
                <w:rStyle w:val="IndexLink"/>
                <w:rtl w:val="true"/>
              </w:rPr>
              <w:t xml:space="preserve"> </w:t>
            </w:r>
            <w:r>
              <w:rPr>
                <w:rStyle w:val="IndexLink"/>
                <w:rtl w:val="true"/>
              </w:rPr>
              <w:t>ه</w:t>
            </w:r>
            <w:r>
              <w:rPr>
                <w:rStyle w:val="IndexLink"/>
                <w:rtl w:val="true"/>
              </w:rPr>
              <w:t>)</w:t>
              <w:tab/>
            </w:r>
            <w:r>
              <w:rPr>
                <w:rStyle w:val="IndexLink"/>
              </w:rPr>
              <w:t>157</w:t>
            </w:r>
          </w:hyperlink>
        </w:p>
        <w:p>
          <w:pPr>
            <w:pStyle w:val="Contents3"/>
            <w:tabs>
              <w:tab w:val="clear" w:pos="8459"/>
              <w:tab w:val="right" w:pos="9026" w:leader="dot"/>
            </w:tabs>
            <w:rPr/>
          </w:pPr>
          <w:hyperlink w:anchor="__RefHeading___Toc4284179_73709187">
            <w:r>
              <w:rPr>
                <w:webHidden/>
                <w:rStyle w:val="IndexLink"/>
                <w:rtl w:val="true"/>
              </w:rPr>
              <w:t>الإمام الخامس</w:t>
            </w:r>
            <w:r>
              <w:rPr>
                <w:rStyle w:val="IndexLink"/>
                <w:rtl w:val="true"/>
              </w:rPr>
              <w:t xml:space="preserve">: </w:t>
            </w:r>
            <w:r>
              <w:rPr>
                <w:rStyle w:val="IndexLink"/>
                <w:rtl w:val="true"/>
              </w:rPr>
              <w:t xml:space="preserve">الفائز بنصر اللّٰه </w:t>
            </w:r>
            <w:r>
              <w:rPr>
                <w:rStyle w:val="IndexLink"/>
                <w:rtl w:val="true"/>
              </w:rPr>
              <w:t>(</w:t>
            </w:r>
            <w:r>
              <w:rPr>
                <w:rStyle w:val="IndexLink"/>
              </w:rPr>
              <w:t>544</w:t>
            </w:r>
            <w:r>
              <w:rPr>
                <w:rStyle w:val="IndexLink"/>
                <w:rtl w:val="true"/>
              </w:rPr>
              <w:t>-</w:t>
            </w:r>
            <w:r>
              <w:rPr>
                <w:rStyle w:val="IndexLink"/>
              </w:rPr>
              <w:t>555</w:t>
            </w:r>
            <w:r>
              <w:rPr>
                <w:rStyle w:val="IndexLink"/>
                <w:rtl w:val="true"/>
              </w:rPr>
              <w:t xml:space="preserve"> </w:t>
            </w:r>
            <w:r>
              <w:rPr>
                <w:rStyle w:val="IndexLink"/>
                <w:rtl w:val="true"/>
              </w:rPr>
              <w:t>ه</w:t>
            </w:r>
            <w:r>
              <w:rPr>
                <w:rStyle w:val="IndexLink"/>
                <w:rtl w:val="true"/>
              </w:rPr>
              <w:t>)</w:t>
              <w:tab/>
            </w:r>
            <w:r>
              <w:rPr>
                <w:rStyle w:val="IndexLink"/>
              </w:rPr>
              <w:t>158</w:t>
            </w:r>
          </w:hyperlink>
        </w:p>
        <w:p>
          <w:pPr>
            <w:pStyle w:val="Contents3"/>
            <w:tabs>
              <w:tab w:val="clear" w:pos="8459"/>
              <w:tab w:val="right" w:pos="9026" w:leader="dot"/>
            </w:tabs>
            <w:rPr/>
          </w:pPr>
          <w:hyperlink w:anchor="__RefHeading___Toc4284181_73709187">
            <w:r>
              <w:rPr>
                <w:webHidden/>
                <w:rStyle w:val="IndexLink"/>
                <w:rtl w:val="true"/>
              </w:rPr>
              <w:t>الإمام السادس</w:t>
            </w:r>
            <w:r>
              <w:rPr>
                <w:rStyle w:val="IndexLink"/>
                <w:rtl w:val="true"/>
              </w:rPr>
              <w:t xml:space="preserve">: </w:t>
            </w:r>
            <w:r>
              <w:rPr>
                <w:rStyle w:val="IndexLink"/>
                <w:rtl w:val="true"/>
              </w:rPr>
              <w:t xml:space="preserve">العاضد لدين اللّٰه </w:t>
            </w:r>
            <w:r>
              <w:rPr>
                <w:rStyle w:val="IndexLink"/>
                <w:rtl w:val="true"/>
              </w:rPr>
              <w:t>(</w:t>
            </w:r>
            <w:r>
              <w:rPr>
                <w:rStyle w:val="IndexLink"/>
              </w:rPr>
              <w:t>546</w:t>
            </w:r>
            <w:r>
              <w:rPr>
                <w:rStyle w:val="IndexLink"/>
                <w:rtl w:val="true"/>
              </w:rPr>
              <w:t>-</w:t>
            </w:r>
            <w:r>
              <w:rPr>
                <w:rStyle w:val="IndexLink"/>
              </w:rPr>
              <w:t>567</w:t>
            </w:r>
            <w:r>
              <w:rPr>
                <w:rStyle w:val="IndexLink"/>
                <w:rtl w:val="true"/>
              </w:rPr>
              <w:t xml:space="preserve"> </w:t>
            </w:r>
            <w:r>
              <w:rPr>
                <w:rStyle w:val="IndexLink"/>
                <w:rtl w:val="true"/>
              </w:rPr>
              <w:t>ه</w:t>
            </w:r>
            <w:r>
              <w:rPr>
                <w:rStyle w:val="IndexLink"/>
                <w:rtl w:val="true"/>
              </w:rPr>
              <w:t>)</w:t>
              <w:tab/>
            </w:r>
            <w:r>
              <w:rPr>
                <w:rStyle w:val="IndexLink"/>
              </w:rPr>
              <w:t>158</w:t>
            </w:r>
          </w:hyperlink>
        </w:p>
        <w:p>
          <w:pPr>
            <w:pStyle w:val="Contents4"/>
            <w:tabs>
              <w:tab w:val="clear" w:pos="8176"/>
              <w:tab w:val="right" w:pos="9026" w:leader="dot"/>
            </w:tabs>
            <w:rPr/>
          </w:pPr>
          <w:hyperlink w:anchor="__RefHeading___Toc4284183_73709187">
            <w:r>
              <w:rPr>
                <w:webHidden/>
                <w:rStyle w:val="IndexLink"/>
                <w:rtl w:val="true"/>
              </w:rPr>
              <w:t>اشارة</w:t>
            </w:r>
            <w:r>
              <w:rPr>
                <w:rStyle w:val="IndexLink"/>
                <w:rtl w:val="true"/>
              </w:rPr>
              <w:tab/>
            </w:r>
            <w:r>
              <w:rPr>
                <w:rStyle w:val="IndexLink"/>
              </w:rPr>
              <w:t>158</w:t>
            </w:r>
          </w:hyperlink>
        </w:p>
        <w:p>
          <w:pPr>
            <w:pStyle w:val="Contents4"/>
            <w:tabs>
              <w:tab w:val="clear" w:pos="8176"/>
              <w:tab w:val="right" w:pos="9026" w:leader="dot"/>
            </w:tabs>
            <w:rPr/>
          </w:pPr>
          <w:hyperlink w:anchor="__RefHeading___Toc4284185_73709187">
            <w:r>
              <w:rPr>
                <w:webHidden/>
                <w:rStyle w:val="IndexLink"/>
                <w:rtl w:val="true"/>
              </w:rPr>
              <w:t>جناية التاريخ على الفاطميين</w:t>
            </w:r>
            <w:r>
              <w:rPr>
                <w:rStyle w:val="IndexLink"/>
                <w:rtl w:val="true"/>
              </w:rPr>
              <w:tab/>
            </w:r>
            <w:r>
              <w:rPr>
                <w:rStyle w:val="IndexLink"/>
              </w:rPr>
              <w:t>160</w:t>
            </w:r>
          </w:hyperlink>
        </w:p>
        <w:p>
          <w:pPr>
            <w:pStyle w:val="Contents2"/>
            <w:tabs>
              <w:tab w:val="clear" w:pos="8743"/>
              <w:tab w:val="right" w:pos="9026" w:leader="dot"/>
            </w:tabs>
            <w:rPr/>
          </w:pPr>
          <w:hyperlink w:anchor="__RefHeading___Toc4284187_73709187">
            <w:r>
              <w:rPr>
                <w:webHidden/>
                <w:rStyle w:val="IndexLink"/>
                <w:rtl w:val="true"/>
              </w:rPr>
              <w:t>الفصل الثامن</w:t>
            </w:r>
            <w:r>
              <w:rPr>
                <w:rStyle w:val="IndexLink"/>
                <w:rtl w:val="true"/>
              </w:rPr>
              <w:t xml:space="preserve">: </w:t>
            </w:r>
            <w:r>
              <w:rPr>
                <w:rStyle w:val="IndexLink"/>
                <w:rtl w:val="true"/>
              </w:rPr>
              <w:t>في أئمة النزارية المؤمنية و الآغاخانية</w:t>
            </w:r>
            <w:r>
              <w:rPr>
                <w:rStyle w:val="IndexLink"/>
                <w:rtl w:val="true"/>
              </w:rPr>
              <w:tab/>
            </w:r>
            <w:r>
              <w:rPr>
                <w:rStyle w:val="IndexLink"/>
              </w:rPr>
              <w:t>162</w:t>
            </w:r>
          </w:hyperlink>
        </w:p>
        <w:p>
          <w:pPr>
            <w:pStyle w:val="Contents3"/>
            <w:tabs>
              <w:tab w:val="clear" w:pos="8459"/>
              <w:tab w:val="right" w:pos="9026" w:leader="dot"/>
            </w:tabs>
            <w:rPr/>
          </w:pPr>
          <w:hyperlink w:anchor="__RefHeading___Toc4284189_73709187">
            <w:r>
              <w:rPr>
                <w:webHidden/>
                <w:rStyle w:val="IndexLink"/>
                <w:rtl w:val="true"/>
              </w:rPr>
              <w:t>اشارة</w:t>
            </w:r>
            <w:r>
              <w:rPr>
                <w:rStyle w:val="IndexLink"/>
                <w:rtl w:val="true"/>
              </w:rPr>
              <w:tab/>
            </w:r>
            <w:r>
              <w:rPr>
                <w:rStyle w:val="IndexLink"/>
              </w:rPr>
              <w:t>162</w:t>
            </w:r>
          </w:hyperlink>
        </w:p>
        <w:p>
          <w:pPr>
            <w:pStyle w:val="Contents3"/>
            <w:tabs>
              <w:tab w:val="clear" w:pos="8459"/>
              <w:tab w:val="right" w:pos="9026" w:leader="dot"/>
            </w:tabs>
            <w:rPr/>
          </w:pPr>
          <w:hyperlink w:anchor="__RefHeading___Toc4284191_73709187">
            <w:r>
              <w:rPr>
                <w:webHidden/>
                <w:rStyle w:val="IndexLink"/>
                <w:rtl w:val="true"/>
              </w:rPr>
              <w:t>الإمام الأوّل</w:t>
            </w:r>
            <w:r>
              <w:rPr>
                <w:rStyle w:val="IndexLink"/>
                <w:rtl w:val="true"/>
              </w:rPr>
              <w:t xml:space="preserve">: </w:t>
            </w:r>
            <w:r>
              <w:rPr>
                <w:rStyle w:val="IndexLink"/>
                <w:rtl w:val="true"/>
              </w:rPr>
              <w:t xml:space="preserve">المصطفى باللّٰه نزار بن معد المستنصر </w:t>
            </w:r>
            <w:r>
              <w:rPr>
                <w:rStyle w:val="IndexLink"/>
                <w:rtl w:val="true"/>
              </w:rPr>
              <w:t>(</w:t>
            </w:r>
            <w:r>
              <w:rPr>
                <w:rStyle w:val="IndexLink"/>
              </w:rPr>
              <w:t>437</w:t>
            </w:r>
            <w:r>
              <w:rPr>
                <w:rStyle w:val="IndexLink"/>
                <w:rtl w:val="true"/>
              </w:rPr>
              <w:t>-</w:t>
            </w:r>
            <w:r>
              <w:rPr>
                <w:rStyle w:val="IndexLink"/>
              </w:rPr>
              <w:t>490</w:t>
            </w:r>
            <w:r>
              <w:rPr>
                <w:rStyle w:val="IndexLink"/>
                <w:rtl w:val="true"/>
              </w:rPr>
              <w:t xml:space="preserve"> </w:t>
            </w:r>
            <w:r>
              <w:rPr>
                <w:rStyle w:val="IndexLink"/>
                <w:rtl w:val="true"/>
              </w:rPr>
              <w:t>ه</w:t>
            </w:r>
            <w:r>
              <w:rPr>
                <w:rStyle w:val="IndexLink"/>
                <w:rtl w:val="true"/>
              </w:rPr>
              <w:t>)</w:t>
              <w:tab/>
            </w:r>
            <w:r>
              <w:rPr>
                <w:rStyle w:val="IndexLink"/>
              </w:rPr>
              <w:t>169</w:t>
            </w:r>
          </w:hyperlink>
        </w:p>
        <w:p>
          <w:pPr>
            <w:pStyle w:val="Contents3"/>
            <w:tabs>
              <w:tab w:val="clear" w:pos="8459"/>
              <w:tab w:val="right" w:pos="9026" w:leader="dot"/>
            </w:tabs>
            <w:rPr/>
          </w:pPr>
          <w:hyperlink w:anchor="__RefHeading___Toc4284193_73709187">
            <w:r>
              <w:rPr>
                <w:webHidden/>
                <w:rStyle w:val="IndexLink"/>
                <w:rtl w:val="true"/>
              </w:rPr>
              <w:t>الإمام الثاني</w:t>
            </w:r>
            <w:r>
              <w:rPr>
                <w:rStyle w:val="IndexLink"/>
                <w:rtl w:val="true"/>
              </w:rPr>
              <w:t xml:space="preserve">: </w:t>
            </w:r>
            <w:r>
              <w:rPr>
                <w:rStyle w:val="IndexLink"/>
                <w:rtl w:val="true"/>
              </w:rPr>
              <w:t xml:space="preserve">علي الهادي بن الإمام نزار </w:t>
            </w:r>
            <w:r>
              <w:rPr>
                <w:rStyle w:val="IndexLink"/>
                <w:rtl w:val="true"/>
              </w:rPr>
              <w:t>(</w:t>
            </w:r>
            <w:r>
              <w:rPr>
                <w:rStyle w:val="IndexLink"/>
              </w:rPr>
              <w:t>470</w:t>
            </w:r>
            <w:r>
              <w:rPr>
                <w:rStyle w:val="IndexLink"/>
                <w:rtl w:val="true"/>
              </w:rPr>
              <w:t>-</w:t>
            </w:r>
            <w:r>
              <w:rPr>
                <w:rStyle w:val="IndexLink"/>
              </w:rPr>
              <w:t>530</w:t>
            </w:r>
            <w:r>
              <w:rPr>
                <w:rStyle w:val="IndexLink"/>
                <w:rtl w:val="true"/>
              </w:rPr>
              <w:t xml:space="preserve"> </w:t>
            </w:r>
            <w:r>
              <w:rPr>
                <w:rStyle w:val="IndexLink"/>
                <w:rtl w:val="true"/>
              </w:rPr>
              <w:t>ه</w:t>
            </w:r>
            <w:r>
              <w:rPr>
                <w:rStyle w:val="IndexLink"/>
                <w:rtl w:val="true"/>
              </w:rPr>
              <w:t>)</w:t>
              <w:tab/>
            </w:r>
            <w:r>
              <w:rPr>
                <w:rStyle w:val="IndexLink"/>
              </w:rPr>
              <w:t>175</w:t>
            </w:r>
          </w:hyperlink>
        </w:p>
        <w:p>
          <w:pPr>
            <w:pStyle w:val="Contents3"/>
            <w:tabs>
              <w:tab w:val="clear" w:pos="8459"/>
              <w:tab w:val="right" w:pos="9026" w:leader="dot"/>
            </w:tabs>
            <w:rPr/>
          </w:pPr>
          <w:hyperlink w:anchor="__RefHeading___Toc4284195_73709187">
            <w:r>
              <w:rPr>
                <w:webHidden/>
                <w:rStyle w:val="IndexLink"/>
                <w:rtl w:val="true"/>
              </w:rPr>
              <w:t>الإمام الثالث</w:t>
            </w:r>
            <w:r>
              <w:rPr>
                <w:rStyle w:val="IndexLink"/>
                <w:rtl w:val="true"/>
              </w:rPr>
              <w:t xml:space="preserve">: </w:t>
            </w:r>
            <w:r>
              <w:rPr>
                <w:rStyle w:val="IndexLink"/>
                <w:rtl w:val="true"/>
              </w:rPr>
              <w:t xml:space="preserve">محمد المهتدي بن الإمام علي </w:t>
            </w:r>
            <w:r>
              <w:rPr>
                <w:rStyle w:val="IndexLink"/>
                <w:rtl w:val="true"/>
              </w:rPr>
              <w:t>(</w:t>
            </w:r>
            <w:r>
              <w:rPr>
                <w:rStyle w:val="IndexLink"/>
              </w:rPr>
              <w:t>500</w:t>
            </w:r>
            <w:r>
              <w:rPr>
                <w:rStyle w:val="IndexLink"/>
                <w:rtl w:val="true"/>
              </w:rPr>
              <w:t>-</w:t>
            </w:r>
            <w:r>
              <w:rPr>
                <w:rStyle w:val="IndexLink"/>
              </w:rPr>
              <w:t>552</w:t>
            </w:r>
            <w:r>
              <w:rPr>
                <w:rStyle w:val="IndexLink"/>
                <w:rtl w:val="true"/>
              </w:rPr>
              <w:t xml:space="preserve"> </w:t>
            </w:r>
            <w:r>
              <w:rPr>
                <w:rStyle w:val="IndexLink"/>
                <w:rtl w:val="true"/>
              </w:rPr>
              <w:t>ه</w:t>
            </w:r>
            <w:r>
              <w:rPr>
                <w:rStyle w:val="IndexLink"/>
                <w:rtl w:val="true"/>
              </w:rPr>
              <w:t>)</w:t>
              <w:tab/>
            </w:r>
            <w:r>
              <w:rPr>
                <w:rStyle w:val="IndexLink"/>
              </w:rPr>
              <w:t>176</w:t>
            </w:r>
          </w:hyperlink>
        </w:p>
        <w:p>
          <w:pPr>
            <w:pStyle w:val="Contents3"/>
            <w:tabs>
              <w:tab w:val="clear" w:pos="8459"/>
              <w:tab w:val="right" w:pos="9026" w:leader="dot"/>
            </w:tabs>
            <w:rPr/>
          </w:pPr>
          <w:hyperlink w:anchor="__RefHeading___Toc4284197_73709187">
            <w:r>
              <w:rPr>
                <w:webHidden/>
                <w:rStyle w:val="IndexLink"/>
                <w:rtl w:val="true"/>
              </w:rPr>
              <w:t>الإمام الرابع</w:t>
            </w:r>
            <w:r>
              <w:rPr>
                <w:rStyle w:val="IndexLink"/>
                <w:rtl w:val="true"/>
              </w:rPr>
              <w:t xml:space="preserve">: </w:t>
            </w:r>
            <w:r>
              <w:rPr>
                <w:rStyle w:val="IndexLink"/>
                <w:rtl w:val="true"/>
              </w:rPr>
              <w:t xml:space="preserve">القاهر بقوة اللّٰه حسن بن محمد بن علي بن نزار </w:t>
            </w:r>
            <w:r>
              <w:rPr>
                <w:rStyle w:val="IndexLink"/>
                <w:rtl w:val="true"/>
              </w:rPr>
              <w:t>(</w:t>
            </w:r>
            <w:r>
              <w:rPr>
                <w:rStyle w:val="IndexLink"/>
              </w:rPr>
              <w:t>520</w:t>
            </w:r>
            <w:r>
              <w:rPr>
                <w:rStyle w:val="IndexLink"/>
                <w:rtl w:val="true"/>
              </w:rPr>
              <w:t>-</w:t>
            </w:r>
            <w:r>
              <w:rPr>
                <w:rStyle w:val="IndexLink"/>
              </w:rPr>
              <w:t>557</w:t>
            </w:r>
            <w:r>
              <w:rPr>
                <w:rStyle w:val="IndexLink"/>
                <w:rtl w:val="true"/>
              </w:rPr>
              <w:t xml:space="preserve"> </w:t>
            </w:r>
            <w:r>
              <w:rPr>
                <w:rStyle w:val="IndexLink"/>
                <w:rtl w:val="true"/>
              </w:rPr>
              <w:t>ه</w:t>
            </w:r>
            <w:r>
              <w:rPr>
                <w:rStyle w:val="IndexLink"/>
                <w:rtl w:val="true"/>
              </w:rPr>
              <w:t>)</w:t>
              <w:tab/>
            </w:r>
            <w:r>
              <w:rPr>
                <w:rStyle w:val="IndexLink"/>
              </w:rPr>
              <w:t>177</w:t>
            </w:r>
          </w:hyperlink>
        </w:p>
        <w:p>
          <w:pPr>
            <w:pStyle w:val="Contents3"/>
            <w:tabs>
              <w:tab w:val="clear" w:pos="8459"/>
              <w:tab w:val="right" w:pos="9026" w:leader="dot"/>
            </w:tabs>
            <w:rPr/>
          </w:pPr>
          <w:hyperlink w:anchor="__RefHeading___Toc4284199_73709187">
            <w:r>
              <w:rPr>
                <w:webHidden/>
                <w:rStyle w:val="IndexLink"/>
                <w:rtl w:val="true"/>
              </w:rPr>
              <w:t>الإمام الخامس</w:t>
            </w:r>
            <w:r>
              <w:rPr>
                <w:rStyle w:val="IndexLink"/>
                <w:rtl w:val="true"/>
              </w:rPr>
              <w:t xml:space="preserve">: </w:t>
            </w:r>
            <w:r>
              <w:rPr>
                <w:rStyle w:val="IndexLink"/>
                <w:rtl w:val="true"/>
              </w:rPr>
              <w:t xml:space="preserve">الإمام الحسن علي بن الإمام حسن القاهر </w:t>
            </w:r>
            <w:r>
              <w:rPr>
                <w:rStyle w:val="IndexLink"/>
                <w:rtl w:val="true"/>
              </w:rPr>
              <w:t>(</w:t>
            </w:r>
            <w:r>
              <w:rPr>
                <w:rStyle w:val="IndexLink"/>
              </w:rPr>
              <w:t>539</w:t>
            </w:r>
            <w:r>
              <w:rPr>
                <w:rStyle w:val="IndexLink"/>
                <w:rtl w:val="true"/>
              </w:rPr>
              <w:t>-</w:t>
            </w:r>
            <w:r>
              <w:rPr>
                <w:rStyle w:val="IndexLink"/>
              </w:rPr>
              <w:t>561</w:t>
            </w:r>
            <w:r>
              <w:rPr>
                <w:rStyle w:val="IndexLink"/>
                <w:rtl w:val="true"/>
              </w:rPr>
              <w:t xml:space="preserve"> </w:t>
            </w:r>
            <w:r>
              <w:rPr>
                <w:rStyle w:val="IndexLink"/>
                <w:rtl w:val="true"/>
              </w:rPr>
              <w:t>ه</w:t>
            </w:r>
            <w:r>
              <w:rPr>
                <w:rStyle w:val="IndexLink"/>
                <w:rtl w:val="true"/>
              </w:rPr>
              <w:t>)</w:t>
              <w:tab/>
            </w:r>
            <w:r>
              <w:rPr>
                <w:rStyle w:val="IndexLink"/>
              </w:rPr>
              <w:t>178</w:t>
            </w:r>
          </w:hyperlink>
        </w:p>
        <w:p>
          <w:pPr>
            <w:pStyle w:val="Contents3"/>
            <w:tabs>
              <w:tab w:val="clear" w:pos="8459"/>
              <w:tab w:val="right" w:pos="9026" w:leader="dot"/>
            </w:tabs>
            <w:rPr/>
          </w:pPr>
          <w:hyperlink w:anchor="__RefHeading___Toc4284201_73709187">
            <w:r>
              <w:rPr>
                <w:webHidden/>
                <w:rStyle w:val="IndexLink"/>
                <w:rtl w:val="true"/>
              </w:rPr>
              <w:t>الإمام السادس</w:t>
            </w:r>
            <w:r>
              <w:rPr>
                <w:rStyle w:val="IndexLink"/>
                <w:rtl w:val="true"/>
              </w:rPr>
              <w:t xml:space="preserve">: </w:t>
            </w:r>
            <w:r>
              <w:rPr>
                <w:rStyle w:val="IndexLink"/>
                <w:rtl w:val="true"/>
              </w:rPr>
              <w:t xml:space="preserve">الإمام أعلىٰ محمد بن الإمام الحسن علي </w:t>
            </w:r>
            <w:r>
              <w:rPr>
                <w:rStyle w:val="IndexLink"/>
                <w:rtl w:val="true"/>
              </w:rPr>
              <w:t>(</w:t>
            </w:r>
            <w:r>
              <w:rPr>
                <w:rStyle w:val="IndexLink"/>
              </w:rPr>
              <w:t>553</w:t>
            </w:r>
            <w:r>
              <w:rPr>
                <w:rStyle w:val="IndexLink"/>
                <w:rtl w:val="true"/>
              </w:rPr>
              <w:t>-</w:t>
            </w:r>
            <w:r>
              <w:rPr>
                <w:rStyle w:val="IndexLink"/>
              </w:rPr>
              <w:t>607</w:t>
            </w:r>
            <w:r>
              <w:rPr>
                <w:rStyle w:val="IndexLink"/>
                <w:rtl w:val="true"/>
              </w:rPr>
              <w:t xml:space="preserve"> </w:t>
            </w:r>
            <w:r>
              <w:rPr>
                <w:rStyle w:val="IndexLink"/>
                <w:rtl w:val="true"/>
              </w:rPr>
              <w:t>ه</w:t>
            </w:r>
            <w:r>
              <w:rPr>
                <w:rStyle w:val="IndexLink"/>
                <w:rtl w:val="true"/>
              </w:rPr>
              <w:t>)</w:t>
              <w:tab/>
            </w:r>
            <w:r>
              <w:rPr>
                <w:rStyle w:val="IndexLink"/>
              </w:rPr>
              <w:t>178</w:t>
            </w:r>
          </w:hyperlink>
        </w:p>
        <w:p>
          <w:pPr>
            <w:pStyle w:val="Contents3"/>
            <w:tabs>
              <w:tab w:val="clear" w:pos="8459"/>
              <w:tab w:val="right" w:pos="9026" w:leader="dot"/>
            </w:tabs>
            <w:rPr/>
          </w:pPr>
          <w:hyperlink w:anchor="__RefHeading___Toc4284203_73709187">
            <w:r>
              <w:rPr>
                <w:webHidden/>
                <w:rStyle w:val="IndexLink"/>
                <w:rtl w:val="true"/>
              </w:rPr>
              <w:t>الإمام السابع</w:t>
            </w:r>
            <w:r>
              <w:rPr>
                <w:rStyle w:val="IndexLink"/>
                <w:rtl w:val="true"/>
              </w:rPr>
              <w:t xml:space="preserve">: </w:t>
            </w:r>
            <w:r>
              <w:rPr>
                <w:rStyle w:val="IndexLink"/>
                <w:rtl w:val="true"/>
              </w:rPr>
              <w:t xml:space="preserve">الإمام جلال الدين حسن بن أعلىٰ محمد </w:t>
            </w:r>
            <w:r>
              <w:rPr>
                <w:rStyle w:val="IndexLink"/>
                <w:rtl w:val="true"/>
              </w:rPr>
              <w:t>(</w:t>
            </w:r>
            <w:r>
              <w:rPr>
                <w:rStyle w:val="IndexLink"/>
              </w:rPr>
              <w:t>582</w:t>
            </w:r>
            <w:r>
              <w:rPr>
                <w:rStyle w:val="IndexLink"/>
                <w:rtl w:val="true"/>
              </w:rPr>
              <w:t>-</w:t>
            </w:r>
            <w:r>
              <w:rPr>
                <w:rStyle w:val="IndexLink"/>
              </w:rPr>
              <w:t>618</w:t>
            </w:r>
            <w:r>
              <w:rPr>
                <w:rStyle w:val="IndexLink"/>
                <w:rtl w:val="true"/>
              </w:rPr>
              <w:t xml:space="preserve"> </w:t>
            </w:r>
            <w:r>
              <w:rPr>
                <w:rStyle w:val="IndexLink"/>
                <w:rtl w:val="true"/>
              </w:rPr>
              <w:t>ه</w:t>
            </w:r>
            <w:r>
              <w:rPr>
                <w:rStyle w:val="IndexLink"/>
                <w:rtl w:val="true"/>
              </w:rPr>
              <w:t>)</w:t>
              <w:tab/>
            </w:r>
            <w:r>
              <w:rPr>
                <w:rStyle w:val="IndexLink"/>
              </w:rPr>
              <w:t>179</w:t>
            </w:r>
          </w:hyperlink>
        </w:p>
        <w:p>
          <w:pPr>
            <w:pStyle w:val="Contents3"/>
            <w:tabs>
              <w:tab w:val="clear" w:pos="8459"/>
              <w:tab w:val="right" w:pos="9026" w:leader="dot"/>
            </w:tabs>
            <w:rPr/>
          </w:pPr>
          <w:hyperlink w:anchor="__RefHeading___Toc4284205_73709187">
            <w:r>
              <w:rPr>
                <w:webHidden/>
                <w:rStyle w:val="IndexLink"/>
                <w:rtl w:val="true"/>
              </w:rPr>
              <w:t>الإمام الثامن</w:t>
            </w:r>
            <w:r>
              <w:rPr>
                <w:rStyle w:val="IndexLink"/>
                <w:rtl w:val="true"/>
              </w:rPr>
              <w:t xml:space="preserve">: </w:t>
            </w:r>
            <w:r>
              <w:rPr>
                <w:rStyle w:val="IndexLink"/>
                <w:rtl w:val="true"/>
              </w:rPr>
              <w:t xml:space="preserve">علاء الدين محمد بن الحسن </w:t>
            </w:r>
            <w:r>
              <w:rPr>
                <w:rStyle w:val="IndexLink"/>
                <w:rtl w:val="true"/>
              </w:rPr>
              <w:t>(</w:t>
            </w:r>
            <w:r>
              <w:rPr>
                <w:rStyle w:val="IndexLink"/>
              </w:rPr>
              <w:t>608</w:t>
            </w:r>
            <w:r>
              <w:rPr>
                <w:rStyle w:val="IndexLink"/>
                <w:rtl w:val="true"/>
              </w:rPr>
              <w:t>-</w:t>
            </w:r>
            <w:r>
              <w:rPr>
                <w:rStyle w:val="IndexLink"/>
              </w:rPr>
              <w:t>653</w:t>
            </w:r>
            <w:r>
              <w:rPr>
                <w:rStyle w:val="IndexLink"/>
                <w:rtl w:val="true"/>
              </w:rPr>
              <w:t xml:space="preserve"> </w:t>
            </w:r>
            <w:r>
              <w:rPr>
                <w:rStyle w:val="IndexLink"/>
                <w:rtl w:val="true"/>
              </w:rPr>
              <w:t>ه</w:t>
            </w:r>
            <w:r>
              <w:rPr>
                <w:rStyle w:val="IndexLink"/>
                <w:rtl w:val="true"/>
              </w:rPr>
              <w:t>)</w:t>
              <w:tab/>
            </w:r>
            <w:r>
              <w:rPr>
                <w:rStyle w:val="IndexLink"/>
              </w:rPr>
              <w:t>180</w:t>
            </w:r>
          </w:hyperlink>
        </w:p>
        <w:p>
          <w:pPr>
            <w:pStyle w:val="Contents3"/>
            <w:tabs>
              <w:tab w:val="clear" w:pos="8459"/>
              <w:tab w:val="right" w:pos="9026" w:leader="dot"/>
            </w:tabs>
            <w:rPr/>
          </w:pPr>
          <w:hyperlink w:anchor="__RefHeading___Toc4284207_73709187">
            <w:r>
              <w:rPr>
                <w:webHidden/>
                <w:rStyle w:val="IndexLink"/>
                <w:rtl w:val="true"/>
              </w:rPr>
              <w:t>الإمام التاسع</w:t>
            </w:r>
            <w:r>
              <w:rPr>
                <w:rStyle w:val="IndexLink"/>
                <w:rtl w:val="true"/>
              </w:rPr>
              <w:t xml:space="preserve">: </w:t>
            </w:r>
            <w:r>
              <w:rPr>
                <w:rStyle w:val="IndexLink"/>
                <w:rtl w:val="true"/>
              </w:rPr>
              <w:t xml:space="preserve">ركن الدين خورشاه بن الإمام علاء الدين </w:t>
            </w:r>
            <w:r>
              <w:rPr>
                <w:rStyle w:val="IndexLink"/>
                <w:rtl w:val="true"/>
              </w:rPr>
              <w:t>(</w:t>
            </w:r>
            <w:r>
              <w:rPr>
                <w:rStyle w:val="IndexLink"/>
              </w:rPr>
              <w:t>629</w:t>
            </w:r>
            <w:r>
              <w:rPr>
                <w:rStyle w:val="IndexLink"/>
                <w:rtl w:val="true"/>
              </w:rPr>
              <w:t>-</w:t>
            </w:r>
            <w:r>
              <w:rPr>
                <w:rStyle w:val="IndexLink"/>
              </w:rPr>
              <w:t>654</w:t>
            </w:r>
            <w:r>
              <w:rPr>
                <w:rStyle w:val="IndexLink"/>
                <w:rtl w:val="true"/>
              </w:rPr>
              <w:t xml:space="preserve"> </w:t>
            </w:r>
            <w:r>
              <w:rPr>
                <w:rStyle w:val="IndexLink"/>
                <w:rtl w:val="true"/>
              </w:rPr>
              <w:t>ه</w:t>
            </w:r>
            <w:r>
              <w:rPr>
                <w:rStyle w:val="IndexLink"/>
                <w:rtl w:val="true"/>
              </w:rPr>
              <w:t>)</w:t>
              <w:tab/>
            </w:r>
            <w:r>
              <w:rPr>
                <w:rStyle w:val="IndexLink"/>
              </w:rPr>
              <w:t>180</w:t>
            </w:r>
          </w:hyperlink>
        </w:p>
        <w:p>
          <w:pPr>
            <w:pStyle w:val="Contents2"/>
            <w:tabs>
              <w:tab w:val="clear" w:pos="8743"/>
              <w:tab w:val="right" w:pos="9026" w:leader="dot"/>
            </w:tabs>
            <w:rPr/>
          </w:pPr>
          <w:hyperlink w:anchor="__RefHeading___Toc4284209_73709187">
            <w:r>
              <w:rPr>
                <w:webHidden/>
                <w:rStyle w:val="IndexLink"/>
                <w:rtl w:val="true"/>
              </w:rPr>
              <w:t>الفصل التاسع</w:t>
            </w:r>
            <w:r>
              <w:rPr>
                <w:rStyle w:val="IndexLink"/>
                <w:rtl w:val="true"/>
              </w:rPr>
              <w:t xml:space="preserve">: </w:t>
            </w:r>
            <w:r>
              <w:rPr>
                <w:rStyle w:val="IndexLink"/>
                <w:rtl w:val="true"/>
              </w:rPr>
              <w:t>في الأسرة الآغاخانية</w:t>
            </w:r>
            <w:r>
              <w:rPr>
                <w:rStyle w:val="IndexLink"/>
                <w:rtl w:val="true"/>
              </w:rPr>
              <w:tab/>
            </w:r>
            <w:r>
              <w:rPr>
                <w:rStyle w:val="IndexLink"/>
              </w:rPr>
              <w:t>183</w:t>
            </w:r>
          </w:hyperlink>
        </w:p>
        <w:p>
          <w:pPr>
            <w:pStyle w:val="Contents3"/>
            <w:tabs>
              <w:tab w:val="clear" w:pos="8459"/>
              <w:tab w:val="right" w:pos="9026" w:leader="dot"/>
            </w:tabs>
            <w:rPr/>
          </w:pPr>
          <w:hyperlink w:anchor="__RefHeading___Toc4284211_73709187">
            <w:r>
              <w:rPr>
                <w:webHidden/>
                <w:rStyle w:val="IndexLink"/>
                <w:rtl w:val="true"/>
              </w:rPr>
              <w:t>اشارة</w:t>
            </w:r>
            <w:r>
              <w:rPr>
                <w:rStyle w:val="IndexLink"/>
                <w:rtl w:val="true"/>
              </w:rPr>
              <w:tab/>
            </w:r>
            <w:r>
              <w:rPr>
                <w:rStyle w:val="IndexLink"/>
              </w:rPr>
              <w:t>183</w:t>
            </w:r>
          </w:hyperlink>
        </w:p>
        <w:p>
          <w:pPr>
            <w:pStyle w:val="Contents3"/>
            <w:tabs>
              <w:tab w:val="clear" w:pos="8459"/>
              <w:tab w:val="right" w:pos="9026" w:leader="dot"/>
            </w:tabs>
            <w:rPr/>
          </w:pPr>
          <w:hyperlink w:anchor="__RefHeading___Toc4284213_73709187">
            <w:r>
              <w:rPr>
                <w:webHidden/>
                <w:rStyle w:val="IndexLink"/>
              </w:rPr>
              <w:t>1</w:t>
            </w:r>
            <w:r>
              <w:rPr>
                <w:rStyle w:val="IndexLink"/>
                <w:rtl w:val="true"/>
              </w:rPr>
              <w:t xml:space="preserve"> - </w:t>
            </w:r>
            <w:r>
              <w:rPr>
                <w:rStyle w:val="IndexLink"/>
                <w:rtl w:val="true"/>
              </w:rPr>
              <w:t>حسن علي شاه</w:t>
            </w:r>
            <w:r>
              <w:rPr>
                <w:rStyle w:val="IndexLink"/>
                <w:rtl w:val="true"/>
              </w:rPr>
              <w:t>: (</w:t>
            </w:r>
            <w:r>
              <w:rPr>
                <w:rStyle w:val="IndexLink"/>
              </w:rPr>
              <w:t>1219</w:t>
            </w:r>
            <w:r>
              <w:rPr>
                <w:rStyle w:val="IndexLink"/>
                <w:rtl w:val="true"/>
              </w:rPr>
              <w:t>-</w:t>
            </w:r>
            <w:r>
              <w:rPr>
                <w:rStyle w:val="IndexLink"/>
              </w:rPr>
              <w:t>1298</w:t>
            </w:r>
            <w:r>
              <w:rPr>
                <w:rStyle w:val="IndexLink"/>
                <w:rtl w:val="true"/>
              </w:rPr>
              <w:t xml:space="preserve"> </w:t>
            </w:r>
            <w:r>
              <w:rPr>
                <w:rStyle w:val="IndexLink"/>
                <w:rtl w:val="true"/>
              </w:rPr>
              <w:t>ه</w:t>
            </w:r>
            <w:r>
              <w:rPr>
                <w:rStyle w:val="IndexLink"/>
                <w:rtl w:val="true"/>
              </w:rPr>
              <w:t>)</w:t>
              <w:tab/>
            </w:r>
            <w:r>
              <w:rPr>
                <w:rStyle w:val="IndexLink"/>
              </w:rPr>
              <w:t>185</w:t>
            </w:r>
          </w:hyperlink>
        </w:p>
        <w:p>
          <w:pPr>
            <w:pStyle w:val="Contents3"/>
            <w:tabs>
              <w:tab w:val="clear" w:pos="8459"/>
              <w:tab w:val="right" w:pos="9026" w:leader="dot"/>
            </w:tabs>
            <w:rPr/>
          </w:pPr>
          <w:hyperlink w:anchor="__RefHeading___Toc4284215_73709187">
            <w:r>
              <w:rPr>
                <w:webHidden/>
                <w:rStyle w:val="IndexLink"/>
              </w:rPr>
              <w:t>2</w:t>
            </w:r>
            <w:r>
              <w:rPr>
                <w:rStyle w:val="IndexLink"/>
                <w:rtl w:val="true"/>
              </w:rPr>
              <w:t xml:space="preserve"> - </w:t>
            </w:r>
            <w:r>
              <w:rPr>
                <w:rStyle w:val="IndexLink"/>
                <w:rtl w:val="true"/>
              </w:rPr>
              <w:t>علي شاه</w:t>
            </w:r>
            <w:r>
              <w:rPr>
                <w:rStyle w:val="IndexLink"/>
                <w:rtl w:val="true"/>
              </w:rPr>
              <w:t>: (</w:t>
            </w:r>
            <w:r>
              <w:rPr>
                <w:rStyle w:val="IndexLink"/>
              </w:rPr>
              <w:t>1246</w:t>
            </w:r>
            <w:r>
              <w:rPr>
                <w:rStyle w:val="IndexLink"/>
                <w:rtl w:val="true"/>
              </w:rPr>
              <w:t>-</w:t>
            </w:r>
            <w:r>
              <w:rPr>
                <w:rStyle w:val="IndexLink"/>
              </w:rPr>
              <w:t>1302</w:t>
            </w:r>
            <w:r>
              <w:rPr>
                <w:rStyle w:val="IndexLink"/>
                <w:rtl w:val="true"/>
              </w:rPr>
              <w:t xml:space="preserve"> </w:t>
            </w:r>
            <w:r>
              <w:rPr>
                <w:rStyle w:val="IndexLink"/>
                <w:rtl w:val="true"/>
              </w:rPr>
              <w:t>ه</w:t>
            </w:r>
            <w:r>
              <w:rPr>
                <w:rStyle w:val="IndexLink"/>
                <w:rtl w:val="true"/>
              </w:rPr>
              <w:t>)</w:t>
              <w:tab/>
            </w:r>
            <w:r>
              <w:rPr>
                <w:rStyle w:val="IndexLink"/>
              </w:rPr>
              <w:t>186</w:t>
            </w:r>
          </w:hyperlink>
        </w:p>
        <w:p>
          <w:pPr>
            <w:pStyle w:val="Contents3"/>
            <w:tabs>
              <w:tab w:val="clear" w:pos="8459"/>
              <w:tab w:val="right" w:pos="9026" w:leader="dot"/>
            </w:tabs>
            <w:rPr/>
          </w:pPr>
          <w:hyperlink w:anchor="__RefHeading___Toc4284217_73709187">
            <w:r>
              <w:rPr>
                <w:webHidden/>
                <w:rStyle w:val="IndexLink"/>
              </w:rPr>
              <w:t>3</w:t>
            </w:r>
            <w:r>
              <w:rPr>
                <w:rStyle w:val="IndexLink"/>
                <w:rtl w:val="true"/>
              </w:rPr>
              <w:t xml:space="preserve"> - </w:t>
            </w:r>
            <w:r>
              <w:rPr>
                <w:rStyle w:val="IndexLink"/>
                <w:rtl w:val="true"/>
              </w:rPr>
              <w:t xml:space="preserve">سلطان محمد شاه </w:t>
            </w:r>
            <w:r>
              <w:rPr>
                <w:rStyle w:val="IndexLink"/>
                <w:rtl w:val="true"/>
              </w:rPr>
              <w:t>«</w:t>
            </w:r>
            <w:r>
              <w:rPr>
                <w:rStyle w:val="IndexLink"/>
                <w:rtl w:val="true"/>
              </w:rPr>
              <w:t>آغا خان الثالث</w:t>
            </w:r>
            <w:r>
              <w:rPr>
                <w:rStyle w:val="IndexLink"/>
                <w:rtl w:val="true"/>
              </w:rPr>
              <w:t>»: (</w:t>
            </w:r>
            <w:r>
              <w:rPr>
                <w:rStyle w:val="IndexLink"/>
              </w:rPr>
              <w:t>1294</w:t>
            </w:r>
            <w:r>
              <w:rPr>
                <w:rStyle w:val="IndexLink"/>
                <w:rtl w:val="true"/>
              </w:rPr>
              <w:t>-</w:t>
            </w:r>
            <w:r>
              <w:rPr>
                <w:rStyle w:val="IndexLink"/>
              </w:rPr>
              <w:t>1380</w:t>
            </w:r>
            <w:r>
              <w:rPr>
                <w:rStyle w:val="IndexLink"/>
                <w:rtl w:val="true"/>
              </w:rPr>
              <w:t xml:space="preserve"> </w:t>
            </w:r>
            <w:r>
              <w:rPr>
                <w:rStyle w:val="IndexLink"/>
                <w:rtl w:val="true"/>
              </w:rPr>
              <w:t>ه</w:t>
            </w:r>
            <w:r>
              <w:rPr>
                <w:rStyle w:val="IndexLink"/>
                <w:rtl w:val="true"/>
              </w:rPr>
              <w:t>)</w:t>
              <w:tab/>
            </w:r>
            <w:r>
              <w:rPr>
                <w:rStyle w:val="IndexLink"/>
              </w:rPr>
              <w:t>187</w:t>
            </w:r>
          </w:hyperlink>
        </w:p>
        <w:p>
          <w:pPr>
            <w:pStyle w:val="Contents4"/>
            <w:tabs>
              <w:tab w:val="clear" w:pos="8176"/>
              <w:tab w:val="right" w:pos="9026" w:leader="dot"/>
            </w:tabs>
            <w:rPr/>
          </w:pPr>
          <w:hyperlink w:anchor="__RefHeading___Toc4284219_73709187">
            <w:r>
              <w:rPr>
                <w:webHidden/>
                <w:rStyle w:val="IndexLink"/>
                <w:rtl w:val="true"/>
              </w:rPr>
              <w:t>اشارة</w:t>
            </w:r>
            <w:r>
              <w:rPr>
                <w:rStyle w:val="IndexLink"/>
                <w:rtl w:val="true"/>
              </w:rPr>
              <w:tab/>
            </w:r>
            <w:r>
              <w:rPr>
                <w:rStyle w:val="IndexLink"/>
              </w:rPr>
              <w:t>187</w:t>
            </w:r>
          </w:hyperlink>
        </w:p>
        <w:p>
          <w:pPr>
            <w:pStyle w:val="Contents4"/>
            <w:tabs>
              <w:tab w:val="clear" w:pos="8176"/>
              <w:tab w:val="right" w:pos="9026" w:leader="dot"/>
            </w:tabs>
            <w:rPr/>
          </w:pPr>
          <w:hyperlink w:anchor="__RefHeading___Toc4284221_73709187">
            <w:r>
              <w:rPr>
                <w:webHidden/>
                <w:rStyle w:val="IndexLink"/>
                <w:rtl w:val="true"/>
              </w:rPr>
              <w:t>الإمام يتعلّم على يد مأمومه</w:t>
            </w:r>
            <w:r>
              <w:rPr>
                <w:rStyle w:val="IndexLink"/>
                <w:rtl w:val="true"/>
              </w:rPr>
              <w:tab/>
            </w:r>
            <w:r>
              <w:rPr>
                <w:rStyle w:val="IndexLink"/>
              </w:rPr>
              <w:t>191</w:t>
            </w:r>
          </w:hyperlink>
        </w:p>
        <w:p>
          <w:pPr>
            <w:pStyle w:val="Contents4"/>
            <w:tabs>
              <w:tab w:val="clear" w:pos="8176"/>
              <w:tab w:val="right" w:pos="9026" w:leader="dot"/>
            </w:tabs>
            <w:rPr/>
          </w:pPr>
          <w:hyperlink w:anchor="__RefHeading___Toc4284223_73709187">
            <w:r>
              <w:rPr>
                <w:webHidden/>
                <w:rStyle w:val="IndexLink"/>
                <w:rtl w:val="true"/>
              </w:rPr>
              <w:t>كريم بن علي بن محمد آغا خان الرابع</w:t>
            </w:r>
            <w:r>
              <w:rPr>
                <w:rStyle w:val="IndexLink"/>
                <w:rtl w:val="true"/>
              </w:rPr>
              <w:tab/>
            </w:r>
            <w:r>
              <w:rPr>
                <w:rStyle w:val="IndexLink"/>
              </w:rPr>
              <w:t>193</w:t>
            </w:r>
          </w:hyperlink>
        </w:p>
        <w:p>
          <w:pPr>
            <w:pStyle w:val="Contents2"/>
            <w:tabs>
              <w:tab w:val="clear" w:pos="8743"/>
              <w:tab w:val="right" w:pos="9026" w:leader="dot"/>
            </w:tabs>
            <w:rPr/>
          </w:pPr>
          <w:hyperlink w:anchor="__RefHeading___Toc4284225_73709187">
            <w:r>
              <w:rPr>
                <w:webHidden/>
                <w:rStyle w:val="IndexLink"/>
                <w:rtl w:val="true"/>
              </w:rPr>
              <w:t>الفصل العاشر</w:t>
            </w:r>
            <w:r>
              <w:rPr>
                <w:rStyle w:val="IndexLink"/>
                <w:rtl w:val="true"/>
              </w:rPr>
              <w:t xml:space="preserve">: </w:t>
            </w:r>
            <w:r>
              <w:rPr>
                <w:rStyle w:val="IndexLink"/>
                <w:rtl w:val="true"/>
              </w:rPr>
              <w:t>في الإسماعيلية و الأصول الخمسة</w:t>
            </w:r>
            <w:r>
              <w:rPr>
                <w:rStyle w:val="IndexLink"/>
                <w:rtl w:val="true"/>
              </w:rPr>
              <w:tab/>
            </w:r>
            <w:r>
              <w:rPr>
                <w:rStyle w:val="IndexLink"/>
              </w:rPr>
              <w:t>195</w:t>
            </w:r>
          </w:hyperlink>
        </w:p>
        <w:p>
          <w:pPr>
            <w:pStyle w:val="Contents3"/>
            <w:tabs>
              <w:tab w:val="clear" w:pos="8459"/>
              <w:tab w:val="right" w:pos="9026" w:leader="dot"/>
            </w:tabs>
            <w:rPr/>
          </w:pPr>
          <w:hyperlink w:anchor="__RefHeading___Toc4284227_73709187">
            <w:r>
              <w:rPr>
                <w:webHidden/>
                <w:rStyle w:val="IndexLink"/>
                <w:rtl w:val="true"/>
              </w:rPr>
              <w:t>اشارة</w:t>
            </w:r>
            <w:r>
              <w:rPr>
                <w:rStyle w:val="IndexLink"/>
                <w:rtl w:val="true"/>
              </w:rPr>
              <w:tab/>
            </w:r>
            <w:r>
              <w:rPr>
                <w:rStyle w:val="IndexLink"/>
              </w:rPr>
              <w:t>195</w:t>
            </w:r>
          </w:hyperlink>
        </w:p>
        <w:p>
          <w:pPr>
            <w:pStyle w:val="Contents3"/>
            <w:tabs>
              <w:tab w:val="clear" w:pos="8459"/>
              <w:tab w:val="right" w:pos="9026" w:leader="dot"/>
            </w:tabs>
            <w:rPr/>
          </w:pPr>
          <w:hyperlink w:anchor="__RefHeading___Toc4284229_73709187">
            <w:r>
              <w:rPr>
                <w:webHidden/>
                <w:rStyle w:val="IndexLink"/>
                <w:rtl w:val="true"/>
              </w:rPr>
              <w:t>(</w:t>
            </w:r>
            <w:r>
              <w:rPr>
                <w:rStyle w:val="IndexLink"/>
              </w:rPr>
              <w:t>1</w:t>
            </w:r>
            <w:r>
              <w:rPr>
                <w:rStyle w:val="IndexLink"/>
                <w:rtl w:val="true"/>
              </w:rPr>
              <w:t xml:space="preserve">) </w:t>
            </w:r>
            <w:r>
              <w:rPr>
                <w:rStyle w:val="IndexLink"/>
                <w:rtl w:val="true"/>
              </w:rPr>
              <w:t>عقيدتهم في التوحيد</w:t>
            </w:r>
            <w:r>
              <w:rPr>
                <w:rStyle w:val="IndexLink"/>
                <w:rtl w:val="true"/>
              </w:rPr>
              <w:tab/>
            </w:r>
            <w:r>
              <w:rPr>
                <w:rStyle w:val="IndexLink"/>
              </w:rPr>
              <w:t>201</w:t>
            </w:r>
          </w:hyperlink>
        </w:p>
        <w:p>
          <w:pPr>
            <w:pStyle w:val="Contents4"/>
            <w:tabs>
              <w:tab w:val="clear" w:pos="8176"/>
              <w:tab w:val="right" w:pos="9026" w:leader="dot"/>
            </w:tabs>
            <w:rPr/>
          </w:pPr>
          <w:hyperlink w:anchor="__RefHeading___Toc4284231_73709187">
            <w:r>
              <w:rPr>
                <w:webHidden/>
                <w:rStyle w:val="IndexLink"/>
              </w:rPr>
              <w:t>1</w:t>
            </w:r>
            <w:r>
              <w:rPr>
                <w:rStyle w:val="IndexLink"/>
                <w:rtl w:val="true"/>
              </w:rPr>
              <w:t xml:space="preserve"> - </w:t>
            </w:r>
            <w:r>
              <w:rPr>
                <w:rStyle w:val="IndexLink"/>
                <w:rtl w:val="true"/>
              </w:rPr>
              <w:t>عقيدتهم في توحيده سبحانه، أنّه واحد لا مثل له و لا ضد</w:t>
            </w:r>
            <w:r>
              <w:rPr>
                <w:rStyle w:val="IndexLink"/>
                <w:rtl w:val="true"/>
              </w:rPr>
              <w:t>:</w:t>
              <w:tab/>
            </w:r>
            <w:r>
              <w:rPr>
                <w:rStyle w:val="IndexLink"/>
              </w:rPr>
              <w:t>201</w:t>
            </w:r>
          </w:hyperlink>
        </w:p>
        <w:p>
          <w:pPr>
            <w:pStyle w:val="Contents4"/>
            <w:tabs>
              <w:tab w:val="clear" w:pos="8176"/>
              <w:tab w:val="right" w:pos="9026" w:leader="dot"/>
            </w:tabs>
            <w:rPr/>
          </w:pPr>
          <w:hyperlink w:anchor="__RefHeading___Toc4284233_73709187">
            <w:r>
              <w:rPr>
                <w:webHidden/>
                <w:rStyle w:val="IndexLink"/>
              </w:rPr>
              <w:t>2</w:t>
            </w:r>
            <w:r>
              <w:rPr>
                <w:rStyle w:val="IndexLink"/>
                <w:rtl w:val="true"/>
              </w:rPr>
              <w:t xml:space="preserve"> - </w:t>
            </w:r>
            <w:r>
              <w:rPr>
                <w:rStyle w:val="IndexLink"/>
                <w:rtl w:val="true"/>
              </w:rPr>
              <w:t>انّه سبحانه ليس أيسا</w:t>
            </w:r>
            <w:r>
              <w:rPr>
                <w:rStyle w:val="IndexLink"/>
                <w:rtl w:val="true"/>
              </w:rPr>
              <w:t>:</w:t>
              <w:tab/>
            </w:r>
            <w:r>
              <w:rPr>
                <w:rStyle w:val="IndexLink"/>
              </w:rPr>
              <w:t>202</w:t>
            </w:r>
          </w:hyperlink>
        </w:p>
        <w:p>
          <w:pPr>
            <w:pStyle w:val="Contents4"/>
            <w:tabs>
              <w:tab w:val="clear" w:pos="8176"/>
              <w:tab w:val="right" w:pos="9026" w:leader="dot"/>
            </w:tabs>
            <w:rPr/>
          </w:pPr>
          <w:hyperlink w:anchor="__RefHeading___Toc4284235_73709187">
            <w:r>
              <w:rPr>
                <w:webHidden/>
                <w:rStyle w:val="IndexLink"/>
              </w:rPr>
              <w:t>3</w:t>
            </w:r>
            <w:r>
              <w:rPr>
                <w:rStyle w:val="IndexLink"/>
                <w:rtl w:val="true"/>
              </w:rPr>
              <w:t xml:space="preserve"> - </w:t>
            </w:r>
            <w:r>
              <w:rPr>
                <w:rStyle w:val="IndexLink"/>
                <w:rtl w:val="true"/>
              </w:rPr>
              <w:t>في نفي التسمية عنه</w:t>
            </w:r>
            <w:r>
              <w:rPr>
                <w:rStyle w:val="IndexLink"/>
                <w:rtl w:val="true"/>
              </w:rPr>
              <w:t>:</w:t>
              <w:tab/>
            </w:r>
            <w:r>
              <w:rPr>
                <w:rStyle w:val="IndexLink"/>
              </w:rPr>
              <w:t>205</w:t>
            </w:r>
          </w:hyperlink>
        </w:p>
        <w:p>
          <w:pPr>
            <w:pStyle w:val="Contents4"/>
            <w:tabs>
              <w:tab w:val="clear" w:pos="8176"/>
              <w:tab w:val="right" w:pos="9026" w:leader="dot"/>
            </w:tabs>
            <w:rPr/>
          </w:pPr>
          <w:hyperlink w:anchor="__RefHeading___Toc4284237_73709187">
            <w:r>
              <w:rPr>
                <w:webHidden/>
                <w:rStyle w:val="IndexLink"/>
              </w:rPr>
              <w:t>4</w:t>
            </w:r>
            <w:r>
              <w:rPr>
                <w:rStyle w:val="IndexLink"/>
                <w:rtl w:val="true"/>
              </w:rPr>
              <w:t xml:space="preserve"> - </w:t>
            </w:r>
            <w:r>
              <w:rPr>
                <w:rStyle w:val="IndexLink"/>
                <w:rtl w:val="true"/>
              </w:rPr>
              <w:t>نفي الصفات عنه</w:t>
            </w:r>
            <w:r>
              <w:rPr>
                <w:rStyle w:val="IndexLink"/>
                <w:rtl w:val="true"/>
              </w:rPr>
              <w:t>:</w:t>
              <w:tab/>
            </w:r>
            <w:r>
              <w:rPr>
                <w:rStyle w:val="IndexLink"/>
              </w:rPr>
              <w:t>206</w:t>
            </w:r>
          </w:hyperlink>
        </w:p>
        <w:p>
          <w:pPr>
            <w:pStyle w:val="Contents4"/>
            <w:tabs>
              <w:tab w:val="clear" w:pos="8176"/>
              <w:tab w:val="right" w:pos="9026" w:leader="dot"/>
            </w:tabs>
            <w:rPr/>
          </w:pPr>
          <w:hyperlink w:anchor="__RefHeading___Toc4284239_73709187">
            <w:r>
              <w:rPr>
                <w:webHidden/>
                <w:rStyle w:val="IndexLink"/>
              </w:rPr>
              <w:t>5</w:t>
            </w:r>
            <w:r>
              <w:rPr>
                <w:rStyle w:val="IndexLink"/>
                <w:rtl w:val="true"/>
              </w:rPr>
              <w:t xml:space="preserve"> - </w:t>
            </w:r>
            <w:r>
              <w:rPr>
                <w:rStyle w:val="IndexLink"/>
                <w:rtl w:val="true"/>
              </w:rPr>
              <w:t>الصّادر الأوّل هو الموصوف بالصفات العليا</w:t>
            </w:r>
            <w:r>
              <w:rPr>
                <w:rStyle w:val="IndexLink"/>
                <w:rtl w:val="true"/>
              </w:rPr>
              <w:t>:</w:t>
              <w:tab/>
            </w:r>
            <w:r>
              <w:rPr>
                <w:rStyle w:val="IndexLink"/>
              </w:rPr>
              <w:t>208</w:t>
            </w:r>
          </w:hyperlink>
        </w:p>
        <w:p>
          <w:pPr>
            <w:pStyle w:val="Contents3"/>
            <w:tabs>
              <w:tab w:val="clear" w:pos="8459"/>
              <w:tab w:val="right" w:pos="9026" w:leader="dot"/>
            </w:tabs>
            <w:rPr/>
          </w:pPr>
          <w:hyperlink w:anchor="__RefHeading___Toc4284241_73709187">
            <w:r>
              <w:rPr>
                <w:webHidden/>
                <w:rStyle w:val="IndexLink"/>
                <w:rtl w:val="true"/>
              </w:rPr>
              <w:t>(</w:t>
            </w:r>
            <w:r>
              <w:rPr>
                <w:rStyle w:val="IndexLink"/>
              </w:rPr>
              <w:t>2</w:t>
            </w:r>
            <w:r>
              <w:rPr>
                <w:rStyle w:val="IndexLink"/>
                <w:rtl w:val="true"/>
              </w:rPr>
              <w:t xml:space="preserve">) </w:t>
            </w:r>
            <w:r>
              <w:rPr>
                <w:rStyle w:val="IndexLink"/>
                <w:rtl w:val="true"/>
              </w:rPr>
              <w:t>عقيدتهم في العدل</w:t>
            </w:r>
            <w:r>
              <w:rPr>
                <w:rStyle w:val="IndexLink"/>
                <w:rtl w:val="true"/>
              </w:rPr>
              <w:tab/>
            </w:r>
            <w:r>
              <w:rPr>
                <w:rStyle w:val="IndexLink"/>
              </w:rPr>
              <w:t>210</w:t>
            </w:r>
          </w:hyperlink>
        </w:p>
        <w:p>
          <w:pPr>
            <w:pStyle w:val="Contents4"/>
            <w:tabs>
              <w:tab w:val="clear" w:pos="8176"/>
              <w:tab w:val="right" w:pos="9026" w:leader="dot"/>
            </w:tabs>
            <w:rPr/>
          </w:pPr>
          <w:hyperlink w:anchor="__RefHeading___Toc4284243_73709187">
            <w:r>
              <w:rPr>
                <w:webHidden/>
                <w:rStyle w:val="IndexLink"/>
                <w:rtl w:val="true"/>
              </w:rPr>
              <w:t>اشارة</w:t>
            </w:r>
            <w:r>
              <w:rPr>
                <w:rStyle w:val="IndexLink"/>
                <w:rtl w:val="true"/>
              </w:rPr>
              <w:tab/>
            </w:r>
            <w:r>
              <w:rPr>
                <w:rStyle w:val="IndexLink"/>
              </w:rPr>
              <w:t>210</w:t>
            </w:r>
          </w:hyperlink>
        </w:p>
        <w:p>
          <w:pPr>
            <w:pStyle w:val="Contents4"/>
            <w:tabs>
              <w:tab w:val="clear" w:pos="8176"/>
              <w:tab w:val="right" w:pos="9026" w:leader="dot"/>
            </w:tabs>
            <w:rPr/>
          </w:pPr>
          <w:hyperlink w:anchor="__RefHeading___Toc4284245_73709187">
            <w:r>
              <w:rPr>
                <w:webHidden/>
                <w:rStyle w:val="IndexLink"/>
              </w:rPr>
              <w:t>1</w:t>
            </w:r>
            <w:r>
              <w:rPr>
                <w:rStyle w:val="IndexLink"/>
                <w:rtl w:val="true"/>
              </w:rPr>
              <w:t xml:space="preserve"> - </w:t>
            </w:r>
            <w:r>
              <w:rPr>
                <w:rStyle w:val="IndexLink"/>
                <w:rtl w:val="true"/>
              </w:rPr>
              <w:t>الإنسان مخيّر لا مسيّر</w:t>
            </w:r>
            <w:r>
              <w:rPr>
                <w:rStyle w:val="IndexLink"/>
                <w:rtl w:val="true"/>
              </w:rPr>
              <w:tab/>
            </w:r>
            <w:r>
              <w:rPr>
                <w:rStyle w:val="IndexLink"/>
              </w:rPr>
              <w:t>210</w:t>
            </w:r>
          </w:hyperlink>
        </w:p>
        <w:p>
          <w:pPr>
            <w:pStyle w:val="Contents4"/>
            <w:tabs>
              <w:tab w:val="clear" w:pos="8176"/>
              <w:tab w:val="right" w:pos="9026" w:leader="dot"/>
            </w:tabs>
            <w:rPr/>
          </w:pPr>
          <w:hyperlink w:anchor="__RefHeading___Toc4284247_73709187">
            <w:r>
              <w:rPr>
                <w:webHidden/>
                <w:rStyle w:val="IndexLink"/>
              </w:rPr>
              <w:t>2</w:t>
            </w:r>
            <w:r>
              <w:rPr>
                <w:rStyle w:val="IndexLink"/>
                <w:rtl w:val="true"/>
              </w:rPr>
              <w:t xml:space="preserve"> - </w:t>
            </w:r>
            <w:r>
              <w:rPr>
                <w:rStyle w:val="IndexLink"/>
                <w:rtl w:val="true"/>
              </w:rPr>
              <w:t>القضاء و القدر لا يسلبان الاختيار</w:t>
            </w:r>
            <w:r>
              <w:rPr>
                <w:rStyle w:val="IndexLink"/>
                <w:rtl w:val="true"/>
              </w:rPr>
              <w:tab/>
            </w:r>
            <w:r>
              <w:rPr>
                <w:rStyle w:val="IndexLink"/>
              </w:rPr>
              <w:t>211</w:t>
            </w:r>
          </w:hyperlink>
        </w:p>
        <w:p>
          <w:pPr>
            <w:pStyle w:val="Contents3"/>
            <w:tabs>
              <w:tab w:val="clear" w:pos="8459"/>
              <w:tab w:val="right" w:pos="9026" w:leader="dot"/>
            </w:tabs>
            <w:rPr/>
          </w:pPr>
          <w:hyperlink w:anchor="__RefHeading___Toc4284249_73709187">
            <w:r>
              <w:rPr>
                <w:webHidden/>
                <w:rStyle w:val="IndexLink"/>
                <w:rtl w:val="true"/>
              </w:rPr>
              <w:t>(</w:t>
            </w:r>
            <w:r>
              <w:rPr>
                <w:rStyle w:val="IndexLink"/>
              </w:rPr>
              <w:t>3</w:t>
            </w:r>
            <w:r>
              <w:rPr>
                <w:rStyle w:val="IndexLink"/>
                <w:rtl w:val="true"/>
              </w:rPr>
              <w:t xml:space="preserve">) </w:t>
            </w:r>
            <w:r>
              <w:rPr>
                <w:rStyle w:val="IndexLink"/>
                <w:rtl w:val="true"/>
              </w:rPr>
              <w:t>عقيدتهم في النبوة</w:t>
            </w:r>
            <w:r>
              <w:rPr>
                <w:rStyle w:val="IndexLink"/>
                <w:rtl w:val="true"/>
              </w:rPr>
              <w:t>:</w:t>
              <w:tab/>
            </w:r>
            <w:r>
              <w:rPr>
                <w:rStyle w:val="IndexLink"/>
              </w:rPr>
              <w:t>212</w:t>
            </w:r>
          </w:hyperlink>
        </w:p>
        <w:p>
          <w:pPr>
            <w:pStyle w:val="Contents4"/>
            <w:tabs>
              <w:tab w:val="clear" w:pos="8176"/>
              <w:tab w:val="right" w:pos="9026" w:leader="dot"/>
            </w:tabs>
            <w:rPr/>
          </w:pPr>
          <w:hyperlink w:anchor="__RefHeading___Toc4284251_73709187">
            <w:r>
              <w:rPr>
                <w:webHidden/>
                <w:rStyle w:val="IndexLink"/>
              </w:rPr>
              <w:t>1</w:t>
            </w:r>
            <w:r>
              <w:rPr>
                <w:rStyle w:val="IndexLink"/>
                <w:rtl w:val="true"/>
              </w:rPr>
              <w:t xml:space="preserve"> - </w:t>
            </w:r>
            <w:r>
              <w:rPr>
                <w:rStyle w:val="IndexLink"/>
                <w:rtl w:val="true"/>
              </w:rPr>
              <w:t>النبوّة أعلى درجات البشر</w:t>
            </w:r>
            <w:r>
              <w:rPr>
                <w:rStyle w:val="IndexLink"/>
                <w:rtl w:val="true"/>
              </w:rPr>
              <w:tab/>
            </w:r>
            <w:r>
              <w:rPr>
                <w:rStyle w:val="IndexLink"/>
              </w:rPr>
              <w:t>212</w:t>
            </w:r>
          </w:hyperlink>
        </w:p>
        <w:p>
          <w:pPr>
            <w:pStyle w:val="Contents4"/>
            <w:tabs>
              <w:tab w:val="clear" w:pos="8176"/>
              <w:tab w:val="right" w:pos="9026" w:leader="dot"/>
            </w:tabs>
            <w:rPr/>
          </w:pPr>
          <w:hyperlink w:anchor="__RefHeading___Toc4284253_73709187">
            <w:r>
              <w:rPr>
                <w:webHidden/>
                <w:rStyle w:val="IndexLink"/>
              </w:rPr>
              <w:t>2</w:t>
            </w:r>
            <w:r>
              <w:rPr>
                <w:rStyle w:val="IndexLink"/>
                <w:rtl w:val="true"/>
              </w:rPr>
              <w:t xml:space="preserve"> - </w:t>
            </w:r>
            <w:r>
              <w:rPr>
                <w:rStyle w:val="IndexLink"/>
                <w:rtl w:val="true"/>
              </w:rPr>
              <w:t>الرسالة الخاصة و العامة</w:t>
            </w:r>
            <w:r>
              <w:rPr>
                <w:rStyle w:val="IndexLink"/>
                <w:rtl w:val="true"/>
              </w:rPr>
              <w:tab/>
            </w:r>
            <w:r>
              <w:rPr>
                <w:rStyle w:val="IndexLink"/>
              </w:rPr>
              <w:t>212</w:t>
            </w:r>
          </w:hyperlink>
        </w:p>
        <w:p>
          <w:pPr>
            <w:pStyle w:val="Contents4"/>
            <w:tabs>
              <w:tab w:val="clear" w:pos="8176"/>
              <w:tab w:val="right" w:pos="9026" w:leader="dot"/>
            </w:tabs>
            <w:rPr/>
          </w:pPr>
          <w:hyperlink w:anchor="__RefHeading___Toc4284255_73709187">
            <w:r>
              <w:rPr>
                <w:webHidden/>
                <w:rStyle w:val="IndexLink"/>
              </w:rPr>
              <w:t>3</w:t>
            </w:r>
            <w:r>
              <w:rPr>
                <w:rStyle w:val="IndexLink"/>
                <w:rtl w:val="true"/>
              </w:rPr>
              <w:t xml:space="preserve"> - </w:t>
            </w:r>
            <w:r>
              <w:rPr>
                <w:rStyle w:val="IndexLink"/>
                <w:rtl w:val="true"/>
              </w:rPr>
              <w:t>الوحي</w:t>
            </w:r>
            <w:r>
              <w:rPr>
                <w:rStyle w:val="IndexLink"/>
                <w:rtl w:val="true"/>
              </w:rPr>
              <w:tab/>
            </w:r>
            <w:r>
              <w:rPr>
                <w:rStyle w:val="IndexLink"/>
              </w:rPr>
              <w:t>213</w:t>
            </w:r>
          </w:hyperlink>
        </w:p>
        <w:p>
          <w:pPr>
            <w:pStyle w:val="Contents4"/>
            <w:tabs>
              <w:tab w:val="clear" w:pos="8176"/>
              <w:tab w:val="right" w:pos="9026" w:leader="dot"/>
            </w:tabs>
            <w:rPr/>
          </w:pPr>
          <w:hyperlink w:anchor="__RefHeading___Toc4284257_73709187">
            <w:r>
              <w:rPr>
                <w:webHidden/>
                <w:rStyle w:val="IndexLink"/>
              </w:rPr>
              <w:t>4</w:t>
            </w:r>
            <w:r>
              <w:rPr>
                <w:rStyle w:val="IndexLink"/>
                <w:rtl w:val="true"/>
              </w:rPr>
              <w:t xml:space="preserve"> - </w:t>
            </w:r>
            <w:r>
              <w:rPr>
                <w:rStyle w:val="IndexLink"/>
                <w:rtl w:val="true"/>
              </w:rPr>
              <w:t>في أنّ الأنبياء لا يولدون من سِفاح</w:t>
            </w:r>
            <w:r>
              <w:rPr>
                <w:rStyle w:val="IndexLink"/>
                <w:rtl w:val="true"/>
              </w:rPr>
              <w:tab/>
            </w:r>
            <w:r>
              <w:rPr>
                <w:rStyle w:val="IndexLink"/>
              </w:rPr>
              <w:t>214</w:t>
            </w:r>
          </w:hyperlink>
        </w:p>
        <w:p>
          <w:pPr>
            <w:pStyle w:val="Contents4"/>
            <w:tabs>
              <w:tab w:val="clear" w:pos="8176"/>
              <w:tab w:val="right" w:pos="9026" w:leader="dot"/>
            </w:tabs>
            <w:rPr/>
          </w:pPr>
          <w:hyperlink w:anchor="__RefHeading___Toc4284259_73709187">
            <w:r>
              <w:rPr>
                <w:webHidden/>
                <w:rStyle w:val="IndexLink"/>
              </w:rPr>
              <w:t>5</w:t>
            </w:r>
            <w:r>
              <w:rPr>
                <w:rStyle w:val="IndexLink"/>
                <w:rtl w:val="true"/>
              </w:rPr>
              <w:t xml:space="preserve"> - </w:t>
            </w:r>
            <w:r>
              <w:rPr>
                <w:rStyle w:val="IndexLink"/>
                <w:rtl w:val="true"/>
              </w:rPr>
              <w:t>في صفات الأنبياء</w:t>
            </w:r>
            <w:r>
              <w:rPr>
                <w:rStyle w:val="IndexLink"/>
                <w:rtl w:val="true"/>
              </w:rPr>
              <w:tab/>
            </w:r>
            <w:r>
              <w:rPr>
                <w:rStyle w:val="IndexLink"/>
              </w:rPr>
              <w:t>214</w:t>
            </w:r>
          </w:hyperlink>
        </w:p>
        <w:p>
          <w:pPr>
            <w:pStyle w:val="Contents4"/>
            <w:tabs>
              <w:tab w:val="clear" w:pos="8176"/>
              <w:tab w:val="right" w:pos="9026" w:leader="dot"/>
            </w:tabs>
            <w:rPr/>
          </w:pPr>
          <w:hyperlink w:anchor="__RefHeading___Toc4284261_73709187">
            <w:r>
              <w:rPr>
                <w:webHidden/>
                <w:rStyle w:val="IndexLink"/>
              </w:rPr>
              <w:t>6</w:t>
            </w:r>
            <w:r>
              <w:rPr>
                <w:rStyle w:val="IndexLink"/>
                <w:rtl w:val="true"/>
              </w:rPr>
              <w:t xml:space="preserve"> - </w:t>
            </w:r>
            <w:r>
              <w:rPr>
                <w:rStyle w:val="IndexLink"/>
                <w:rtl w:val="true"/>
              </w:rPr>
              <w:t>الرسول الناطق</w:t>
            </w:r>
            <w:r>
              <w:rPr>
                <w:rStyle w:val="IndexLink"/>
                <w:rtl w:val="true"/>
              </w:rPr>
              <w:tab/>
            </w:r>
            <w:r>
              <w:rPr>
                <w:rStyle w:val="IndexLink"/>
              </w:rPr>
              <w:t>215</w:t>
            </w:r>
          </w:hyperlink>
        </w:p>
        <w:p>
          <w:pPr>
            <w:pStyle w:val="Contents4"/>
            <w:tabs>
              <w:tab w:val="clear" w:pos="8176"/>
              <w:tab w:val="right" w:pos="9026" w:leader="dot"/>
            </w:tabs>
            <w:rPr/>
          </w:pPr>
          <w:hyperlink w:anchor="__RefHeading___Toc4284263_73709187">
            <w:r>
              <w:rPr>
                <w:webHidden/>
                <w:rStyle w:val="IndexLink"/>
              </w:rPr>
              <w:t>7</w:t>
            </w:r>
            <w:r>
              <w:rPr>
                <w:rStyle w:val="IndexLink"/>
                <w:rtl w:val="true"/>
              </w:rPr>
              <w:t xml:space="preserve"> - </w:t>
            </w:r>
            <w:r>
              <w:rPr>
                <w:rStyle w:val="IndexLink"/>
                <w:rtl w:val="true"/>
              </w:rPr>
              <w:t>في المعجزات التي يأتي بها الرسل</w:t>
            </w:r>
            <w:r>
              <w:rPr>
                <w:rStyle w:val="IndexLink"/>
                <w:rtl w:val="true"/>
              </w:rPr>
              <w:tab/>
            </w:r>
            <w:r>
              <w:rPr>
                <w:rStyle w:val="IndexLink"/>
              </w:rPr>
              <w:t>216</w:t>
            </w:r>
          </w:hyperlink>
        </w:p>
        <w:p>
          <w:pPr>
            <w:pStyle w:val="Contents4"/>
            <w:tabs>
              <w:tab w:val="clear" w:pos="8176"/>
              <w:tab w:val="right" w:pos="9026" w:leader="dot"/>
            </w:tabs>
            <w:rPr/>
          </w:pPr>
          <w:hyperlink w:anchor="__RefHeading___Toc4284265_73709187">
            <w:r>
              <w:rPr>
                <w:webHidden/>
                <w:rStyle w:val="IndexLink"/>
              </w:rPr>
              <w:t>8</w:t>
            </w:r>
            <w:r>
              <w:rPr>
                <w:rStyle w:val="IndexLink"/>
                <w:rtl w:val="true"/>
              </w:rPr>
              <w:t xml:space="preserve"> - </w:t>
            </w:r>
            <w:r>
              <w:rPr>
                <w:rStyle w:val="IndexLink"/>
                <w:rtl w:val="true"/>
              </w:rPr>
              <w:t>في أنّ الرسول الخاتم أفضل الرّسل</w:t>
            </w:r>
            <w:r>
              <w:rPr>
                <w:rStyle w:val="IndexLink"/>
                <w:rtl w:val="true"/>
              </w:rPr>
              <w:tab/>
            </w:r>
            <w:r>
              <w:rPr>
                <w:rStyle w:val="IndexLink"/>
              </w:rPr>
              <w:t>217</w:t>
            </w:r>
          </w:hyperlink>
        </w:p>
        <w:p>
          <w:pPr>
            <w:pStyle w:val="Contents4"/>
            <w:tabs>
              <w:tab w:val="clear" w:pos="8176"/>
              <w:tab w:val="right" w:pos="9026" w:leader="dot"/>
            </w:tabs>
            <w:rPr/>
          </w:pPr>
          <w:hyperlink w:anchor="__RefHeading___Toc4284267_73709187">
            <w:r>
              <w:rPr>
                <w:webHidden/>
                <w:rStyle w:val="IndexLink"/>
              </w:rPr>
              <w:t>9</w:t>
            </w:r>
            <w:r>
              <w:rPr>
                <w:rStyle w:val="IndexLink"/>
                <w:rtl w:val="true"/>
              </w:rPr>
              <w:t xml:space="preserve"> - </w:t>
            </w:r>
            <w:r>
              <w:rPr>
                <w:rStyle w:val="IndexLink"/>
                <w:rtl w:val="true"/>
              </w:rPr>
              <w:t>في أنّ الشريعة موافقة للحكمة</w:t>
            </w:r>
            <w:r>
              <w:rPr>
                <w:rStyle w:val="IndexLink"/>
                <w:rtl w:val="true"/>
              </w:rPr>
              <w:tab/>
            </w:r>
            <w:r>
              <w:rPr>
                <w:rStyle w:val="IndexLink"/>
              </w:rPr>
              <w:t>217</w:t>
            </w:r>
          </w:hyperlink>
        </w:p>
        <w:p>
          <w:pPr>
            <w:pStyle w:val="Contents4"/>
            <w:tabs>
              <w:tab w:val="clear" w:pos="8176"/>
              <w:tab w:val="right" w:pos="9026" w:leader="dot"/>
            </w:tabs>
            <w:rPr/>
          </w:pPr>
          <w:hyperlink w:anchor="__RefHeading___Toc4284269_73709187">
            <w:r>
              <w:rPr>
                <w:webHidden/>
                <w:rStyle w:val="IndexLink"/>
              </w:rPr>
              <w:t>10</w:t>
            </w:r>
            <w:r>
              <w:rPr>
                <w:rStyle w:val="IndexLink"/>
                <w:rtl w:val="true"/>
              </w:rPr>
              <w:t xml:space="preserve"> - </w:t>
            </w:r>
            <w:r>
              <w:rPr>
                <w:rStyle w:val="IndexLink"/>
                <w:rtl w:val="true"/>
              </w:rPr>
              <w:t>في أنّ الشريعة لها ظاهر و باطن</w:t>
            </w:r>
            <w:r>
              <w:rPr>
                <w:rStyle w:val="IndexLink"/>
                <w:rtl w:val="true"/>
              </w:rPr>
              <w:tab/>
            </w:r>
            <w:r>
              <w:rPr>
                <w:rStyle w:val="IndexLink"/>
              </w:rPr>
              <w:t>218</w:t>
            </w:r>
          </w:hyperlink>
        </w:p>
        <w:p>
          <w:pPr>
            <w:pStyle w:val="Contents3"/>
            <w:tabs>
              <w:tab w:val="clear" w:pos="8459"/>
              <w:tab w:val="right" w:pos="9026" w:leader="dot"/>
            </w:tabs>
            <w:rPr/>
          </w:pPr>
          <w:hyperlink w:anchor="__RefHeading___Toc4284271_73709187">
            <w:r>
              <w:rPr>
                <w:webHidden/>
                <w:rStyle w:val="IndexLink"/>
                <w:rtl w:val="true"/>
              </w:rPr>
              <w:t>(</w:t>
            </w:r>
            <w:r>
              <w:rPr>
                <w:rStyle w:val="IndexLink"/>
              </w:rPr>
              <w:t>4</w:t>
            </w:r>
            <w:r>
              <w:rPr>
                <w:rStyle w:val="IndexLink"/>
                <w:rtl w:val="true"/>
              </w:rPr>
              <w:t xml:space="preserve">) </w:t>
            </w:r>
            <w:r>
              <w:rPr>
                <w:rStyle w:val="IndexLink"/>
                <w:rtl w:val="true"/>
              </w:rPr>
              <w:t>عقيدتهم في الإمامة</w:t>
            </w:r>
            <w:r>
              <w:rPr>
                <w:rStyle w:val="IndexLink"/>
                <w:rtl w:val="true"/>
              </w:rPr>
              <w:tab/>
            </w:r>
            <w:r>
              <w:rPr>
                <w:rStyle w:val="IndexLink"/>
              </w:rPr>
              <w:t>219</w:t>
            </w:r>
          </w:hyperlink>
        </w:p>
        <w:p>
          <w:pPr>
            <w:pStyle w:val="Contents4"/>
            <w:tabs>
              <w:tab w:val="clear" w:pos="8176"/>
              <w:tab w:val="right" w:pos="9026" w:leader="dot"/>
            </w:tabs>
            <w:rPr/>
          </w:pPr>
          <w:hyperlink w:anchor="__RefHeading___Toc4284273_73709187">
            <w:r>
              <w:rPr>
                <w:webHidden/>
                <w:rStyle w:val="IndexLink"/>
                <w:rtl w:val="true"/>
              </w:rPr>
              <w:t>اشارة</w:t>
            </w:r>
            <w:r>
              <w:rPr>
                <w:rStyle w:val="IndexLink"/>
                <w:rtl w:val="true"/>
              </w:rPr>
              <w:tab/>
            </w:r>
            <w:r>
              <w:rPr>
                <w:rStyle w:val="IndexLink"/>
              </w:rPr>
              <w:t>219</w:t>
            </w:r>
          </w:hyperlink>
        </w:p>
        <w:p>
          <w:pPr>
            <w:pStyle w:val="Contents4"/>
            <w:tabs>
              <w:tab w:val="clear" w:pos="8176"/>
              <w:tab w:val="right" w:pos="9026" w:leader="dot"/>
            </w:tabs>
            <w:rPr/>
          </w:pPr>
          <w:hyperlink w:anchor="__RefHeading___Toc4284275_73709187">
            <w:r>
              <w:rPr>
                <w:webHidden/>
                <w:rStyle w:val="IndexLink"/>
                <w:rtl w:val="true"/>
              </w:rPr>
              <w:t>المقام الأوّل</w:t>
            </w:r>
            <w:r>
              <w:rPr>
                <w:rStyle w:val="IndexLink"/>
                <w:rtl w:val="true"/>
              </w:rPr>
              <w:t xml:space="preserve">: </w:t>
            </w:r>
            <w:r>
              <w:rPr>
                <w:rStyle w:val="IndexLink"/>
                <w:rtl w:val="true"/>
              </w:rPr>
              <w:t>الإمامة المطلقة</w:t>
            </w:r>
            <w:r>
              <w:rPr>
                <w:rStyle w:val="IndexLink"/>
                <w:rtl w:val="true"/>
              </w:rPr>
              <w:tab/>
            </w:r>
            <w:r>
              <w:rPr>
                <w:rStyle w:val="IndexLink"/>
              </w:rPr>
              <w:t>219</w:t>
            </w:r>
          </w:hyperlink>
        </w:p>
        <w:p>
          <w:pPr>
            <w:pStyle w:val="Contents5"/>
            <w:tabs>
              <w:tab w:val="clear" w:pos="7892"/>
              <w:tab w:val="right" w:pos="9026" w:leader="dot"/>
            </w:tabs>
            <w:rPr/>
          </w:pPr>
          <w:hyperlink w:anchor="__RefHeading___Toc4284277_73709187">
            <w:r>
              <w:rPr>
                <w:webHidden/>
                <w:rStyle w:val="IndexLink"/>
                <w:rtl w:val="true"/>
              </w:rPr>
              <w:t>اشارة</w:t>
            </w:r>
            <w:r>
              <w:rPr>
                <w:rStyle w:val="IndexLink"/>
                <w:rtl w:val="true"/>
              </w:rPr>
              <w:tab/>
            </w:r>
            <w:r>
              <w:rPr>
                <w:rStyle w:val="IndexLink"/>
              </w:rPr>
              <w:t>219</w:t>
            </w:r>
          </w:hyperlink>
        </w:p>
        <w:p>
          <w:pPr>
            <w:pStyle w:val="Contents5"/>
            <w:tabs>
              <w:tab w:val="clear" w:pos="7892"/>
              <w:tab w:val="right" w:pos="9026" w:leader="dot"/>
            </w:tabs>
            <w:rPr/>
          </w:pPr>
          <w:hyperlink w:anchor="__RefHeading___Toc4284279_73709187">
            <w:r>
              <w:rPr>
                <w:webHidden/>
                <w:rStyle w:val="IndexLink"/>
              </w:rPr>
              <w:t>1</w:t>
            </w:r>
            <w:r>
              <w:rPr>
                <w:rStyle w:val="IndexLink"/>
                <w:rtl w:val="true"/>
              </w:rPr>
              <w:t xml:space="preserve"> - </w:t>
            </w:r>
            <w:r>
              <w:rPr>
                <w:rStyle w:val="IndexLink"/>
                <w:rtl w:val="true"/>
              </w:rPr>
              <w:t>الإمام المقيم</w:t>
            </w:r>
            <w:r>
              <w:rPr>
                <w:rStyle w:val="IndexLink"/>
                <w:rtl w:val="true"/>
              </w:rPr>
              <w:tab/>
            </w:r>
            <w:r>
              <w:rPr>
                <w:rStyle w:val="IndexLink"/>
              </w:rPr>
              <w:t>220</w:t>
            </w:r>
          </w:hyperlink>
        </w:p>
        <w:p>
          <w:pPr>
            <w:pStyle w:val="Contents5"/>
            <w:tabs>
              <w:tab w:val="clear" w:pos="7892"/>
              <w:tab w:val="right" w:pos="9026" w:leader="dot"/>
            </w:tabs>
            <w:rPr/>
          </w:pPr>
          <w:hyperlink w:anchor="__RefHeading___Toc4284281_73709187">
            <w:r>
              <w:rPr>
                <w:webHidden/>
                <w:rStyle w:val="IndexLink"/>
              </w:rPr>
              <w:t>2</w:t>
            </w:r>
            <w:r>
              <w:rPr>
                <w:rStyle w:val="IndexLink"/>
                <w:rtl w:val="true"/>
              </w:rPr>
              <w:t xml:space="preserve"> - </w:t>
            </w:r>
            <w:r>
              <w:rPr>
                <w:rStyle w:val="IndexLink"/>
                <w:rtl w:val="true"/>
              </w:rPr>
              <w:t>الإمام الأساس</w:t>
            </w:r>
            <w:r>
              <w:rPr>
                <w:rStyle w:val="IndexLink"/>
                <w:rtl w:val="true"/>
              </w:rPr>
              <w:tab/>
            </w:r>
            <w:r>
              <w:rPr>
                <w:rStyle w:val="IndexLink"/>
              </w:rPr>
              <w:t>220</w:t>
            </w:r>
          </w:hyperlink>
        </w:p>
        <w:p>
          <w:pPr>
            <w:pStyle w:val="Contents5"/>
            <w:tabs>
              <w:tab w:val="clear" w:pos="7892"/>
              <w:tab w:val="right" w:pos="9026" w:leader="dot"/>
            </w:tabs>
            <w:rPr/>
          </w:pPr>
          <w:hyperlink w:anchor="__RefHeading___Toc4284283_73709187">
            <w:r>
              <w:rPr>
                <w:webHidden/>
                <w:rStyle w:val="IndexLink"/>
              </w:rPr>
              <w:t>3</w:t>
            </w:r>
            <w:r>
              <w:rPr>
                <w:rStyle w:val="IndexLink"/>
                <w:rtl w:val="true"/>
              </w:rPr>
              <w:t xml:space="preserve"> - </w:t>
            </w:r>
            <w:r>
              <w:rPr>
                <w:rStyle w:val="IndexLink"/>
                <w:rtl w:val="true"/>
              </w:rPr>
              <w:t>الإمام المتم</w:t>
            </w:r>
            <w:r>
              <w:rPr>
                <w:rStyle w:val="IndexLink"/>
                <w:rtl w:val="true"/>
              </w:rPr>
              <w:tab/>
            </w:r>
            <w:r>
              <w:rPr>
                <w:rStyle w:val="IndexLink"/>
              </w:rPr>
              <w:t>221</w:t>
            </w:r>
          </w:hyperlink>
        </w:p>
        <w:p>
          <w:pPr>
            <w:pStyle w:val="Contents5"/>
            <w:tabs>
              <w:tab w:val="clear" w:pos="7892"/>
              <w:tab w:val="right" w:pos="9026" w:leader="dot"/>
            </w:tabs>
            <w:rPr/>
          </w:pPr>
          <w:hyperlink w:anchor="__RefHeading___Toc4284285_73709187">
            <w:r>
              <w:rPr>
                <w:webHidden/>
                <w:rStyle w:val="IndexLink"/>
              </w:rPr>
              <w:t>4</w:t>
            </w:r>
            <w:r>
              <w:rPr>
                <w:rStyle w:val="IndexLink"/>
                <w:rtl w:val="true"/>
              </w:rPr>
              <w:t xml:space="preserve"> - </w:t>
            </w:r>
            <w:r>
              <w:rPr>
                <w:rStyle w:val="IndexLink"/>
                <w:rtl w:val="true"/>
              </w:rPr>
              <w:t>الإمام المستقر</w:t>
            </w:r>
            <w:r>
              <w:rPr>
                <w:rStyle w:val="IndexLink"/>
                <w:rtl w:val="true"/>
              </w:rPr>
              <w:tab/>
            </w:r>
            <w:r>
              <w:rPr>
                <w:rStyle w:val="IndexLink"/>
              </w:rPr>
              <w:t>221</w:t>
            </w:r>
          </w:hyperlink>
        </w:p>
        <w:p>
          <w:pPr>
            <w:pStyle w:val="Contents5"/>
            <w:tabs>
              <w:tab w:val="clear" w:pos="7892"/>
              <w:tab w:val="right" w:pos="9026" w:leader="dot"/>
            </w:tabs>
            <w:rPr/>
          </w:pPr>
          <w:hyperlink w:anchor="__RefHeading___Toc4284287_73709187">
            <w:r>
              <w:rPr>
                <w:webHidden/>
                <w:rStyle w:val="IndexLink"/>
              </w:rPr>
              <w:t>5</w:t>
            </w:r>
            <w:r>
              <w:rPr>
                <w:rStyle w:val="IndexLink"/>
                <w:rtl w:val="true"/>
              </w:rPr>
              <w:t xml:space="preserve"> - </w:t>
            </w:r>
            <w:r>
              <w:rPr>
                <w:rStyle w:val="IndexLink"/>
                <w:rtl w:val="true"/>
              </w:rPr>
              <w:t>الإمام المستودع</w:t>
            </w:r>
            <w:r>
              <w:rPr>
                <w:rStyle w:val="IndexLink"/>
                <w:rtl w:val="true"/>
              </w:rPr>
              <w:tab/>
            </w:r>
            <w:r>
              <w:rPr>
                <w:rStyle w:val="IndexLink"/>
              </w:rPr>
              <w:t>221</w:t>
            </w:r>
          </w:hyperlink>
        </w:p>
        <w:p>
          <w:pPr>
            <w:pStyle w:val="Contents4"/>
            <w:tabs>
              <w:tab w:val="clear" w:pos="8176"/>
              <w:tab w:val="right" w:pos="9026" w:leader="dot"/>
            </w:tabs>
            <w:rPr/>
          </w:pPr>
          <w:hyperlink w:anchor="__RefHeading___Toc4284289_73709187">
            <w:r>
              <w:rPr>
                <w:webHidden/>
                <w:rStyle w:val="IndexLink"/>
                <w:rtl w:val="true"/>
              </w:rPr>
              <w:t>المقام الثاني</w:t>
            </w:r>
            <w:r>
              <w:rPr>
                <w:rStyle w:val="IndexLink"/>
                <w:rtl w:val="true"/>
              </w:rPr>
              <w:t xml:space="preserve">: </w:t>
            </w:r>
            <w:r>
              <w:rPr>
                <w:rStyle w:val="IndexLink"/>
                <w:rtl w:val="true"/>
              </w:rPr>
              <w:t>في الإمامة الخاصة</w:t>
            </w:r>
            <w:r>
              <w:rPr>
                <w:rStyle w:val="IndexLink"/>
                <w:rtl w:val="true"/>
              </w:rPr>
              <w:tab/>
            </w:r>
            <w:r>
              <w:rPr>
                <w:rStyle w:val="IndexLink"/>
              </w:rPr>
              <w:t>223</w:t>
            </w:r>
          </w:hyperlink>
        </w:p>
        <w:p>
          <w:pPr>
            <w:pStyle w:val="Contents5"/>
            <w:tabs>
              <w:tab w:val="clear" w:pos="7892"/>
              <w:tab w:val="right" w:pos="9026" w:leader="dot"/>
            </w:tabs>
            <w:rPr/>
          </w:pPr>
          <w:hyperlink w:anchor="__RefHeading___Toc4284291_73709187">
            <w:r>
              <w:rPr>
                <w:webHidden/>
                <w:rStyle w:val="IndexLink"/>
                <w:rtl w:val="true"/>
              </w:rPr>
              <w:t>اشارة</w:t>
            </w:r>
            <w:r>
              <w:rPr>
                <w:rStyle w:val="IndexLink"/>
                <w:rtl w:val="true"/>
              </w:rPr>
              <w:tab/>
            </w:r>
            <w:r>
              <w:rPr>
                <w:rStyle w:val="IndexLink"/>
              </w:rPr>
              <w:t>223</w:t>
            </w:r>
          </w:hyperlink>
        </w:p>
        <w:p>
          <w:pPr>
            <w:pStyle w:val="Contents5"/>
            <w:tabs>
              <w:tab w:val="clear" w:pos="7892"/>
              <w:tab w:val="right" w:pos="9026" w:leader="dot"/>
            </w:tabs>
            <w:rPr/>
          </w:pPr>
          <w:hyperlink w:anchor="__RefHeading___Toc4284293_73709187">
            <w:r>
              <w:rPr>
                <w:webHidden/>
                <w:rStyle w:val="IndexLink"/>
              </w:rPr>
              <w:t>1</w:t>
            </w:r>
            <w:r>
              <w:rPr>
                <w:rStyle w:val="IndexLink"/>
                <w:rtl w:val="true"/>
              </w:rPr>
              <w:t xml:space="preserve"> - </w:t>
            </w:r>
            <w:r>
              <w:rPr>
                <w:rStyle w:val="IndexLink"/>
                <w:rtl w:val="true"/>
              </w:rPr>
              <w:t>صاحب الوصية أفضل العالم بعد النبي في الدور</w:t>
            </w:r>
            <w:r>
              <w:rPr>
                <w:rStyle w:val="IndexLink"/>
                <w:rtl w:val="true"/>
              </w:rPr>
              <w:tab/>
            </w:r>
            <w:r>
              <w:rPr>
                <w:rStyle w:val="IndexLink"/>
              </w:rPr>
              <w:t>223</w:t>
            </w:r>
          </w:hyperlink>
        </w:p>
        <w:p>
          <w:pPr>
            <w:pStyle w:val="Contents5"/>
            <w:tabs>
              <w:tab w:val="clear" w:pos="7892"/>
              <w:tab w:val="right" w:pos="9026" w:leader="dot"/>
            </w:tabs>
            <w:rPr/>
          </w:pPr>
          <w:hyperlink w:anchor="__RefHeading___Toc4284295_73709187">
            <w:r>
              <w:rPr>
                <w:webHidden/>
                <w:rStyle w:val="IndexLink"/>
              </w:rPr>
              <w:t>2</w:t>
            </w:r>
            <w:r>
              <w:rPr>
                <w:rStyle w:val="IndexLink"/>
                <w:rtl w:val="true"/>
              </w:rPr>
              <w:t xml:space="preserve"> - </w:t>
            </w:r>
            <w:r>
              <w:rPr>
                <w:rStyle w:val="IndexLink"/>
                <w:rtl w:val="true"/>
              </w:rPr>
              <w:t>في أنّ الإمامة في آل بيت رسول اللّٰه صلّى اللّٰه عليه و آله و سلّم</w:t>
            </w:r>
            <w:r>
              <w:rPr>
                <w:rStyle w:val="IndexLink"/>
                <w:rtl w:val="true"/>
              </w:rPr>
              <w:tab/>
            </w:r>
            <w:r>
              <w:rPr>
                <w:rStyle w:val="IndexLink"/>
              </w:rPr>
              <w:t>223</w:t>
            </w:r>
          </w:hyperlink>
        </w:p>
        <w:p>
          <w:pPr>
            <w:pStyle w:val="Contents5"/>
            <w:tabs>
              <w:tab w:val="clear" w:pos="7892"/>
              <w:tab w:val="right" w:pos="9026" w:leader="dot"/>
            </w:tabs>
            <w:rPr/>
          </w:pPr>
          <w:hyperlink w:anchor="__RefHeading___Toc4284297_73709187">
            <w:r>
              <w:rPr>
                <w:webHidden/>
                <w:rStyle w:val="IndexLink"/>
              </w:rPr>
              <w:t>3</w:t>
            </w:r>
            <w:r>
              <w:rPr>
                <w:rStyle w:val="IndexLink"/>
                <w:rtl w:val="true"/>
              </w:rPr>
              <w:t xml:space="preserve"> - </w:t>
            </w:r>
            <w:r>
              <w:rPr>
                <w:rStyle w:val="IndexLink"/>
                <w:rtl w:val="true"/>
              </w:rPr>
              <w:t>في أنّ الإمامة وارثة النبوة و الوصاية</w:t>
            </w:r>
            <w:r>
              <w:rPr>
                <w:rStyle w:val="IndexLink"/>
                <w:rtl w:val="true"/>
              </w:rPr>
              <w:tab/>
            </w:r>
            <w:r>
              <w:rPr>
                <w:rStyle w:val="IndexLink"/>
              </w:rPr>
              <w:t>224</w:t>
            </w:r>
          </w:hyperlink>
        </w:p>
        <w:p>
          <w:pPr>
            <w:pStyle w:val="Contents5"/>
            <w:tabs>
              <w:tab w:val="clear" w:pos="7892"/>
              <w:tab w:val="right" w:pos="9026" w:leader="dot"/>
            </w:tabs>
            <w:rPr/>
          </w:pPr>
          <w:hyperlink w:anchor="__RefHeading___Toc4284299_73709187">
            <w:r>
              <w:rPr>
                <w:webHidden/>
                <w:rStyle w:val="IndexLink"/>
              </w:rPr>
              <w:t>4</w:t>
            </w:r>
            <w:r>
              <w:rPr>
                <w:rStyle w:val="IndexLink"/>
                <w:rtl w:val="true"/>
              </w:rPr>
              <w:t xml:space="preserve"> - </w:t>
            </w:r>
            <w:r>
              <w:rPr>
                <w:rStyle w:val="IndexLink"/>
                <w:rtl w:val="true"/>
              </w:rPr>
              <w:t>في انقطاع الوصاية بعد ذهاب الوصي</w:t>
            </w:r>
            <w:r>
              <w:rPr>
                <w:rStyle w:val="IndexLink"/>
                <w:rtl w:val="true"/>
              </w:rPr>
              <w:tab/>
            </w:r>
            <w:r>
              <w:rPr>
                <w:rStyle w:val="IndexLink"/>
              </w:rPr>
              <w:t>225</w:t>
            </w:r>
          </w:hyperlink>
        </w:p>
        <w:p>
          <w:pPr>
            <w:pStyle w:val="Contents5"/>
            <w:tabs>
              <w:tab w:val="clear" w:pos="7892"/>
              <w:tab w:val="right" w:pos="9026" w:leader="dot"/>
            </w:tabs>
            <w:rPr/>
          </w:pPr>
          <w:hyperlink w:anchor="__RefHeading___Toc4284301_73709187">
            <w:r>
              <w:rPr>
                <w:webHidden/>
                <w:rStyle w:val="IndexLink"/>
              </w:rPr>
              <w:t>5</w:t>
            </w:r>
            <w:r>
              <w:rPr>
                <w:rStyle w:val="IndexLink"/>
                <w:rtl w:val="true"/>
              </w:rPr>
              <w:t xml:space="preserve"> - </w:t>
            </w:r>
            <w:r>
              <w:rPr>
                <w:rStyle w:val="IndexLink"/>
                <w:rtl w:val="true"/>
              </w:rPr>
              <w:t>في استمرار الإمامة في العالم دون النبوة و الوصاية</w:t>
            </w:r>
            <w:r>
              <w:rPr>
                <w:rStyle w:val="IndexLink"/>
                <w:rtl w:val="true"/>
              </w:rPr>
              <w:tab/>
            </w:r>
            <w:r>
              <w:rPr>
                <w:rStyle w:val="IndexLink"/>
              </w:rPr>
              <w:t>225</w:t>
            </w:r>
          </w:hyperlink>
        </w:p>
        <w:p>
          <w:pPr>
            <w:pStyle w:val="Contents5"/>
            <w:tabs>
              <w:tab w:val="clear" w:pos="7892"/>
              <w:tab w:val="right" w:pos="9026" w:leader="dot"/>
            </w:tabs>
            <w:rPr/>
          </w:pPr>
          <w:hyperlink w:anchor="__RefHeading___Toc4284303_73709187">
            <w:r>
              <w:rPr>
                <w:webHidden/>
                <w:rStyle w:val="IndexLink"/>
              </w:rPr>
              <w:t>6</w:t>
            </w:r>
            <w:r>
              <w:rPr>
                <w:rStyle w:val="IndexLink"/>
                <w:rtl w:val="true"/>
              </w:rPr>
              <w:t xml:space="preserve"> - </w:t>
            </w:r>
            <w:r>
              <w:rPr>
                <w:rStyle w:val="IndexLink"/>
                <w:rtl w:val="true"/>
              </w:rPr>
              <w:t>في أنّ الإمام لا تجوز غيبته من الأرض</w:t>
            </w:r>
            <w:r>
              <w:rPr>
                <w:rStyle w:val="IndexLink"/>
                <w:rtl w:val="true"/>
              </w:rPr>
              <w:tab/>
            </w:r>
            <w:r>
              <w:rPr>
                <w:rStyle w:val="IndexLink"/>
              </w:rPr>
              <w:t>227</w:t>
            </w:r>
          </w:hyperlink>
        </w:p>
        <w:p>
          <w:pPr>
            <w:pStyle w:val="Contents5"/>
            <w:tabs>
              <w:tab w:val="clear" w:pos="7892"/>
              <w:tab w:val="right" w:pos="9026" w:leader="dot"/>
            </w:tabs>
            <w:rPr/>
          </w:pPr>
          <w:hyperlink w:anchor="__RefHeading___Toc4284305_73709187">
            <w:r>
              <w:rPr>
                <w:webHidden/>
                <w:rStyle w:val="IndexLink"/>
              </w:rPr>
              <w:t>7</w:t>
            </w:r>
            <w:r>
              <w:rPr>
                <w:rStyle w:val="IndexLink"/>
                <w:rtl w:val="true"/>
              </w:rPr>
              <w:t xml:space="preserve"> - </w:t>
            </w:r>
            <w:r>
              <w:rPr>
                <w:rStyle w:val="IndexLink"/>
                <w:rtl w:val="true"/>
              </w:rPr>
              <w:t>في الوصية بعد الرسول صلّى اللّٰه عليه و آله و سلّم إلى الوصي</w:t>
            </w:r>
            <w:r>
              <w:rPr>
                <w:rStyle w:val="IndexLink"/>
                <w:rtl w:val="true"/>
              </w:rPr>
              <w:tab/>
            </w:r>
            <w:r>
              <w:rPr>
                <w:rStyle w:val="IndexLink"/>
              </w:rPr>
              <w:t>229</w:t>
            </w:r>
          </w:hyperlink>
        </w:p>
        <w:p>
          <w:pPr>
            <w:pStyle w:val="Contents5"/>
            <w:tabs>
              <w:tab w:val="clear" w:pos="7892"/>
              <w:tab w:val="right" w:pos="9026" w:leader="dot"/>
            </w:tabs>
            <w:rPr/>
          </w:pPr>
          <w:hyperlink w:anchor="__RefHeading___Toc4284307_73709187">
            <w:r>
              <w:rPr>
                <w:webHidden/>
                <w:rStyle w:val="IndexLink"/>
              </w:rPr>
              <w:t>8</w:t>
            </w:r>
            <w:r>
              <w:rPr>
                <w:rStyle w:val="IndexLink"/>
                <w:rtl w:val="true"/>
              </w:rPr>
              <w:t xml:space="preserve"> - </w:t>
            </w:r>
            <w:r>
              <w:rPr>
                <w:rStyle w:val="IndexLink"/>
                <w:rtl w:val="true"/>
              </w:rPr>
              <w:t>في قعود علي عن الخلافة</w:t>
            </w:r>
            <w:r>
              <w:rPr>
                <w:rStyle w:val="IndexLink"/>
                <w:rtl w:val="true"/>
              </w:rPr>
              <w:tab/>
            </w:r>
            <w:r>
              <w:rPr>
                <w:rStyle w:val="IndexLink"/>
              </w:rPr>
              <w:t>229</w:t>
            </w:r>
          </w:hyperlink>
        </w:p>
        <w:p>
          <w:pPr>
            <w:pStyle w:val="Contents5"/>
            <w:tabs>
              <w:tab w:val="clear" w:pos="7892"/>
              <w:tab w:val="right" w:pos="9026" w:leader="dot"/>
            </w:tabs>
            <w:rPr/>
          </w:pPr>
          <w:hyperlink w:anchor="__RefHeading___Toc4284309_73709187">
            <w:r>
              <w:rPr>
                <w:webHidden/>
                <w:rStyle w:val="IndexLink"/>
              </w:rPr>
              <w:t>9</w:t>
            </w:r>
            <w:r>
              <w:rPr>
                <w:rStyle w:val="IndexLink"/>
                <w:rtl w:val="true"/>
              </w:rPr>
              <w:t xml:space="preserve"> - </w:t>
            </w:r>
            <w:r>
              <w:rPr>
                <w:rStyle w:val="IndexLink"/>
                <w:rtl w:val="true"/>
              </w:rPr>
              <w:t>في فساد إمامة المفضول</w:t>
            </w:r>
            <w:r>
              <w:rPr>
                <w:rStyle w:val="IndexLink"/>
                <w:rtl w:val="true"/>
              </w:rPr>
              <w:tab/>
            </w:r>
            <w:r>
              <w:rPr>
                <w:rStyle w:val="IndexLink"/>
              </w:rPr>
              <w:t>230</w:t>
            </w:r>
          </w:hyperlink>
        </w:p>
        <w:p>
          <w:pPr>
            <w:pStyle w:val="Contents5"/>
            <w:tabs>
              <w:tab w:val="clear" w:pos="7892"/>
              <w:tab w:val="right" w:pos="9026" w:leader="dot"/>
            </w:tabs>
            <w:rPr/>
          </w:pPr>
          <w:hyperlink w:anchor="__RefHeading___Toc4284311_73709187">
            <w:r>
              <w:rPr>
                <w:webHidden/>
                <w:rStyle w:val="IndexLink"/>
              </w:rPr>
              <w:t>10</w:t>
            </w:r>
            <w:r>
              <w:rPr>
                <w:rStyle w:val="IndexLink"/>
                <w:rtl w:val="true"/>
              </w:rPr>
              <w:t xml:space="preserve"> - </w:t>
            </w:r>
            <w:r>
              <w:rPr>
                <w:rStyle w:val="IndexLink"/>
                <w:rtl w:val="true"/>
              </w:rPr>
              <w:t>في إبطال اختيار الأُمّة للإمام</w:t>
            </w:r>
            <w:r>
              <w:rPr>
                <w:rStyle w:val="IndexLink"/>
                <w:rtl w:val="true"/>
              </w:rPr>
              <w:tab/>
            </w:r>
            <w:r>
              <w:rPr>
                <w:rStyle w:val="IndexLink"/>
              </w:rPr>
              <w:t>231</w:t>
            </w:r>
          </w:hyperlink>
        </w:p>
        <w:p>
          <w:pPr>
            <w:pStyle w:val="Contents5"/>
            <w:tabs>
              <w:tab w:val="clear" w:pos="7892"/>
              <w:tab w:val="right" w:pos="9026" w:leader="dot"/>
            </w:tabs>
            <w:rPr/>
          </w:pPr>
          <w:hyperlink w:anchor="__RefHeading___Toc4284313_73709187">
            <w:r>
              <w:rPr>
                <w:webHidden/>
                <w:rStyle w:val="IndexLink"/>
              </w:rPr>
              <w:t>11</w:t>
            </w:r>
            <w:r>
              <w:rPr>
                <w:rStyle w:val="IndexLink"/>
                <w:rtl w:val="true"/>
              </w:rPr>
              <w:t xml:space="preserve"> - </w:t>
            </w:r>
            <w:r>
              <w:rPr>
                <w:rStyle w:val="IndexLink"/>
                <w:rtl w:val="true"/>
              </w:rPr>
              <w:t>في أنّ كلّ متوثب على مرتبة الإمام فهو طاغوت</w:t>
            </w:r>
            <w:r>
              <w:rPr>
                <w:rStyle w:val="IndexLink"/>
                <w:rtl w:val="true"/>
              </w:rPr>
              <w:tab/>
            </w:r>
            <w:r>
              <w:rPr>
                <w:rStyle w:val="IndexLink"/>
              </w:rPr>
              <w:t>231</w:t>
            </w:r>
          </w:hyperlink>
        </w:p>
        <w:p>
          <w:pPr>
            <w:pStyle w:val="Contents5"/>
            <w:tabs>
              <w:tab w:val="clear" w:pos="7892"/>
              <w:tab w:val="right" w:pos="9026" w:leader="dot"/>
            </w:tabs>
            <w:rPr/>
          </w:pPr>
          <w:hyperlink w:anchor="__RefHeading___Toc4284315_73709187">
            <w:r>
              <w:rPr>
                <w:webHidden/>
                <w:rStyle w:val="IndexLink"/>
              </w:rPr>
              <w:t>12</w:t>
            </w:r>
            <w:r>
              <w:rPr>
                <w:rStyle w:val="IndexLink"/>
                <w:rtl w:val="true"/>
              </w:rPr>
              <w:t xml:space="preserve"> - </w:t>
            </w:r>
            <w:r>
              <w:rPr>
                <w:rStyle w:val="IndexLink"/>
                <w:rtl w:val="true"/>
              </w:rPr>
              <w:t>في أنّ الأرض لا تخلو من حجّة للّٰه فيها</w:t>
            </w:r>
            <w:r>
              <w:rPr>
                <w:rStyle w:val="IndexLink"/>
                <w:rtl w:val="true"/>
              </w:rPr>
              <w:tab/>
            </w:r>
            <w:r>
              <w:rPr>
                <w:rStyle w:val="IndexLink"/>
              </w:rPr>
              <w:t>232</w:t>
            </w:r>
          </w:hyperlink>
        </w:p>
        <w:p>
          <w:pPr>
            <w:pStyle w:val="Contents5"/>
            <w:tabs>
              <w:tab w:val="clear" w:pos="7892"/>
              <w:tab w:val="right" w:pos="9026" w:leader="dot"/>
            </w:tabs>
            <w:rPr/>
          </w:pPr>
          <w:hyperlink w:anchor="__RefHeading___Toc4284317_73709187">
            <w:r>
              <w:rPr>
                <w:webHidden/>
                <w:rStyle w:val="IndexLink"/>
              </w:rPr>
              <w:t>13</w:t>
            </w:r>
            <w:r>
              <w:rPr>
                <w:rStyle w:val="IndexLink"/>
                <w:rtl w:val="true"/>
              </w:rPr>
              <w:t xml:space="preserve"> - </w:t>
            </w:r>
            <w:r>
              <w:rPr>
                <w:rStyle w:val="IndexLink"/>
                <w:rtl w:val="true"/>
              </w:rPr>
              <w:t>منع المبتدي عن الكلام</w:t>
            </w:r>
            <w:r>
              <w:rPr>
                <w:rStyle w:val="IndexLink"/>
                <w:rtl w:val="true"/>
              </w:rPr>
              <w:tab/>
            </w:r>
            <w:r>
              <w:rPr>
                <w:rStyle w:val="IndexLink"/>
              </w:rPr>
              <w:t>233</w:t>
            </w:r>
          </w:hyperlink>
        </w:p>
        <w:p>
          <w:pPr>
            <w:pStyle w:val="Contents5"/>
            <w:tabs>
              <w:tab w:val="clear" w:pos="7892"/>
              <w:tab w:val="right" w:pos="9026" w:leader="dot"/>
            </w:tabs>
            <w:rPr/>
          </w:pPr>
          <w:hyperlink w:anchor="__RefHeading___Toc4284319_73709187">
            <w:r>
              <w:rPr>
                <w:webHidden/>
                <w:rStyle w:val="IndexLink"/>
              </w:rPr>
              <w:t>14</w:t>
            </w:r>
            <w:r>
              <w:rPr>
                <w:rStyle w:val="IndexLink"/>
                <w:rtl w:val="true"/>
              </w:rPr>
              <w:t xml:space="preserve"> - </w:t>
            </w:r>
            <w:r>
              <w:rPr>
                <w:rStyle w:val="IndexLink"/>
                <w:rtl w:val="true"/>
              </w:rPr>
              <w:t>في أنّ القرآن لا ينسخه إلّا قرآن مثله</w:t>
            </w:r>
            <w:r>
              <w:rPr>
                <w:rStyle w:val="IndexLink"/>
                <w:rtl w:val="true"/>
              </w:rPr>
              <w:tab/>
            </w:r>
            <w:r>
              <w:rPr>
                <w:rStyle w:val="IndexLink"/>
              </w:rPr>
              <w:t>234</w:t>
            </w:r>
          </w:hyperlink>
        </w:p>
        <w:p>
          <w:pPr>
            <w:pStyle w:val="Contents5"/>
            <w:tabs>
              <w:tab w:val="clear" w:pos="7892"/>
              <w:tab w:val="right" w:pos="9026" w:leader="dot"/>
            </w:tabs>
            <w:rPr/>
          </w:pPr>
          <w:hyperlink w:anchor="__RefHeading___Toc4284321_73709187">
            <w:r>
              <w:rPr>
                <w:webHidden/>
                <w:rStyle w:val="IndexLink"/>
              </w:rPr>
              <w:t>15</w:t>
            </w:r>
            <w:r>
              <w:rPr>
                <w:rStyle w:val="IndexLink"/>
                <w:rtl w:val="true"/>
              </w:rPr>
              <w:t xml:space="preserve"> - </w:t>
            </w:r>
            <w:r>
              <w:rPr>
                <w:rStyle w:val="IndexLink"/>
                <w:rtl w:val="true"/>
              </w:rPr>
              <w:t>في تخطئة القياس و الاستحسان</w:t>
            </w:r>
            <w:r>
              <w:rPr>
                <w:rStyle w:val="IndexLink"/>
                <w:rtl w:val="true"/>
              </w:rPr>
              <w:tab/>
            </w:r>
            <w:r>
              <w:rPr>
                <w:rStyle w:val="IndexLink"/>
              </w:rPr>
              <w:t>234</w:t>
            </w:r>
          </w:hyperlink>
        </w:p>
        <w:p>
          <w:pPr>
            <w:pStyle w:val="Contents3"/>
            <w:tabs>
              <w:tab w:val="clear" w:pos="8459"/>
              <w:tab w:val="right" w:pos="9026" w:leader="dot"/>
            </w:tabs>
            <w:rPr/>
          </w:pPr>
          <w:hyperlink w:anchor="__RefHeading___Toc4284323_73709187">
            <w:r>
              <w:rPr>
                <w:webHidden/>
                <w:rStyle w:val="IndexLink"/>
                <w:rtl w:val="true"/>
              </w:rPr>
              <w:t>(</w:t>
            </w:r>
            <w:r>
              <w:rPr>
                <w:rStyle w:val="IndexLink"/>
              </w:rPr>
              <w:t>5</w:t>
            </w:r>
            <w:r>
              <w:rPr>
                <w:rStyle w:val="IndexLink"/>
                <w:rtl w:val="true"/>
              </w:rPr>
              <w:t xml:space="preserve">) </w:t>
            </w:r>
            <w:r>
              <w:rPr>
                <w:rStyle w:val="IndexLink"/>
                <w:rtl w:val="true"/>
              </w:rPr>
              <w:t>عقيدتهم في المعاد و ما يرتبط به</w:t>
            </w:r>
            <w:r>
              <w:rPr>
                <w:rStyle w:val="IndexLink"/>
                <w:rtl w:val="true"/>
              </w:rPr>
              <w:tab/>
            </w:r>
            <w:r>
              <w:rPr>
                <w:rStyle w:val="IndexLink"/>
              </w:rPr>
              <w:t>237</w:t>
            </w:r>
          </w:hyperlink>
        </w:p>
        <w:p>
          <w:pPr>
            <w:pStyle w:val="Contents4"/>
            <w:tabs>
              <w:tab w:val="clear" w:pos="8176"/>
              <w:tab w:val="right" w:pos="9026" w:leader="dot"/>
            </w:tabs>
            <w:rPr/>
          </w:pPr>
          <w:hyperlink w:anchor="__RefHeading___Toc4284325_73709187">
            <w:r>
              <w:rPr>
                <w:webHidden/>
                <w:rStyle w:val="IndexLink"/>
                <w:rtl w:val="true"/>
              </w:rPr>
              <w:t>اشارة</w:t>
            </w:r>
            <w:r>
              <w:rPr>
                <w:rStyle w:val="IndexLink"/>
                <w:rtl w:val="true"/>
              </w:rPr>
              <w:tab/>
            </w:r>
            <w:r>
              <w:rPr>
                <w:rStyle w:val="IndexLink"/>
              </w:rPr>
              <w:t>237</w:t>
            </w:r>
          </w:hyperlink>
        </w:p>
        <w:p>
          <w:pPr>
            <w:pStyle w:val="Contents4"/>
            <w:tabs>
              <w:tab w:val="clear" w:pos="8176"/>
              <w:tab w:val="right" w:pos="9026" w:leader="dot"/>
            </w:tabs>
            <w:rPr/>
          </w:pPr>
          <w:hyperlink w:anchor="__RefHeading___Toc4284327_73709187">
            <w:r>
              <w:rPr>
                <w:webHidden/>
                <w:rStyle w:val="IndexLink"/>
              </w:rPr>
              <w:t>1</w:t>
            </w:r>
            <w:r>
              <w:rPr>
                <w:rStyle w:val="IndexLink"/>
                <w:rtl w:val="true"/>
              </w:rPr>
              <w:t xml:space="preserve"> - </w:t>
            </w:r>
            <w:r>
              <w:rPr>
                <w:rStyle w:val="IndexLink"/>
                <w:rtl w:val="true"/>
              </w:rPr>
              <w:t>في أنّ المعاد روحاني لا جسماني</w:t>
            </w:r>
            <w:r>
              <w:rPr>
                <w:rStyle w:val="IndexLink"/>
                <w:rtl w:val="true"/>
              </w:rPr>
              <w:tab/>
            </w:r>
            <w:r>
              <w:rPr>
                <w:rStyle w:val="IndexLink"/>
              </w:rPr>
              <w:t>237</w:t>
            </w:r>
          </w:hyperlink>
        </w:p>
        <w:p>
          <w:pPr>
            <w:pStyle w:val="Contents4"/>
            <w:tabs>
              <w:tab w:val="clear" w:pos="8176"/>
              <w:tab w:val="right" w:pos="9026" w:leader="dot"/>
            </w:tabs>
            <w:rPr/>
          </w:pPr>
          <w:hyperlink w:anchor="__RefHeading___Toc4284329_73709187">
            <w:r>
              <w:rPr>
                <w:webHidden/>
                <w:rStyle w:val="IndexLink"/>
              </w:rPr>
              <w:t>2</w:t>
            </w:r>
            <w:r>
              <w:rPr>
                <w:rStyle w:val="IndexLink"/>
                <w:rtl w:val="true"/>
              </w:rPr>
              <w:t xml:space="preserve"> - </w:t>
            </w:r>
            <w:r>
              <w:rPr>
                <w:rStyle w:val="IndexLink"/>
                <w:rtl w:val="true"/>
              </w:rPr>
              <w:t>في التناسخ</w:t>
            </w:r>
            <w:r>
              <w:rPr>
                <w:rStyle w:val="IndexLink"/>
                <w:rtl w:val="true"/>
              </w:rPr>
              <w:tab/>
            </w:r>
            <w:r>
              <w:rPr>
                <w:rStyle w:val="IndexLink"/>
              </w:rPr>
              <w:t>239</w:t>
            </w:r>
          </w:hyperlink>
        </w:p>
        <w:p>
          <w:pPr>
            <w:pStyle w:val="Contents4"/>
            <w:tabs>
              <w:tab w:val="clear" w:pos="8176"/>
              <w:tab w:val="right" w:pos="9026" w:leader="dot"/>
            </w:tabs>
            <w:rPr/>
          </w:pPr>
          <w:hyperlink w:anchor="__RefHeading___Toc4284331_73709187">
            <w:r>
              <w:rPr>
                <w:webHidden/>
                <w:rStyle w:val="IndexLink"/>
              </w:rPr>
              <w:t>3</w:t>
            </w:r>
            <w:r>
              <w:rPr>
                <w:rStyle w:val="IndexLink"/>
                <w:rtl w:val="true"/>
              </w:rPr>
              <w:t xml:space="preserve"> - </w:t>
            </w:r>
            <w:r>
              <w:rPr>
                <w:rStyle w:val="IndexLink"/>
                <w:rtl w:val="true"/>
              </w:rPr>
              <w:t>في الحساب</w:t>
            </w:r>
            <w:r>
              <w:rPr>
                <w:rStyle w:val="IndexLink"/>
                <w:rtl w:val="true"/>
              </w:rPr>
              <w:tab/>
            </w:r>
            <w:r>
              <w:rPr>
                <w:rStyle w:val="IndexLink"/>
              </w:rPr>
              <w:t>240</w:t>
            </w:r>
          </w:hyperlink>
        </w:p>
        <w:p>
          <w:pPr>
            <w:pStyle w:val="Contents4"/>
            <w:tabs>
              <w:tab w:val="clear" w:pos="8176"/>
              <w:tab w:val="right" w:pos="9026" w:leader="dot"/>
            </w:tabs>
            <w:rPr/>
          </w:pPr>
          <w:hyperlink w:anchor="__RefHeading___Toc4284333_73709187">
            <w:r>
              <w:rPr>
                <w:webHidden/>
                <w:rStyle w:val="IndexLink"/>
              </w:rPr>
              <w:t>4</w:t>
            </w:r>
            <w:r>
              <w:rPr>
                <w:rStyle w:val="IndexLink"/>
                <w:rtl w:val="true"/>
              </w:rPr>
              <w:t xml:space="preserve"> - </w:t>
            </w:r>
            <w:r>
              <w:rPr>
                <w:rStyle w:val="IndexLink"/>
                <w:rtl w:val="true"/>
              </w:rPr>
              <w:t>في الجنة</w:t>
            </w:r>
            <w:r>
              <w:rPr>
                <w:rStyle w:val="IndexLink"/>
                <w:rtl w:val="true"/>
              </w:rPr>
              <w:tab/>
            </w:r>
            <w:r>
              <w:rPr>
                <w:rStyle w:val="IndexLink"/>
              </w:rPr>
              <w:t>240</w:t>
            </w:r>
          </w:hyperlink>
        </w:p>
        <w:p>
          <w:pPr>
            <w:pStyle w:val="Contents4"/>
            <w:tabs>
              <w:tab w:val="clear" w:pos="8176"/>
              <w:tab w:val="right" w:pos="9026" w:leader="dot"/>
            </w:tabs>
            <w:rPr/>
          </w:pPr>
          <w:hyperlink w:anchor="__RefHeading___Toc4284335_73709187">
            <w:r>
              <w:rPr>
                <w:webHidden/>
                <w:rStyle w:val="IndexLink"/>
              </w:rPr>
              <w:t>5</w:t>
            </w:r>
            <w:r>
              <w:rPr>
                <w:rStyle w:val="IndexLink"/>
                <w:rtl w:val="true"/>
              </w:rPr>
              <w:t xml:space="preserve"> - </w:t>
            </w:r>
            <w:r>
              <w:rPr>
                <w:rStyle w:val="IndexLink"/>
                <w:rtl w:val="true"/>
              </w:rPr>
              <w:t>في الملائكة</w:t>
            </w:r>
            <w:r>
              <w:rPr>
                <w:rStyle w:val="IndexLink"/>
                <w:rtl w:val="true"/>
              </w:rPr>
              <w:tab/>
            </w:r>
            <w:r>
              <w:rPr>
                <w:rStyle w:val="IndexLink"/>
              </w:rPr>
              <w:t>241</w:t>
            </w:r>
          </w:hyperlink>
        </w:p>
        <w:p>
          <w:pPr>
            <w:pStyle w:val="Contents4"/>
            <w:tabs>
              <w:tab w:val="clear" w:pos="8176"/>
              <w:tab w:val="right" w:pos="9026" w:leader="dot"/>
            </w:tabs>
            <w:rPr/>
          </w:pPr>
          <w:hyperlink w:anchor="__RefHeading___Toc4284337_73709187">
            <w:r>
              <w:rPr>
                <w:webHidden/>
                <w:rStyle w:val="IndexLink"/>
              </w:rPr>
              <w:t>6</w:t>
            </w:r>
            <w:r>
              <w:rPr>
                <w:rStyle w:val="IndexLink"/>
                <w:rtl w:val="true"/>
              </w:rPr>
              <w:t xml:space="preserve"> - </w:t>
            </w:r>
            <w:r>
              <w:rPr>
                <w:rStyle w:val="IndexLink"/>
                <w:rtl w:val="true"/>
              </w:rPr>
              <w:t>في الجن</w:t>
            </w:r>
            <w:r>
              <w:rPr>
                <w:rStyle w:val="IndexLink"/>
                <w:rtl w:val="true"/>
              </w:rPr>
              <w:tab/>
            </w:r>
            <w:r>
              <w:rPr>
                <w:rStyle w:val="IndexLink"/>
              </w:rPr>
              <w:t>241</w:t>
            </w:r>
          </w:hyperlink>
        </w:p>
        <w:p>
          <w:pPr>
            <w:pStyle w:val="Contents2"/>
            <w:tabs>
              <w:tab w:val="clear" w:pos="8743"/>
              <w:tab w:val="right" w:pos="9026" w:leader="dot"/>
            </w:tabs>
            <w:rPr/>
          </w:pPr>
          <w:hyperlink w:anchor="__RefHeading___Toc4284339_73709187">
            <w:r>
              <w:rPr>
                <w:webHidden/>
                <w:rStyle w:val="IndexLink"/>
                <w:rtl w:val="true"/>
              </w:rPr>
              <w:t>الفصل الحادي عشر</w:t>
            </w:r>
            <w:r>
              <w:rPr>
                <w:rStyle w:val="IndexLink"/>
                <w:rtl w:val="true"/>
              </w:rPr>
              <w:t xml:space="preserve">: </w:t>
            </w:r>
            <w:r>
              <w:rPr>
                <w:rStyle w:val="IndexLink"/>
                <w:rtl w:val="true"/>
              </w:rPr>
              <w:t>في شجرة الإمامة الإسماعيلية</w:t>
            </w:r>
            <w:r>
              <w:rPr>
                <w:rStyle w:val="IndexLink"/>
                <w:rtl w:val="true"/>
              </w:rPr>
              <w:tab/>
            </w:r>
            <w:r>
              <w:rPr>
                <w:rStyle w:val="IndexLink"/>
              </w:rPr>
              <w:t>243</w:t>
            </w:r>
          </w:hyperlink>
        </w:p>
        <w:p>
          <w:pPr>
            <w:pStyle w:val="Contents3"/>
            <w:tabs>
              <w:tab w:val="clear" w:pos="8459"/>
              <w:tab w:val="right" w:pos="9026" w:leader="dot"/>
            </w:tabs>
            <w:rPr/>
          </w:pPr>
          <w:hyperlink w:anchor="__RefHeading___Toc4284341_73709187">
            <w:r>
              <w:rPr>
                <w:webHidden/>
                <w:rStyle w:val="IndexLink"/>
                <w:rtl w:val="true"/>
              </w:rPr>
              <w:t>اشارة</w:t>
            </w:r>
            <w:r>
              <w:rPr>
                <w:rStyle w:val="IndexLink"/>
                <w:rtl w:val="true"/>
              </w:rPr>
              <w:tab/>
            </w:r>
            <w:r>
              <w:rPr>
                <w:rStyle w:val="IndexLink"/>
              </w:rPr>
              <w:t>243</w:t>
            </w:r>
          </w:hyperlink>
        </w:p>
        <w:p>
          <w:pPr>
            <w:pStyle w:val="Contents3"/>
            <w:tabs>
              <w:tab w:val="clear" w:pos="8459"/>
              <w:tab w:val="right" w:pos="9026" w:leader="dot"/>
            </w:tabs>
            <w:rPr/>
          </w:pPr>
          <w:hyperlink w:anchor="__RefHeading___Toc4284343_73709187">
            <w:r>
              <w:rPr>
                <w:webHidden/>
                <w:rStyle w:val="IndexLink"/>
                <w:rtl w:val="true"/>
              </w:rPr>
              <w:t>شجرة الإمامة الإسماعيليّة منذ أَقدم العصور</w:t>
            </w:r>
            <w:r>
              <w:rPr>
                <w:rStyle w:val="IndexLink"/>
                <w:rtl w:val="true"/>
              </w:rPr>
              <w:tab/>
            </w:r>
            <w:r>
              <w:rPr>
                <w:rStyle w:val="IndexLink"/>
              </w:rPr>
              <w:t>246</w:t>
            </w:r>
          </w:hyperlink>
        </w:p>
        <w:p>
          <w:pPr>
            <w:pStyle w:val="Contents4"/>
            <w:tabs>
              <w:tab w:val="clear" w:pos="8176"/>
              <w:tab w:val="right" w:pos="9026" w:leader="dot"/>
            </w:tabs>
            <w:rPr/>
          </w:pPr>
          <w:hyperlink w:anchor="__RefHeading___Toc4284345_73709187">
            <w:r>
              <w:rPr>
                <w:webHidden/>
                <w:rStyle w:val="IndexLink"/>
                <w:rtl w:val="true"/>
              </w:rPr>
              <w:t>الدور الأوّل</w:t>
            </w:r>
            <w:r>
              <w:rPr>
                <w:rStyle w:val="IndexLink"/>
                <w:rtl w:val="true"/>
              </w:rPr>
              <w:t>:</w:t>
              <w:tab/>
            </w:r>
            <w:r>
              <w:rPr>
                <w:rStyle w:val="IndexLink"/>
              </w:rPr>
              <w:t>246</w:t>
            </w:r>
          </w:hyperlink>
        </w:p>
        <w:p>
          <w:pPr>
            <w:pStyle w:val="Contents5"/>
            <w:tabs>
              <w:tab w:val="clear" w:pos="7892"/>
              <w:tab w:val="right" w:pos="9026" w:leader="dot"/>
            </w:tabs>
            <w:rPr/>
          </w:pPr>
          <w:hyperlink w:anchor="__RefHeading___Toc4284347_73709187">
            <w:r>
              <w:rPr>
                <w:webHidden/>
                <w:rStyle w:val="IndexLink"/>
                <w:rtl w:val="true"/>
              </w:rPr>
              <w:t>اشارة</w:t>
            </w:r>
            <w:r>
              <w:rPr>
                <w:rStyle w:val="IndexLink"/>
                <w:rtl w:val="true"/>
              </w:rPr>
              <w:tab/>
            </w:r>
            <w:r>
              <w:rPr>
                <w:rStyle w:val="IndexLink"/>
              </w:rPr>
              <w:t>246</w:t>
            </w:r>
          </w:hyperlink>
        </w:p>
        <w:p>
          <w:pPr>
            <w:pStyle w:val="Contents5"/>
            <w:tabs>
              <w:tab w:val="clear" w:pos="7892"/>
              <w:tab w:val="right" w:pos="9026" w:leader="dot"/>
            </w:tabs>
            <w:rPr/>
          </w:pPr>
          <w:hyperlink w:anchor="__RefHeading___Toc4284349_73709187">
            <w:r>
              <w:rPr>
                <w:webHidden/>
                <w:rStyle w:val="IndexLink"/>
                <w:rtl w:val="true"/>
              </w:rPr>
              <w:t>التعليقات</w:t>
            </w:r>
            <w:r>
              <w:rPr>
                <w:rStyle w:val="IndexLink"/>
                <w:rtl w:val="true"/>
              </w:rPr>
              <w:t>:</w:t>
              <w:tab/>
            </w:r>
            <w:r>
              <w:rPr>
                <w:rStyle w:val="IndexLink"/>
              </w:rPr>
              <w:t>247</w:t>
            </w:r>
          </w:hyperlink>
        </w:p>
        <w:p>
          <w:pPr>
            <w:pStyle w:val="Contents4"/>
            <w:tabs>
              <w:tab w:val="clear" w:pos="8176"/>
              <w:tab w:val="right" w:pos="9026" w:leader="dot"/>
            </w:tabs>
            <w:rPr/>
          </w:pPr>
          <w:hyperlink w:anchor="__RefHeading___Toc4284351_73709187">
            <w:r>
              <w:rPr>
                <w:webHidden/>
                <w:rStyle w:val="IndexLink"/>
                <w:rtl w:val="true"/>
              </w:rPr>
              <w:t>الدور الثاني</w:t>
            </w:r>
            <w:r>
              <w:rPr>
                <w:rStyle w:val="IndexLink"/>
                <w:rtl w:val="true"/>
              </w:rPr>
              <w:t>:</w:t>
              <w:tab/>
            </w:r>
            <w:r>
              <w:rPr>
                <w:rStyle w:val="IndexLink"/>
              </w:rPr>
              <w:t>248</w:t>
            </w:r>
          </w:hyperlink>
        </w:p>
        <w:p>
          <w:pPr>
            <w:pStyle w:val="Contents5"/>
            <w:tabs>
              <w:tab w:val="clear" w:pos="7892"/>
              <w:tab w:val="right" w:pos="9026" w:leader="dot"/>
            </w:tabs>
            <w:rPr/>
          </w:pPr>
          <w:hyperlink w:anchor="__RefHeading___Toc4284353_73709187">
            <w:r>
              <w:rPr>
                <w:webHidden/>
                <w:rStyle w:val="IndexLink"/>
                <w:rtl w:val="true"/>
              </w:rPr>
              <w:t>اشارة</w:t>
            </w:r>
            <w:r>
              <w:rPr>
                <w:rStyle w:val="IndexLink"/>
                <w:rtl w:val="true"/>
              </w:rPr>
              <w:tab/>
            </w:r>
            <w:r>
              <w:rPr>
                <w:rStyle w:val="IndexLink"/>
              </w:rPr>
              <w:t>248</w:t>
            </w:r>
          </w:hyperlink>
        </w:p>
        <w:p>
          <w:pPr>
            <w:pStyle w:val="Contents5"/>
            <w:tabs>
              <w:tab w:val="clear" w:pos="7892"/>
              <w:tab w:val="right" w:pos="9026" w:leader="dot"/>
            </w:tabs>
            <w:rPr/>
          </w:pPr>
          <w:hyperlink w:anchor="__RefHeading___Toc4284355_73709187">
            <w:r>
              <w:rPr>
                <w:webHidden/>
                <w:rStyle w:val="IndexLink"/>
                <w:rtl w:val="true"/>
              </w:rPr>
              <w:t>التعليقات</w:t>
            </w:r>
            <w:r>
              <w:rPr>
                <w:rStyle w:val="IndexLink"/>
                <w:rtl w:val="true"/>
              </w:rPr>
              <w:t>:</w:t>
              <w:tab/>
            </w:r>
            <w:r>
              <w:rPr>
                <w:rStyle w:val="IndexLink"/>
              </w:rPr>
              <w:t>248</w:t>
            </w:r>
          </w:hyperlink>
        </w:p>
        <w:p>
          <w:pPr>
            <w:pStyle w:val="Contents4"/>
            <w:tabs>
              <w:tab w:val="clear" w:pos="8176"/>
              <w:tab w:val="right" w:pos="9026" w:leader="dot"/>
            </w:tabs>
            <w:rPr/>
          </w:pPr>
          <w:hyperlink w:anchor="__RefHeading___Toc4284357_73709187">
            <w:r>
              <w:rPr>
                <w:webHidden/>
                <w:rStyle w:val="IndexLink"/>
                <w:rtl w:val="true"/>
              </w:rPr>
              <w:t>الدور الثالث</w:t>
            </w:r>
            <w:r>
              <w:rPr>
                <w:rStyle w:val="IndexLink"/>
                <w:rtl w:val="true"/>
              </w:rPr>
              <w:t>:</w:t>
              <w:tab/>
            </w:r>
            <w:r>
              <w:rPr>
                <w:rStyle w:val="IndexLink"/>
              </w:rPr>
              <w:t>249</w:t>
            </w:r>
          </w:hyperlink>
        </w:p>
        <w:p>
          <w:pPr>
            <w:pStyle w:val="Contents5"/>
            <w:tabs>
              <w:tab w:val="clear" w:pos="7892"/>
              <w:tab w:val="right" w:pos="9026" w:leader="dot"/>
            </w:tabs>
            <w:rPr/>
          </w:pPr>
          <w:hyperlink w:anchor="__RefHeading___Toc4284359_73709187">
            <w:r>
              <w:rPr>
                <w:webHidden/>
                <w:rStyle w:val="IndexLink"/>
                <w:rtl w:val="true"/>
              </w:rPr>
              <w:t>اشارة</w:t>
            </w:r>
            <w:r>
              <w:rPr>
                <w:rStyle w:val="IndexLink"/>
                <w:rtl w:val="true"/>
              </w:rPr>
              <w:tab/>
            </w:r>
            <w:r>
              <w:rPr>
                <w:rStyle w:val="IndexLink"/>
              </w:rPr>
              <w:t>249</w:t>
            </w:r>
          </w:hyperlink>
        </w:p>
        <w:p>
          <w:pPr>
            <w:pStyle w:val="Contents5"/>
            <w:tabs>
              <w:tab w:val="clear" w:pos="7892"/>
              <w:tab w:val="right" w:pos="9026" w:leader="dot"/>
            </w:tabs>
            <w:rPr/>
          </w:pPr>
          <w:hyperlink w:anchor="__RefHeading___Toc4284361_73709187">
            <w:r>
              <w:rPr>
                <w:webHidden/>
                <w:rStyle w:val="IndexLink"/>
                <w:rtl w:val="true"/>
              </w:rPr>
              <w:t>التعليقات</w:t>
            </w:r>
            <w:r>
              <w:rPr>
                <w:rStyle w:val="IndexLink"/>
                <w:rtl w:val="true"/>
              </w:rPr>
              <w:t>:</w:t>
              <w:tab/>
            </w:r>
            <w:r>
              <w:rPr>
                <w:rStyle w:val="IndexLink"/>
              </w:rPr>
              <w:t>251</w:t>
            </w:r>
          </w:hyperlink>
        </w:p>
        <w:p>
          <w:pPr>
            <w:pStyle w:val="Contents4"/>
            <w:tabs>
              <w:tab w:val="clear" w:pos="8176"/>
              <w:tab w:val="right" w:pos="9026" w:leader="dot"/>
            </w:tabs>
            <w:rPr/>
          </w:pPr>
          <w:hyperlink w:anchor="__RefHeading___Toc4284363_73709187">
            <w:r>
              <w:rPr>
                <w:webHidden/>
                <w:rStyle w:val="IndexLink"/>
                <w:rtl w:val="true"/>
              </w:rPr>
              <w:t>الدور الرابع</w:t>
            </w:r>
            <w:r>
              <w:rPr>
                <w:rStyle w:val="IndexLink"/>
                <w:rtl w:val="true"/>
              </w:rPr>
              <w:t>:</w:t>
              <w:tab/>
            </w:r>
            <w:r>
              <w:rPr>
                <w:rStyle w:val="IndexLink"/>
              </w:rPr>
              <w:t>252</w:t>
            </w:r>
          </w:hyperlink>
        </w:p>
        <w:p>
          <w:pPr>
            <w:pStyle w:val="Contents5"/>
            <w:tabs>
              <w:tab w:val="clear" w:pos="7892"/>
              <w:tab w:val="right" w:pos="9026" w:leader="dot"/>
            </w:tabs>
            <w:rPr/>
          </w:pPr>
          <w:hyperlink w:anchor="__RefHeading___Toc4284365_73709187">
            <w:r>
              <w:rPr>
                <w:webHidden/>
                <w:rStyle w:val="IndexLink"/>
                <w:rtl w:val="true"/>
              </w:rPr>
              <w:t>اشارة</w:t>
            </w:r>
            <w:r>
              <w:rPr>
                <w:rStyle w:val="IndexLink"/>
                <w:rtl w:val="true"/>
              </w:rPr>
              <w:tab/>
            </w:r>
            <w:r>
              <w:rPr>
                <w:rStyle w:val="IndexLink"/>
              </w:rPr>
              <w:t>252</w:t>
            </w:r>
          </w:hyperlink>
        </w:p>
        <w:p>
          <w:pPr>
            <w:pStyle w:val="Contents5"/>
            <w:tabs>
              <w:tab w:val="clear" w:pos="7892"/>
              <w:tab w:val="right" w:pos="9026" w:leader="dot"/>
            </w:tabs>
            <w:rPr/>
          </w:pPr>
          <w:hyperlink w:anchor="__RefHeading___Toc4284367_73709187">
            <w:r>
              <w:rPr>
                <w:webHidden/>
                <w:rStyle w:val="IndexLink"/>
                <w:rtl w:val="true"/>
              </w:rPr>
              <w:t>التعليقات</w:t>
            </w:r>
            <w:r>
              <w:rPr>
                <w:rStyle w:val="IndexLink"/>
                <w:rtl w:val="true"/>
              </w:rPr>
              <w:t>:</w:t>
              <w:tab/>
            </w:r>
            <w:r>
              <w:rPr>
                <w:rStyle w:val="IndexLink"/>
              </w:rPr>
              <w:t>253</w:t>
            </w:r>
          </w:hyperlink>
        </w:p>
        <w:p>
          <w:pPr>
            <w:pStyle w:val="Contents4"/>
            <w:tabs>
              <w:tab w:val="clear" w:pos="8176"/>
              <w:tab w:val="right" w:pos="9026" w:leader="dot"/>
            </w:tabs>
            <w:rPr/>
          </w:pPr>
          <w:hyperlink w:anchor="__RefHeading___Toc4284369_73709187">
            <w:r>
              <w:rPr>
                <w:webHidden/>
                <w:rStyle w:val="IndexLink"/>
                <w:rtl w:val="true"/>
              </w:rPr>
              <w:t>الدور الخامس</w:t>
            </w:r>
            <w:r>
              <w:rPr>
                <w:rStyle w:val="IndexLink"/>
                <w:rtl w:val="true"/>
              </w:rPr>
              <w:t>:</w:t>
              <w:tab/>
            </w:r>
            <w:r>
              <w:rPr>
                <w:rStyle w:val="IndexLink"/>
              </w:rPr>
              <w:t>254</w:t>
            </w:r>
          </w:hyperlink>
        </w:p>
        <w:p>
          <w:pPr>
            <w:pStyle w:val="Contents5"/>
            <w:tabs>
              <w:tab w:val="clear" w:pos="7892"/>
              <w:tab w:val="right" w:pos="9026" w:leader="dot"/>
            </w:tabs>
            <w:rPr/>
          </w:pPr>
          <w:hyperlink w:anchor="__RefHeading___Toc4284371_73709187">
            <w:r>
              <w:rPr>
                <w:webHidden/>
                <w:rStyle w:val="IndexLink"/>
                <w:rtl w:val="true"/>
              </w:rPr>
              <w:t>اشارة</w:t>
            </w:r>
            <w:r>
              <w:rPr>
                <w:rStyle w:val="IndexLink"/>
                <w:rtl w:val="true"/>
              </w:rPr>
              <w:tab/>
            </w:r>
            <w:r>
              <w:rPr>
                <w:rStyle w:val="IndexLink"/>
              </w:rPr>
              <w:t>254</w:t>
            </w:r>
          </w:hyperlink>
        </w:p>
        <w:p>
          <w:pPr>
            <w:pStyle w:val="Contents5"/>
            <w:tabs>
              <w:tab w:val="clear" w:pos="7892"/>
              <w:tab w:val="right" w:pos="9026" w:leader="dot"/>
            </w:tabs>
            <w:rPr/>
          </w:pPr>
          <w:hyperlink w:anchor="__RefHeading___Toc4284373_73709187">
            <w:r>
              <w:rPr>
                <w:webHidden/>
                <w:rStyle w:val="IndexLink"/>
                <w:rtl w:val="true"/>
              </w:rPr>
              <w:t>التعليقات</w:t>
            </w:r>
            <w:r>
              <w:rPr>
                <w:rStyle w:val="IndexLink"/>
                <w:rtl w:val="true"/>
              </w:rPr>
              <w:t>:</w:t>
              <w:tab/>
            </w:r>
            <w:r>
              <w:rPr>
                <w:rStyle w:val="IndexLink"/>
              </w:rPr>
              <w:t>255</w:t>
            </w:r>
          </w:hyperlink>
        </w:p>
        <w:p>
          <w:pPr>
            <w:pStyle w:val="Contents4"/>
            <w:tabs>
              <w:tab w:val="clear" w:pos="8176"/>
              <w:tab w:val="right" w:pos="9026" w:leader="dot"/>
            </w:tabs>
            <w:rPr/>
          </w:pPr>
          <w:hyperlink w:anchor="__RefHeading___Toc4284375_73709187">
            <w:r>
              <w:rPr>
                <w:webHidden/>
                <w:rStyle w:val="IndexLink"/>
                <w:rtl w:val="true"/>
              </w:rPr>
              <w:t>الدور السادس</w:t>
            </w:r>
            <w:r>
              <w:rPr>
                <w:rStyle w:val="IndexLink"/>
                <w:rtl w:val="true"/>
              </w:rPr>
              <w:t>:</w:t>
              <w:tab/>
            </w:r>
            <w:r>
              <w:rPr>
                <w:rStyle w:val="IndexLink"/>
              </w:rPr>
              <w:t>256</w:t>
            </w:r>
          </w:hyperlink>
        </w:p>
        <w:p>
          <w:pPr>
            <w:pStyle w:val="Contents5"/>
            <w:tabs>
              <w:tab w:val="clear" w:pos="7892"/>
              <w:tab w:val="right" w:pos="9026" w:leader="dot"/>
            </w:tabs>
            <w:rPr/>
          </w:pPr>
          <w:hyperlink w:anchor="__RefHeading___Toc4284377_73709187">
            <w:r>
              <w:rPr>
                <w:webHidden/>
                <w:rStyle w:val="IndexLink"/>
                <w:rtl w:val="true"/>
              </w:rPr>
              <w:t>اشارة</w:t>
            </w:r>
            <w:r>
              <w:rPr>
                <w:rStyle w:val="IndexLink"/>
                <w:rtl w:val="true"/>
              </w:rPr>
              <w:tab/>
            </w:r>
            <w:r>
              <w:rPr>
                <w:rStyle w:val="IndexLink"/>
              </w:rPr>
              <w:t>256</w:t>
            </w:r>
          </w:hyperlink>
        </w:p>
        <w:p>
          <w:pPr>
            <w:pStyle w:val="Contents5"/>
            <w:tabs>
              <w:tab w:val="clear" w:pos="7892"/>
              <w:tab w:val="right" w:pos="9026" w:leader="dot"/>
            </w:tabs>
            <w:rPr/>
          </w:pPr>
          <w:hyperlink w:anchor="__RefHeading___Toc4284379_73709187">
            <w:r>
              <w:rPr>
                <w:webHidden/>
                <w:rStyle w:val="IndexLink"/>
                <w:rtl w:val="true"/>
              </w:rPr>
              <w:t>التعليقات</w:t>
            </w:r>
            <w:r>
              <w:rPr>
                <w:rStyle w:val="IndexLink"/>
                <w:rtl w:val="true"/>
              </w:rPr>
              <w:t>:</w:t>
              <w:tab/>
            </w:r>
            <w:r>
              <w:rPr>
                <w:rStyle w:val="IndexLink"/>
              </w:rPr>
              <w:t>256</w:t>
            </w:r>
          </w:hyperlink>
        </w:p>
        <w:p>
          <w:pPr>
            <w:pStyle w:val="Contents4"/>
            <w:tabs>
              <w:tab w:val="clear" w:pos="8176"/>
              <w:tab w:val="right" w:pos="9026" w:leader="dot"/>
            </w:tabs>
            <w:rPr/>
          </w:pPr>
          <w:hyperlink w:anchor="__RefHeading___Toc4284381_73709187">
            <w:r>
              <w:rPr>
                <w:webHidden/>
                <w:rStyle w:val="IndexLink"/>
                <w:rtl w:val="true"/>
              </w:rPr>
              <w:t xml:space="preserve">تتمة الدور السادس </w:t>
            </w:r>
            <w:r>
              <w:rPr>
                <w:rStyle w:val="IndexLink"/>
                <w:rtl w:val="true"/>
              </w:rPr>
              <w:t>[(</w:t>
            </w:r>
            <w:r>
              <w:rPr>
                <w:rStyle w:val="IndexLink"/>
              </w:rPr>
              <w:t>1</w:t>
            </w:r>
            <w:r>
              <w:rPr>
                <w:rStyle w:val="IndexLink"/>
                <w:rtl w:val="true"/>
              </w:rPr>
              <w:t>)]:</w:t>
              <w:tab/>
            </w:r>
            <w:r>
              <w:rPr>
                <w:rStyle w:val="IndexLink"/>
              </w:rPr>
              <w:t>257</w:t>
            </w:r>
          </w:hyperlink>
        </w:p>
        <w:p>
          <w:pPr>
            <w:pStyle w:val="Contents5"/>
            <w:tabs>
              <w:tab w:val="clear" w:pos="7892"/>
              <w:tab w:val="right" w:pos="9026" w:leader="dot"/>
            </w:tabs>
            <w:rPr/>
          </w:pPr>
          <w:hyperlink w:anchor="__RefHeading___Toc4284383_73709187">
            <w:r>
              <w:rPr>
                <w:webHidden/>
                <w:rStyle w:val="IndexLink"/>
                <w:rtl w:val="true"/>
              </w:rPr>
              <w:t>اشارة</w:t>
            </w:r>
            <w:r>
              <w:rPr>
                <w:rStyle w:val="IndexLink"/>
                <w:rtl w:val="true"/>
              </w:rPr>
              <w:tab/>
            </w:r>
            <w:r>
              <w:rPr>
                <w:rStyle w:val="IndexLink"/>
              </w:rPr>
              <w:t>257</w:t>
            </w:r>
          </w:hyperlink>
        </w:p>
        <w:p>
          <w:pPr>
            <w:pStyle w:val="Contents5"/>
            <w:tabs>
              <w:tab w:val="clear" w:pos="7892"/>
              <w:tab w:val="right" w:pos="9026" w:leader="dot"/>
            </w:tabs>
            <w:rPr/>
          </w:pPr>
          <w:hyperlink w:anchor="__RefHeading___Toc4284385_73709187">
            <w:r>
              <w:rPr>
                <w:webHidden/>
                <w:rStyle w:val="IndexLink"/>
                <w:rtl w:val="true"/>
              </w:rPr>
              <w:t>التعليقات</w:t>
            </w:r>
            <w:r>
              <w:rPr>
                <w:rStyle w:val="IndexLink"/>
                <w:rtl w:val="true"/>
              </w:rPr>
              <w:t>:</w:t>
              <w:tab/>
            </w:r>
            <w:r>
              <w:rPr>
                <w:rStyle w:val="IndexLink"/>
              </w:rPr>
              <w:t>257</w:t>
            </w:r>
          </w:hyperlink>
        </w:p>
        <w:p>
          <w:pPr>
            <w:pStyle w:val="Contents4"/>
            <w:tabs>
              <w:tab w:val="clear" w:pos="8176"/>
              <w:tab w:val="right" w:pos="9026" w:leader="dot"/>
            </w:tabs>
            <w:rPr/>
          </w:pPr>
          <w:hyperlink w:anchor="__RefHeading___Toc4284387_73709187">
            <w:r>
              <w:rPr>
                <w:webHidden/>
                <w:rStyle w:val="IndexLink"/>
                <w:rtl w:val="true"/>
              </w:rPr>
              <w:t xml:space="preserve">تتمة الدور السادس </w:t>
            </w:r>
            <w:r>
              <w:rPr>
                <w:rStyle w:val="IndexLink"/>
                <w:rtl w:val="true"/>
              </w:rPr>
              <w:t>[(</w:t>
            </w:r>
            <w:r>
              <w:rPr>
                <w:rStyle w:val="IndexLink"/>
              </w:rPr>
              <w:t>2</w:t>
            </w:r>
            <w:r>
              <w:rPr>
                <w:rStyle w:val="IndexLink"/>
                <w:rtl w:val="true"/>
              </w:rPr>
              <w:t>)]:</w:t>
              <w:tab/>
            </w:r>
            <w:r>
              <w:rPr>
                <w:rStyle w:val="IndexLink"/>
              </w:rPr>
              <w:t>258</w:t>
            </w:r>
          </w:hyperlink>
        </w:p>
        <w:p>
          <w:pPr>
            <w:pStyle w:val="Contents5"/>
            <w:tabs>
              <w:tab w:val="clear" w:pos="7892"/>
              <w:tab w:val="right" w:pos="9026" w:leader="dot"/>
            </w:tabs>
            <w:rPr/>
          </w:pPr>
          <w:hyperlink w:anchor="__RefHeading___Toc4284389_73709187">
            <w:r>
              <w:rPr>
                <w:webHidden/>
                <w:rStyle w:val="IndexLink"/>
                <w:rtl w:val="true"/>
              </w:rPr>
              <w:t>اشارة</w:t>
            </w:r>
            <w:r>
              <w:rPr>
                <w:rStyle w:val="IndexLink"/>
                <w:rtl w:val="true"/>
              </w:rPr>
              <w:tab/>
            </w:r>
            <w:r>
              <w:rPr>
                <w:rStyle w:val="IndexLink"/>
              </w:rPr>
              <w:t>258</w:t>
            </w:r>
          </w:hyperlink>
        </w:p>
        <w:p>
          <w:pPr>
            <w:pStyle w:val="Contents5"/>
            <w:tabs>
              <w:tab w:val="clear" w:pos="7892"/>
              <w:tab w:val="right" w:pos="9026" w:leader="dot"/>
            </w:tabs>
            <w:rPr/>
          </w:pPr>
          <w:hyperlink w:anchor="__RefHeading___Toc4284391_73709187">
            <w:r>
              <w:rPr>
                <w:webHidden/>
                <w:rStyle w:val="IndexLink"/>
                <w:rtl w:val="true"/>
              </w:rPr>
              <w:t>التعليقات</w:t>
            </w:r>
            <w:r>
              <w:rPr>
                <w:rStyle w:val="IndexLink"/>
                <w:rtl w:val="true"/>
              </w:rPr>
              <w:t>:</w:t>
              <w:tab/>
            </w:r>
            <w:r>
              <w:rPr>
                <w:rStyle w:val="IndexLink"/>
              </w:rPr>
              <w:t>258</w:t>
            </w:r>
          </w:hyperlink>
        </w:p>
        <w:p>
          <w:pPr>
            <w:pStyle w:val="Contents4"/>
            <w:tabs>
              <w:tab w:val="clear" w:pos="8176"/>
              <w:tab w:val="right" w:pos="9026" w:leader="dot"/>
            </w:tabs>
            <w:rPr/>
          </w:pPr>
          <w:hyperlink w:anchor="__RefHeading___Toc4284393_73709187">
            <w:r>
              <w:rPr>
                <w:webHidden/>
                <w:rStyle w:val="IndexLink"/>
                <w:rtl w:val="true"/>
              </w:rPr>
              <w:t xml:space="preserve">تتمة الدور السادس </w:t>
            </w:r>
            <w:r>
              <w:rPr>
                <w:rStyle w:val="IndexLink"/>
                <w:rtl w:val="true"/>
              </w:rPr>
              <w:t>[(</w:t>
            </w:r>
            <w:r>
              <w:rPr>
                <w:rStyle w:val="IndexLink"/>
              </w:rPr>
              <w:t>3</w:t>
            </w:r>
            <w:r>
              <w:rPr>
                <w:rStyle w:val="IndexLink"/>
                <w:rtl w:val="true"/>
              </w:rPr>
              <w:t>)]:</w:t>
              <w:tab/>
            </w:r>
            <w:r>
              <w:rPr>
                <w:rStyle w:val="IndexLink"/>
              </w:rPr>
              <w:t>259</w:t>
            </w:r>
          </w:hyperlink>
        </w:p>
        <w:p>
          <w:pPr>
            <w:pStyle w:val="Contents5"/>
            <w:tabs>
              <w:tab w:val="clear" w:pos="7892"/>
              <w:tab w:val="right" w:pos="9026" w:leader="dot"/>
            </w:tabs>
            <w:rPr/>
          </w:pPr>
          <w:hyperlink w:anchor="__RefHeading___Toc4284395_73709187">
            <w:r>
              <w:rPr>
                <w:webHidden/>
                <w:rStyle w:val="IndexLink"/>
                <w:rtl w:val="true"/>
              </w:rPr>
              <w:t>اشارة</w:t>
            </w:r>
            <w:r>
              <w:rPr>
                <w:rStyle w:val="IndexLink"/>
                <w:rtl w:val="true"/>
              </w:rPr>
              <w:tab/>
            </w:r>
            <w:r>
              <w:rPr>
                <w:rStyle w:val="IndexLink"/>
              </w:rPr>
              <w:t>259</w:t>
            </w:r>
          </w:hyperlink>
        </w:p>
        <w:p>
          <w:pPr>
            <w:pStyle w:val="Contents5"/>
            <w:tabs>
              <w:tab w:val="clear" w:pos="7892"/>
              <w:tab w:val="right" w:pos="9026" w:leader="dot"/>
            </w:tabs>
            <w:rPr/>
          </w:pPr>
          <w:hyperlink w:anchor="__RefHeading___Toc4284397_73709187">
            <w:r>
              <w:rPr>
                <w:webHidden/>
                <w:rStyle w:val="IndexLink"/>
                <w:rtl w:val="true"/>
              </w:rPr>
              <w:t>التعليقات</w:t>
            </w:r>
            <w:r>
              <w:rPr>
                <w:rStyle w:val="IndexLink"/>
                <w:rtl w:val="true"/>
              </w:rPr>
              <w:t>:</w:t>
              <w:tab/>
            </w:r>
            <w:r>
              <w:rPr>
                <w:rStyle w:val="IndexLink"/>
              </w:rPr>
              <w:t>259</w:t>
            </w:r>
          </w:hyperlink>
        </w:p>
        <w:p>
          <w:pPr>
            <w:pStyle w:val="Contents4"/>
            <w:tabs>
              <w:tab w:val="clear" w:pos="8176"/>
              <w:tab w:val="right" w:pos="9026" w:leader="dot"/>
            </w:tabs>
            <w:rPr/>
          </w:pPr>
          <w:hyperlink w:anchor="__RefHeading___Toc4284399_73709187">
            <w:r>
              <w:rPr>
                <w:webHidden/>
                <w:rStyle w:val="IndexLink"/>
                <w:rtl w:val="true"/>
              </w:rPr>
              <w:t xml:space="preserve">تتمة الدور السادس </w:t>
            </w:r>
            <w:r>
              <w:rPr>
                <w:rStyle w:val="IndexLink"/>
                <w:rtl w:val="true"/>
              </w:rPr>
              <w:t>[(</w:t>
            </w:r>
            <w:r>
              <w:rPr>
                <w:rStyle w:val="IndexLink"/>
              </w:rPr>
              <w:t>4</w:t>
            </w:r>
            <w:r>
              <w:rPr>
                <w:rStyle w:val="IndexLink"/>
                <w:rtl w:val="true"/>
              </w:rPr>
              <w:t>)]:</w:t>
              <w:tab/>
            </w:r>
            <w:r>
              <w:rPr>
                <w:rStyle w:val="IndexLink"/>
              </w:rPr>
              <w:t>260</w:t>
            </w:r>
          </w:hyperlink>
        </w:p>
        <w:p>
          <w:pPr>
            <w:pStyle w:val="Contents5"/>
            <w:tabs>
              <w:tab w:val="clear" w:pos="7892"/>
              <w:tab w:val="right" w:pos="9026" w:leader="dot"/>
            </w:tabs>
            <w:rPr/>
          </w:pPr>
          <w:hyperlink w:anchor="__RefHeading___Toc4284401_73709187">
            <w:r>
              <w:rPr>
                <w:webHidden/>
                <w:rStyle w:val="IndexLink"/>
                <w:rtl w:val="true"/>
              </w:rPr>
              <w:t>اشارة</w:t>
            </w:r>
            <w:r>
              <w:rPr>
                <w:rStyle w:val="IndexLink"/>
                <w:rtl w:val="true"/>
              </w:rPr>
              <w:tab/>
            </w:r>
            <w:r>
              <w:rPr>
                <w:rStyle w:val="IndexLink"/>
              </w:rPr>
              <w:t>260</w:t>
            </w:r>
          </w:hyperlink>
        </w:p>
        <w:p>
          <w:pPr>
            <w:pStyle w:val="Contents5"/>
            <w:tabs>
              <w:tab w:val="clear" w:pos="7892"/>
              <w:tab w:val="right" w:pos="9026" w:leader="dot"/>
            </w:tabs>
            <w:rPr/>
          </w:pPr>
          <w:hyperlink w:anchor="__RefHeading___Toc4284403_73709187">
            <w:r>
              <w:rPr>
                <w:webHidden/>
                <w:rStyle w:val="IndexLink"/>
                <w:rtl w:val="true"/>
              </w:rPr>
              <w:t>التعليقات</w:t>
            </w:r>
            <w:r>
              <w:rPr>
                <w:rStyle w:val="IndexLink"/>
                <w:rtl w:val="true"/>
              </w:rPr>
              <w:t>:</w:t>
              <w:tab/>
            </w:r>
            <w:r>
              <w:rPr>
                <w:rStyle w:val="IndexLink"/>
              </w:rPr>
              <w:t>260</w:t>
            </w:r>
          </w:hyperlink>
        </w:p>
        <w:p>
          <w:pPr>
            <w:pStyle w:val="Contents4"/>
            <w:tabs>
              <w:tab w:val="clear" w:pos="8176"/>
              <w:tab w:val="right" w:pos="9026" w:leader="dot"/>
            </w:tabs>
            <w:rPr/>
          </w:pPr>
          <w:hyperlink w:anchor="__RefHeading___Toc4284405_73709187">
            <w:r>
              <w:rPr>
                <w:webHidden/>
                <w:rStyle w:val="IndexLink"/>
                <w:rtl w:val="true"/>
              </w:rPr>
              <w:t xml:space="preserve">تتمة الدور السادس </w:t>
            </w:r>
            <w:r>
              <w:rPr>
                <w:rStyle w:val="IndexLink"/>
                <w:rtl w:val="true"/>
              </w:rPr>
              <w:t>[(</w:t>
            </w:r>
            <w:r>
              <w:rPr>
                <w:rStyle w:val="IndexLink"/>
              </w:rPr>
              <w:t>5</w:t>
            </w:r>
            <w:r>
              <w:rPr>
                <w:rStyle w:val="IndexLink"/>
                <w:rtl w:val="true"/>
              </w:rPr>
              <w:t>)]:</w:t>
              <w:tab/>
            </w:r>
            <w:r>
              <w:rPr>
                <w:rStyle w:val="IndexLink"/>
              </w:rPr>
              <w:t>261</w:t>
            </w:r>
          </w:hyperlink>
        </w:p>
        <w:p>
          <w:pPr>
            <w:pStyle w:val="Contents5"/>
            <w:tabs>
              <w:tab w:val="clear" w:pos="7892"/>
              <w:tab w:val="right" w:pos="9026" w:leader="dot"/>
            </w:tabs>
            <w:rPr/>
          </w:pPr>
          <w:hyperlink w:anchor="__RefHeading___Toc4284407_73709187">
            <w:r>
              <w:rPr>
                <w:webHidden/>
                <w:rStyle w:val="IndexLink"/>
                <w:rtl w:val="true"/>
              </w:rPr>
              <w:t>اشارة</w:t>
            </w:r>
            <w:r>
              <w:rPr>
                <w:rStyle w:val="IndexLink"/>
                <w:rtl w:val="true"/>
              </w:rPr>
              <w:tab/>
            </w:r>
            <w:r>
              <w:rPr>
                <w:rStyle w:val="IndexLink"/>
              </w:rPr>
              <w:t>261</w:t>
            </w:r>
          </w:hyperlink>
        </w:p>
        <w:p>
          <w:pPr>
            <w:pStyle w:val="Contents5"/>
            <w:tabs>
              <w:tab w:val="clear" w:pos="7892"/>
              <w:tab w:val="right" w:pos="9026" w:leader="dot"/>
            </w:tabs>
            <w:rPr/>
          </w:pPr>
          <w:hyperlink w:anchor="__RefHeading___Toc4284409_73709187">
            <w:r>
              <w:rPr>
                <w:webHidden/>
                <w:rStyle w:val="IndexLink"/>
                <w:rtl w:val="true"/>
              </w:rPr>
              <w:t>التعليقات</w:t>
            </w:r>
            <w:r>
              <w:rPr>
                <w:rStyle w:val="IndexLink"/>
                <w:rtl w:val="true"/>
              </w:rPr>
              <w:t>:</w:t>
              <w:tab/>
            </w:r>
            <w:r>
              <w:rPr>
                <w:rStyle w:val="IndexLink"/>
              </w:rPr>
              <w:t>261</w:t>
            </w:r>
          </w:hyperlink>
        </w:p>
        <w:p>
          <w:pPr>
            <w:pStyle w:val="Contents4"/>
            <w:tabs>
              <w:tab w:val="clear" w:pos="8176"/>
              <w:tab w:val="right" w:pos="9026" w:leader="dot"/>
            </w:tabs>
            <w:rPr/>
          </w:pPr>
          <w:hyperlink w:anchor="__RefHeading___Toc4284411_73709187">
            <w:r>
              <w:rPr>
                <w:webHidden/>
                <w:rStyle w:val="IndexLink"/>
                <w:rtl w:val="true"/>
              </w:rPr>
              <w:t xml:space="preserve">تتمة الدور السادس </w:t>
            </w:r>
            <w:r>
              <w:rPr>
                <w:rStyle w:val="IndexLink"/>
                <w:rtl w:val="true"/>
              </w:rPr>
              <w:t>[(</w:t>
            </w:r>
            <w:r>
              <w:rPr>
                <w:rStyle w:val="IndexLink"/>
              </w:rPr>
              <w:t>6</w:t>
            </w:r>
            <w:r>
              <w:rPr>
                <w:rStyle w:val="IndexLink"/>
                <w:rtl w:val="true"/>
              </w:rPr>
              <w:t>)]:</w:t>
              <w:tab/>
            </w:r>
            <w:r>
              <w:rPr>
                <w:rStyle w:val="IndexLink"/>
              </w:rPr>
              <w:t>262</w:t>
            </w:r>
          </w:hyperlink>
        </w:p>
        <w:p>
          <w:pPr>
            <w:pStyle w:val="Contents5"/>
            <w:tabs>
              <w:tab w:val="clear" w:pos="7892"/>
              <w:tab w:val="right" w:pos="9026" w:leader="dot"/>
            </w:tabs>
            <w:rPr/>
          </w:pPr>
          <w:hyperlink w:anchor="__RefHeading___Toc4284413_73709187">
            <w:r>
              <w:rPr>
                <w:webHidden/>
                <w:rStyle w:val="IndexLink"/>
                <w:rtl w:val="true"/>
              </w:rPr>
              <w:t>اشارة</w:t>
            </w:r>
            <w:r>
              <w:rPr>
                <w:rStyle w:val="IndexLink"/>
                <w:rtl w:val="true"/>
              </w:rPr>
              <w:tab/>
            </w:r>
            <w:r>
              <w:rPr>
                <w:rStyle w:val="IndexLink"/>
              </w:rPr>
              <w:t>262</w:t>
            </w:r>
          </w:hyperlink>
        </w:p>
        <w:p>
          <w:pPr>
            <w:pStyle w:val="Contents5"/>
            <w:tabs>
              <w:tab w:val="clear" w:pos="7892"/>
              <w:tab w:val="right" w:pos="9026" w:leader="dot"/>
            </w:tabs>
            <w:rPr/>
          </w:pPr>
          <w:hyperlink w:anchor="__RefHeading___Toc4284415_73709187">
            <w:r>
              <w:rPr>
                <w:webHidden/>
                <w:rStyle w:val="IndexLink"/>
                <w:rtl w:val="true"/>
              </w:rPr>
              <w:t>التعليقات</w:t>
            </w:r>
            <w:r>
              <w:rPr>
                <w:rStyle w:val="IndexLink"/>
                <w:rtl w:val="true"/>
              </w:rPr>
              <w:t>:</w:t>
              <w:tab/>
            </w:r>
            <w:r>
              <w:rPr>
                <w:rStyle w:val="IndexLink"/>
              </w:rPr>
              <w:t>262</w:t>
            </w:r>
          </w:hyperlink>
        </w:p>
        <w:p>
          <w:pPr>
            <w:pStyle w:val="Contents5"/>
            <w:tabs>
              <w:tab w:val="clear" w:pos="7892"/>
              <w:tab w:val="right" w:pos="9026" w:leader="dot"/>
            </w:tabs>
            <w:rPr/>
          </w:pPr>
          <w:hyperlink w:anchor="__RefHeading___Toc4284417_73709187">
            <w:r>
              <w:rPr>
                <w:webHidden/>
                <w:rStyle w:val="IndexLink"/>
                <w:rtl w:val="true"/>
              </w:rPr>
              <w:t>تأملات في أدوار الإمامة</w:t>
            </w:r>
            <w:r>
              <w:rPr>
                <w:rStyle w:val="IndexLink"/>
                <w:rtl w:val="true"/>
              </w:rPr>
              <w:tab/>
            </w:r>
            <w:r>
              <w:rPr>
                <w:rStyle w:val="IndexLink"/>
              </w:rPr>
              <w:t>263</w:t>
            </w:r>
          </w:hyperlink>
        </w:p>
        <w:p>
          <w:pPr>
            <w:pStyle w:val="Contents4"/>
            <w:tabs>
              <w:tab w:val="clear" w:pos="8176"/>
              <w:tab w:val="right" w:pos="9026" w:leader="dot"/>
            </w:tabs>
            <w:rPr/>
          </w:pPr>
          <w:hyperlink w:anchor="__RefHeading___Toc4284419_73709187">
            <w:r>
              <w:rPr>
                <w:webHidden/>
                <w:rStyle w:val="IndexLink"/>
                <w:rtl w:val="true"/>
              </w:rPr>
              <w:t>تتمة الدور السادس</w:t>
            </w:r>
            <w:r>
              <w:rPr>
                <w:rStyle w:val="IndexLink"/>
                <w:rtl w:val="true"/>
              </w:rPr>
              <w:t>:</w:t>
              <w:tab/>
            </w:r>
            <w:r>
              <w:rPr>
                <w:rStyle w:val="IndexLink"/>
              </w:rPr>
              <w:t>266</w:t>
            </w:r>
          </w:hyperlink>
        </w:p>
        <w:p>
          <w:pPr>
            <w:pStyle w:val="Contents2"/>
            <w:tabs>
              <w:tab w:val="clear" w:pos="8743"/>
              <w:tab w:val="right" w:pos="9026" w:leader="dot"/>
            </w:tabs>
            <w:rPr/>
          </w:pPr>
          <w:hyperlink w:anchor="__RefHeading___Toc4284421_73709187">
            <w:r>
              <w:rPr>
                <w:webHidden/>
                <w:rStyle w:val="IndexLink"/>
                <w:rtl w:val="true"/>
              </w:rPr>
              <w:t>الفصل الثاني عشر</w:t>
            </w:r>
            <w:r>
              <w:rPr>
                <w:rStyle w:val="IndexLink"/>
                <w:rtl w:val="true"/>
              </w:rPr>
              <w:t xml:space="preserve">: </w:t>
            </w:r>
            <w:r>
              <w:rPr>
                <w:rStyle w:val="IndexLink"/>
                <w:rtl w:val="true"/>
              </w:rPr>
              <w:t>في نظرية المثل و الممثول أو تأويلات الإسماعيلية</w:t>
            </w:r>
            <w:r>
              <w:rPr>
                <w:rStyle w:val="IndexLink"/>
                <w:rtl w:val="true"/>
              </w:rPr>
              <w:tab/>
            </w:r>
            <w:r>
              <w:rPr>
                <w:rStyle w:val="IndexLink"/>
              </w:rPr>
              <w:t>269</w:t>
            </w:r>
          </w:hyperlink>
        </w:p>
        <w:p>
          <w:pPr>
            <w:pStyle w:val="Contents3"/>
            <w:tabs>
              <w:tab w:val="clear" w:pos="8459"/>
              <w:tab w:val="right" w:pos="9026" w:leader="dot"/>
            </w:tabs>
            <w:rPr/>
          </w:pPr>
          <w:hyperlink w:anchor="__RefHeading___Toc4284423_73709187">
            <w:r>
              <w:rPr>
                <w:webHidden/>
                <w:rStyle w:val="IndexLink"/>
                <w:rtl w:val="true"/>
              </w:rPr>
              <w:t>اشارة</w:t>
            </w:r>
            <w:r>
              <w:rPr>
                <w:rStyle w:val="IndexLink"/>
                <w:rtl w:val="true"/>
              </w:rPr>
              <w:tab/>
            </w:r>
            <w:r>
              <w:rPr>
                <w:rStyle w:val="IndexLink"/>
              </w:rPr>
              <w:t>269</w:t>
            </w:r>
          </w:hyperlink>
        </w:p>
        <w:p>
          <w:pPr>
            <w:pStyle w:val="Contents3"/>
            <w:tabs>
              <w:tab w:val="clear" w:pos="8459"/>
              <w:tab w:val="right" w:pos="9026" w:leader="dot"/>
            </w:tabs>
            <w:rPr/>
          </w:pPr>
          <w:hyperlink w:anchor="__RefHeading___Toc4284425_73709187">
            <w:r>
              <w:rPr>
                <w:webHidden/>
                <w:rStyle w:val="IndexLink"/>
              </w:rPr>
              <w:t>1</w:t>
            </w:r>
            <w:r>
              <w:rPr>
                <w:rStyle w:val="IndexLink"/>
                <w:rtl w:val="true"/>
              </w:rPr>
              <w:t xml:space="preserve"> - </w:t>
            </w:r>
            <w:r>
              <w:rPr>
                <w:rStyle w:val="IndexLink"/>
                <w:rtl w:val="true"/>
              </w:rPr>
              <w:t>العقول العشرة</w:t>
            </w:r>
            <w:r>
              <w:rPr>
                <w:rStyle w:val="IndexLink"/>
                <w:rtl w:val="true"/>
              </w:rPr>
              <w:tab/>
            </w:r>
            <w:r>
              <w:rPr>
                <w:rStyle w:val="IndexLink"/>
              </w:rPr>
              <w:t>272</w:t>
            </w:r>
          </w:hyperlink>
        </w:p>
        <w:p>
          <w:pPr>
            <w:pStyle w:val="Contents3"/>
            <w:tabs>
              <w:tab w:val="clear" w:pos="8459"/>
              <w:tab w:val="right" w:pos="9026" w:leader="dot"/>
            </w:tabs>
            <w:rPr/>
          </w:pPr>
          <w:hyperlink w:anchor="__RefHeading___Toc4284427_73709187">
            <w:r>
              <w:rPr>
                <w:webHidden/>
                <w:rStyle w:val="IndexLink"/>
              </w:rPr>
              <w:t>2</w:t>
            </w:r>
            <w:r>
              <w:rPr>
                <w:rStyle w:val="IndexLink"/>
                <w:rtl w:val="true"/>
              </w:rPr>
              <w:t xml:space="preserve"> - </w:t>
            </w:r>
            <w:r>
              <w:rPr>
                <w:rStyle w:val="IndexLink"/>
                <w:rtl w:val="true"/>
              </w:rPr>
              <w:t>النطقاء السبعة و أمثالها</w:t>
            </w:r>
            <w:r>
              <w:rPr>
                <w:rStyle w:val="IndexLink"/>
                <w:rtl w:val="true"/>
              </w:rPr>
              <w:t>:</w:t>
              <w:tab/>
            </w:r>
            <w:r>
              <w:rPr>
                <w:rStyle w:val="IndexLink"/>
              </w:rPr>
              <w:t>275</w:t>
            </w:r>
          </w:hyperlink>
        </w:p>
        <w:p>
          <w:pPr>
            <w:pStyle w:val="Contents3"/>
            <w:tabs>
              <w:tab w:val="clear" w:pos="8459"/>
              <w:tab w:val="right" w:pos="9026" w:leader="dot"/>
            </w:tabs>
            <w:rPr/>
          </w:pPr>
          <w:hyperlink w:anchor="__RefHeading___Toc4284429_73709187">
            <w:r>
              <w:rPr>
                <w:webHidden/>
                <w:rStyle w:val="IndexLink"/>
              </w:rPr>
              <w:t>3</w:t>
            </w:r>
            <w:r>
              <w:rPr>
                <w:rStyle w:val="IndexLink"/>
                <w:rtl w:val="true"/>
              </w:rPr>
              <w:t xml:space="preserve"> - </w:t>
            </w:r>
            <w:r>
              <w:rPr>
                <w:rStyle w:val="IndexLink"/>
                <w:rtl w:val="true"/>
              </w:rPr>
              <w:t>الأنوار الخمسة و أمثالها</w:t>
            </w:r>
            <w:r>
              <w:rPr>
                <w:rStyle w:val="IndexLink"/>
                <w:rtl w:val="true"/>
              </w:rPr>
              <w:t>:</w:t>
              <w:tab/>
            </w:r>
            <w:r>
              <w:rPr>
                <w:rStyle w:val="IndexLink"/>
              </w:rPr>
              <w:t>276</w:t>
            </w:r>
          </w:hyperlink>
        </w:p>
        <w:p>
          <w:pPr>
            <w:pStyle w:val="Contents3"/>
            <w:tabs>
              <w:tab w:val="clear" w:pos="8459"/>
              <w:tab w:val="right" w:pos="9026" w:leader="dot"/>
            </w:tabs>
            <w:rPr/>
          </w:pPr>
          <w:hyperlink w:anchor="__RefHeading___Toc4284431_73709187">
            <w:r>
              <w:rPr>
                <w:webHidden/>
                <w:rStyle w:val="IndexLink"/>
                <w:rtl w:val="true"/>
              </w:rPr>
              <w:t>نماذج من تأويلاتهم الفقهية</w:t>
            </w:r>
            <w:r>
              <w:rPr>
                <w:rStyle w:val="IndexLink"/>
                <w:rtl w:val="true"/>
              </w:rPr>
              <w:tab/>
            </w:r>
            <w:r>
              <w:rPr>
                <w:rStyle w:val="IndexLink"/>
              </w:rPr>
              <w:t>277</w:t>
            </w:r>
          </w:hyperlink>
        </w:p>
        <w:p>
          <w:pPr>
            <w:pStyle w:val="Contents4"/>
            <w:tabs>
              <w:tab w:val="clear" w:pos="8176"/>
              <w:tab w:val="right" w:pos="9026" w:leader="dot"/>
            </w:tabs>
            <w:rPr/>
          </w:pPr>
          <w:hyperlink w:anchor="__RefHeading___Toc4284433_73709187">
            <w:r>
              <w:rPr>
                <w:webHidden/>
                <w:rStyle w:val="IndexLink"/>
                <w:rtl w:val="true"/>
              </w:rPr>
              <w:t>اشارة</w:t>
            </w:r>
            <w:r>
              <w:rPr>
                <w:rStyle w:val="IndexLink"/>
                <w:rtl w:val="true"/>
              </w:rPr>
              <w:tab/>
            </w:r>
            <w:r>
              <w:rPr>
                <w:rStyle w:val="IndexLink"/>
              </w:rPr>
              <w:t>277</w:t>
            </w:r>
          </w:hyperlink>
        </w:p>
        <w:p>
          <w:pPr>
            <w:pStyle w:val="Contents4"/>
            <w:tabs>
              <w:tab w:val="clear" w:pos="8176"/>
              <w:tab w:val="right" w:pos="9026" w:leader="dot"/>
            </w:tabs>
            <w:rPr/>
          </w:pPr>
          <w:hyperlink w:anchor="__RefHeading___Toc4284435_73709187">
            <w:r>
              <w:rPr>
                <w:webHidden/>
                <w:rStyle w:val="IndexLink"/>
                <w:rtl w:val="true"/>
              </w:rPr>
              <w:t xml:space="preserve">كتاب الولاية </w:t>
            </w:r>
            <w:r>
              <w:rPr>
                <w:rStyle w:val="IndexLink"/>
                <w:rtl w:val="true"/>
              </w:rPr>
              <w:t>(</w:t>
            </w:r>
            <w:r>
              <w:rPr>
                <w:rStyle w:val="IndexLink"/>
                <w:rtl w:val="true"/>
              </w:rPr>
              <w:t>الدعامة الأُولىٰ</w:t>
            </w:r>
            <w:r>
              <w:rPr>
                <w:rStyle w:val="IndexLink"/>
                <w:rtl w:val="true"/>
              </w:rPr>
              <w:t>)</w:t>
              <w:tab/>
            </w:r>
            <w:r>
              <w:rPr>
                <w:rStyle w:val="IndexLink"/>
              </w:rPr>
              <w:t>280</w:t>
            </w:r>
          </w:hyperlink>
        </w:p>
        <w:p>
          <w:pPr>
            <w:pStyle w:val="Contents4"/>
            <w:tabs>
              <w:tab w:val="clear" w:pos="8176"/>
              <w:tab w:val="right" w:pos="9026" w:leader="dot"/>
            </w:tabs>
            <w:rPr/>
          </w:pPr>
          <w:hyperlink w:anchor="__RefHeading___Toc4284437_73709187">
            <w:r>
              <w:rPr>
                <w:webHidden/>
                <w:rStyle w:val="IndexLink"/>
                <w:rtl w:val="true"/>
              </w:rPr>
              <w:t xml:space="preserve">كتاب الطهارة </w:t>
            </w:r>
            <w:r>
              <w:rPr>
                <w:rStyle w:val="IndexLink"/>
                <w:rtl w:val="true"/>
              </w:rPr>
              <w:t>(</w:t>
            </w:r>
            <w:r>
              <w:rPr>
                <w:rStyle w:val="IndexLink"/>
                <w:rtl w:val="true"/>
              </w:rPr>
              <w:t>الدعامة الثانية</w:t>
            </w:r>
            <w:r>
              <w:rPr>
                <w:rStyle w:val="IndexLink"/>
                <w:rtl w:val="true"/>
              </w:rPr>
              <w:t>)</w:t>
              <w:tab/>
            </w:r>
            <w:r>
              <w:rPr>
                <w:rStyle w:val="IndexLink"/>
              </w:rPr>
              <w:t>282</w:t>
            </w:r>
          </w:hyperlink>
        </w:p>
        <w:p>
          <w:pPr>
            <w:pStyle w:val="Contents5"/>
            <w:tabs>
              <w:tab w:val="clear" w:pos="7892"/>
              <w:tab w:val="right" w:pos="9026" w:leader="dot"/>
            </w:tabs>
            <w:rPr/>
          </w:pPr>
          <w:hyperlink w:anchor="__RefHeading___Toc4284439_73709187">
            <w:r>
              <w:rPr>
                <w:webHidden/>
                <w:rStyle w:val="IndexLink"/>
                <w:rtl w:val="true"/>
              </w:rPr>
              <w:t>اشارة</w:t>
            </w:r>
            <w:r>
              <w:rPr>
                <w:rStyle w:val="IndexLink"/>
                <w:rtl w:val="true"/>
              </w:rPr>
              <w:tab/>
            </w:r>
            <w:r>
              <w:rPr>
                <w:rStyle w:val="IndexLink"/>
              </w:rPr>
              <w:t>282</w:t>
            </w:r>
          </w:hyperlink>
        </w:p>
        <w:p>
          <w:pPr>
            <w:pStyle w:val="Contents5"/>
            <w:tabs>
              <w:tab w:val="clear" w:pos="7892"/>
              <w:tab w:val="right" w:pos="9026" w:leader="dot"/>
            </w:tabs>
            <w:rPr/>
          </w:pPr>
          <w:hyperlink w:anchor="__RefHeading___Toc4284441_73709187">
            <w:r>
              <w:rPr>
                <w:webHidden/>
                <w:rStyle w:val="IndexLink"/>
                <w:rtl w:val="true"/>
              </w:rPr>
              <w:t>في التيمّم</w:t>
            </w:r>
            <w:r>
              <w:rPr>
                <w:rStyle w:val="IndexLink"/>
                <w:rtl w:val="true"/>
              </w:rPr>
              <w:t>:</w:t>
              <w:tab/>
            </w:r>
            <w:r>
              <w:rPr>
                <w:rStyle w:val="IndexLink"/>
              </w:rPr>
              <w:t>283</w:t>
            </w:r>
          </w:hyperlink>
        </w:p>
        <w:p>
          <w:pPr>
            <w:pStyle w:val="Contents5"/>
            <w:tabs>
              <w:tab w:val="clear" w:pos="7892"/>
              <w:tab w:val="right" w:pos="9026" w:leader="dot"/>
            </w:tabs>
            <w:rPr/>
          </w:pPr>
          <w:hyperlink w:anchor="__RefHeading___Toc4284443_73709187">
            <w:r>
              <w:rPr>
                <w:webHidden/>
                <w:rStyle w:val="IndexLink"/>
                <w:rtl w:val="true"/>
              </w:rPr>
              <w:t>في ذكر التنظّف</w:t>
            </w:r>
            <w:r>
              <w:rPr>
                <w:rStyle w:val="IndexLink"/>
                <w:rtl w:val="true"/>
              </w:rPr>
              <w:tab/>
            </w:r>
            <w:r>
              <w:rPr>
                <w:rStyle w:val="IndexLink"/>
              </w:rPr>
              <w:t>284</w:t>
            </w:r>
          </w:hyperlink>
        </w:p>
        <w:p>
          <w:pPr>
            <w:pStyle w:val="Contents4"/>
            <w:tabs>
              <w:tab w:val="clear" w:pos="8176"/>
              <w:tab w:val="right" w:pos="9026" w:leader="dot"/>
            </w:tabs>
            <w:rPr/>
          </w:pPr>
          <w:hyperlink w:anchor="__RefHeading___Toc4284445_73709187">
            <w:r>
              <w:rPr>
                <w:webHidden/>
                <w:rStyle w:val="IndexLink"/>
                <w:rtl w:val="true"/>
              </w:rPr>
              <w:t xml:space="preserve">كتاب الصلاة </w:t>
            </w:r>
            <w:r>
              <w:rPr>
                <w:rStyle w:val="IndexLink"/>
                <w:rtl w:val="true"/>
              </w:rPr>
              <w:t>(</w:t>
            </w:r>
            <w:r>
              <w:rPr>
                <w:rStyle w:val="IndexLink"/>
                <w:rtl w:val="true"/>
              </w:rPr>
              <w:t>الدعامة الثالثة</w:t>
            </w:r>
            <w:r>
              <w:rPr>
                <w:rStyle w:val="IndexLink"/>
                <w:rtl w:val="true"/>
              </w:rPr>
              <w:t>)</w:t>
              <w:tab/>
            </w:r>
            <w:r>
              <w:rPr>
                <w:rStyle w:val="IndexLink"/>
              </w:rPr>
              <w:t>285</w:t>
            </w:r>
          </w:hyperlink>
        </w:p>
        <w:p>
          <w:pPr>
            <w:pStyle w:val="Contents5"/>
            <w:tabs>
              <w:tab w:val="clear" w:pos="7892"/>
              <w:tab w:val="right" w:pos="9026" w:leader="dot"/>
            </w:tabs>
            <w:rPr/>
          </w:pPr>
          <w:hyperlink w:anchor="__RefHeading___Toc4284447_73709187">
            <w:r>
              <w:rPr>
                <w:webHidden/>
                <w:rStyle w:val="IndexLink"/>
                <w:rtl w:val="true"/>
              </w:rPr>
              <w:t>اشارة</w:t>
            </w:r>
            <w:r>
              <w:rPr>
                <w:rStyle w:val="IndexLink"/>
                <w:rtl w:val="true"/>
              </w:rPr>
              <w:tab/>
            </w:r>
            <w:r>
              <w:rPr>
                <w:rStyle w:val="IndexLink"/>
              </w:rPr>
              <w:t>285</w:t>
            </w:r>
          </w:hyperlink>
        </w:p>
        <w:p>
          <w:pPr>
            <w:pStyle w:val="Contents5"/>
            <w:tabs>
              <w:tab w:val="clear" w:pos="7892"/>
              <w:tab w:val="right" w:pos="9026" w:leader="dot"/>
            </w:tabs>
            <w:rPr/>
          </w:pPr>
          <w:hyperlink w:anchor="__RefHeading___Toc4284449_73709187">
            <w:r>
              <w:rPr>
                <w:webHidden/>
                <w:rStyle w:val="IndexLink"/>
                <w:rtl w:val="true"/>
              </w:rPr>
              <w:t>في عدد الصّلاة</w:t>
            </w:r>
            <w:r>
              <w:rPr>
                <w:rStyle w:val="IndexLink"/>
                <w:rtl w:val="true"/>
              </w:rPr>
              <w:tab/>
            </w:r>
            <w:r>
              <w:rPr>
                <w:rStyle w:val="IndexLink"/>
              </w:rPr>
              <w:t>286</w:t>
            </w:r>
          </w:hyperlink>
        </w:p>
        <w:p>
          <w:pPr>
            <w:pStyle w:val="Contents5"/>
            <w:tabs>
              <w:tab w:val="clear" w:pos="7892"/>
              <w:tab w:val="right" w:pos="9026" w:leader="dot"/>
            </w:tabs>
            <w:rPr/>
          </w:pPr>
          <w:hyperlink w:anchor="__RefHeading___Toc4284451_73709187">
            <w:r>
              <w:rPr>
                <w:webHidden/>
                <w:rStyle w:val="IndexLink"/>
                <w:rtl w:val="true"/>
              </w:rPr>
              <w:t>في وقت الصّلاة</w:t>
            </w:r>
            <w:r>
              <w:rPr>
                <w:rStyle w:val="IndexLink"/>
                <w:rtl w:val="true"/>
              </w:rPr>
              <w:tab/>
            </w:r>
            <w:r>
              <w:rPr>
                <w:rStyle w:val="IndexLink"/>
              </w:rPr>
              <w:t>287</w:t>
            </w:r>
          </w:hyperlink>
        </w:p>
        <w:p>
          <w:pPr>
            <w:pStyle w:val="Contents5"/>
            <w:tabs>
              <w:tab w:val="clear" w:pos="7892"/>
              <w:tab w:val="right" w:pos="9026" w:leader="dot"/>
            </w:tabs>
            <w:rPr/>
          </w:pPr>
          <w:hyperlink w:anchor="__RefHeading___Toc4284453_73709187">
            <w:r>
              <w:rPr>
                <w:webHidden/>
                <w:rStyle w:val="IndexLink"/>
                <w:rtl w:val="true"/>
              </w:rPr>
              <w:t>في الأذان و الإقامة</w:t>
            </w:r>
            <w:r>
              <w:rPr>
                <w:rStyle w:val="IndexLink"/>
                <w:rtl w:val="true"/>
              </w:rPr>
              <w:tab/>
            </w:r>
            <w:r>
              <w:rPr>
                <w:rStyle w:val="IndexLink"/>
              </w:rPr>
              <w:t>288</w:t>
            </w:r>
          </w:hyperlink>
        </w:p>
        <w:p>
          <w:pPr>
            <w:pStyle w:val="Contents5"/>
            <w:tabs>
              <w:tab w:val="clear" w:pos="7892"/>
              <w:tab w:val="right" w:pos="9026" w:leader="dot"/>
            </w:tabs>
            <w:rPr/>
          </w:pPr>
          <w:hyperlink w:anchor="__RefHeading___Toc4284455_73709187">
            <w:r>
              <w:rPr>
                <w:webHidden/>
                <w:rStyle w:val="IndexLink"/>
                <w:rtl w:val="true"/>
              </w:rPr>
              <w:t>في ذكر المساجد</w:t>
            </w:r>
            <w:r>
              <w:rPr>
                <w:rStyle w:val="IndexLink"/>
                <w:rtl w:val="true"/>
              </w:rPr>
              <w:tab/>
            </w:r>
            <w:r>
              <w:rPr>
                <w:rStyle w:val="IndexLink"/>
              </w:rPr>
              <w:t>289</w:t>
            </w:r>
          </w:hyperlink>
        </w:p>
        <w:p>
          <w:pPr>
            <w:pStyle w:val="Contents5"/>
            <w:tabs>
              <w:tab w:val="clear" w:pos="7892"/>
              <w:tab w:val="right" w:pos="9026" w:leader="dot"/>
            </w:tabs>
            <w:rPr/>
          </w:pPr>
          <w:hyperlink w:anchor="__RefHeading___Toc4284457_73709187">
            <w:r>
              <w:rPr>
                <w:webHidden/>
                <w:rStyle w:val="IndexLink"/>
                <w:rtl w:val="true"/>
              </w:rPr>
              <w:t>في تكبيرة الافتتاح</w:t>
            </w:r>
            <w:r>
              <w:rPr>
                <w:rStyle w:val="IndexLink"/>
                <w:rtl w:val="true"/>
              </w:rPr>
              <w:tab/>
            </w:r>
            <w:r>
              <w:rPr>
                <w:rStyle w:val="IndexLink"/>
              </w:rPr>
              <w:t>289</w:t>
            </w:r>
          </w:hyperlink>
        </w:p>
        <w:p>
          <w:pPr>
            <w:pStyle w:val="Contents5"/>
            <w:tabs>
              <w:tab w:val="clear" w:pos="7892"/>
              <w:tab w:val="right" w:pos="9026" w:leader="dot"/>
            </w:tabs>
            <w:rPr/>
          </w:pPr>
          <w:hyperlink w:anchor="__RefHeading___Toc4284459_73709187">
            <w:r>
              <w:rPr>
                <w:webHidden/>
                <w:rStyle w:val="IndexLink"/>
                <w:rtl w:val="true"/>
              </w:rPr>
              <w:t>في القراءة</w:t>
            </w:r>
            <w:r>
              <w:rPr>
                <w:rStyle w:val="IndexLink"/>
                <w:rtl w:val="true"/>
              </w:rPr>
              <w:tab/>
            </w:r>
            <w:r>
              <w:rPr>
                <w:rStyle w:val="IndexLink"/>
              </w:rPr>
              <w:t>290</w:t>
            </w:r>
          </w:hyperlink>
        </w:p>
        <w:p>
          <w:pPr>
            <w:pStyle w:val="Contents5"/>
            <w:tabs>
              <w:tab w:val="clear" w:pos="7892"/>
              <w:tab w:val="right" w:pos="9026" w:leader="dot"/>
            </w:tabs>
            <w:rPr/>
          </w:pPr>
          <w:hyperlink w:anchor="__RefHeading___Toc4284461_73709187">
            <w:r>
              <w:rPr>
                <w:webHidden/>
                <w:rStyle w:val="IndexLink"/>
                <w:rtl w:val="true"/>
              </w:rPr>
              <w:t>في صلاة العيدين</w:t>
            </w:r>
            <w:r>
              <w:rPr>
                <w:rStyle w:val="IndexLink"/>
                <w:rtl w:val="true"/>
              </w:rPr>
              <w:tab/>
            </w:r>
            <w:r>
              <w:rPr>
                <w:rStyle w:val="IndexLink"/>
              </w:rPr>
              <w:t>291</w:t>
            </w:r>
          </w:hyperlink>
        </w:p>
        <w:p>
          <w:pPr>
            <w:pStyle w:val="Contents2"/>
            <w:tabs>
              <w:tab w:val="clear" w:pos="8743"/>
              <w:tab w:val="right" w:pos="9026" w:leader="dot"/>
            </w:tabs>
            <w:rPr/>
          </w:pPr>
          <w:hyperlink w:anchor="__RefHeading___Toc4284463_73709187">
            <w:r>
              <w:rPr>
                <w:webHidden/>
                <w:rStyle w:val="IndexLink"/>
                <w:rtl w:val="true"/>
              </w:rPr>
              <w:t>الفصل الثالث عشر</w:t>
            </w:r>
            <w:r>
              <w:rPr>
                <w:rStyle w:val="IndexLink"/>
                <w:rtl w:val="true"/>
              </w:rPr>
              <w:t xml:space="preserve">: </w:t>
            </w:r>
            <w:r>
              <w:rPr>
                <w:rStyle w:val="IndexLink"/>
                <w:rtl w:val="true"/>
              </w:rPr>
              <w:t>في أعلام الفكر الإسماعيلي</w:t>
            </w:r>
            <w:r>
              <w:rPr>
                <w:rStyle w:val="IndexLink"/>
                <w:rtl w:val="true"/>
              </w:rPr>
              <w:tab/>
            </w:r>
            <w:r>
              <w:rPr>
                <w:rStyle w:val="IndexLink"/>
              </w:rPr>
              <w:t>294</w:t>
            </w:r>
          </w:hyperlink>
        </w:p>
        <w:p>
          <w:pPr>
            <w:pStyle w:val="Contents3"/>
            <w:tabs>
              <w:tab w:val="clear" w:pos="8459"/>
              <w:tab w:val="right" w:pos="9026" w:leader="dot"/>
            </w:tabs>
            <w:rPr/>
          </w:pPr>
          <w:hyperlink w:anchor="__RefHeading___Toc4284465_73709187">
            <w:r>
              <w:rPr>
                <w:webHidden/>
                <w:rStyle w:val="IndexLink"/>
                <w:rtl w:val="true"/>
              </w:rPr>
              <w:t>اشارة</w:t>
            </w:r>
            <w:r>
              <w:rPr>
                <w:rStyle w:val="IndexLink"/>
                <w:rtl w:val="true"/>
              </w:rPr>
              <w:tab/>
            </w:r>
            <w:r>
              <w:rPr>
                <w:rStyle w:val="IndexLink"/>
              </w:rPr>
              <w:t>294</w:t>
            </w:r>
          </w:hyperlink>
        </w:p>
        <w:p>
          <w:pPr>
            <w:pStyle w:val="Contents3"/>
            <w:tabs>
              <w:tab w:val="clear" w:pos="8459"/>
              <w:tab w:val="right" w:pos="9026" w:leader="dot"/>
            </w:tabs>
            <w:rPr/>
          </w:pPr>
          <w:hyperlink w:anchor="__RefHeading___Toc4284467_73709187">
            <w:r>
              <w:rPr>
                <w:webHidden/>
                <w:rStyle w:val="IndexLink"/>
                <w:rtl w:val="true"/>
              </w:rPr>
              <w:t>(</w:t>
            </w:r>
            <w:r>
              <w:rPr>
                <w:rStyle w:val="IndexLink"/>
              </w:rPr>
              <w:t>1</w:t>
            </w:r>
            <w:r>
              <w:rPr>
                <w:rStyle w:val="IndexLink"/>
                <w:rtl w:val="true"/>
              </w:rPr>
              <w:t xml:space="preserve">) </w:t>
            </w:r>
            <w:r>
              <w:rPr>
                <w:rStyle w:val="IndexLink"/>
                <w:rtl w:val="true"/>
              </w:rPr>
              <w:t xml:space="preserve">أحمد بن حمدان بن أحمد الورثنياني </w:t>
            </w:r>
            <w:r>
              <w:rPr>
                <w:rStyle w:val="IndexLink"/>
                <w:rtl w:val="true"/>
              </w:rPr>
              <w:t>(</w:t>
            </w:r>
            <w:r>
              <w:rPr>
                <w:rStyle w:val="IndexLink"/>
                <w:rtl w:val="true"/>
              </w:rPr>
              <w:t>أبو حاتم الرازي</w:t>
            </w:r>
            <w:r>
              <w:rPr>
                <w:rStyle w:val="IndexLink"/>
                <w:rtl w:val="true"/>
              </w:rPr>
              <w:t>) (</w:t>
            </w:r>
            <w:r>
              <w:rPr>
                <w:rStyle w:val="IndexLink"/>
              </w:rPr>
              <w:t>260</w:t>
            </w:r>
            <w:r>
              <w:rPr>
                <w:rStyle w:val="IndexLink"/>
                <w:rtl w:val="true"/>
              </w:rPr>
              <w:t>-</w:t>
            </w:r>
            <w:r>
              <w:rPr>
                <w:rStyle w:val="IndexLink"/>
              </w:rPr>
              <w:t>322</w:t>
            </w:r>
            <w:r>
              <w:rPr>
                <w:rStyle w:val="IndexLink"/>
                <w:rtl w:val="true"/>
              </w:rPr>
              <w:t xml:space="preserve"> </w:t>
            </w:r>
            <w:r>
              <w:rPr>
                <w:rStyle w:val="IndexLink"/>
                <w:rtl w:val="true"/>
              </w:rPr>
              <w:t>ه</w:t>
            </w:r>
            <w:r>
              <w:rPr>
                <w:rStyle w:val="IndexLink"/>
                <w:rtl w:val="true"/>
              </w:rPr>
              <w:t>)</w:t>
              <w:tab/>
            </w:r>
            <w:r>
              <w:rPr>
                <w:rStyle w:val="IndexLink"/>
              </w:rPr>
              <w:t>296</w:t>
            </w:r>
          </w:hyperlink>
        </w:p>
        <w:p>
          <w:pPr>
            <w:pStyle w:val="Contents3"/>
            <w:tabs>
              <w:tab w:val="clear" w:pos="8459"/>
              <w:tab w:val="right" w:pos="9026" w:leader="dot"/>
            </w:tabs>
            <w:rPr/>
          </w:pPr>
          <w:hyperlink w:anchor="__RefHeading___Toc4284469_73709187">
            <w:r>
              <w:rPr>
                <w:webHidden/>
                <w:rStyle w:val="IndexLink"/>
                <w:rtl w:val="true"/>
              </w:rPr>
              <w:t>(</w:t>
            </w:r>
            <w:r>
              <w:rPr>
                <w:rStyle w:val="IndexLink"/>
              </w:rPr>
              <w:t>2</w:t>
            </w:r>
            <w:r>
              <w:rPr>
                <w:rStyle w:val="IndexLink"/>
                <w:rtl w:val="true"/>
              </w:rPr>
              <w:t xml:space="preserve">) </w:t>
            </w:r>
            <w:r>
              <w:rPr>
                <w:rStyle w:val="IndexLink"/>
                <w:rtl w:val="true"/>
              </w:rPr>
              <w:t xml:space="preserve">محمد بن أحمد النسفي البرذعي </w:t>
            </w:r>
            <w:r>
              <w:rPr>
                <w:rStyle w:val="IndexLink"/>
                <w:rtl w:val="true"/>
              </w:rPr>
              <w:t>(</w:t>
            </w:r>
            <w:r>
              <w:rPr>
                <w:rStyle w:val="IndexLink"/>
                <w:rtl w:val="true"/>
              </w:rPr>
              <w:t>النخشبي</w:t>
            </w:r>
            <w:r>
              <w:rPr>
                <w:rStyle w:val="IndexLink"/>
                <w:rtl w:val="true"/>
              </w:rPr>
              <w:t xml:space="preserve">) (... - </w:t>
            </w:r>
            <w:r>
              <w:rPr>
                <w:rStyle w:val="IndexLink"/>
              </w:rPr>
              <w:t>331</w:t>
            </w:r>
            <w:r>
              <w:rPr>
                <w:rStyle w:val="IndexLink"/>
                <w:rtl w:val="true"/>
              </w:rPr>
              <w:t xml:space="preserve"> </w:t>
            </w:r>
            <w:r>
              <w:rPr>
                <w:rStyle w:val="IndexLink"/>
                <w:rtl w:val="true"/>
              </w:rPr>
              <w:t>ه</w:t>
            </w:r>
            <w:r>
              <w:rPr>
                <w:rStyle w:val="IndexLink"/>
                <w:rtl w:val="true"/>
              </w:rPr>
              <w:t>)</w:t>
              <w:tab/>
            </w:r>
            <w:r>
              <w:rPr>
                <w:rStyle w:val="IndexLink"/>
              </w:rPr>
              <w:t>299</w:t>
            </w:r>
          </w:hyperlink>
        </w:p>
        <w:p>
          <w:pPr>
            <w:pStyle w:val="Contents3"/>
            <w:tabs>
              <w:tab w:val="clear" w:pos="8459"/>
              <w:tab w:val="right" w:pos="9026" w:leader="dot"/>
            </w:tabs>
            <w:rPr/>
          </w:pPr>
          <w:hyperlink w:anchor="__RefHeading___Toc4284471_73709187">
            <w:r>
              <w:rPr>
                <w:webHidden/>
                <w:rStyle w:val="IndexLink"/>
                <w:rtl w:val="true"/>
              </w:rPr>
              <w:t>(</w:t>
            </w:r>
            <w:r>
              <w:rPr>
                <w:rStyle w:val="IndexLink"/>
              </w:rPr>
              <w:t>3</w:t>
            </w:r>
            <w:r>
              <w:rPr>
                <w:rStyle w:val="IndexLink"/>
                <w:rtl w:val="true"/>
              </w:rPr>
              <w:t xml:space="preserve">) </w:t>
            </w:r>
            <w:r>
              <w:rPr>
                <w:rStyle w:val="IndexLink"/>
                <w:rtl w:val="true"/>
              </w:rPr>
              <w:t xml:space="preserve">أبو يعقوب السجستاني </w:t>
            </w:r>
            <w:r>
              <w:rPr>
                <w:rStyle w:val="IndexLink"/>
                <w:rtl w:val="true"/>
              </w:rPr>
              <w:t>(</w:t>
            </w:r>
            <w:r>
              <w:rPr>
                <w:rStyle w:val="IndexLink"/>
              </w:rPr>
              <w:t>271</w:t>
            </w:r>
            <w:r>
              <w:rPr>
                <w:rStyle w:val="IndexLink"/>
                <w:rtl w:val="true"/>
              </w:rPr>
              <w:t xml:space="preserve"> - </w:t>
            </w:r>
            <w:r>
              <w:rPr>
                <w:rStyle w:val="IndexLink"/>
                <w:rtl w:val="true"/>
              </w:rPr>
              <w:t xml:space="preserve">و كان حيّاً عام </w:t>
            </w:r>
            <w:r>
              <w:rPr>
                <w:rStyle w:val="IndexLink"/>
              </w:rPr>
              <w:t>360</w:t>
            </w:r>
            <w:r>
              <w:rPr>
                <w:rStyle w:val="IndexLink"/>
                <w:rtl w:val="true"/>
              </w:rPr>
              <w:t xml:space="preserve"> </w:t>
            </w:r>
            <w:r>
              <w:rPr>
                <w:rStyle w:val="IndexLink"/>
                <w:rtl w:val="true"/>
              </w:rPr>
              <w:t>ه</w:t>
            </w:r>
            <w:r>
              <w:rPr>
                <w:rStyle w:val="IndexLink"/>
                <w:rtl w:val="true"/>
              </w:rPr>
              <w:t>)</w:t>
              <w:tab/>
            </w:r>
            <w:r>
              <w:rPr>
                <w:rStyle w:val="IndexLink"/>
              </w:rPr>
              <w:t>300</w:t>
            </w:r>
          </w:hyperlink>
        </w:p>
        <w:p>
          <w:pPr>
            <w:pStyle w:val="Contents4"/>
            <w:tabs>
              <w:tab w:val="clear" w:pos="8176"/>
              <w:tab w:val="right" w:pos="9026" w:leader="dot"/>
            </w:tabs>
            <w:rPr/>
          </w:pPr>
          <w:hyperlink w:anchor="__RefHeading___Toc4284473_73709187">
            <w:r>
              <w:rPr>
                <w:webHidden/>
                <w:rStyle w:val="IndexLink"/>
                <w:rtl w:val="true"/>
              </w:rPr>
              <w:t>اشارة</w:t>
            </w:r>
            <w:r>
              <w:rPr>
                <w:rStyle w:val="IndexLink"/>
                <w:rtl w:val="true"/>
              </w:rPr>
              <w:tab/>
            </w:r>
            <w:r>
              <w:rPr>
                <w:rStyle w:val="IndexLink"/>
              </w:rPr>
              <w:t>300</w:t>
            </w:r>
          </w:hyperlink>
        </w:p>
        <w:p>
          <w:pPr>
            <w:pStyle w:val="Contents4"/>
            <w:tabs>
              <w:tab w:val="clear" w:pos="8176"/>
              <w:tab w:val="right" w:pos="9026" w:leader="dot"/>
            </w:tabs>
            <w:rPr/>
          </w:pPr>
          <w:hyperlink w:anchor="__RefHeading___Toc4284475_73709187">
            <w:r>
              <w:rPr>
                <w:webHidden/>
                <w:rStyle w:val="IndexLink"/>
                <w:rtl w:val="true"/>
              </w:rPr>
              <w:t>ولادته و وفاته</w:t>
            </w:r>
            <w:r>
              <w:rPr>
                <w:rStyle w:val="IndexLink"/>
                <w:rtl w:val="true"/>
              </w:rPr>
              <w:tab/>
            </w:r>
            <w:r>
              <w:rPr>
                <w:rStyle w:val="IndexLink"/>
              </w:rPr>
              <w:t>302</w:t>
            </w:r>
          </w:hyperlink>
        </w:p>
        <w:p>
          <w:pPr>
            <w:pStyle w:val="Contents3"/>
            <w:tabs>
              <w:tab w:val="clear" w:pos="8459"/>
              <w:tab w:val="right" w:pos="9026" w:leader="dot"/>
            </w:tabs>
            <w:rPr/>
          </w:pPr>
          <w:hyperlink w:anchor="__RefHeading___Toc4284477_73709187">
            <w:r>
              <w:rPr>
                <w:webHidden/>
                <w:rStyle w:val="IndexLink"/>
                <w:rtl w:val="true"/>
              </w:rPr>
              <w:t>(</w:t>
            </w:r>
            <w:r>
              <w:rPr>
                <w:rStyle w:val="IndexLink"/>
              </w:rPr>
              <w:t>4</w:t>
            </w:r>
            <w:r>
              <w:rPr>
                <w:rStyle w:val="IndexLink"/>
                <w:rtl w:val="true"/>
              </w:rPr>
              <w:t xml:space="preserve">) </w:t>
            </w:r>
            <w:r>
              <w:rPr>
                <w:rStyle w:val="IndexLink"/>
                <w:rtl w:val="true"/>
              </w:rPr>
              <w:t xml:space="preserve">أبو حنيفة النعمان </w:t>
            </w:r>
            <w:r>
              <w:rPr>
                <w:rStyle w:val="IndexLink"/>
                <w:rtl w:val="true"/>
              </w:rPr>
              <w:t xml:space="preserve">(... - </w:t>
            </w:r>
            <w:r>
              <w:rPr>
                <w:rStyle w:val="IndexLink"/>
              </w:rPr>
              <w:t>363</w:t>
            </w:r>
            <w:r>
              <w:rPr>
                <w:rStyle w:val="IndexLink"/>
                <w:rtl w:val="true"/>
              </w:rPr>
              <w:t xml:space="preserve"> </w:t>
            </w:r>
            <w:r>
              <w:rPr>
                <w:rStyle w:val="IndexLink"/>
                <w:rtl w:val="true"/>
              </w:rPr>
              <w:t>ه</w:t>
            </w:r>
            <w:r>
              <w:rPr>
                <w:rStyle w:val="IndexLink"/>
                <w:rtl w:val="true"/>
              </w:rPr>
              <w:t>)</w:t>
              <w:tab/>
            </w:r>
            <w:r>
              <w:rPr>
                <w:rStyle w:val="IndexLink"/>
              </w:rPr>
              <w:t>304</w:t>
            </w:r>
          </w:hyperlink>
        </w:p>
        <w:p>
          <w:pPr>
            <w:pStyle w:val="Contents4"/>
            <w:tabs>
              <w:tab w:val="clear" w:pos="8176"/>
              <w:tab w:val="right" w:pos="9026" w:leader="dot"/>
            </w:tabs>
            <w:rPr/>
          </w:pPr>
          <w:hyperlink w:anchor="__RefHeading___Toc4284479_73709187">
            <w:r>
              <w:rPr>
                <w:webHidden/>
                <w:rStyle w:val="IndexLink"/>
                <w:rtl w:val="true"/>
              </w:rPr>
              <w:t>اشارة</w:t>
            </w:r>
            <w:r>
              <w:rPr>
                <w:rStyle w:val="IndexLink"/>
                <w:rtl w:val="true"/>
              </w:rPr>
              <w:tab/>
            </w:r>
            <w:r>
              <w:rPr>
                <w:rStyle w:val="IndexLink"/>
              </w:rPr>
              <w:t>304</w:t>
            </w:r>
          </w:hyperlink>
        </w:p>
        <w:p>
          <w:pPr>
            <w:pStyle w:val="Contents4"/>
            <w:tabs>
              <w:tab w:val="clear" w:pos="8176"/>
              <w:tab w:val="right" w:pos="9026" w:leader="dot"/>
            </w:tabs>
            <w:rPr/>
          </w:pPr>
          <w:hyperlink w:anchor="__RefHeading___Toc4284481_73709187">
            <w:r>
              <w:rPr>
                <w:webHidden/>
                <w:rStyle w:val="IndexLink"/>
                <w:rtl w:val="true"/>
              </w:rPr>
              <w:t>النعمان إسماعيلي لا اثني عشري</w:t>
            </w:r>
            <w:r>
              <w:rPr>
                <w:rStyle w:val="IndexLink"/>
                <w:rtl w:val="true"/>
              </w:rPr>
              <w:tab/>
            </w:r>
            <w:r>
              <w:rPr>
                <w:rStyle w:val="IndexLink"/>
              </w:rPr>
              <w:t>306</w:t>
            </w:r>
          </w:hyperlink>
        </w:p>
        <w:p>
          <w:pPr>
            <w:pStyle w:val="Contents4"/>
            <w:tabs>
              <w:tab w:val="clear" w:pos="8176"/>
              <w:tab w:val="right" w:pos="9026" w:leader="dot"/>
            </w:tabs>
            <w:rPr/>
          </w:pPr>
          <w:hyperlink w:anchor="__RefHeading___Toc4284483_73709187">
            <w:r>
              <w:rPr>
                <w:webHidden/>
                <w:rStyle w:val="IndexLink"/>
                <w:rtl w:val="true"/>
              </w:rPr>
              <w:t>نظرة في كتاب الدعائم</w:t>
            </w:r>
            <w:r>
              <w:rPr>
                <w:rStyle w:val="IndexLink"/>
                <w:rtl w:val="true"/>
              </w:rPr>
              <w:tab/>
            </w:r>
            <w:r>
              <w:rPr>
                <w:rStyle w:val="IndexLink"/>
              </w:rPr>
              <w:t>312</w:t>
            </w:r>
          </w:hyperlink>
        </w:p>
        <w:p>
          <w:pPr>
            <w:pStyle w:val="Contents3"/>
            <w:tabs>
              <w:tab w:val="clear" w:pos="8459"/>
              <w:tab w:val="right" w:pos="9026" w:leader="dot"/>
            </w:tabs>
            <w:rPr/>
          </w:pPr>
          <w:hyperlink w:anchor="__RefHeading___Toc4284485_73709187">
            <w:r>
              <w:rPr>
                <w:webHidden/>
                <w:rStyle w:val="IndexLink"/>
                <w:rtl w:val="true"/>
              </w:rPr>
              <w:t>(</w:t>
            </w:r>
            <w:r>
              <w:rPr>
                <w:rStyle w:val="IndexLink"/>
              </w:rPr>
              <w:t>5</w:t>
            </w:r>
            <w:r>
              <w:rPr>
                <w:rStyle w:val="IndexLink"/>
                <w:rtl w:val="true"/>
              </w:rPr>
              <w:t xml:space="preserve">) </w:t>
            </w:r>
            <w:r>
              <w:rPr>
                <w:rStyle w:val="IndexLink"/>
                <w:rtl w:val="true"/>
              </w:rPr>
              <w:t xml:space="preserve">أحمد بن حميد الدّين بن عبد اللّٰه الكرماني </w:t>
            </w:r>
            <w:r>
              <w:rPr>
                <w:rStyle w:val="IndexLink"/>
                <w:rtl w:val="true"/>
              </w:rPr>
              <w:t>(</w:t>
            </w:r>
            <w:r>
              <w:rPr>
                <w:rStyle w:val="IndexLink"/>
              </w:rPr>
              <w:t>352</w:t>
            </w:r>
            <w:r>
              <w:rPr>
                <w:rStyle w:val="IndexLink"/>
                <w:rtl w:val="true"/>
              </w:rPr>
              <w:t xml:space="preserve"> - </w:t>
            </w:r>
            <w:r>
              <w:rPr>
                <w:rStyle w:val="IndexLink"/>
                <w:rtl w:val="true"/>
              </w:rPr>
              <w:t xml:space="preserve">كان حيّاً سنة </w:t>
            </w:r>
            <w:r>
              <w:rPr>
                <w:rStyle w:val="IndexLink"/>
              </w:rPr>
              <w:t>411</w:t>
            </w:r>
            <w:r>
              <w:rPr>
                <w:rStyle w:val="IndexLink"/>
                <w:rtl w:val="true"/>
              </w:rPr>
              <w:t xml:space="preserve"> </w:t>
            </w:r>
            <w:r>
              <w:rPr>
                <w:rStyle w:val="IndexLink"/>
                <w:rtl w:val="true"/>
              </w:rPr>
              <w:t>ه</w:t>
            </w:r>
            <w:r>
              <w:rPr>
                <w:rStyle w:val="IndexLink"/>
                <w:rtl w:val="true"/>
              </w:rPr>
              <w:t>)</w:t>
              <w:tab/>
            </w:r>
            <w:r>
              <w:rPr>
                <w:rStyle w:val="IndexLink"/>
              </w:rPr>
              <w:t>313</w:t>
            </w:r>
          </w:hyperlink>
        </w:p>
        <w:p>
          <w:pPr>
            <w:pStyle w:val="Contents3"/>
            <w:tabs>
              <w:tab w:val="clear" w:pos="8459"/>
              <w:tab w:val="right" w:pos="9026" w:leader="dot"/>
            </w:tabs>
            <w:rPr/>
          </w:pPr>
          <w:hyperlink w:anchor="__RefHeading___Toc4284487_73709187">
            <w:r>
              <w:rPr>
                <w:webHidden/>
                <w:rStyle w:val="IndexLink"/>
                <w:rtl w:val="true"/>
              </w:rPr>
              <w:t>(</w:t>
            </w:r>
            <w:r>
              <w:rPr>
                <w:rStyle w:val="IndexLink"/>
              </w:rPr>
              <w:t>6</w:t>
            </w:r>
            <w:r>
              <w:rPr>
                <w:rStyle w:val="IndexLink"/>
                <w:rtl w:val="true"/>
              </w:rPr>
              <w:t xml:space="preserve">) </w:t>
            </w:r>
            <w:r>
              <w:rPr>
                <w:rStyle w:val="IndexLink"/>
                <w:rtl w:val="true"/>
              </w:rPr>
              <w:t xml:space="preserve">المؤيّد في الدين </w:t>
            </w:r>
            <w:r>
              <w:rPr>
                <w:rStyle w:val="IndexLink"/>
                <w:rtl w:val="true"/>
              </w:rPr>
              <w:t>(</w:t>
            </w:r>
            <w:r>
              <w:rPr>
                <w:rStyle w:val="IndexLink"/>
                <w:rtl w:val="true"/>
              </w:rPr>
              <w:t xml:space="preserve">حدود </w:t>
            </w:r>
            <w:r>
              <w:rPr>
                <w:rStyle w:val="IndexLink"/>
              </w:rPr>
              <w:t>390</w:t>
            </w:r>
            <w:r>
              <w:rPr>
                <w:rStyle w:val="IndexLink"/>
                <w:rtl w:val="true"/>
              </w:rPr>
              <w:t>-</w:t>
            </w:r>
            <w:r>
              <w:rPr>
                <w:rStyle w:val="IndexLink"/>
              </w:rPr>
              <w:t>470</w:t>
            </w:r>
            <w:r>
              <w:rPr>
                <w:rStyle w:val="IndexLink"/>
                <w:rtl w:val="true"/>
              </w:rPr>
              <w:t xml:space="preserve"> </w:t>
            </w:r>
            <w:r>
              <w:rPr>
                <w:rStyle w:val="IndexLink"/>
                <w:rtl w:val="true"/>
              </w:rPr>
              <w:t>ه</w:t>
            </w:r>
            <w:r>
              <w:rPr>
                <w:rStyle w:val="IndexLink"/>
                <w:rtl w:val="true"/>
              </w:rPr>
              <w:t>)</w:t>
              <w:tab/>
            </w:r>
            <w:r>
              <w:rPr>
                <w:rStyle w:val="IndexLink"/>
              </w:rPr>
              <w:t>316</w:t>
            </w:r>
          </w:hyperlink>
        </w:p>
        <w:p>
          <w:pPr>
            <w:pStyle w:val="Contents3"/>
            <w:tabs>
              <w:tab w:val="clear" w:pos="8459"/>
              <w:tab w:val="right" w:pos="9026" w:leader="dot"/>
            </w:tabs>
            <w:rPr/>
          </w:pPr>
          <w:hyperlink w:anchor="__RefHeading___Toc4284489_73709187">
            <w:r>
              <w:rPr>
                <w:webHidden/>
                <w:rStyle w:val="IndexLink"/>
                <w:rtl w:val="true"/>
              </w:rPr>
              <w:t>(</w:t>
            </w:r>
            <w:r>
              <w:rPr>
                <w:rStyle w:val="IndexLink"/>
              </w:rPr>
              <w:t>7</w:t>
            </w:r>
            <w:r>
              <w:rPr>
                <w:rStyle w:val="IndexLink"/>
                <w:rtl w:val="true"/>
              </w:rPr>
              <w:t xml:space="preserve">) </w:t>
            </w:r>
            <w:r>
              <w:rPr>
                <w:rStyle w:val="IndexLink"/>
                <w:rtl w:val="true"/>
              </w:rPr>
              <w:t xml:space="preserve">ناصر خسرو </w:t>
            </w:r>
            <w:r>
              <w:rPr>
                <w:rStyle w:val="IndexLink"/>
                <w:rtl w:val="true"/>
              </w:rPr>
              <w:t>(</w:t>
            </w:r>
            <w:r>
              <w:rPr>
                <w:rStyle w:val="IndexLink"/>
                <w:rtl w:val="true"/>
              </w:rPr>
              <w:t>الرحالة المعروف</w:t>
            </w:r>
            <w:r>
              <w:rPr>
                <w:rStyle w:val="IndexLink"/>
                <w:rtl w:val="true"/>
              </w:rPr>
              <w:t>) (</w:t>
            </w:r>
            <w:r>
              <w:rPr>
                <w:rStyle w:val="IndexLink"/>
              </w:rPr>
              <w:t>394</w:t>
            </w:r>
            <w:r>
              <w:rPr>
                <w:rStyle w:val="IndexLink"/>
                <w:rtl w:val="true"/>
              </w:rPr>
              <w:t>-</w:t>
            </w:r>
            <w:r>
              <w:rPr>
                <w:rStyle w:val="IndexLink"/>
              </w:rPr>
              <w:t>481</w:t>
            </w:r>
            <w:r>
              <w:rPr>
                <w:rStyle w:val="IndexLink"/>
                <w:rtl w:val="true"/>
              </w:rPr>
              <w:t xml:space="preserve"> </w:t>
            </w:r>
            <w:r>
              <w:rPr>
                <w:rStyle w:val="IndexLink"/>
                <w:rtl w:val="true"/>
              </w:rPr>
              <w:t>ه</w:t>
            </w:r>
            <w:r>
              <w:rPr>
                <w:rStyle w:val="IndexLink"/>
                <w:rtl w:val="true"/>
              </w:rPr>
              <w:t>)</w:t>
              <w:tab/>
            </w:r>
            <w:r>
              <w:rPr>
                <w:rStyle w:val="IndexLink"/>
              </w:rPr>
              <w:t>318</w:t>
            </w:r>
          </w:hyperlink>
        </w:p>
        <w:p>
          <w:pPr>
            <w:pStyle w:val="Contents3"/>
            <w:tabs>
              <w:tab w:val="clear" w:pos="8459"/>
              <w:tab w:val="right" w:pos="9026" w:leader="dot"/>
            </w:tabs>
            <w:rPr/>
          </w:pPr>
          <w:hyperlink w:anchor="__RefHeading___Toc4284491_73709187">
            <w:r>
              <w:rPr>
                <w:webHidden/>
                <w:rStyle w:val="IndexLink"/>
                <w:rtl w:val="true"/>
              </w:rPr>
              <w:t>(</w:t>
            </w:r>
            <w:r>
              <w:rPr>
                <w:rStyle w:val="IndexLink"/>
              </w:rPr>
              <w:t>8</w:t>
            </w:r>
            <w:r>
              <w:rPr>
                <w:rStyle w:val="IndexLink"/>
                <w:rtl w:val="true"/>
              </w:rPr>
              <w:t xml:space="preserve">) </w:t>
            </w:r>
            <w:r>
              <w:rPr>
                <w:rStyle w:val="IndexLink"/>
                <w:rtl w:val="true"/>
              </w:rPr>
              <w:t xml:space="preserve">محمد بن علي بن حسن الصوري </w:t>
            </w:r>
            <w:r>
              <w:rPr>
                <w:rStyle w:val="IndexLink"/>
                <w:rtl w:val="true"/>
              </w:rPr>
              <w:t>(</w:t>
            </w:r>
            <w:r>
              <w:rPr>
                <w:rStyle w:val="IndexLink"/>
                <w:rtl w:val="true"/>
              </w:rPr>
              <w:t>من علماء القرن الخامس</w:t>
            </w:r>
            <w:r>
              <w:rPr>
                <w:rStyle w:val="IndexLink"/>
                <w:rtl w:val="true"/>
              </w:rPr>
              <w:t>)</w:t>
              <w:tab/>
            </w:r>
            <w:r>
              <w:rPr>
                <w:rStyle w:val="IndexLink"/>
              </w:rPr>
              <w:t>320</w:t>
            </w:r>
          </w:hyperlink>
        </w:p>
        <w:p>
          <w:pPr>
            <w:pStyle w:val="Contents3"/>
            <w:tabs>
              <w:tab w:val="clear" w:pos="8459"/>
              <w:tab w:val="right" w:pos="9026" w:leader="dot"/>
            </w:tabs>
            <w:rPr/>
          </w:pPr>
          <w:hyperlink w:anchor="__RefHeading___Toc4284493_73709187">
            <w:r>
              <w:rPr>
                <w:webHidden/>
                <w:rStyle w:val="IndexLink"/>
                <w:rtl w:val="true"/>
              </w:rPr>
              <w:t>(</w:t>
            </w:r>
            <w:r>
              <w:rPr>
                <w:rStyle w:val="IndexLink"/>
              </w:rPr>
              <w:t>9</w:t>
            </w:r>
            <w:r>
              <w:rPr>
                <w:rStyle w:val="IndexLink"/>
                <w:rtl w:val="true"/>
              </w:rPr>
              <w:t xml:space="preserve">) </w:t>
            </w:r>
            <w:r>
              <w:rPr>
                <w:rStyle w:val="IndexLink"/>
                <w:rtl w:val="true"/>
              </w:rPr>
              <w:t xml:space="preserve">إبراهيم بن الحسين الحامدي </w:t>
            </w:r>
            <w:r>
              <w:rPr>
                <w:rStyle w:val="IndexLink"/>
                <w:rtl w:val="true"/>
              </w:rPr>
              <w:t xml:space="preserve">(... - </w:t>
            </w:r>
            <w:r>
              <w:rPr>
                <w:rStyle w:val="IndexLink"/>
              </w:rPr>
              <w:t>557</w:t>
            </w:r>
            <w:r>
              <w:rPr>
                <w:rStyle w:val="IndexLink"/>
                <w:rtl w:val="true"/>
              </w:rPr>
              <w:t xml:space="preserve"> </w:t>
            </w:r>
            <w:r>
              <w:rPr>
                <w:rStyle w:val="IndexLink"/>
                <w:rtl w:val="true"/>
              </w:rPr>
              <w:t>ه</w:t>
            </w:r>
            <w:r>
              <w:rPr>
                <w:rStyle w:val="IndexLink"/>
                <w:rtl w:val="true"/>
              </w:rPr>
              <w:t>)</w:t>
              <w:tab/>
            </w:r>
            <w:r>
              <w:rPr>
                <w:rStyle w:val="IndexLink"/>
              </w:rPr>
              <w:t>321</w:t>
            </w:r>
          </w:hyperlink>
        </w:p>
        <w:p>
          <w:pPr>
            <w:pStyle w:val="Contents3"/>
            <w:tabs>
              <w:tab w:val="clear" w:pos="8459"/>
              <w:tab w:val="right" w:pos="9026" w:leader="dot"/>
            </w:tabs>
            <w:rPr/>
          </w:pPr>
          <w:hyperlink w:anchor="__RefHeading___Toc4284495_73709187">
            <w:r>
              <w:rPr>
                <w:webHidden/>
                <w:rStyle w:val="IndexLink"/>
                <w:rtl w:val="true"/>
              </w:rPr>
              <w:t>(</w:t>
            </w:r>
            <w:r>
              <w:rPr>
                <w:rStyle w:val="IndexLink"/>
              </w:rPr>
              <w:t>10</w:t>
            </w:r>
            <w:r>
              <w:rPr>
                <w:rStyle w:val="IndexLink"/>
                <w:rtl w:val="true"/>
              </w:rPr>
              <w:t xml:space="preserve">) </w:t>
            </w:r>
            <w:r>
              <w:rPr>
                <w:rStyle w:val="IndexLink"/>
                <w:rtl w:val="true"/>
              </w:rPr>
              <w:t xml:space="preserve">علي بن محمد الوليد </w:t>
            </w:r>
            <w:r>
              <w:rPr>
                <w:rStyle w:val="IndexLink"/>
                <w:rtl w:val="true"/>
              </w:rPr>
              <w:t>(</w:t>
            </w:r>
            <w:r>
              <w:rPr>
                <w:rStyle w:val="IndexLink"/>
              </w:rPr>
              <w:t>522</w:t>
            </w:r>
            <w:r>
              <w:rPr>
                <w:rStyle w:val="IndexLink"/>
                <w:rtl w:val="true"/>
              </w:rPr>
              <w:t>-</w:t>
            </w:r>
            <w:r>
              <w:rPr>
                <w:rStyle w:val="IndexLink"/>
              </w:rPr>
              <w:t>612</w:t>
            </w:r>
            <w:r>
              <w:rPr>
                <w:rStyle w:val="IndexLink"/>
                <w:rtl w:val="true"/>
              </w:rPr>
              <w:t xml:space="preserve"> </w:t>
            </w:r>
            <w:r>
              <w:rPr>
                <w:rStyle w:val="IndexLink"/>
                <w:rtl w:val="true"/>
              </w:rPr>
              <w:t>ه</w:t>
            </w:r>
            <w:r>
              <w:rPr>
                <w:rStyle w:val="IndexLink"/>
                <w:rtl w:val="true"/>
              </w:rPr>
              <w:t>)</w:t>
              <w:tab/>
            </w:r>
            <w:r>
              <w:rPr>
                <w:rStyle w:val="IndexLink"/>
              </w:rPr>
              <w:t>325</w:t>
            </w:r>
          </w:hyperlink>
        </w:p>
        <w:p>
          <w:pPr>
            <w:pStyle w:val="Contents2"/>
            <w:tabs>
              <w:tab w:val="clear" w:pos="8743"/>
              <w:tab w:val="right" w:pos="9026" w:leader="dot"/>
            </w:tabs>
            <w:rPr/>
          </w:pPr>
          <w:hyperlink w:anchor="__RefHeading___Toc4284497_73709187">
            <w:r>
              <w:rPr>
                <w:webHidden/>
                <w:rStyle w:val="IndexLink"/>
                <w:rtl w:val="true"/>
              </w:rPr>
              <w:t>الفصل الرابع عشر</w:t>
            </w:r>
            <w:r>
              <w:rPr>
                <w:rStyle w:val="IndexLink"/>
                <w:rtl w:val="true"/>
              </w:rPr>
              <w:t xml:space="preserve">: </w:t>
            </w:r>
            <w:r>
              <w:rPr>
                <w:rStyle w:val="IndexLink"/>
                <w:rtl w:val="true"/>
              </w:rPr>
              <w:t>في التنظيمات السرّية الإسماعيلية</w:t>
            </w:r>
            <w:r>
              <w:rPr>
                <w:rStyle w:val="IndexLink"/>
                <w:rtl w:val="true"/>
              </w:rPr>
              <w:tab/>
            </w:r>
            <w:r>
              <w:rPr>
                <w:rStyle w:val="IndexLink"/>
              </w:rPr>
              <w:t>328</w:t>
            </w:r>
          </w:hyperlink>
        </w:p>
        <w:p>
          <w:pPr>
            <w:pStyle w:val="Contents3"/>
            <w:tabs>
              <w:tab w:val="clear" w:pos="8459"/>
              <w:tab w:val="right" w:pos="9026" w:leader="dot"/>
            </w:tabs>
            <w:rPr/>
          </w:pPr>
          <w:hyperlink w:anchor="__RefHeading___Toc4284499_73709187">
            <w:r>
              <w:rPr>
                <w:webHidden/>
                <w:rStyle w:val="IndexLink"/>
                <w:rtl w:val="true"/>
              </w:rPr>
              <w:t>اشارة</w:t>
            </w:r>
            <w:r>
              <w:rPr>
                <w:rStyle w:val="IndexLink"/>
                <w:rtl w:val="true"/>
              </w:rPr>
              <w:tab/>
            </w:r>
            <w:r>
              <w:rPr>
                <w:rStyle w:val="IndexLink"/>
              </w:rPr>
              <w:t>328</w:t>
            </w:r>
          </w:hyperlink>
        </w:p>
        <w:p>
          <w:pPr>
            <w:pStyle w:val="Contents3"/>
            <w:tabs>
              <w:tab w:val="clear" w:pos="8459"/>
              <w:tab w:val="right" w:pos="9026" w:leader="dot"/>
            </w:tabs>
            <w:rPr/>
          </w:pPr>
          <w:hyperlink w:anchor="__RefHeading___Toc4284501_73709187">
            <w:r>
              <w:rPr>
                <w:webHidden/>
                <w:rStyle w:val="IndexLink"/>
                <w:rtl w:val="true"/>
              </w:rPr>
              <w:t>التنظيمات السرّية الإسماعيلية</w:t>
            </w:r>
            <w:r>
              <w:rPr>
                <w:rStyle w:val="IndexLink"/>
                <w:rtl w:val="true"/>
              </w:rPr>
              <w:tab/>
            </w:r>
            <w:r>
              <w:rPr>
                <w:rStyle w:val="IndexLink"/>
              </w:rPr>
              <w:t>330</w:t>
            </w:r>
          </w:hyperlink>
        </w:p>
        <w:p>
          <w:pPr>
            <w:pStyle w:val="Contents3"/>
            <w:tabs>
              <w:tab w:val="clear" w:pos="8459"/>
              <w:tab w:val="right" w:pos="9026" w:leader="dot"/>
            </w:tabs>
            <w:rPr/>
          </w:pPr>
          <w:hyperlink w:anchor="__RefHeading___Toc4284503_73709187">
            <w:r>
              <w:rPr>
                <w:webHidden/>
                <w:rStyle w:val="IndexLink"/>
                <w:rtl w:val="true"/>
              </w:rPr>
              <w:t>التنظيمات السّرية للدعوة الإسماعيليّة النزارية</w:t>
            </w:r>
            <w:r>
              <w:rPr>
                <w:rStyle w:val="IndexLink"/>
                <w:rtl w:val="true"/>
              </w:rPr>
              <w:tab/>
            </w:r>
            <w:r>
              <w:rPr>
                <w:rStyle w:val="IndexLink"/>
              </w:rPr>
              <w:t>332</w:t>
            </w:r>
          </w:hyperlink>
        </w:p>
        <w:p>
          <w:pPr>
            <w:pStyle w:val="Contents2"/>
            <w:tabs>
              <w:tab w:val="clear" w:pos="8743"/>
              <w:tab w:val="right" w:pos="9026" w:leader="dot"/>
            </w:tabs>
            <w:rPr/>
          </w:pPr>
          <w:hyperlink w:anchor="__RefHeading___Toc4284505_73709187">
            <w:r>
              <w:rPr>
                <w:webHidden/>
                <w:rStyle w:val="IndexLink"/>
                <w:rtl w:val="true"/>
              </w:rPr>
              <w:t>الفصل الخامس عشر</w:t>
            </w:r>
            <w:r>
              <w:rPr>
                <w:rStyle w:val="IndexLink"/>
                <w:rtl w:val="true"/>
              </w:rPr>
              <w:t xml:space="preserve">: </w:t>
            </w:r>
            <w:r>
              <w:rPr>
                <w:rStyle w:val="IndexLink"/>
                <w:rtl w:val="true"/>
              </w:rPr>
              <w:t>في القرامطة</w:t>
            </w:r>
            <w:r>
              <w:rPr>
                <w:rStyle w:val="IndexLink"/>
                <w:rtl w:val="true"/>
              </w:rPr>
              <w:tab/>
            </w:r>
            <w:r>
              <w:rPr>
                <w:rStyle w:val="IndexLink"/>
              </w:rPr>
              <w:t>334</w:t>
            </w:r>
          </w:hyperlink>
        </w:p>
        <w:p>
          <w:pPr>
            <w:pStyle w:val="Contents3"/>
            <w:tabs>
              <w:tab w:val="clear" w:pos="8459"/>
              <w:tab w:val="right" w:pos="9026" w:leader="dot"/>
            </w:tabs>
            <w:rPr/>
          </w:pPr>
          <w:hyperlink w:anchor="__RefHeading___Toc4284507_73709187">
            <w:r>
              <w:rPr>
                <w:webHidden/>
                <w:rStyle w:val="IndexLink"/>
                <w:rtl w:val="true"/>
              </w:rPr>
              <w:t>اشارة</w:t>
            </w:r>
            <w:r>
              <w:rPr>
                <w:rStyle w:val="IndexLink"/>
                <w:rtl w:val="true"/>
              </w:rPr>
              <w:tab/>
            </w:r>
            <w:r>
              <w:rPr>
                <w:rStyle w:val="IndexLink"/>
              </w:rPr>
              <w:t>334</w:t>
            </w:r>
          </w:hyperlink>
        </w:p>
        <w:p>
          <w:pPr>
            <w:pStyle w:val="Contents3"/>
            <w:tabs>
              <w:tab w:val="clear" w:pos="8459"/>
              <w:tab w:val="right" w:pos="9026" w:leader="dot"/>
            </w:tabs>
            <w:rPr/>
          </w:pPr>
          <w:hyperlink w:anchor="__RefHeading___Toc4284509_73709187">
            <w:r>
              <w:rPr>
                <w:webHidden/>
                <w:rStyle w:val="IndexLink"/>
                <w:rtl w:val="true"/>
              </w:rPr>
              <w:t>الملامح العامّة للقرامطة</w:t>
            </w:r>
            <w:r>
              <w:rPr>
                <w:rStyle w:val="IndexLink"/>
                <w:rtl w:val="true"/>
              </w:rPr>
              <w:tab/>
            </w:r>
            <w:r>
              <w:rPr>
                <w:rStyle w:val="IndexLink"/>
              </w:rPr>
              <w:t>342</w:t>
            </w:r>
          </w:hyperlink>
        </w:p>
        <w:p>
          <w:pPr>
            <w:pStyle w:val="Contents3"/>
            <w:tabs>
              <w:tab w:val="clear" w:pos="8459"/>
              <w:tab w:val="right" w:pos="9026" w:leader="dot"/>
            </w:tabs>
            <w:rPr/>
          </w:pPr>
          <w:hyperlink w:anchor="__RefHeading___Toc4284511_73709187">
            <w:r>
              <w:rPr>
                <w:webHidden/>
                <w:rStyle w:val="IndexLink"/>
                <w:rtl w:val="true"/>
              </w:rPr>
              <w:t>أسباب نشوء الحركة القرمطيّة و مؤسّسها</w:t>
            </w:r>
            <w:r>
              <w:rPr>
                <w:rStyle w:val="IndexLink"/>
                <w:rtl w:val="true"/>
              </w:rPr>
              <w:t>:</w:t>
              <w:tab/>
            </w:r>
            <w:r>
              <w:rPr>
                <w:rStyle w:val="IndexLink"/>
              </w:rPr>
              <w:t>342</w:t>
            </w:r>
          </w:hyperlink>
        </w:p>
        <w:p>
          <w:pPr>
            <w:pStyle w:val="Contents3"/>
            <w:tabs>
              <w:tab w:val="clear" w:pos="8459"/>
              <w:tab w:val="right" w:pos="9026" w:leader="dot"/>
            </w:tabs>
            <w:rPr/>
          </w:pPr>
          <w:hyperlink w:anchor="__RefHeading___Toc4284513_73709187">
            <w:r>
              <w:rPr>
                <w:webHidden/>
                <w:rStyle w:val="IndexLink"/>
                <w:rtl w:val="true"/>
              </w:rPr>
              <w:t>فرق القرامطة</w:t>
            </w:r>
            <w:r>
              <w:rPr>
                <w:rStyle w:val="IndexLink"/>
                <w:rtl w:val="true"/>
              </w:rPr>
              <w:t>:</w:t>
              <w:tab/>
            </w:r>
            <w:r>
              <w:rPr>
                <w:rStyle w:val="IndexLink"/>
              </w:rPr>
              <w:t>344</w:t>
            </w:r>
          </w:hyperlink>
        </w:p>
        <w:p>
          <w:pPr>
            <w:pStyle w:val="Contents3"/>
            <w:tabs>
              <w:tab w:val="clear" w:pos="8459"/>
              <w:tab w:val="right" w:pos="9026" w:leader="dot"/>
            </w:tabs>
            <w:rPr/>
          </w:pPr>
          <w:hyperlink w:anchor="__RefHeading___Toc4284515_73709187">
            <w:r>
              <w:rPr>
                <w:webHidden/>
                <w:rStyle w:val="IndexLink"/>
                <w:rtl w:val="true"/>
              </w:rPr>
              <w:t>انقسام القرامطة إلى حركتين بعد ما كانت حركة واحدة</w:t>
            </w:r>
            <w:r>
              <w:rPr>
                <w:rStyle w:val="IndexLink"/>
                <w:rtl w:val="true"/>
              </w:rPr>
              <w:tab/>
            </w:r>
            <w:r>
              <w:rPr>
                <w:rStyle w:val="IndexLink"/>
              </w:rPr>
              <w:t>345</w:t>
            </w:r>
          </w:hyperlink>
        </w:p>
        <w:p>
          <w:pPr>
            <w:pStyle w:val="Contents3"/>
            <w:tabs>
              <w:tab w:val="clear" w:pos="8459"/>
              <w:tab w:val="right" w:pos="9026" w:leader="dot"/>
            </w:tabs>
            <w:rPr/>
          </w:pPr>
          <w:hyperlink w:anchor="__RefHeading___Toc4284517_73709187">
            <w:r>
              <w:rPr>
                <w:webHidden/>
                <w:rStyle w:val="IndexLink"/>
                <w:rtl w:val="true"/>
              </w:rPr>
              <w:t>عقائد القرامطة</w:t>
            </w:r>
            <w:r>
              <w:rPr>
                <w:rStyle w:val="IndexLink"/>
                <w:rtl w:val="true"/>
              </w:rPr>
              <w:tab/>
            </w:r>
            <w:r>
              <w:rPr>
                <w:rStyle w:val="IndexLink"/>
              </w:rPr>
              <w:t>346</w:t>
            </w:r>
          </w:hyperlink>
        </w:p>
        <w:p>
          <w:pPr>
            <w:pStyle w:val="Contents4"/>
            <w:tabs>
              <w:tab w:val="clear" w:pos="8176"/>
              <w:tab w:val="right" w:pos="9026" w:leader="dot"/>
            </w:tabs>
            <w:rPr/>
          </w:pPr>
          <w:hyperlink w:anchor="__RefHeading___Toc4284519_73709187">
            <w:r>
              <w:rPr>
                <w:webHidden/>
                <w:rStyle w:val="IndexLink"/>
                <w:rtl w:val="true"/>
              </w:rPr>
              <w:t>اشارة</w:t>
            </w:r>
            <w:r>
              <w:rPr>
                <w:rStyle w:val="IndexLink"/>
                <w:rtl w:val="true"/>
              </w:rPr>
              <w:tab/>
            </w:r>
            <w:r>
              <w:rPr>
                <w:rStyle w:val="IndexLink"/>
              </w:rPr>
              <w:t>346</w:t>
            </w:r>
          </w:hyperlink>
        </w:p>
        <w:p>
          <w:pPr>
            <w:pStyle w:val="Contents4"/>
            <w:tabs>
              <w:tab w:val="clear" w:pos="8176"/>
              <w:tab w:val="right" w:pos="9026" w:leader="dot"/>
            </w:tabs>
            <w:rPr/>
          </w:pPr>
          <w:hyperlink w:anchor="__RefHeading___Toc4284521_73709187">
            <w:r>
              <w:rPr>
                <w:webHidden/>
                <w:rStyle w:val="IndexLink"/>
              </w:rPr>
              <w:t>1</w:t>
            </w:r>
            <w:r>
              <w:rPr>
                <w:rStyle w:val="IndexLink"/>
                <w:rtl w:val="true"/>
              </w:rPr>
              <w:t xml:space="preserve"> - </w:t>
            </w:r>
            <w:r>
              <w:rPr>
                <w:rStyle w:val="IndexLink"/>
                <w:rtl w:val="true"/>
              </w:rPr>
              <w:t>نظرية الحلول عند القرامطة</w:t>
            </w:r>
            <w:r>
              <w:rPr>
                <w:rStyle w:val="IndexLink"/>
                <w:rtl w:val="true"/>
              </w:rPr>
              <w:tab/>
            </w:r>
            <w:r>
              <w:rPr>
                <w:rStyle w:val="IndexLink"/>
              </w:rPr>
              <w:t>346</w:t>
            </w:r>
          </w:hyperlink>
        </w:p>
        <w:p>
          <w:pPr>
            <w:pStyle w:val="Contents4"/>
            <w:tabs>
              <w:tab w:val="clear" w:pos="8176"/>
              <w:tab w:val="right" w:pos="9026" w:leader="dot"/>
            </w:tabs>
            <w:rPr/>
          </w:pPr>
          <w:hyperlink w:anchor="__RefHeading___Toc4284523_73709187">
            <w:r>
              <w:rPr>
                <w:webHidden/>
                <w:rStyle w:val="IndexLink"/>
              </w:rPr>
              <w:t>2</w:t>
            </w:r>
            <w:r>
              <w:rPr>
                <w:rStyle w:val="IndexLink"/>
                <w:rtl w:val="true"/>
              </w:rPr>
              <w:t xml:space="preserve"> - </w:t>
            </w:r>
            <w:r>
              <w:rPr>
                <w:rStyle w:val="IndexLink"/>
                <w:rtl w:val="true"/>
              </w:rPr>
              <w:t>الغلو عند القرامطة</w:t>
            </w:r>
            <w:r>
              <w:rPr>
                <w:rStyle w:val="IndexLink"/>
                <w:rtl w:val="true"/>
              </w:rPr>
              <w:tab/>
            </w:r>
            <w:r>
              <w:rPr>
                <w:rStyle w:val="IndexLink"/>
              </w:rPr>
              <w:t>346</w:t>
            </w:r>
          </w:hyperlink>
        </w:p>
        <w:p>
          <w:pPr>
            <w:pStyle w:val="Contents4"/>
            <w:tabs>
              <w:tab w:val="clear" w:pos="8176"/>
              <w:tab w:val="right" w:pos="9026" w:leader="dot"/>
            </w:tabs>
            <w:rPr/>
          </w:pPr>
          <w:hyperlink w:anchor="__RefHeading___Toc4284525_73709187">
            <w:r>
              <w:rPr>
                <w:webHidden/>
                <w:rStyle w:val="IndexLink"/>
              </w:rPr>
              <w:t>3</w:t>
            </w:r>
            <w:r>
              <w:rPr>
                <w:rStyle w:val="IndexLink"/>
                <w:rtl w:val="true"/>
              </w:rPr>
              <w:t xml:space="preserve"> - </w:t>
            </w:r>
            <w:r>
              <w:rPr>
                <w:rStyle w:val="IndexLink"/>
                <w:rtl w:val="true"/>
              </w:rPr>
              <w:t>التأويل الباطني في تفسير القرآن</w:t>
            </w:r>
            <w:r>
              <w:rPr>
                <w:rStyle w:val="IndexLink"/>
                <w:rtl w:val="true"/>
              </w:rPr>
              <w:tab/>
            </w:r>
            <w:r>
              <w:rPr>
                <w:rStyle w:val="IndexLink"/>
              </w:rPr>
              <w:t>347</w:t>
            </w:r>
          </w:hyperlink>
        </w:p>
        <w:p>
          <w:pPr>
            <w:pStyle w:val="Contents3"/>
            <w:tabs>
              <w:tab w:val="clear" w:pos="8459"/>
              <w:tab w:val="right" w:pos="9026" w:leader="dot"/>
            </w:tabs>
            <w:rPr/>
          </w:pPr>
          <w:hyperlink w:anchor="__RefHeading___Toc4284527_73709187">
            <w:r>
              <w:rPr>
                <w:webHidden/>
                <w:rStyle w:val="IndexLink"/>
                <w:rtl w:val="true"/>
              </w:rPr>
              <w:t>نهاية القرامطة سياسياً و عسكرياً</w:t>
            </w:r>
            <w:r>
              <w:rPr>
                <w:rStyle w:val="IndexLink"/>
                <w:rtl w:val="true"/>
              </w:rPr>
              <w:tab/>
            </w:r>
            <w:r>
              <w:rPr>
                <w:rStyle w:val="IndexLink"/>
              </w:rPr>
              <w:t>348</w:t>
            </w:r>
          </w:hyperlink>
        </w:p>
        <w:p>
          <w:pPr>
            <w:pStyle w:val="Contents4"/>
            <w:tabs>
              <w:tab w:val="clear" w:pos="8176"/>
              <w:tab w:val="right" w:pos="9026" w:leader="dot"/>
            </w:tabs>
            <w:rPr/>
          </w:pPr>
          <w:hyperlink w:anchor="__RefHeading___Toc4284529_73709187">
            <w:r>
              <w:rPr>
                <w:webHidden/>
                <w:rStyle w:val="IndexLink"/>
                <w:rtl w:val="true"/>
              </w:rPr>
              <w:t>اشارة</w:t>
            </w:r>
            <w:r>
              <w:rPr>
                <w:rStyle w:val="IndexLink"/>
                <w:rtl w:val="true"/>
              </w:rPr>
              <w:tab/>
            </w:r>
            <w:r>
              <w:rPr>
                <w:rStyle w:val="IndexLink"/>
              </w:rPr>
              <w:t>348</w:t>
            </w:r>
          </w:hyperlink>
        </w:p>
        <w:p>
          <w:pPr>
            <w:pStyle w:val="Contents4"/>
            <w:tabs>
              <w:tab w:val="clear" w:pos="8176"/>
              <w:tab w:val="right" w:pos="9026" w:leader="dot"/>
            </w:tabs>
            <w:rPr/>
          </w:pPr>
          <w:hyperlink w:anchor="__RefHeading___Toc4284531_73709187">
            <w:r>
              <w:rPr>
                <w:webHidden/>
                <w:rStyle w:val="IndexLink"/>
                <w:rtl w:val="true"/>
              </w:rPr>
              <w:t>الأسباب الذاتية</w:t>
            </w:r>
            <w:r>
              <w:rPr>
                <w:rStyle w:val="IndexLink"/>
                <w:rtl w:val="true"/>
              </w:rPr>
              <w:tab/>
            </w:r>
            <w:r>
              <w:rPr>
                <w:rStyle w:val="IndexLink"/>
              </w:rPr>
              <w:t>348</w:t>
            </w:r>
          </w:hyperlink>
        </w:p>
        <w:p>
          <w:pPr>
            <w:pStyle w:val="Contents4"/>
            <w:tabs>
              <w:tab w:val="clear" w:pos="8176"/>
              <w:tab w:val="right" w:pos="9026" w:leader="dot"/>
            </w:tabs>
            <w:rPr/>
          </w:pPr>
          <w:hyperlink w:anchor="__RefHeading___Toc4284533_73709187">
            <w:r>
              <w:rPr>
                <w:webHidden/>
                <w:rStyle w:val="IndexLink"/>
                <w:rtl w:val="true"/>
              </w:rPr>
              <w:t>الأسباب الخارجية</w:t>
            </w:r>
            <w:r>
              <w:rPr>
                <w:rStyle w:val="IndexLink"/>
                <w:rtl w:val="true"/>
              </w:rPr>
              <w:tab/>
            </w:r>
            <w:r>
              <w:rPr>
                <w:rStyle w:val="IndexLink"/>
              </w:rPr>
              <w:t>350</w:t>
            </w:r>
          </w:hyperlink>
        </w:p>
        <w:p>
          <w:pPr>
            <w:pStyle w:val="Contents3"/>
            <w:tabs>
              <w:tab w:val="clear" w:pos="8459"/>
              <w:tab w:val="right" w:pos="9026" w:leader="dot"/>
            </w:tabs>
            <w:rPr/>
          </w:pPr>
          <w:hyperlink w:anchor="__RefHeading___Toc4284535_73709187">
            <w:r>
              <w:rPr>
                <w:webHidden/>
                <w:rStyle w:val="IndexLink"/>
                <w:rtl w:val="true"/>
              </w:rPr>
              <w:t>نهاية القرامطة</w:t>
            </w:r>
            <w:r>
              <w:rPr>
                <w:rStyle w:val="IndexLink"/>
                <w:rtl w:val="true"/>
              </w:rPr>
              <w:tab/>
            </w:r>
            <w:r>
              <w:rPr>
                <w:rStyle w:val="IndexLink"/>
              </w:rPr>
              <w:t>351</w:t>
            </w:r>
          </w:hyperlink>
        </w:p>
        <w:p>
          <w:pPr>
            <w:pStyle w:val="Contents4"/>
            <w:tabs>
              <w:tab w:val="clear" w:pos="8176"/>
              <w:tab w:val="right" w:pos="9026" w:leader="dot"/>
            </w:tabs>
            <w:rPr/>
          </w:pPr>
          <w:hyperlink w:anchor="__RefHeading___Toc4284537_73709187">
            <w:r>
              <w:rPr>
                <w:webHidden/>
                <w:rStyle w:val="IndexLink"/>
                <w:rtl w:val="true"/>
              </w:rPr>
              <w:t>اشارة</w:t>
            </w:r>
            <w:r>
              <w:rPr>
                <w:rStyle w:val="IndexLink"/>
                <w:rtl w:val="true"/>
              </w:rPr>
              <w:tab/>
            </w:r>
            <w:r>
              <w:rPr>
                <w:rStyle w:val="IndexLink"/>
              </w:rPr>
              <w:t>351</w:t>
            </w:r>
          </w:hyperlink>
        </w:p>
        <w:p>
          <w:pPr>
            <w:pStyle w:val="Contents4"/>
            <w:tabs>
              <w:tab w:val="clear" w:pos="8176"/>
              <w:tab w:val="right" w:pos="9026" w:leader="dot"/>
            </w:tabs>
            <w:rPr/>
          </w:pPr>
          <w:hyperlink w:anchor="__RefHeading___Toc4284539_73709187">
            <w:r>
              <w:rPr>
                <w:webHidden/>
                <w:rStyle w:val="IndexLink"/>
                <w:rtl w:val="true"/>
              </w:rPr>
              <w:t>الأُولى</w:t>
            </w:r>
            <w:r>
              <w:rPr>
                <w:rStyle w:val="IndexLink"/>
                <w:rtl w:val="true"/>
              </w:rPr>
              <w:t xml:space="preserve">: </w:t>
            </w:r>
            <w:r>
              <w:rPr>
                <w:rStyle w:val="IndexLink"/>
                <w:rtl w:val="true"/>
              </w:rPr>
              <w:t>يوم طردوا من جزيرة أوال في البحرين</w:t>
            </w:r>
            <w:r>
              <w:rPr>
                <w:rStyle w:val="IndexLink"/>
                <w:rtl w:val="true"/>
              </w:rPr>
              <w:tab/>
            </w:r>
            <w:r>
              <w:rPr>
                <w:rStyle w:val="IndexLink"/>
              </w:rPr>
              <w:t>351</w:t>
            </w:r>
          </w:hyperlink>
        </w:p>
        <w:p>
          <w:pPr>
            <w:pStyle w:val="Contents4"/>
            <w:tabs>
              <w:tab w:val="clear" w:pos="8176"/>
              <w:tab w:val="right" w:pos="9026" w:leader="dot"/>
            </w:tabs>
            <w:rPr/>
          </w:pPr>
          <w:hyperlink w:anchor="__RefHeading___Toc4284541_73709187">
            <w:r>
              <w:rPr>
                <w:webHidden/>
                <w:rStyle w:val="IndexLink"/>
                <w:rtl w:val="true"/>
              </w:rPr>
              <w:t>الثانية</w:t>
            </w:r>
            <w:r>
              <w:rPr>
                <w:rStyle w:val="IndexLink"/>
                <w:rtl w:val="true"/>
              </w:rPr>
              <w:t xml:space="preserve">: </w:t>
            </w:r>
            <w:r>
              <w:rPr>
                <w:rStyle w:val="IndexLink"/>
                <w:rtl w:val="true"/>
              </w:rPr>
              <w:t>استئصال شأفتهم نهائياً من هذه البلاد</w:t>
            </w:r>
            <w:r>
              <w:rPr>
                <w:rStyle w:val="IndexLink"/>
                <w:rtl w:val="true"/>
              </w:rPr>
              <w:tab/>
            </w:r>
            <w:r>
              <w:rPr>
                <w:rStyle w:val="IndexLink"/>
              </w:rPr>
              <w:t>351</w:t>
            </w:r>
          </w:hyperlink>
        </w:p>
        <w:p>
          <w:pPr>
            <w:pStyle w:val="Contents2"/>
            <w:tabs>
              <w:tab w:val="clear" w:pos="8743"/>
              <w:tab w:val="right" w:pos="9026" w:leader="dot"/>
            </w:tabs>
            <w:rPr/>
          </w:pPr>
          <w:hyperlink w:anchor="__RefHeading___Toc4284543_73709187">
            <w:r>
              <w:rPr>
                <w:webHidden/>
                <w:rStyle w:val="IndexLink"/>
                <w:rtl w:val="true"/>
              </w:rPr>
              <w:t>الفصل السادس عشر</w:t>
            </w:r>
            <w:r>
              <w:rPr>
                <w:rStyle w:val="IndexLink"/>
                <w:rtl w:val="true"/>
              </w:rPr>
              <w:t xml:space="preserve">: </w:t>
            </w:r>
            <w:r>
              <w:rPr>
                <w:rStyle w:val="IndexLink"/>
                <w:rtl w:val="true"/>
              </w:rPr>
              <w:t>في فرقة الدروز</w:t>
            </w:r>
            <w:r>
              <w:rPr>
                <w:rStyle w:val="IndexLink"/>
                <w:rtl w:val="true"/>
              </w:rPr>
              <w:tab/>
            </w:r>
            <w:r>
              <w:rPr>
                <w:rStyle w:val="IndexLink"/>
              </w:rPr>
              <w:t>352</w:t>
            </w:r>
          </w:hyperlink>
        </w:p>
        <w:p>
          <w:pPr>
            <w:pStyle w:val="Contents3"/>
            <w:tabs>
              <w:tab w:val="clear" w:pos="8459"/>
              <w:tab w:val="right" w:pos="9026" w:leader="dot"/>
            </w:tabs>
            <w:rPr/>
          </w:pPr>
          <w:hyperlink w:anchor="__RefHeading___Toc4284545_73709187">
            <w:r>
              <w:rPr>
                <w:webHidden/>
                <w:rStyle w:val="IndexLink"/>
                <w:rtl w:val="true"/>
              </w:rPr>
              <w:t>اشارة</w:t>
            </w:r>
            <w:r>
              <w:rPr>
                <w:rStyle w:val="IndexLink"/>
                <w:rtl w:val="true"/>
              </w:rPr>
              <w:tab/>
            </w:r>
            <w:r>
              <w:rPr>
                <w:rStyle w:val="IndexLink"/>
              </w:rPr>
              <w:t>352</w:t>
            </w:r>
          </w:hyperlink>
        </w:p>
        <w:p>
          <w:pPr>
            <w:pStyle w:val="Contents3"/>
            <w:tabs>
              <w:tab w:val="clear" w:pos="8459"/>
              <w:tab w:val="right" w:pos="9026" w:leader="dot"/>
            </w:tabs>
            <w:rPr/>
          </w:pPr>
          <w:hyperlink w:anchor="__RefHeading___Toc4284547_73709187">
            <w:r>
              <w:rPr>
                <w:webHidden/>
                <w:rStyle w:val="IndexLink"/>
                <w:rtl w:val="true"/>
              </w:rPr>
              <w:t>الدروز في موسوعات دائرة المعارف</w:t>
            </w:r>
            <w:r>
              <w:rPr>
                <w:rStyle w:val="IndexLink"/>
                <w:rtl w:val="true"/>
              </w:rPr>
              <w:tab/>
            </w:r>
            <w:r>
              <w:rPr>
                <w:rStyle w:val="IndexLink"/>
              </w:rPr>
              <w:t>355</w:t>
            </w:r>
          </w:hyperlink>
        </w:p>
        <w:p>
          <w:pPr>
            <w:pStyle w:val="Contents4"/>
            <w:tabs>
              <w:tab w:val="clear" w:pos="8176"/>
              <w:tab w:val="right" w:pos="9026" w:leader="dot"/>
            </w:tabs>
            <w:rPr/>
          </w:pPr>
          <w:hyperlink w:anchor="__RefHeading___Toc4284549_73709187">
            <w:r>
              <w:rPr>
                <w:webHidden/>
                <w:rStyle w:val="IndexLink"/>
                <w:rtl w:val="true"/>
              </w:rPr>
              <w:t>اشارة</w:t>
            </w:r>
            <w:r>
              <w:rPr>
                <w:rStyle w:val="IndexLink"/>
                <w:rtl w:val="true"/>
              </w:rPr>
              <w:tab/>
            </w:r>
            <w:r>
              <w:rPr>
                <w:rStyle w:val="IndexLink"/>
              </w:rPr>
              <w:t>355</w:t>
            </w:r>
          </w:hyperlink>
        </w:p>
        <w:p>
          <w:pPr>
            <w:pStyle w:val="Contents4"/>
            <w:tabs>
              <w:tab w:val="clear" w:pos="8176"/>
              <w:tab w:val="right" w:pos="9026" w:leader="dot"/>
            </w:tabs>
            <w:rPr/>
          </w:pPr>
          <w:hyperlink w:anchor="__RefHeading___Toc4284551_73709187">
            <w:r>
              <w:rPr>
                <w:webHidden/>
                <w:rStyle w:val="IndexLink"/>
              </w:rPr>
              <w:t>1</w:t>
            </w:r>
            <w:r>
              <w:rPr>
                <w:rStyle w:val="IndexLink"/>
                <w:rtl w:val="true"/>
              </w:rPr>
              <w:t xml:space="preserve"> - </w:t>
            </w:r>
            <w:r>
              <w:rPr>
                <w:rStyle w:val="IndexLink"/>
                <w:rtl w:val="true"/>
              </w:rPr>
              <w:t>الدروز في دائرة المعارف البستانية</w:t>
            </w:r>
            <w:r>
              <w:rPr>
                <w:rStyle w:val="IndexLink"/>
                <w:rtl w:val="true"/>
              </w:rPr>
              <w:tab/>
            </w:r>
            <w:r>
              <w:rPr>
                <w:rStyle w:val="IndexLink"/>
              </w:rPr>
              <w:t>355</w:t>
            </w:r>
          </w:hyperlink>
        </w:p>
        <w:p>
          <w:pPr>
            <w:pStyle w:val="Contents4"/>
            <w:tabs>
              <w:tab w:val="clear" w:pos="8176"/>
              <w:tab w:val="right" w:pos="9026" w:leader="dot"/>
            </w:tabs>
            <w:rPr/>
          </w:pPr>
          <w:hyperlink w:anchor="__RefHeading___Toc4284553_73709187">
            <w:r>
              <w:rPr>
                <w:webHidden/>
                <w:rStyle w:val="IndexLink"/>
              </w:rPr>
              <w:t>2</w:t>
            </w:r>
            <w:r>
              <w:rPr>
                <w:rStyle w:val="IndexLink"/>
                <w:rtl w:val="true"/>
              </w:rPr>
              <w:t xml:space="preserve"> - </w:t>
            </w:r>
            <w:r>
              <w:rPr>
                <w:rStyle w:val="IndexLink"/>
                <w:rtl w:val="true"/>
              </w:rPr>
              <w:t>الدروز في دائرة المعارف المصرية</w:t>
            </w:r>
            <w:r>
              <w:rPr>
                <w:rStyle w:val="IndexLink"/>
                <w:rtl w:val="true"/>
              </w:rPr>
              <w:tab/>
            </w:r>
            <w:r>
              <w:rPr>
                <w:rStyle w:val="IndexLink"/>
              </w:rPr>
              <w:t>358</w:t>
            </w:r>
          </w:hyperlink>
        </w:p>
        <w:p>
          <w:pPr>
            <w:pStyle w:val="Contents3"/>
            <w:tabs>
              <w:tab w:val="clear" w:pos="8459"/>
              <w:tab w:val="right" w:pos="9026" w:leader="dot"/>
            </w:tabs>
            <w:rPr/>
          </w:pPr>
          <w:hyperlink w:anchor="__RefHeading___Toc4284555_73709187">
            <w:r>
              <w:rPr>
                <w:webHidden/>
                <w:rStyle w:val="IndexLink"/>
                <w:rtl w:val="true"/>
              </w:rPr>
              <w:t>عقائد الدروز</w:t>
            </w:r>
            <w:r>
              <w:rPr>
                <w:rStyle w:val="IndexLink"/>
                <w:rtl w:val="true"/>
              </w:rPr>
              <w:tab/>
            </w:r>
            <w:r>
              <w:rPr>
                <w:rStyle w:val="IndexLink"/>
              </w:rPr>
              <w:t>360</w:t>
            </w:r>
          </w:hyperlink>
        </w:p>
        <w:p>
          <w:pPr>
            <w:pStyle w:val="Contents4"/>
            <w:tabs>
              <w:tab w:val="clear" w:pos="8176"/>
              <w:tab w:val="right" w:pos="9026" w:leader="dot"/>
            </w:tabs>
            <w:rPr/>
          </w:pPr>
          <w:hyperlink w:anchor="__RefHeading___Toc4284557_73709187">
            <w:r>
              <w:rPr>
                <w:webHidden/>
                <w:rStyle w:val="IndexLink"/>
                <w:rtl w:val="true"/>
              </w:rPr>
              <w:t>اشارة</w:t>
            </w:r>
            <w:r>
              <w:rPr>
                <w:rStyle w:val="IndexLink"/>
                <w:rtl w:val="true"/>
              </w:rPr>
              <w:tab/>
            </w:r>
            <w:r>
              <w:rPr>
                <w:rStyle w:val="IndexLink"/>
              </w:rPr>
              <w:t>360</w:t>
            </w:r>
          </w:hyperlink>
        </w:p>
        <w:p>
          <w:pPr>
            <w:pStyle w:val="Contents4"/>
            <w:tabs>
              <w:tab w:val="clear" w:pos="8176"/>
              <w:tab w:val="right" w:pos="9026" w:leader="dot"/>
            </w:tabs>
            <w:rPr/>
          </w:pPr>
          <w:hyperlink w:anchor="__RefHeading___Toc4284559_73709187">
            <w:r>
              <w:rPr>
                <w:webHidden/>
                <w:rStyle w:val="IndexLink"/>
              </w:rPr>
              <w:t>1</w:t>
            </w:r>
            <w:r>
              <w:rPr>
                <w:rStyle w:val="IndexLink"/>
                <w:rtl w:val="true"/>
              </w:rPr>
              <w:t xml:space="preserve"> - </w:t>
            </w:r>
            <w:r>
              <w:rPr>
                <w:rStyle w:val="IndexLink"/>
                <w:rtl w:val="true"/>
              </w:rPr>
              <w:t>اعتقادهم بألوهية الحاكم</w:t>
            </w:r>
            <w:r>
              <w:rPr>
                <w:rStyle w:val="IndexLink"/>
                <w:rtl w:val="true"/>
              </w:rPr>
              <w:tab/>
            </w:r>
            <w:r>
              <w:rPr>
                <w:rStyle w:val="IndexLink"/>
              </w:rPr>
              <w:t>360</w:t>
            </w:r>
          </w:hyperlink>
        </w:p>
        <w:p>
          <w:pPr>
            <w:pStyle w:val="Contents4"/>
            <w:tabs>
              <w:tab w:val="clear" w:pos="8176"/>
              <w:tab w:val="right" w:pos="9026" w:leader="dot"/>
            </w:tabs>
            <w:rPr/>
          </w:pPr>
          <w:hyperlink w:anchor="__RefHeading___Toc4284561_73709187">
            <w:r>
              <w:rPr>
                <w:webHidden/>
                <w:rStyle w:val="IndexLink"/>
              </w:rPr>
              <w:t>2</w:t>
            </w:r>
            <w:r>
              <w:rPr>
                <w:rStyle w:val="IndexLink"/>
                <w:rtl w:val="true"/>
              </w:rPr>
              <w:t xml:space="preserve"> - </w:t>
            </w:r>
            <w:r>
              <w:rPr>
                <w:rStyle w:val="IndexLink"/>
                <w:rtl w:val="true"/>
              </w:rPr>
              <w:t>التحريف الواضح للقرآن و انّ الأنبياء أبالسة جاءوا للظاهر</w:t>
            </w:r>
            <w:r>
              <w:rPr>
                <w:rStyle w:val="IndexLink"/>
                <w:rtl w:val="true"/>
              </w:rPr>
              <w:tab/>
            </w:r>
            <w:r>
              <w:rPr>
                <w:rStyle w:val="IndexLink"/>
              </w:rPr>
              <w:t>362</w:t>
            </w:r>
          </w:hyperlink>
        </w:p>
        <w:p>
          <w:pPr>
            <w:pStyle w:val="Contents4"/>
            <w:tabs>
              <w:tab w:val="clear" w:pos="8176"/>
              <w:tab w:val="right" w:pos="9026" w:leader="dot"/>
            </w:tabs>
            <w:rPr/>
          </w:pPr>
          <w:hyperlink w:anchor="__RefHeading___Toc4284563_73709187">
            <w:r>
              <w:rPr>
                <w:webHidden/>
                <w:rStyle w:val="IndexLink"/>
              </w:rPr>
              <w:t>3</w:t>
            </w:r>
            <w:r>
              <w:rPr>
                <w:rStyle w:val="IndexLink"/>
                <w:rtl w:val="true"/>
              </w:rPr>
              <w:t xml:space="preserve"> - </w:t>
            </w:r>
            <w:r>
              <w:rPr>
                <w:rStyle w:val="IndexLink"/>
                <w:rtl w:val="true"/>
              </w:rPr>
              <w:t>إيمانهم بالتناسخ و اعتباره مبدأً أساسياً في عقيدتهم</w:t>
            </w:r>
            <w:r>
              <w:rPr>
                <w:rStyle w:val="IndexLink"/>
                <w:rtl w:val="true"/>
              </w:rPr>
              <w:tab/>
            </w:r>
            <w:r>
              <w:rPr>
                <w:rStyle w:val="IndexLink"/>
              </w:rPr>
              <w:t>362</w:t>
            </w:r>
          </w:hyperlink>
        </w:p>
        <w:p>
          <w:pPr>
            <w:pStyle w:val="Contents4"/>
            <w:tabs>
              <w:tab w:val="clear" w:pos="8176"/>
              <w:tab w:val="right" w:pos="9026" w:leader="dot"/>
            </w:tabs>
            <w:rPr/>
          </w:pPr>
          <w:hyperlink w:anchor="__RefHeading___Toc4284565_73709187">
            <w:r>
              <w:rPr>
                <w:webHidden/>
                <w:rStyle w:val="IndexLink"/>
              </w:rPr>
              <w:t>4</w:t>
            </w:r>
            <w:r>
              <w:rPr>
                <w:rStyle w:val="IndexLink"/>
                <w:rtl w:val="true"/>
              </w:rPr>
              <w:t xml:space="preserve"> - </w:t>
            </w:r>
            <w:r>
              <w:rPr>
                <w:rStyle w:val="IndexLink"/>
                <w:rtl w:val="true"/>
              </w:rPr>
              <w:t>إسقاط التكاليف</w:t>
            </w:r>
            <w:r>
              <w:rPr>
                <w:rStyle w:val="IndexLink"/>
                <w:rtl w:val="true"/>
              </w:rPr>
              <w:tab/>
            </w:r>
            <w:r>
              <w:rPr>
                <w:rStyle w:val="IndexLink"/>
              </w:rPr>
              <w:t>363</w:t>
            </w:r>
          </w:hyperlink>
        </w:p>
        <w:p>
          <w:pPr>
            <w:pStyle w:val="Contents4"/>
            <w:tabs>
              <w:tab w:val="clear" w:pos="8176"/>
              <w:tab w:val="right" w:pos="9026" w:leader="dot"/>
            </w:tabs>
            <w:rPr/>
          </w:pPr>
          <w:hyperlink w:anchor="__RefHeading___Toc4284567_73709187">
            <w:r>
              <w:rPr>
                <w:webHidden/>
                <w:rStyle w:val="IndexLink"/>
              </w:rPr>
              <w:t>5</w:t>
            </w:r>
            <w:r>
              <w:rPr>
                <w:rStyle w:val="IndexLink"/>
                <w:rtl w:val="true"/>
              </w:rPr>
              <w:t xml:space="preserve"> - </w:t>
            </w:r>
            <w:r>
              <w:rPr>
                <w:rStyle w:val="IndexLink"/>
                <w:rtl w:val="true"/>
              </w:rPr>
              <w:t>تفسير الشهادتين</w:t>
            </w:r>
            <w:r>
              <w:rPr>
                <w:rStyle w:val="IndexLink"/>
                <w:rtl w:val="true"/>
              </w:rPr>
              <w:tab/>
            </w:r>
            <w:r>
              <w:rPr>
                <w:rStyle w:val="IndexLink"/>
              </w:rPr>
              <w:t>364</w:t>
            </w:r>
          </w:hyperlink>
        </w:p>
        <w:p>
          <w:pPr>
            <w:pStyle w:val="Contents4"/>
            <w:tabs>
              <w:tab w:val="clear" w:pos="8176"/>
              <w:tab w:val="right" w:pos="9026" w:leader="dot"/>
            </w:tabs>
            <w:rPr/>
          </w:pPr>
          <w:hyperlink w:anchor="__RefHeading___Toc4284569_73709187">
            <w:r>
              <w:rPr>
                <w:webHidden/>
                <w:rStyle w:val="IndexLink"/>
              </w:rPr>
              <w:t>6</w:t>
            </w:r>
            <w:r>
              <w:rPr>
                <w:rStyle w:val="IndexLink"/>
                <w:rtl w:val="true"/>
              </w:rPr>
              <w:t xml:space="preserve"> - </w:t>
            </w:r>
            <w:r>
              <w:rPr>
                <w:rStyle w:val="IndexLink"/>
                <w:rtl w:val="true"/>
              </w:rPr>
              <w:t>تقديسهم للعجل و إظهاره في مراسمهم و احتفالاتهم</w:t>
            </w:r>
            <w:r>
              <w:rPr>
                <w:rStyle w:val="IndexLink"/>
                <w:rtl w:val="true"/>
              </w:rPr>
              <w:tab/>
            </w:r>
            <w:r>
              <w:rPr>
                <w:rStyle w:val="IndexLink"/>
              </w:rPr>
              <w:t>365</w:t>
            </w:r>
          </w:hyperlink>
        </w:p>
        <w:p>
          <w:pPr>
            <w:pStyle w:val="Contents4"/>
            <w:tabs>
              <w:tab w:val="clear" w:pos="8176"/>
              <w:tab w:val="right" w:pos="9026" w:leader="dot"/>
            </w:tabs>
            <w:rPr/>
          </w:pPr>
          <w:hyperlink w:anchor="__RefHeading___Toc4284571_73709187">
            <w:r>
              <w:rPr>
                <w:webHidden/>
                <w:rStyle w:val="IndexLink"/>
              </w:rPr>
              <w:t>7</w:t>
            </w:r>
            <w:r>
              <w:rPr>
                <w:rStyle w:val="IndexLink"/>
                <w:rtl w:val="true"/>
              </w:rPr>
              <w:t xml:space="preserve"> - </w:t>
            </w:r>
            <w:r>
              <w:rPr>
                <w:rStyle w:val="IndexLink"/>
                <w:rtl w:val="true"/>
              </w:rPr>
              <w:t>تأويل غريب و منحرف للأحاديث الإسلامية</w:t>
            </w:r>
            <w:r>
              <w:rPr>
                <w:rStyle w:val="IndexLink"/>
                <w:rtl w:val="true"/>
              </w:rPr>
              <w:tab/>
            </w:r>
            <w:r>
              <w:rPr>
                <w:rStyle w:val="IndexLink"/>
              </w:rPr>
              <w:t>365</w:t>
            </w:r>
          </w:hyperlink>
        </w:p>
        <w:p>
          <w:pPr>
            <w:pStyle w:val="Contents3"/>
            <w:tabs>
              <w:tab w:val="clear" w:pos="8459"/>
              <w:tab w:val="right" w:pos="9026" w:leader="dot"/>
            </w:tabs>
            <w:rPr/>
          </w:pPr>
          <w:hyperlink w:anchor="__RefHeading___Toc4284573_73709187">
            <w:r>
              <w:rPr>
                <w:webHidden/>
                <w:rStyle w:val="IndexLink"/>
                <w:rtl w:val="true"/>
              </w:rPr>
              <w:t>أعلام الدروز</w:t>
            </w:r>
            <w:r>
              <w:rPr>
                <w:rStyle w:val="IndexLink"/>
                <w:rtl w:val="true"/>
              </w:rPr>
              <w:tab/>
            </w:r>
            <w:r>
              <w:rPr>
                <w:rStyle w:val="IndexLink"/>
              </w:rPr>
              <w:t>369</w:t>
            </w:r>
          </w:hyperlink>
        </w:p>
        <w:p>
          <w:pPr>
            <w:pStyle w:val="Contents4"/>
            <w:tabs>
              <w:tab w:val="clear" w:pos="8176"/>
              <w:tab w:val="right" w:pos="9026" w:leader="dot"/>
            </w:tabs>
            <w:rPr/>
          </w:pPr>
          <w:hyperlink w:anchor="__RefHeading___Toc4284575_73709187">
            <w:r>
              <w:rPr>
                <w:webHidden/>
                <w:rStyle w:val="IndexLink"/>
                <w:rtl w:val="true"/>
              </w:rPr>
              <w:t xml:space="preserve">حمزة بن علي </w:t>
            </w:r>
            <w:r>
              <w:rPr>
                <w:rStyle w:val="IndexLink"/>
                <w:rtl w:val="true"/>
              </w:rPr>
              <w:t>(</w:t>
            </w:r>
            <w:r>
              <w:rPr>
                <w:rStyle w:val="IndexLink"/>
              </w:rPr>
              <w:t>375</w:t>
            </w:r>
            <w:r>
              <w:rPr>
                <w:rStyle w:val="IndexLink"/>
                <w:rtl w:val="true"/>
              </w:rPr>
              <w:t>-</w:t>
            </w:r>
            <w:r>
              <w:rPr>
                <w:rStyle w:val="IndexLink"/>
              </w:rPr>
              <w:t>433</w:t>
            </w:r>
            <w:r>
              <w:rPr>
                <w:rStyle w:val="IndexLink"/>
                <w:rtl w:val="true"/>
              </w:rPr>
              <w:t xml:space="preserve"> </w:t>
            </w:r>
            <w:r>
              <w:rPr>
                <w:rStyle w:val="IndexLink"/>
                <w:rtl w:val="true"/>
              </w:rPr>
              <w:t>ه</w:t>
            </w:r>
            <w:r>
              <w:rPr>
                <w:rStyle w:val="IndexLink"/>
                <w:rtl w:val="true"/>
              </w:rPr>
              <w:t>)</w:t>
              <w:tab/>
            </w:r>
            <w:r>
              <w:rPr>
                <w:rStyle w:val="IndexLink"/>
              </w:rPr>
              <w:t>369</w:t>
            </w:r>
          </w:hyperlink>
        </w:p>
        <w:p>
          <w:pPr>
            <w:pStyle w:val="Contents4"/>
            <w:tabs>
              <w:tab w:val="clear" w:pos="8176"/>
              <w:tab w:val="right" w:pos="9026" w:leader="dot"/>
            </w:tabs>
            <w:rPr/>
          </w:pPr>
          <w:hyperlink w:anchor="__RefHeading___Toc4284577_73709187">
            <w:r>
              <w:rPr>
                <w:webHidden/>
                <w:rStyle w:val="IndexLink"/>
                <w:rtl w:val="true"/>
              </w:rPr>
              <w:t xml:space="preserve">جمال الدين عبد اللّٰه التنوخي </w:t>
            </w:r>
            <w:r>
              <w:rPr>
                <w:rStyle w:val="IndexLink"/>
                <w:rtl w:val="true"/>
              </w:rPr>
              <w:t>(</w:t>
            </w:r>
            <w:r>
              <w:rPr>
                <w:rStyle w:val="IndexLink"/>
              </w:rPr>
              <w:t>820</w:t>
            </w:r>
            <w:r>
              <w:rPr>
                <w:rStyle w:val="IndexLink"/>
                <w:rtl w:val="true"/>
              </w:rPr>
              <w:t>-</w:t>
            </w:r>
            <w:r>
              <w:rPr>
                <w:rStyle w:val="IndexLink"/>
              </w:rPr>
              <w:t>884</w:t>
            </w:r>
            <w:r>
              <w:rPr>
                <w:rStyle w:val="IndexLink"/>
                <w:rtl w:val="true"/>
              </w:rPr>
              <w:t xml:space="preserve"> </w:t>
            </w:r>
            <w:r>
              <w:rPr>
                <w:rStyle w:val="IndexLink"/>
                <w:rtl w:val="true"/>
              </w:rPr>
              <w:t>ه</w:t>
            </w:r>
            <w:r>
              <w:rPr>
                <w:rStyle w:val="IndexLink"/>
                <w:rtl w:val="true"/>
              </w:rPr>
              <w:t>)</w:t>
              <w:tab/>
            </w:r>
            <w:r>
              <w:rPr>
                <w:rStyle w:val="IndexLink"/>
              </w:rPr>
              <w:t>370</w:t>
            </w:r>
          </w:hyperlink>
        </w:p>
        <w:p>
          <w:pPr>
            <w:pStyle w:val="Contents4"/>
            <w:tabs>
              <w:tab w:val="clear" w:pos="8176"/>
              <w:tab w:val="right" w:pos="9026" w:leader="dot"/>
            </w:tabs>
            <w:rPr/>
          </w:pPr>
          <w:hyperlink w:anchor="__RefHeading___Toc4284579_73709187">
            <w:r>
              <w:rPr>
                <w:webHidden/>
                <w:rStyle w:val="IndexLink"/>
                <w:rtl w:val="true"/>
              </w:rPr>
              <w:t>يوسف الكفرقوقي</w:t>
            </w:r>
            <w:r>
              <w:rPr>
                <w:rStyle w:val="IndexLink"/>
                <w:rtl w:val="true"/>
              </w:rPr>
              <w:tab/>
            </w:r>
            <w:r>
              <w:rPr>
                <w:rStyle w:val="IndexLink"/>
              </w:rPr>
              <w:t>372</w:t>
            </w:r>
          </w:hyperlink>
        </w:p>
        <w:p>
          <w:pPr>
            <w:pStyle w:val="Contents4"/>
            <w:tabs>
              <w:tab w:val="clear" w:pos="8176"/>
              <w:tab w:val="right" w:pos="9026" w:leader="dot"/>
            </w:tabs>
            <w:rPr/>
          </w:pPr>
          <w:hyperlink w:anchor="__RefHeading___Toc4284581_73709187">
            <w:r>
              <w:rPr>
                <w:webHidden/>
                <w:rStyle w:val="IndexLink"/>
                <w:rtl w:val="true"/>
              </w:rPr>
              <w:t xml:space="preserve">محمد أبو هلال المعروف ب </w:t>
            </w:r>
            <w:r>
              <w:rPr>
                <w:rStyle w:val="IndexLink"/>
                <w:rtl w:val="true"/>
              </w:rPr>
              <w:t>«</w:t>
            </w:r>
            <w:r>
              <w:rPr>
                <w:rStyle w:val="IndexLink"/>
                <w:rtl w:val="true"/>
              </w:rPr>
              <w:t>الشيخ الفاضل</w:t>
            </w:r>
            <w:r>
              <w:rPr>
                <w:rStyle w:val="IndexLink"/>
                <w:rtl w:val="true"/>
              </w:rPr>
              <w:t>» (</w:t>
            </w:r>
            <w:r>
              <w:rPr>
                <w:rStyle w:val="IndexLink"/>
              </w:rPr>
              <w:t>1005</w:t>
            </w:r>
            <w:r>
              <w:rPr>
                <w:rStyle w:val="IndexLink"/>
                <w:rtl w:val="true"/>
              </w:rPr>
              <w:t>-</w:t>
            </w:r>
            <w:r>
              <w:rPr>
                <w:rStyle w:val="IndexLink"/>
              </w:rPr>
              <w:t>1050</w:t>
            </w:r>
            <w:r>
              <w:rPr>
                <w:rStyle w:val="IndexLink"/>
                <w:rtl w:val="true"/>
              </w:rPr>
              <w:t xml:space="preserve"> </w:t>
            </w:r>
            <w:r>
              <w:rPr>
                <w:rStyle w:val="IndexLink"/>
                <w:rtl w:val="true"/>
              </w:rPr>
              <w:t>ه</w:t>
            </w:r>
            <w:r>
              <w:rPr>
                <w:rStyle w:val="IndexLink"/>
                <w:rtl w:val="true"/>
              </w:rPr>
              <w:t>)</w:t>
              <w:tab/>
            </w:r>
            <w:r>
              <w:rPr>
                <w:rStyle w:val="IndexLink"/>
              </w:rPr>
              <w:t>372</w:t>
            </w:r>
          </w:hyperlink>
        </w:p>
        <w:p>
          <w:pPr>
            <w:pStyle w:val="Contents2"/>
            <w:tabs>
              <w:tab w:val="clear" w:pos="8743"/>
              <w:tab w:val="right" w:pos="9026" w:leader="dot"/>
            </w:tabs>
            <w:rPr/>
          </w:pPr>
          <w:hyperlink w:anchor="__RefHeading___Toc4284583_73709187">
            <w:r>
              <w:rPr>
                <w:webHidden/>
                <w:rStyle w:val="IndexLink"/>
                <w:rtl w:val="true"/>
              </w:rPr>
              <w:t>الفصل السابع عشر</w:t>
            </w:r>
            <w:r>
              <w:rPr>
                <w:rStyle w:val="IndexLink"/>
                <w:rtl w:val="true"/>
              </w:rPr>
              <w:t xml:space="preserve">: </w:t>
            </w:r>
            <w:r>
              <w:rPr>
                <w:rStyle w:val="IndexLink"/>
                <w:rtl w:val="true"/>
              </w:rPr>
              <w:t>في الفطحية</w:t>
            </w:r>
            <w:r>
              <w:rPr>
                <w:rStyle w:val="IndexLink"/>
                <w:rtl w:val="true"/>
              </w:rPr>
              <w:tab/>
            </w:r>
            <w:r>
              <w:rPr>
                <w:rStyle w:val="IndexLink"/>
              </w:rPr>
              <w:t>374</w:t>
            </w:r>
          </w:hyperlink>
        </w:p>
        <w:p>
          <w:pPr>
            <w:pStyle w:val="Contents3"/>
            <w:tabs>
              <w:tab w:val="clear" w:pos="8459"/>
              <w:tab w:val="right" w:pos="9026" w:leader="dot"/>
            </w:tabs>
            <w:rPr/>
          </w:pPr>
          <w:hyperlink w:anchor="__RefHeading___Toc4284585_73709187">
            <w:r>
              <w:rPr>
                <w:webHidden/>
                <w:rStyle w:val="IndexLink"/>
                <w:rtl w:val="true"/>
              </w:rPr>
              <w:t>اشارة</w:t>
            </w:r>
            <w:r>
              <w:rPr>
                <w:rStyle w:val="IndexLink"/>
                <w:rtl w:val="true"/>
              </w:rPr>
              <w:tab/>
            </w:r>
            <w:r>
              <w:rPr>
                <w:rStyle w:val="IndexLink"/>
              </w:rPr>
              <w:t>374</w:t>
            </w:r>
          </w:hyperlink>
        </w:p>
        <w:p>
          <w:pPr>
            <w:pStyle w:val="Contents3"/>
            <w:tabs>
              <w:tab w:val="clear" w:pos="8459"/>
              <w:tab w:val="right" w:pos="9026" w:leader="dot"/>
            </w:tabs>
            <w:rPr/>
          </w:pPr>
          <w:hyperlink w:anchor="__RefHeading___Toc4284587_73709187">
            <w:r>
              <w:rPr>
                <w:webHidden/>
                <w:rStyle w:val="IndexLink"/>
                <w:rtl w:val="true"/>
              </w:rPr>
              <w:t>مشاهير الفطحية</w:t>
            </w:r>
            <w:r>
              <w:rPr>
                <w:rStyle w:val="IndexLink"/>
                <w:rtl w:val="true"/>
              </w:rPr>
              <w:tab/>
            </w:r>
            <w:r>
              <w:rPr>
                <w:rStyle w:val="IndexLink"/>
              </w:rPr>
              <w:t>387</w:t>
            </w:r>
          </w:hyperlink>
        </w:p>
        <w:p>
          <w:pPr>
            <w:pStyle w:val="Contents2"/>
            <w:tabs>
              <w:tab w:val="clear" w:pos="8743"/>
              <w:tab w:val="right" w:pos="9026" w:leader="dot"/>
            </w:tabs>
            <w:rPr/>
          </w:pPr>
          <w:hyperlink w:anchor="__RefHeading___Toc4284589_73709187">
            <w:r>
              <w:rPr>
                <w:webHidden/>
                <w:rStyle w:val="IndexLink"/>
                <w:rtl w:val="true"/>
              </w:rPr>
              <w:t>الفصل الثامن عشر</w:t>
            </w:r>
            <w:r>
              <w:rPr>
                <w:rStyle w:val="IndexLink"/>
                <w:rtl w:val="true"/>
              </w:rPr>
              <w:t xml:space="preserve">: </w:t>
            </w:r>
            <w:r>
              <w:rPr>
                <w:rStyle w:val="IndexLink"/>
                <w:rtl w:val="true"/>
              </w:rPr>
              <w:t>في الواقفية</w:t>
            </w:r>
            <w:r>
              <w:rPr>
                <w:rStyle w:val="IndexLink"/>
                <w:rtl w:val="true"/>
              </w:rPr>
              <w:tab/>
            </w:r>
            <w:r>
              <w:rPr>
                <w:rStyle w:val="IndexLink"/>
              </w:rPr>
              <w:t>388</w:t>
            </w:r>
          </w:hyperlink>
        </w:p>
        <w:p>
          <w:pPr>
            <w:pStyle w:val="Contents3"/>
            <w:tabs>
              <w:tab w:val="clear" w:pos="8459"/>
              <w:tab w:val="right" w:pos="9026" w:leader="dot"/>
            </w:tabs>
            <w:rPr/>
          </w:pPr>
          <w:hyperlink w:anchor="__RefHeading___Toc4284591_73709187">
            <w:r>
              <w:rPr>
                <w:webHidden/>
                <w:rStyle w:val="IndexLink"/>
                <w:rtl w:val="true"/>
              </w:rPr>
              <w:t>اشارة</w:t>
            </w:r>
            <w:r>
              <w:rPr>
                <w:rStyle w:val="IndexLink"/>
                <w:rtl w:val="true"/>
              </w:rPr>
              <w:tab/>
            </w:r>
            <w:r>
              <w:rPr>
                <w:rStyle w:val="IndexLink"/>
              </w:rPr>
              <w:t>388</w:t>
            </w:r>
          </w:hyperlink>
        </w:p>
        <w:p>
          <w:pPr>
            <w:pStyle w:val="Contents3"/>
            <w:tabs>
              <w:tab w:val="clear" w:pos="8459"/>
              <w:tab w:val="right" w:pos="9026" w:leader="dot"/>
            </w:tabs>
            <w:rPr/>
          </w:pPr>
          <w:hyperlink w:anchor="__RefHeading___Toc4284593_73709187">
            <w:r>
              <w:rPr>
                <w:webHidden/>
                <w:rStyle w:val="IndexLink"/>
                <w:rtl w:val="true"/>
              </w:rPr>
              <w:t>سبب ظاهرة التوقف</w:t>
            </w:r>
            <w:r>
              <w:rPr>
                <w:rStyle w:val="IndexLink"/>
                <w:rtl w:val="true"/>
              </w:rPr>
              <w:tab/>
            </w:r>
            <w:r>
              <w:rPr>
                <w:rStyle w:val="IndexLink"/>
              </w:rPr>
              <w:t>391</w:t>
            </w:r>
          </w:hyperlink>
        </w:p>
        <w:p>
          <w:pPr>
            <w:pStyle w:val="Contents3"/>
            <w:tabs>
              <w:tab w:val="clear" w:pos="8459"/>
              <w:tab w:val="right" w:pos="9026" w:leader="dot"/>
            </w:tabs>
            <w:rPr/>
          </w:pPr>
          <w:hyperlink w:anchor="__RefHeading___Toc4284595_73709187">
            <w:r>
              <w:rPr>
                <w:webHidden/>
                <w:rStyle w:val="IndexLink"/>
                <w:rtl w:val="true"/>
              </w:rPr>
              <w:t>الواقفية في كتب الملل و النحل</w:t>
            </w:r>
            <w:r>
              <w:rPr>
                <w:rStyle w:val="IndexLink"/>
                <w:rtl w:val="true"/>
              </w:rPr>
              <w:tab/>
            </w:r>
            <w:r>
              <w:rPr>
                <w:rStyle w:val="IndexLink"/>
              </w:rPr>
              <w:t>396</w:t>
            </w:r>
          </w:hyperlink>
        </w:p>
        <w:p>
          <w:pPr>
            <w:pStyle w:val="Contents3"/>
            <w:tabs>
              <w:tab w:val="clear" w:pos="8459"/>
              <w:tab w:val="right" w:pos="9026" w:leader="dot"/>
            </w:tabs>
            <w:rPr/>
          </w:pPr>
          <w:hyperlink w:anchor="__RefHeading___Toc4284597_73709187">
            <w:r>
              <w:rPr>
                <w:webHidden/>
                <w:rStyle w:val="IndexLink"/>
                <w:rtl w:val="true"/>
              </w:rPr>
              <w:t>مشاهير الواقفية</w:t>
            </w:r>
            <w:r>
              <w:rPr>
                <w:rStyle w:val="IndexLink"/>
                <w:rtl w:val="true"/>
              </w:rPr>
              <w:tab/>
            </w:r>
            <w:r>
              <w:rPr>
                <w:rStyle w:val="IndexLink"/>
              </w:rPr>
              <w:t>400</w:t>
            </w:r>
          </w:hyperlink>
        </w:p>
        <w:p>
          <w:pPr>
            <w:pStyle w:val="Contents2"/>
            <w:tabs>
              <w:tab w:val="clear" w:pos="8743"/>
              <w:tab w:val="right" w:pos="9026" w:leader="dot"/>
            </w:tabs>
            <w:rPr/>
          </w:pPr>
          <w:hyperlink w:anchor="__RefHeading___Toc4284599_73709187">
            <w:r>
              <w:rPr>
                <w:webHidden/>
                <w:rStyle w:val="IndexLink"/>
                <w:rtl w:val="true"/>
              </w:rPr>
              <w:t>خاتمة المطاف</w:t>
            </w:r>
            <w:r>
              <w:rPr>
                <w:rStyle w:val="IndexLink"/>
                <w:rtl w:val="true"/>
              </w:rPr>
              <w:t xml:space="preserve">: </w:t>
            </w:r>
            <w:r>
              <w:rPr>
                <w:rStyle w:val="IndexLink"/>
                <w:rtl w:val="true"/>
              </w:rPr>
              <w:t>في النصيرية</w:t>
            </w:r>
            <w:r>
              <w:rPr>
                <w:rStyle w:val="IndexLink"/>
                <w:rtl w:val="true"/>
              </w:rPr>
              <w:tab/>
            </w:r>
            <w:r>
              <w:rPr>
                <w:rStyle w:val="IndexLink"/>
              </w:rPr>
              <w:t>406</w:t>
            </w:r>
          </w:hyperlink>
        </w:p>
        <w:p>
          <w:pPr>
            <w:pStyle w:val="Contents3"/>
            <w:tabs>
              <w:tab w:val="clear" w:pos="8459"/>
              <w:tab w:val="right" w:pos="9026" w:leader="dot"/>
            </w:tabs>
            <w:rPr/>
          </w:pPr>
          <w:hyperlink w:anchor="__RefHeading___Toc4284601_73709187">
            <w:r>
              <w:rPr>
                <w:webHidden/>
                <w:rStyle w:val="IndexLink"/>
                <w:rtl w:val="true"/>
              </w:rPr>
              <w:t>اشارة</w:t>
            </w:r>
            <w:r>
              <w:rPr>
                <w:rStyle w:val="IndexLink"/>
                <w:rtl w:val="true"/>
              </w:rPr>
              <w:tab/>
            </w:r>
            <w:r>
              <w:rPr>
                <w:rStyle w:val="IndexLink"/>
              </w:rPr>
              <w:t>406</w:t>
            </w:r>
          </w:hyperlink>
        </w:p>
        <w:p>
          <w:pPr>
            <w:pStyle w:val="Contents3"/>
            <w:tabs>
              <w:tab w:val="clear" w:pos="8459"/>
              <w:tab w:val="right" w:pos="9026" w:leader="dot"/>
            </w:tabs>
            <w:rPr/>
          </w:pPr>
          <w:hyperlink w:anchor="__RefHeading___Toc4284603_73709187">
            <w:r>
              <w:rPr>
                <w:webHidden/>
                <w:rStyle w:val="IndexLink"/>
                <w:rtl w:val="true"/>
              </w:rPr>
              <w:t>النصيرية في معاجم الملل و النحل</w:t>
            </w:r>
            <w:r>
              <w:rPr>
                <w:rStyle w:val="IndexLink"/>
                <w:rtl w:val="true"/>
              </w:rPr>
              <w:tab/>
            </w:r>
            <w:r>
              <w:rPr>
                <w:rStyle w:val="IndexLink"/>
              </w:rPr>
              <w:t>408</w:t>
            </w:r>
          </w:hyperlink>
        </w:p>
        <w:p>
          <w:pPr>
            <w:pStyle w:val="Contents3"/>
            <w:tabs>
              <w:tab w:val="clear" w:pos="8459"/>
              <w:tab w:val="right" w:pos="9026" w:leader="dot"/>
            </w:tabs>
            <w:rPr/>
          </w:pPr>
          <w:hyperlink w:anchor="__RefHeading___Toc4284605_73709187">
            <w:r>
              <w:rPr>
                <w:webHidden/>
                <w:rStyle w:val="IndexLink"/>
                <w:rtl w:val="true"/>
              </w:rPr>
              <w:t>النصيرية فرقة بائدة</w:t>
            </w:r>
            <w:r>
              <w:rPr>
                <w:rStyle w:val="IndexLink"/>
                <w:rtl w:val="true"/>
              </w:rPr>
              <w:tab/>
            </w:r>
            <w:r>
              <w:rPr>
                <w:rStyle w:val="IndexLink"/>
              </w:rPr>
              <w:t>413</w:t>
            </w:r>
          </w:hyperlink>
        </w:p>
        <w:p>
          <w:pPr>
            <w:pStyle w:val="Contents3"/>
            <w:tabs>
              <w:tab w:val="clear" w:pos="8459"/>
              <w:tab w:val="right" w:pos="9026" w:leader="dot"/>
            </w:tabs>
            <w:rPr/>
          </w:pPr>
          <w:hyperlink w:anchor="__RefHeading___Toc4284607_73709187">
            <w:r>
              <w:rPr>
                <w:webHidden/>
                <w:rStyle w:val="IndexLink"/>
                <w:rtl w:val="true"/>
              </w:rPr>
              <w:t>محمد بن نصير النميري شخصيّة قلقة</w:t>
            </w:r>
            <w:r>
              <w:rPr>
                <w:rStyle w:val="IndexLink"/>
                <w:rtl w:val="true"/>
              </w:rPr>
              <w:tab/>
            </w:r>
            <w:r>
              <w:rPr>
                <w:rStyle w:val="IndexLink"/>
              </w:rPr>
              <w:t>414</w:t>
            </w:r>
          </w:hyperlink>
        </w:p>
        <w:p>
          <w:pPr>
            <w:pStyle w:val="Contents3"/>
            <w:tabs>
              <w:tab w:val="clear" w:pos="8459"/>
              <w:tab w:val="right" w:pos="9026" w:leader="dot"/>
            </w:tabs>
            <w:rPr/>
          </w:pPr>
          <w:hyperlink w:anchor="__RefHeading___Toc4284609_73709187">
            <w:r>
              <w:rPr>
                <w:webHidden/>
                <w:rStyle w:val="IndexLink"/>
                <w:rtl w:val="true"/>
              </w:rPr>
              <w:t>العلويون و أصل التسمية بالنصيرية</w:t>
            </w:r>
            <w:r>
              <w:rPr>
                <w:rStyle w:val="IndexLink"/>
                <w:rtl w:val="true"/>
              </w:rPr>
              <w:tab/>
            </w:r>
            <w:r>
              <w:rPr>
                <w:rStyle w:val="IndexLink"/>
              </w:rPr>
              <w:t>415</w:t>
            </w:r>
          </w:hyperlink>
        </w:p>
        <w:p>
          <w:pPr>
            <w:pStyle w:val="Contents4"/>
            <w:tabs>
              <w:tab w:val="clear" w:pos="8176"/>
              <w:tab w:val="right" w:pos="9026" w:leader="dot"/>
            </w:tabs>
            <w:rPr/>
          </w:pPr>
          <w:hyperlink w:anchor="__RefHeading___Toc4284611_73709187">
            <w:r>
              <w:rPr>
                <w:webHidden/>
                <w:rStyle w:val="IndexLink"/>
                <w:rtl w:val="true"/>
              </w:rPr>
              <w:t>اشارة</w:t>
            </w:r>
            <w:r>
              <w:rPr>
                <w:rStyle w:val="IndexLink"/>
                <w:rtl w:val="true"/>
              </w:rPr>
              <w:tab/>
            </w:r>
            <w:r>
              <w:rPr>
                <w:rStyle w:val="IndexLink"/>
              </w:rPr>
              <w:t>415</w:t>
            </w:r>
          </w:hyperlink>
        </w:p>
        <w:p>
          <w:pPr>
            <w:pStyle w:val="Contents4"/>
            <w:tabs>
              <w:tab w:val="clear" w:pos="8176"/>
              <w:tab w:val="right" w:pos="9026" w:leader="dot"/>
            </w:tabs>
            <w:rPr/>
          </w:pPr>
          <w:hyperlink w:anchor="__RefHeading___Toc4284613_73709187">
            <w:r>
              <w:rPr>
                <w:webHidden/>
                <w:rStyle w:val="IndexLink"/>
                <w:rtl w:val="true"/>
              </w:rPr>
              <w:t>أهم عقائدهم</w:t>
            </w:r>
            <w:r>
              <w:rPr>
                <w:rStyle w:val="IndexLink"/>
                <w:rtl w:val="true"/>
              </w:rPr>
              <w:tab/>
            </w:r>
            <w:r>
              <w:rPr>
                <w:rStyle w:val="IndexLink"/>
              </w:rPr>
              <w:t>416</w:t>
            </w:r>
          </w:hyperlink>
        </w:p>
        <w:p>
          <w:pPr>
            <w:pStyle w:val="Contents3"/>
            <w:tabs>
              <w:tab w:val="clear" w:pos="8459"/>
              <w:tab w:val="right" w:pos="9026" w:leader="dot"/>
            </w:tabs>
            <w:rPr/>
          </w:pPr>
          <w:hyperlink w:anchor="__RefHeading___Toc4284615_73709187">
            <w:r>
              <w:rPr>
                <w:webHidden/>
                <w:rStyle w:val="IndexLink"/>
                <w:rtl w:val="true"/>
              </w:rPr>
              <w:t>الجبر و الاختيار و التفويض</w:t>
            </w:r>
            <w:r>
              <w:rPr>
                <w:rStyle w:val="IndexLink"/>
                <w:rtl w:val="true"/>
              </w:rPr>
              <w:tab/>
            </w:r>
            <w:r>
              <w:rPr>
                <w:rStyle w:val="IndexLink"/>
              </w:rPr>
              <w:t>419</w:t>
            </w:r>
          </w:hyperlink>
        </w:p>
        <w:p>
          <w:pPr>
            <w:pStyle w:val="Contents3"/>
            <w:tabs>
              <w:tab w:val="clear" w:pos="8459"/>
              <w:tab w:val="right" w:pos="9026" w:leader="dot"/>
            </w:tabs>
            <w:rPr/>
          </w:pPr>
          <w:hyperlink w:anchor="__RefHeading___Toc4284617_73709187">
            <w:r>
              <w:rPr>
                <w:webHidden/>
                <w:rStyle w:val="IndexLink"/>
                <w:rtl w:val="true"/>
              </w:rPr>
              <w:t>ما حيك حولهم</w:t>
            </w:r>
            <w:r>
              <w:rPr>
                <w:rStyle w:val="IndexLink"/>
                <w:rtl w:val="true"/>
              </w:rPr>
              <w:tab/>
            </w:r>
            <w:r>
              <w:rPr>
                <w:rStyle w:val="IndexLink"/>
              </w:rPr>
              <w:t>420</w:t>
            </w:r>
          </w:hyperlink>
        </w:p>
        <w:p>
          <w:pPr>
            <w:pStyle w:val="Contents3"/>
            <w:tabs>
              <w:tab w:val="clear" w:pos="8459"/>
              <w:tab w:val="right" w:pos="9026" w:leader="dot"/>
            </w:tabs>
            <w:rPr/>
          </w:pPr>
          <w:hyperlink w:anchor="__RefHeading___Toc4284619_73709187">
            <w:r>
              <w:rPr>
                <w:webHidden/>
                <w:rStyle w:val="IndexLink"/>
                <w:rtl w:val="true"/>
              </w:rPr>
              <w:t>رميهم بالغلو و التطرّف</w:t>
            </w:r>
            <w:r>
              <w:rPr>
                <w:rStyle w:val="IndexLink"/>
                <w:rtl w:val="true"/>
              </w:rPr>
              <w:tab/>
            </w:r>
            <w:r>
              <w:rPr>
                <w:rStyle w:val="IndexLink"/>
              </w:rPr>
              <w:t>421</w:t>
            </w:r>
          </w:hyperlink>
        </w:p>
        <w:p>
          <w:pPr>
            <w:pStyle w:val="Contents4"/>
            <w:tabs>
              <w:tab w:val="clear" w:pos="8176"/>
              <w:tab w:val="right" w:pos="9026" w:leader="dot"/>
            </w:tabs>
            <w:rPr/>
          </w:pPr>
          <w:hyperlink w:anchor="__RefHeading___Toc4284621_73709187">
            <w:r>
              <w:rPr>
                <w:webHidden/>
                <w:rStyle w:val="IndexLink"/>
                <w:rtl w:val="true"/>
              </w:rPr>
              <w:t>اشارة</w:t>
            </w:r>
            <w:r>
              <w:rPr>
                <w:rStyle w:val="IndexLink"/>
                <w:rtl w:val="true"/>
              </w:rPr>
              <w:tab/>
            </w:r>
            <w:r>
              <w:rPr>
                <w:rStyle w:val="IndexLink"/>
              </w:rPr>
              <w:t>421</w:t>
            </w:r>
          </w:hyperlink>
        </w:p>
        <w:p>
          <w:pPr>
            <w:pStyle w:val="Contents4"/>
            <w:tabs>
              <w:tab w:val="clear" w:pos="8176"/>
              <w:tab w:val="right" w:pos="9026" w:leader="dot"/>
            </w:tabs>
            <w:rPr/>
          </w:pPr>
          <w:hyperlink w:anchor="__RefHeading___Toc4284623_73709187">
            <w:r>
              <w:rPr>
                <w:webHidden/>
                <w:rStyle w:val="IndexLink"/>
                <w:rtl w:val="true"/>
              </w:rPr>
              <w:t xml:space="preserve">أ </w:t>
            </w:r>
            <w:r>
              <w:rPr>
                <w:rStyle w:val="IndexLink"/>
                <w:rtl w:val="true"/>
              </w:rPr>
              <w:t xml:space="preserve">- </w:t>
            </w:r>
            <w:r>
              <w:rPr>
                <w:rStyle w:val="IndexLink"/>
                <w:rtl w:val="true"/>
              </w:rPr>
              <w:t>الطريقة الجنبلائية</w:t>
            </w:r>
            <w:r>
              <w:rPr>
                <w:rStyle w:val="IndexLink"/>
                <w:rtl w:val="true"/>
              </w:rPr>
              <w:tab/>
            </w:r>
            <w:r>
              <w:rPr>
                <w:rStyle w:val="IndexLink"/>
              </w:rPr>
              <w:t>422</w:t>
            </w:r>
          </w:hyperlink>
        </w:p>
        <w:p>
          <w:pPr>
            <w:pStyle w:val="Contents4"/>
            <w:tabs>
              <w:tab w:val="clear" w:pos="8176"/>
              <w:tab w:val="right" w:pos="9026" w:leader="dot"/>
            </w:tabs>
            <w:rPr/>
          </w:pPr>
          <w:hyperlink w:anchor="__RefHeading___Toc4284625_73709187">
            <w:r>
              <w:rPr>
                <w:webHidden/>
                <w:rStyle w:val="IndexLink"/>
                <w:rtl w:val="true"/>
              </w:rPr>
              <w:t xml:space="preserve">ب </w:t>
            </w:r>
            <w:r>
              <w:rPr>
                <w:rStyle w:val="IndexLink"/>
                <w:rtl w:val="true"/>
              </w:rPr>
              <w:t xml:space="preserve">- </w:t>
            </w:r>
            <w:r>
              <w:rPr>
                <w:rStyle w:val="IndexLink"/>
                <w:rtl w:val="true"/>
              </w:rPr>
              <w:t>العقيدة في الباب</w:t>
            </w:r>
            <w:r>
              <w:rPr>
                <w:rStyle w:val="IndexLink"/>
                <w:rtl w:val="true"/>
              </w:rPr>
              <w:tab/>
            </w:r>
            <w:r>
              <w:rPr>
                <w:rStyle w:val="IndexLink"/>
              </w:rPr>
              <w:t>423</w:t>
            </w:r>
          </w:hyperlink>
        </w:p>
        <w:p>
          <w:pPr>
            <w:pStyle w:val="Contents3"/>
            <w:tabs>
              <w:tab w:val="clear" w:pos="8459"/>
              <w:tab w:val="right" w:pos="9026" w:leader="dot"/>
            </w:tabs>
            <w:rPr/>
          </w:pPr>
          <w:hyperlink w:anchor="__RefHeading___Toc4284627_73709187">
            <w:r>
              <w:rPr>
                <w:webHidden/>
                <w:rStyle w:val="IndexLink"/>
                <w:rtl w:val="true"/>
              </w:rPr>
              <w:t>المحنة و الاضطهاد المتواصل</w:t>
            </w:r>
            <w:r>
              <w:rPr>
                <w:rStyle w:val="IndexLink"/>
                <w:rtl w:val="true"/>
              </w:rPr>
              <w:tab/>
            </w:r>
            <w:r>
              <w:rPr>
                <w:rStyle w:val="IndexLink"/>
              </w:rPr>
              <w:t>424</w:t>
            </w:r>
          </w:hyperlink>
        </w:p>
        <w:p>
          <w:pPr>
            <w:pStyle w:val="Contents3"/>
            <w:tabs>
              <w:tab w:val="clear" w:pos="8459"/>
              <w:tab w:val="right" w:pos="9026" w:leader="dot"/>
            </w:tabs>
            <w:rPr/>
          </w:pPr>
          <w:hyperlink w:anchor="__RefHeading___Toc4284629_73709187">
            <w:r>
              <w:rPr>
                <w:webHidden/>
                <w:rStyle w:val="IndexLink"/>
                <w:rtl w:val="true"/>
              </w:rPr>
              <w:t>الخلط بين العلويين و الإسماعيليين و القرامطة</w:t>
            </w:r>
            <w:r>
              <w:rPr>
                <w:rStyle w:val="IndexLink"/>
                <w:rtl w:val="true"/>
              </w:rPr>
              <w:tab/>
            </w:r>
            <w:r>
              <w:rPr>
                <w:rStyle w:val="IndexLink"/>
              </w:rPr>
              <w:t>426</w:t>
            </w:r>
          </w:hyperlink>
        </w:p>
        <w:p>
          <w:pPr>
            <w:pStyle w:val="Contents3"/>
            <w:tabs>
              <w:tab w:val="clear" w:pos="8459"/>
              <w:tab w:val="right" w:pos="9026" w:leader="dot"/>
            </w:tabs>
            <w:rPr/>
          </w:pPr>
          <w:hyperlink w:anchor="__RefHeading___Toc4284631_73709187">
            <w:r>
              <w:rPr>
                <w:webHidden/>
                <w:rStyle w:val="IndexLink"/>
                <w:rtl w:val="true"/>
              </w:rPr>
              <w:t>أهمّ العشائر العلوية</w:t>
            </w:r>
            <w:r>
              <w:rPr>
                <w:rStyle w:val="IndexLink"/>
                <w:rtl w:val="true"/>
              </w:rPr>
              <w:tab/>
            </w:r>
            <w:r>
              <w:rPr>
                <w:rStyle w:val="IndexLink"/>
              </w:rPr>
              <w:t>427</w:t>
            </w:r>
          </w:hyperlink>
        </w:p>
        <w:p>
          <w:pPr>
            <w:pStyle w:val="Contents3"/>
            <w:tabs>
              <w:tab w:val="clear" w:pos="8459"/>
              <w:tab w:val="right" w:pos="9026" w:leader="dot"/>
            </w:tabs>
            <w:rPr/>
          </w:pPr>
          <w:hyperlink w:anchor="__RefHeading___Toc4284633_73709187">
            <w:r>
              <w:rPr>
                <w:webHidden/>
                <w:rStyle w:val="IndexLink"/>
                <w:rtl w:val="true"/>
              </w:rPr>
              <w:t>أعلام العلويين</w:t>
            </w:r>
            <w:r>
              <w:rPr>
                <w:rStyle w:val="IndexLink"/>
                <w:rtl w:val="true"/>
              </w:rPr>
              <w:tab/>
            </w:r>
            <w:r>
              <w:rPr>
                <w:rStyle w:val="IndexLink"/>
              </w:rPr>
              <w:t>429</w:t>
            </w:r>
          </w:hyperlink>
        </w:p>
        <w:p>
          <w:pPr>
            <w:pStyle w:val="Contents4"/>
            <w:tabs>
              <w:tab w:val="clear" w:pos="8176"/>
              <w:tab w:val="right" w:pos="9026" w:leader="dot"/>
            </w:tabs>
            <w:rPr/>
          </w:pPr>
          <w:hyperlink w:anchor="__RefHeading___Toc4284635_73709187">
            <w:r>
              <w:rPr>
                <w:webHidden/>
                <w:rStyle w:val="IndexLink"/>
              </w:rPr>
              <w:t>1</w:t>
            </w:r>
            <w:r>
              <w:rPr>
                <w:rStyle w:val="IndexLink"/>
                <w:rtl w:val="true"/>
              </w:rPr>
              <w:t xml:space="preserve"> - </w:t>
            </w:r>
            <w:r>
              <w:rPr>
                <w:rStyle w:val="IndexLink"/>
                <w:rtl w:val="true"/>
              </w:rPr>
              <w:t xml:space="preserve">إسحاق الأحمر </w:t>
            </w:r>
            <w:r>
              <w:rPr>
                <w:rStyle w:val="IndexLink"/>
                <w:rtl w:val="true"/>
              </w:rPr>
              <w:t xml:space="preserve">(... - </w:t>
            </w:r>
            <w:r>
              <w:rPr>
                <w:rStyle w:val="IndexLink"/>
              </w:rPr>
              <w:t>286</w:t>
            </w:r>
            <w:r>
              <w:rPr>
                <w:rStyle w:val="IndexLink"/>
                <w:rtl w:val="true"/>
              </w:rPr>
              <w:t xml:space="preserve"> </w:t>
            </w:r>
            <w:r>
              <w:rPr>
                <w:rStyle w:val="IndexLink"/>
                <w:rtl w:val="true"/>
              </w:rPr>
              <w:t>ه</w:t>
            </w:r>
            <w:r>
              <w:rPr>
                <w:rStyle w:val="IndexLink"/>
                <w:rtl w:val="true"/>
              </w:rPr>
              <w:t>)</w:t>
              <w:tab/>
            </w:r>
            <w:r>
              <w:rPr>
                <w:rStyle w:val="IndexLink"/>
              </w:rPr>
              <w:t>429</w:t>
            </w:r>
          </w:hyperlink>
        </w:p>
        <w:p>
          <w:pPr>
            <w:pStyle w:val="Contents4"/>
            <w:tabs>
              <w:tab w:val="clear" w:pos="8176"/>
              <w:tab w:val="right" w:pos="9026" w:leader="dot"/>
            </w:tabs>
            <w:rPr/>
          </w:pPr>
          <w:hyperlink w:anchor="__RefHeading___Toc4284637_73709187">
            <w:r>
              <w:rPr>
                <w:webHidden/>
                <w:rStyle w:val="IndexLink"/>
              </w:rPr>
              <w:t>2</w:t>
            </w:r>
            <w:r>
              <w:rPr>
                <w:rStyle w:val="IndexLink"/>
                <w:rtl w:val="true"/>
              </w:rPr>
              <w:t xml:space="preserve"> - </w:t>
            </w:r>
            <w:r>
              <w:rPr>
                <w:rStyle w:val="IndexLink"/>
                <w:rtl w:val="true"/>
              </w:rPr>
              <w:t xml:space="preserve">المنتجب العاني </w:t>
            </w:r>
            <w:r>
              <w:rPr>
                <w:rStyle w:val="IndexLink"/>
                <w:rtl w:val="true"/>
              </w:rPr>
              <w:t>(</w:t>
            </w:r>
            <w:r>
              <w:rPr>
                <w:rStyle w:val="IndexLink"/>
              </w:rPr>
              <w:t>330</w:t>
            </w:r>
            <w:r>
              <w:rPr>
                <w:rStyle w:val="IndexLink"/>
                <w:rtl w:val="true"/>
              </w:rPr>
              <w:t>-</w:t>
            </w:r>
            <w:r>
              <w:rPr>
                <w:rStyle w:val="IndexLink"/>
              </w:rPr>
              <w:t>400</w:t>
            </w:r>
            <w:r>
              <w:rPr>
                <w:rStyle w:val="IndexLink"/>
                <w:rtl w:val="true"/>
              </w:rPr>
              <w:t xml:space="preserve"> </w:t>
            </w:r>
            <w:r>
              <w:rPr>
                <w:rStyle w:val="IndexLink"/>
                <w:rtl w:val="true"/>
              </w:rPr>
              <w:t>ه</w:t>
            </w:r>
            <w:r>
              <w:rPr>
                <w:rStyle w:val="IndexLink"/>
                <w:rtl w:val="true"/>
              </w:rPr>
              <w:t>)</w:t>
              <w:tab/>
            </w:r>
            <w:r>
              <w:rPr>
                <w:rStyle w:val="IndexLink"/>
              </w:rPr>
              <w:t>429</w:t>
            </w:r>
          </w:hyperlink>
        </w:p>
        <w:p>
          <w:pPr>
            <w:pStyle w:val="Contents4"/>
            <w:tabs>
              <w:tab w:val="clear" w:pos="8176"/>
              <w:tab w:val="right" w:pos="9026" w:leader="dot"/>
            </w:tabs>
            <w:rPr/>
          </w:pPr>
          <w:hyperlink w:anchor="__RefHeading___Toc4284639_73709187">
            <w:r>
              <w:rPr>
                <w:webHidden/>
                <w:rStyle w:val="IndexLink"/>
              </w:rPr>
              <w:t>3</w:t>
            </w:r>
            <w:r>
              <w:rPr>
                <w:rStyle w:val="IndexLink"/>
                <w:rtl w:val="true"/>
              </w:rPr>
              <w:t xml:space="preserve"> - </w:t>
            </w:r>
            <w:r>
              <w:rPr>
                <w:rStyle w:val="IndexLink"/>
                <w:rtl w:val="true"/>
              </w:rPr>
              <w:t xml:space="preserve">الحسين بن حمدان الخصيبي </w:t>
            </w:r>
            <w:r>
              <w:rPr>
                <w:rStyle w:val="IndexLink"/>
                <w:rtl w:val="true"/>
              </w:rPr>
              <w:t>(</w:t>
            </w:r>
            <w:r>
              <w:rPr>
                <w:rStyle w:val="IndexLink"/>
              </w:rPr>
              <w:t>260</w:t>
            </w:r>
            <w:r>
              <w:rPr>
                <w:rStyle w:val="IndexLink"/>
                <w:rtl w:val="true"/>
              </w:rPr>
              <w:t>-</w:t>
            </w:r>
            <w:r>
              <w:rPr>
                <w:rStyle w:val="IndexLink"/>
              </w:rPr>
              <w:t>358</w:t>
            </w:r>
            <w:r>
              <w:rPr>
                <w:rStyle w:val="IndexLink"/>
                <w:rtl w:val="true"/>
              </w:rPr>
              <w:t xml:space="preserve"> </w:t>
            </w:r>
            <w:r>
              <w:rPr>
                <w:rStyle w:val="IndexLink"/>
                <w:rtl w:val="true"/>
              </w:rPr>
              <w:t>ه</w:t>
            </w:r>
            <w:r>
              <w:rPr>
                <w:rStyle w:val="IndexLink"/>
                <w:rtl w:val="true"/>
              </w:rPr>
              <w:t>)</w:t>
              <w:tab/>
            </w:r>
            <w:r>
              <w:rPr>
                <w:rStyle w:val="IndexLink"/>
              </w:rPr>
              <w:t>430</w:t>
            </w:r>
          </w:hyperlink>
        </w:p>
        <w:p>
          <w:pPr>
            <w:pStyle w:val="Contents4"/>
            <w:tabs>
              <w:tab w:val="clear" w:pos="8176"/>
              <w:tab w:val="right" w:pos="9026" w:leader="dot"/>
            </w:tabs>
            <w:rPr/>
          </w:pPr>
          <w:hyperlink w:anchor="__RefHeading___Toc4284641_73709187">
            <w:r>
              <w:rPr>
                <w:webHidden/>
                <w:rStyle w:val="IndexLink"/>
              </w:rPr>
              <w:t>4</w:t>
            </w:r>
            <w:r>
              <w:rPr>
                <w:rStyle w:val="IndexLink"/>
                <w:rtl w:val="true"/>
              </w:rPr>
              <w:t xml:space="preserve"> - </w:t>
            </w:r>
            <w:r>
              <w:rPr>
                <w:rStyle w:val="IndexLink"/>
                <w:rtl w:val="true"/>
              </w:rPr>
              <w:t xml:space="preserve">الميمون الطبراني </w:t>
            </w:r>
            <w:r>
              <w:rPr>
                <w:rStyle w:val="IndexLink"/>
                <w:rtl w:val="true"/>
              </w:rPr>
              <w:t>(</w:t>
            </w:r>
            <w:r>
              <w:rPr>
                <w:rStyle w:val="IndexLink"/>
              </w:rPr>
              <w:t>358</w:t>
            </w:r>
            <w:r>
              <w:rPr>
                <w:rStyle w:val="IndexLink"/>
                <w:rtl w:val="true"/>
              </w:rPr>
              <w:t>-</w:t>
            </w:r>
            <w:r>
              <w:rPr>
                <w:rStyle w:val="IndexLink"/>
              </w:rPr>
              <w:t>426</w:t>
            </w:r>
            <w:r>
              <w:rPr>
                <w:rStyle w:val="IndexLink"/>
                <w:rtl w:val="true"/>
              </w:rPr>
              <w:t xml:space="preserve"> </w:t>
            </w:r>
            <w:r>
              <w:rPr>
                <w:rStyle w:val="IndexLink"/>
                <w:rtl w:val="true"/>
              </w:rPr>
              <w:t>ه</w:t>
            </w:r>
            <w:r>
              <w:rPr>
                <w:rStyle w:val="IndexLink"/>
                <w:rtl w:val="true"/>
              </w:rPr>
              <w:t>)</w:t>
              <w:tab/>
            </w:r>
            <w:r>
              <w:rPr>
                <w:rStyle w:val="IndexLink"/>
              </w:rPr>
              <w:t>432</w:t>
            </w:r>
          </w:hyperlink>
        </w:p>
        <w:p>
          <w:pPr>
            <w:pStyle w:val="Contents4"/>
            <w:tabs>
              <w:tab w:val="clear" w:pos="8176"/>
              <w:tab w:val="right" w:pos="9026" w:leader="dot"/>
            </w:tabs>
            <w:rPr/>
          </w:pPr>
          <w:hyperlink w:anchor="__RefHeading___Toc4284643_73709187">
            <w:r>
              <w:rPr>
                <w:webHidden/>
                <w:rStyle w:val="IndexLink"/>
              </w:rPr>
              <w:t>5</w:t>
            </w:r>
            <w:r>
              <w:rPr>
                <w:rStyle w:val="IndexLink"/>
                <w:rtl w:val="true"/>
              </w:rPr>
              <w:t xml:space="preserve"> - </w:t>
            </w:r>
            <w:r>
              <w:rPr>
                <w:rStyle w:val="IndexLink"/>
                <w:rtl w:val="true"/>
              </w:rPr>
              <w:t xml:space="preserve">الحسن بن مكزون السنجاري </w:t>
            </w:r>
            <w:r>
              <w:rPr>
                <w:rStyle w:val="IndexLink"/>
                <w:rtl w:val="true"/>
              </w:rPr>
              <w:t>(</w:t>
            </w:r>
            <w:r>
              <w:rPr>
                <w:rStyle w:val="IndexLink"/>
              </w:rPr>
              <w:t>583</w:t>
            </w:r>
            <w:r>
              <w:rPr>
                <w:rStyle w:val="IndexLink"/>
                <w:rtl w:val="true"/>
              </w:rPr>
              <w:t>-</w:t>
            </w:r>
            <w:r>
              <w:rPr>
                <w:rStyle w:val="IndexLink"/>
              </w:rPr>
              <w:t>638</w:t>
            </w:r>
            <w:r>
              <w:rPr>
                <w:rStyle w:val="IndexLink"/>
                <w:rtl w:val="true"/>
              </w:rPr>
              <w:t xml:space="preserve"> </w:t>
            </w:r>
            <w:r>
              <w:rPr>
                <w:rStyle w:val="IndexLink"/>
                <w:rtl w:val="true"/>
              </w:rPr>
              <w:t>ه</w:t>
            </w:r>
            <w:r>
              <w:rPr>
                <w:rStyle w:val="IndexLink"/>
                <w:rtl w:val="true"/>
              </w:rPr>
              <w:t>)</w:t>
              <w:tab/>
            </w:r>
            <w:r>
              <w:rPr>
                <w:rStyle w:val="IndexLink"/>
              </w:rPr>
              <w:t>432</w:t>
            </w:r>
          </w:hyperlink>
        </w:p>
        <w:p>
          <w:pPr>
            <w:pStyle w:val="Contents2"/>
            <w:tabs>
              <w:tab w:val="clear" w:pos="8743"/>
              <w:tab w:val="right" w:pos="9026" w:leader="dot"/>
            </w:tabs>
            <w:rPr/>
          </w:pPr>
          <w:hyperlink w:anchor="__RefHeading___Toc4284645_73709187">
            <w:r>
              <w:rPr>
                <w:webHidden/>
                <w:rStyle w:val="IndexLink"/>
                <w:rtl w:val="true"/>
              </w:rPr>
              <w:t>فهرس مصادر الكتاب</w:t>
            </w:r>
            <w:r>
              <w:rPr>
                <w:rStyle w:val="IndexLink"/>
                <w:rtl w:val="true"/>
              </w:rPr>
              <w:tab/>
            </w:r>
            <w:r>
              <w:rPr>
                <w:rStyle w:val="IndexLink"/>
              </w:rPr>
              <w:t>436</w:t>
            </w:r>
          </w:hyperlink>
        </w:p>
        <w:p>
          <w:pPr>
            <w:pStyle w:val="Contents2"/>
            <w:tabs>
              <w:tab w:val="clear" w:pos="8743"/>
              <w:tab w:val="right" w:pos="9026" w:leader="dot"/>
            </w:tabs>
            <w:rPr/>
          </w:pPr>
          <w:hyperlink w:anchor="__RefHeading___Toc4284647_73709187">
            <w:r>
              <w:rPr>
                <w:webHidden/>
                <w:rStyle w:val="IndexLink"/>
                <w:rtl w:val="true"/>
              </w:rPr>
              <w:t>فهرس محتويات الكتاب</w:t>
            </w:r>
            <w:r>
              <w:rPr>
                <w:rStyle w:val="IndexLink"/>
                <w:rtl w:val="true"/>
              </w:rPr>
              <w:tab/>
            </w:r>
            <w:r>
              <w:rPr>
                <w:rStyle w:val="IndexLink"/>
              </w:rPr>
              <w:t>448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557_101168"/>
      <w:bookmarkStart w:id="1" w:name="pg11557_101168"/>
      <w:bookmarkEnd w:id="1"/>
    </w:p>
    <w:p>
      <w:pPr>
        <w:pStyle w:val="Heading2"/>
        <w:numPr>
          <w:ilvl w:val="1"/>
          <w:numId w:val="1"/>
        </w:numPr>
        <w:rPr/>
      </w:pPr>
      <w:bookmarkStart w:id="2" w:name="pg11557_101168"/>
      <w:bookmarkStart w:id="3" w:name="__RefHeading___Toc4284035_73709187"/>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سبحانی تبریزی، جعفر، </w:t>
      </w:r>
      <w:r>
        <w:rPr>
          <w:rFonts w:eastAsia="IRNazanin" w:cs="IRNazanin"/>
          <w:color w:val="111111"/>
          <w:sz w:val="28"/>
          <w:szCs w:val="28"/>
          <w:rtl w:val="true"/>
          <w:lang w:bidi="fa-IR"/>
        </w:rPr>
        <w:t xml:space="preserve">- </w:t>
      </w:r>
      <w:r>
        <w:rPr>
          <w:rFonts w:eastAsia="IRNazanin" w:cs="IRNazanin"/>
          <w:color w:val="111111"/>
          <w:sz w:val="28"/>
          <w:szCs w:val="28"/>
          <w:lang w:bidi="fa-IR"/>
        </w:rPr>
        <w:t>1308</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بحوث فی الملل و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دراسه موضوعیه مقارنه للمذاهب الاسلامیه</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الامام الصادق علیه‌السلام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1366</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یتناول تاریخ و عقائد اهل الحدیث و الحنابله و السلفیه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فرقه‌ها</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BP236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297/5</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3742</w:t>
      </w:r>
    </w:p>
    <w:p>
      <w:p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حیدری دولت آبادی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284037_7370918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557_101170"/>
      <w:bookmarkStart w:id="8" w:name="pg11557_101170"/>
      <w:bookmarkEnd w:id="8"/>
    </w:p>
    <w:p>
      <w:pPr>
        <w:pStyle w:val="Heading2"/>
        <w:numPr>
          <w:ilvl w:val="1"/>
          <w:numId w:val="1"/>
        </w:numPr>
        <w:rPr/>
      </w:pPr>
      <w:bookmarkStart w:id="9" w:name="pg11557_101170"/>
      <w:bookmarkStart w:id="10" w:name="__RefHeading___Toc4284039_73709187"/>
      <w:bookmarkStart w:id="11" w:name="_Toc3"/>
      <w:bookmarkEnd w:id="9"/>
      <w:bookmarkEnd w:id="10"/>
      <w:r>
        <w:rPr>
          <w:rtl w:val="true"/>
        </w:rPr>
        <w:t>مقدمة</w:t>
      </w:r>
      <w:bookmarkEnd w:id="11"/>
    </w:p>
    <w:p>
      <w:pPr>
        <w:pStyle w:val="Heading3"/>
        <w:numPr>
          <w:ilvl w:val="2"/>
          <w:numId w:val="1"/>
        </w:numPr>
        <w:rPr/>
      </w:pPr>
      <w:bookmarkStart w:id="12" w:name="__RefHeading___Toc4284041_73709187"/>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الصلاة و السلام على خير خلقه محمد و 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فهذا هو الجزء الثامن من موسوعة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بحوث في الملل و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نقدمه للقراء الكرام حول الإسماعيلية و غيرها من الفرق الشيعية و به تنتهي سلسلة تلك البحوث نحمده سبحانه و نشكره أنّه بذلك حقيق</w:t>
      </w:r>
      <w:r>
        <w:rPr>
          <w:rFonts w:eastAsia="Amiri" w:cs="Amiri" w:ascii="Amiri" w:hAnsi="Amiri"/>
          <w:color w:val="111111"/>
          <w:sz w:val="28"/>
          <w:szCs w:val="28"/>
          <w:rtl w:val="true"/>
          <w:lang w:bidi="ar-SA"/>
        </w:rPr>
        <w:t>.</w:t>
      </w:r>
    </w:p>
    <w:p>
      <w:pPr>
        <w:pStyle w:val="Heading3"/>
        <w:numPr>
          <w:ilvl w:val="2"/>
          <w:numId w:val="1"/>
        </w:numPr>
        <w:rPr/>
      </w:pPr>
      <w:bookmarkStart w:id="14" w:name="__RefHeading___Toc4284043_73709187"/>
      <w:bookmarkStart w:id="15" w:name="_Toc5"/>
      <w:bookmarkEnd w:id="14"/>
      <w:r>
        <w:rPr>
          <w:rtl w:val="true"/>
        </w:rPr>
        <w:t>تمهيد</w:t>
      </w:r>
      <w:bookmarkEnd w:id="15"/>
    </w:p>
    <w:p>
      <w:pPr>
        <w:pStyle w:val="BookText"/>
        <w:rPr/>
      </w:pPr>
      <w:r>
        <w:rPr>
          <w:rFonts w:ascii="Amiri" w:hAnsi="Amiri" w:eastAsia="Amiri" w:cs="Amiri"/>
          <w:color w:val="111111"/>
          <w:sz w:val="28"/>
          <w:sz w:val="28"/>
          <w:szCs w:val="28"/>
          <w:rtl w:val="true"/>
          <w:lang w:bidi="ar-SA"/>
        </w:rPr>
        <w:t>الإسماعيلية فرقة من الشيعة القائلة بأنّ الإمامة بالتنصيص من النبي أو الإمام القائم مقامه، غير انّ هناك خلافاً بين الزيدية و الإمامية في عدد الأئمة و مفهوم التنصيص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فالأئمّة المنصوصة خلافتهم و إمامتهم بعد النبي عند الزيدية لا يتجاوز عن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أمير المؤمنين عليه السّلام، و السبطين الكريمين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عليهم السّلام و بشهادة الأخير غلقت دائرة التنصيص، و جاءت مرحلة الانتخاب بالبيعة على تفصيل مرّ في الجزء السابع</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الأئمّة المنصوصون عند الإمامية فاثنا عشر إماماً، آخرهم غائبهم، يُظهره اللّٰه سبحانه عند ما يشاء و قد حُوِّل أمر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زمان غيبته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الفقيه العارف بالأحكام و السنن، و الواقف على مصالح المسلمين، على النحو المقرّر في كتبهم و تآليفهم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الإسماعيلية فقد افترقت إلى فرق مختلفة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القرامطة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القائلة بإمامة محمد بن إسماعيل ابن الإمام الصادق و غيبته، ثمّ دخلت الإمامة في كهف الاستتار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يسوقون الإمامة إلى الإمام الحادي عشر الحاكم بأمر اللّٰه، ثمّ يقولون بغيبته و ينتظرون ظهوره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هؤلاء يسوقون الإمامة إلى الإمام الثالث عشر المستنصر باللّٰه، و يقولون بإمامة ابنه المستعلى باللّٰه بعده، و هم المعروفون بالبهرة، و قد انقسمت المستعلية سنة </w:t>
      </w:r>
      <w:r>
        <w:rPr>
          <w:rFonts w:eastAsia="Amiri" w:cs="Amiri" w:ascii="Amiri" w:hAnsi="Amiri"/>
          <w:color w:val="111111"/>
          <w:sz w:val="28"/>
          <w:szCs w:val="28"/>
          <w:lang w:bidi="ar-SA"/>
        </w:rPr>
        <w:t>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إلى فرقتين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داودية و سليمانية، سيوافيك بيانها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النزارية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هؤلاء يسوقون الإمامة إلى المستنصر باللّٰه، ثمّ يقولون بإمامة ابنه الآخر نزار بن معد، و قد انقسمت النزارية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مؤمنية و قاسمية المعروفة بالآغاخانية، و سيأتي سبب الانقسام و زمانه و الركب الإمامي منقطع عن السير عند الجميع إلّا القاسمية حيث يقولون باستمرار الإمامة إلى العصر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حول اختلافهم في استمرار الإمامة، و أمّا اختلافهم مع الزيدية و الإمامية في مفهوم التنصيص، فإنّه عند الفرقتين الأخيرتين يرجع إلى تعيين الإمام و القائم بالأمر باللفظ و الاشهاد، بخلاف الإسماعيلية فإنّها تنتقل عندهم من الآباء إلى الأبناء، و يكون انتقالُها عن طريق الميلاد الطبيعي، فيكون ذلك بمثابة نص من الأب بتعيين الابن، و إذا كان للأب عدة أبناء فهو بما أُوتي من معرفة خارقة للعادة يستطيع أن يعرف من هو الإمام الذي وقع عليه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بأنّ الإمامة عندهم بالوراثة أولى من القول بالتنصيص</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تقدير فهذه الفرقة، منشقّة عن الشيعة، معتقدة بإمامة إسماعيل ابن جعفر بعد الإمام الصادق عليه السّلام و هي متواجدة في كثير من الأقطار،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الهند، و باكستان، و اليمن و نواحيها، و سوريا، و لبنان و أفغانستان، و إفريقية و إيران و نحقّق مذهبهم و فرقهم و آثارهم في ضمن فصول</w:t>
      </w:r>
      <w:r>
        <w:rPr>
          <w:rFonts w:eastAsia="Amiri" w:cs="Amiri" w:ascii="Amiri" w:hAnsi="Amiri"/>
          <w:color w:val="111111"/>
          <w:sz w:val="28"/>
          <w:szCs w:val="28"/>
          <w:rtl w:val="true"/>
          <w:lang w:bidi="ar-SA"/>
        </w:rPr>
        <w:t xml:space="preserve">: </w:t>
      </w:r>
      <w:bookmarkStart w:id="16" w:name="pg11557_101172"/>
    </w:p>
    <w:p>
      <w:pPr>
        <w:pStyle w:val="Heading2"/>
        <w:numPr>
          <w:ilvl w:val="1"/>
          <w:numId w:val="1"/>
        </w:numPr>
        <w:rPr/>
      </w:pPr>
      <w:bookmarkStart w:id="17" w:name="__RefHeading___Toc4284045_73709187"/>
      <w:bookmarkStart w:id="18" w:name="_Toc6"/>
      <w:bookmarkEnd w:id="16"/>
      <w:bookmarkEnd w:id="17"/>
      <w:r>
        <w:rPr>
          <w:rtl w:val="true"/>
        </w:rPr>
        <w:t>الفصل الأوّل</w:t>
      </w:r>
      <w:r>
        <w:rPr>
          <w:rtl w:val="true"/>
        </w:rPr>
        <w:t xml:space="preserve">: </w:t>
      </w:r>
      <w:r>
        <w:rPr>
          <w:rtl w:val="true"/>
        </w:rPr>
        <w:t>الخطوط العريضة للمذهب الإسماعيلي</w:t>
      </w:r>
      <w:bookmarkEnd w:id="18"/>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4284047_73709187"/>
      <w:bookmarkStart w:id="20" w:name="_Toc7"/>
      <w:bookmarkEnd w:id="19"/>
      <w:r>
        <w:rPr>
          <w:rtl w:val="true"/>
        </w:rPr>
        <w:t>اشارة</w:t>
      </w:r>
      <w:bookmarkEnd w:id="20"/>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11557_101174"/>
      <w:bookmarkStart w:id="22" w:name="pg11557_101174"/>
      <w:bookmarkEnd w:id="22"/>
    </w:p>
    <w:p>
      <w:pPr>
        <w:pStyle w:val="BookText"/>
        <w:rPr/>
      </w:pPr>
      <w:bookmarkStart w:id="23" w:name="pg11557_101174"/>
      <w:bookmarkEnd w:id="23"/>
      <w:r>
        <w:rPr>
          <w:rFonts w:ascii="Amiri" w:hAnsi="Amiri" w:eastAsia="Amiri" w:cs="Amiri"/>
          <w:color w:val="111111"/>
          <w:sz w:val="28"/>
          <w:sz w:val="28"/>
          <w:szCs w:val="28"/>
          <w:rtl w:val="true"/>
          <w:lang w:bidi="ar-SA"/>
        </w:rPr>
        <w:t>إنّ للمذهب الإسماعيلي آراءً و عقائد، ستوافيك تفاصيلها في الفصول الآتية نذكرها هنا على وجه الإيجاز</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4284049_73709187"/>
      <w:bookmarkStart w:id="25" w:name="_Toc8"/>
      <w:bookmarkEnd w:id="24"/>
      <w:r>
        <w:rPr>
          <w:rtl w:val="true"/>
        </w:rPr>
        <w:t>الأُولى</w:t>
      </w:r>
      <w:r>
        <w:rPr>
          <w:rtl w:val="true"/>
        </w:rPr>
        <w:t xml:space="preserve">: </w:t>
      </w:r>
      <w:r>
        <w:rPr>
          <w:rtl w:val="true"/>
        </w:rPr>
        <w:t>انتماؤهم إلى بيت الوحي و الرسالة</w:t>
      </w:r>
      <w:bookmarkEnd w:id="25"/>
    </w:p>
    <w:p>
      <w:pPr>
        <w:pStyle w:val="BookText"/>
        <w:rPr/>
      </w:pPr>
      <w:r>
        <w:rPr>
          <w:rFonts w:ascii="Amiri" w:hAnsi="Amiri" w:eastAsia="Amiri" w:cs="Amiri"/>
          <w:color w:val="111111"/>
          <w:sz w:val="28"/>
          <w:sz w:val="28"/>
          <w:szCs w:val="28"/>
          <w:rtl w:val="true"/>
          <w:lang w:bidi="ar-SA"/>
        </w:rPr>
        <w:t>كانت الدعوة الإسماعيلية يوم نشوئها دعوة بسيطة لا تتبنّى سوى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إمامة المسلمين، و خلافة الرسول صلّى اللّٰه عليه و آله و سلّم، و استلام الحكم من العباسيّين بحجة ظلمهم و تعسّفهم؛ غير أنّ دعوة بهذه السذاجة لا يكتب لها البقاء إلّا باستخدام عوامل تُضمن لها البقاء، و تستقطب أهواءَ الناس و ميولهم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تلك العوامل التي لها رصيد شعبي كبير هو ادّعاء انتماء أئمّتهم إلى بيت الوحي و الرسالة، و كونهم من ذرية الرسول و أبناء بنته الطاهرة فاطمة الزهراء عليها السّلام، و كان المسلمون منذُ عهدِ الرسول يتعاطفون مع أهل بيت النبيّ، و قد كانت محبتهم و موالاتهم شعار كلّ مسلم واع</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يشير إلى ذلك انّ الثورات التي نشبتْ ضدّ الأُمويين كانت تحمل شعار حب أهل البيت عليهم السّلام و الاقتداء بهم و التفاني دونهم، و من هذا المنطلق صارت الإسماعيلية تفتخر بانتماء أئمتهم إلى النبي صلّى اللّٰه عليه و آله و سلّم حتى إذا تسلّموا مقاليد الحكم و قامت دولتهم، اشتهروا بالفاطميين، و كانت التسمية يومذاك تهزّ المشاعر و تجذب العواطف بحجة انّ الأبناء يرثون ما للآباء من الفضائل و المآثر، و انّ تكريم ذرية الرسول صلّى اللّٰه عليه و آله و سلّم تكريم له صلّى اللّٰه عليه و آله و سلّم، فشتان ما بين بيت أُسس بنيانه على تقوى من اللّٰه و رضوانه، و بيت أُسّس بنيانه على شفا جرف هار، فانهار به في نار جهنم</w:t>
      </w:r>
      <w:r>
        <w:rPr>
          <w:rFonts w:eastAsia="Amiri" w:cs="Amiri" w:ascii="Amiri" w:hAnsi="Amiri"/>
          <w:color w:val="111111"/>
          <w:sz w:val="28"/>
          <w:szCs w:val="28"/>
          <w:rtl w:val="true"/>
          <w:lang w:bidi="ar-SA"/>
        </w:rPr>
        <w:t xml:space="preserve">. </w:t>
      </w:r>
      <w:bookmarkStart w:id="26" w:name="pg11557_101175"/>
    </w:p>
    <w:p>
      <w:pPr>
        <w:pStyle w:val="Heading3"/>
        <w:numPr>
          <w:ilvl w:val="2"/>
          <w:numId w:val="1"/>
        </w:numPr>
        <w:rPr/>
      </w:pPr>
      <w:bookmarkStart w:id="27" w:name="__RefHeading___Toc4284051_73709187"/>
      <w:bookmarkStart w:id="28" w:name="_Toc9"/>
      <w:bookmarkEnd w:id="26"/>
      <w:bookmarkEnd w:id="27"/>
      <w:r>
        <w:rPr>
          <w:rtl w:val="true"/>
        </w:rPr>
        <w:t>الثانية</w:t>
      </w:r>
      <w:r>
        <w:rPr>
          <w:rtl w:val="true"/>
        </w:rPr>
        <w:t xml:space="preserve">: </w:t>
      </w:r>
      <w:r>
        <w:rPr>
          <w:rtl w:val="true"/>
        </w:rPr>
        <w:t>تأويل الظواهر</w:t>
      </w:r>
      <w:bookmarkEnd w:id="28"/>
    </w:p>
    <w:p>
      <w:pPr>
        <w:pStyle w:val="BookText"/>
        <w:rPr/>
      </w:pPr>
      <w:r>
        <w:rPr>
          <w:rFonts w:ascii="Amiri" w:hAnsi="Amiri" w:eastAsia="Amiri" w:cs="Amiri"/>
          <w:color w:val="111111"/>
          <w:sz w:val="28"/>
          <w:sz w:val="28"/>
          <w:szCs w:val="28"/>
          <w:rtl w:val="true"/>
          <w:lang w:bidi="ar-SA"/>
        </w:rPr>
        <w:t>إنّ تأويل الظواهر و إرجاعها إلى خلاف ما يتبادر منها في عرف المتشرّعة هي السمة البارزة الثانية للدعوة الإسماعيلية، و هي إحدى الدعائم الأساسية بحيث لو انسلخت الدعوة عن التأويل و اكتفت بالظواهر، لم تتميز عن سائر الفرق الشيعية إلّا بصَرف الإمامة عن الإمام الكاظم عليه السّلام إلى أخيه إسماعيل بن جعفر، و قد بنوا على هذه الدعامة مذهبهم في مجالي العقيدة و الشريعة، و خصوصاً فيما يرجع إلى تفسير الإمامة و تصنيفها إلى أصناف، سيوافيك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يكن تأويل الظواهر أمراً مبتدعاً، بل سبقهم ثلة من المندسّين في أصحاب الإمام الصادق عليه السّلام الذين طردهم الإمام و لعنهم و حذّر شيعته من الاختلاط بهم، لصيانتهم عن التأثر بآرائهم و الانجراف في متاهاتهم كأبي منصور، و أبي الخطاب، و المغيرة بن سعيد، و غيرهم من ملاحدة عصره و زنادقة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تأويل الظواهر و التلاعب بآيات الذكر الحكيم و تفسيرها بالأهواء و الميول جعل المذهب الإسماعيلي يتطور مع تطور الزمان، و يتكيّف بمكيفاته، و لا ترى الدعوة أمامها أي مانع من مماشاة المستجدات و إن كانت على خلاف الشرع أو الضرورة الدينية</w:t>
      </w:r>
      <w:r>
        <w:rPr>
          <w:rFonts w:eastAsia="Amiri" w:cs="Amiri" w:ascii="Amiri" w:hAnsi="Amiri"/>
          <w:color w:val="111111"/>
          <w:sz w:val="28"/>
          <w:szCs w:val="28"/>
          <w:rtl w:val="true"/>
          <w:lang w:bidi="ar-SA"/>
        </w:rPr>
        <w:t>.</w:t>
      </w:r>
    </w:p>
    <w:p>
      <w:pPr>
        <w:pStyle w:val="Heading3"/>
        <w:numPr>
          <w:ilvl w:val="2"/>
          <w:numId w:val="1"/>
        </w:numPr>
        <w:rPr/>
      </w:pPr>
      <w:bookmarkStart w:id="29" w:name="__RefHeading___Toc4284053_73709187"/>
      <w:bookmarkStart w:id="30" w:name="_Toc10"/>
      <w:bookmarkEnd w:id="29"/>
      <w:r>
        <w:rPr>
          <w:rtl w:val="true"/>
        </w:rPr>
        <w:t>الثالثة</w:t>
      </w:r>
      <w:r>
        <w:rPr>
          <w:rtl w:val="true"/>
        </w:rPr>
        <w:t xml:space="preserve">: </w:t>
      </w:r>
      <w:r>
        <w:rPr>
          <w:rtl w:val="true"/>
        </w:rPr>
        <w:t>تطعيم مذهبهم بالمسائل الفلسفية</w:t>
      </w:r>
      <w:bookmarkEnd w:id="30"/>
    </w:p>
    <w:p>
      <w:pPr>
        <w:pStyle w:val="BookText"/>
        <w:rPr/>
      </w:pPr>
      <w:r>
        <w:rPr>
          <w:rFonts w:ascii="Amiri" w:hAnsi="Amiri" w:eastAsia="Amiri" w:cs="Amiri"/>
          <w:color w:val="111111"/>
          <w:sz w:val="28"/>
          <w:sz w:val="28"/>
          <w:szCs w:val="28"/>
          <w:rtl w:val="true"/>
          <w:lang w:bidi="ar-SA"/>
        </w:rPr>
        <w:t>إنّ ظاهرة الجمود على النصوص و الظواهر و رفض العقل في مجالات العقائد، كانت من أهمّ ميزات العصر العباسي حيث كانوا يرفضون كل بحثٍ عقلي خارج عن هذا الإطار خاصّة في عهد المنصور و الرشيد، فقد طردوا حماة البحث الحرّ و الانفتاح الفكري و ضيّقوا عليهم</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هذه الظاهرة على خلاف الشريعة، التي تدعو إلى التفكّر و التعقّل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w:t>
      </w:r>
      <w:bookmarkStart w:id="31" w:name="pg11557_101176"/>
    </w:p>
    <w:p>
      <w:pPr>
        <w:pStyle w:val="BookText"/>
        <w:rPr/>
      </w:pPr>
      <w:bookmarkEnd w:id="31"/>
      <w:r>
        <w:rPr>
          <w:rFonts w:ascii="Amiri" w:hAnsi="Amiri" w:eastAsia="Amiri" w:cs="Amiri"/>
          <w:color w:val="111111"/>
          <w:sz w:val="28"/>
          <w:sz w:val="28"/>
          <w:szCs w:val="28"/>
          <w:rtl w:val="true"/>
          <w:lang w:bidi="ar-SA"/>
        </w:rPr>
        <w:t>الإمام علي عليه السّلام أوّل من فتحَ باب الأبحاث العقلية على مصراعيه و بيّن الخطوط العريضة لكثير من العقائد على ضوء البرهان و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ظاهرة الجمود في أوساط العباسيين ولّدت ردّ فعلٍ عند أئمة الإسماعيليّة، فانجرفوا في تيارات المسائل الفلسفية و جعلوها من صميم الدين و جذوره، و انقلب المذهب إلى منهج فلسفي يتطوّر مع تطوّر الزمن، و يتبنّى أُصولاً لا تجد منها في الشريعة الإسلامية عيناً و لا أثراً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المؤرّخ الإسماعيلي 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في بادئ الأمر تدل على أنّها من إحدى الفرق الشيعية المعتدلة، لكنّها صارت مع تطور الزمن حركة عقلية تدلّ على أصحاب مذاهب دينية مختلفة، و أحزاب سياسية و اجتماعية متعدّدة، و آراء فلسفية و علمية متنوعة</w:t>
      </w:r>
      <w:r>
        <w:rPr>
          <w:rFonts w:eastAsia="Amiri" w:cs="Amiri" w:ascii="Amiri" w:hAnsi="Amiri"/>
          <w:color w:val="111111"/>
          <w:sz w:val="28"/>
          <w:szCs w:val="28"/>
          <w:rtl w:val="true"/>
          <w:lang w:bidi="ar-SA"/>
        </w:rPr>
        <w:t>.</w:t>
      </w:r>
      <w:r>
        <w:rPr>
          <w:rStyle w:val="FootnoteAnchor"/>
          <w:rtl w:val="true"/>
        </w:rPr>
        <w:footnoteReference w:id="2"/>
      </w:r>
    </w:p>
    <w:p>
      <w:pPr>
        <w:pStyle w:val="Heading3"/>
        <w:numPr>
          <w:ilvl w:val="2"/>
          <w:numId w:val="1"/>
        </w:numPr>
        <w:rPr/>
      </w:pPr>
      <w:bookmarkStart w:id="32" w:name="__RefHeading___Toc4284055_73709187"/>
      <w:bookmarkStart w:id="33" w:name="_Toc11"/>
      <w:bookmarkEnd w:id="32"/>
      <w:r>
        <w:rPr>
          <w:rtl w:val="true"/>
        </w:rPr>
        <w:t>الرابعة</w:t>
      </w:r>
      <w:r>
        <w:rPr>
          <w:rtl w:val="true"/>
        </w:rPr>
        <w:t xml:space="preserve">: </w:t>
      </w:r>
      <w:r>
        <w:rPr>
          <w:rtl w:val="true"/>
        </w:rPr>
        <w:t>تنظيم الدعوة</w:t>
      </w:r>
      <w:bookmarkEnd w:id="33"/>
    </w:p>
    <w:p>
      <w:pPr>
        <w:pStyle w:val="BookText"/>
        <w:rPr/>
      </w:pPr>
      <w:r>
        <w:rPr>
          <w:rFonts w:ascii="Amiri" w:hAnsi="Amiri" w:eastAsia="Amiri" w:cs="Amiri"/>
          <w:color w:val="111111"/>
          <w:sz w:val="28"/>
          <w:sz w:val="28"/>
          <w:szCs w:val="28"/>
          <w:rtl w:val="true"/>
          <w:lang w:bidi="ar-SA"/>
        </w:rPr>
        <w:t xml:space="preserve">ظهرت الدعوة الإسماعيلية في ظروف ساد فيها سلطانُ العباسيين شرقَ الأرض و غربها، و نشروا في كلّ بقعة جواسيس و عيوناً ينقلون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أخبار مخالفيهم و مناوئيهم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مركز الخلافة الإسلامية، ففي مثل هذه الظروف العصيبة لا يكتب النجاح لكلّ دعوة تقوم ضد السلطة إلّا إذا امتلكت تنظيماً و تخطيطاً متقناً يضمن استمرارَها، و يصون دعاتها و أتباعها من حبائل النظام الحاكم و كشف أسرارهم</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وقف الدعاة على خطورة الموقف و أحسّوا بلزوم إتقان التخطيط و التنظيم، و بلغوا فيه الذروة بحيث لو قورنت مع أحدث التنظيمات الحزبية العصرية، لفاقتها و كانت لهم القدح المعلّى في هذا المضمار، و قد ابتكروا أساليب </w:t>
      </w:r>
      <w:bookmarkStart w:id="34" w:name="pg11557_101177"/>
    </w:p>
    <w:p>
      <w:pPr>
        <w:pStyle w:val="BookText"/>
        <w:rPr/>
      </w:pPr>
      <w:bookmarkEnd w:id="34"/>
      <w:r>
        <w:rPr>
          <w:rFonts w:ascii="Amiri" w:hAnsi="Amiri" w:eastAsia="Amiri" w:cs="Amiri"/>
          <w:color w:val="111111"/>
          <w:sz w:val="28"/>
          <w:sz w:val="28"/>
          <w:szCs w:val="28"/>
          <w:rtl w:val="true"/>
          <w:lang w:bidi="ar-SA"/>
        </w:rPr>
        <w:t>دقيقة يقف عليها من سبر تراجمهم و قرأ تاريخهم، و لم يكتفوا بذلك فحسب بل جعلوا تنظيمات الدعوة من صميم العقيدة و فلسفتها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المؤرخ الإسماعيلي 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بالحقيقة لم توجه أية دولة من الدول، أو فرقة من الفرق، اهتماماً خاصاً بالدعاية و تنظيمها، كما اهتمّت بها الإسماعيلية، فجعلت منها الوسيلة الرئيسية لتحقيق نجاح الحركة في دور الستر و التخفّي، و دور الظهور و البناء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أحدث التخطيط الدعاوي المنظم تنظيماً عجيباً لم يسبقهم إليه أحد في العالم، و ابتكرت الأساليب المبنية على أُسس مكينة مستوحاة من عقيدتها الصميمة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برعوا براعة لا توصف في تنظيم أجهزة الدعاية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قِلّة الوسائل في ذلك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استطاعوا أن يشرفوا بسرعة فائقة على أقاصي بقاع البلدان الإسلامية، و يتنسمون أخبار أتباعهم في الأبعاد المتناهية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بما نظموا من أساليب و أحدثوا من 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 للحمام الزاجل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برع في استخدامه دعاة الإسماعيلية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أثره الفعّال في تنظيم نقل الأخبار و المراسلات السرية الهامّة</w:t>
      </w:r>
      <w:r>
        <w:rPr>
          <w:rFonts w:eastAsia="Amiri" w:cs="Amiri" w:ascii="Amiri" w:hAnsi="Amiri"/>
          <w:color w:val="111111"/>
          <w:sz w:val="28"/>
          <w:szCs w:val="28"/>
          <w:rtl w:val="true"/>
          <w:lang w:bidi="ar-SA"/>
        </w:rPr>
        <w:t>.</w:t>
      </w:r>
      <w:r>
        <w:rPr>
          <w:rStyle w:val="FootnoteAnchor"/>
          <w:rtl w:val="true"/>
        </w:rPr>
        <w:footnoteReference w:id="3"/>
      </w:r>
    </w:p>
    <w:p>
      <w:pPr>
        <w:pStyle w:val="Heading3"/>
        <w:numPr>
          <w:ilvl w:val="2"/>
          <w:numId w:val="1"/>
        </w:numPr>
        <w:rPr/>
      </w:pPr>
      <w:bookmarkStart w:id="35" w:name="__RefHeading___Toc4284057_73709187"/>
      <w:bookmarkStart w:id="36" w:name="_Toc12"/>
      <w:bookmarkEnd w:id="35"/>
      <w:r>
        <w:rPr>
          <w:rtl w:val="true"/>
        </w:rPr>
        <w:t>الخامسة</w:t>
      </w:r>
      <w:r>
        <w:rPr>
          <w:rtl w:val="true"/>
        </w:rPr>
        <w:t xml:space="preserve">: </w:t>
      </w:r>
      <w:r>
        <w:rPr>
          <w:rtl w:val="true"/>
        </w:rPr>
        <w:t>إضفاء طابع القداسة على أئمّتهم و دعاتهم</w:t>
      </w:r>
      <w:bookmarkEnd w:id="36"/>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شعرت الدعوة الإسماعيلية أيام نشوئها بأنّه لا بقاء لها إلّا إذا أضفتْ طابع القداسة على أئمّتهم و دعاتهم بحيث توجب مخالفتهم مروقاً عن الدين و خروجاً عن طاعة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الجدير بالاهتمام انّ الإمام الإسماعيلي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يعتبر رئيساً للدعوة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الدعاة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حدود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إمعاناً منه في إسباغ الفضائل عليهم ليتمكّنوا من نشر الدعوة و توجيه الأتباع و المريدين دون ما أيّة معارضة أو مخالفة، </w:t>
      </w:r>
    </w:p>
    <w:p>
      <w:pPr>
        <w:pStyle w:val="BookText"/>
        <w:rPr/>
      </w:pPr>
      <w:r>
        <w:rPr>
          <w:rFonts w:ascii="Amiri" w:hAnsi="Amiri" w:eastAsia="Amiri" w:cs="Amiri"/>
          <w:color w:val="111111"/>
          <w:sz w:val="28"/>
          <w:sz w:val="28"/>
          <w:szCs w:val="28"/>
          <w:rtl w:val="true"/>
          <w:lang w:bidi="ar-SA"/>
        </w:rPr>
        <w:t>لأنّ مخالفتهم و معارضتهم تعتبر بالنسبة للإسماعيلية مروقاً عن الدين، و خروجاً عن طاعة الإمام نفسه، لأنّهم من صلب العقيدة و حدودها</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إنّ الإمامة تحتل عند الإسماعيلية مركزاً مرموقاً و لها درجات و مقامات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سيوافيك تفصيلها في مظانها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أضحت من أبرز سمات المذهب الإسماعيلي فهم يعتقدون بالنطقاء الستة، و انّ كلّ ناطق رسول يتلوه أئمة سبعة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فآدم رسول ناطق تلته أئمة سبعة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فنوح رسول ناطق تلته أئمة سبعة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فإبراهيم رسول ناطق جاءت بعده أئمة سبعة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فموسى رسول ناطق تلته أئمة سبعة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فعيسىٰ رسول ناطق تلته أئمة سبعة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فمحمّد رسول ناطق تلته أئمة سبعة، و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أبي طالب، الحسن بن علي، الحسين بن علي، علي بن الحسين، محمد ابن علي الباقر، جعفر بن محمد الصادق، إسماعيل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يتم دور الأئمة السبعة و يكون التالي رسولاً ناطقاً سابعاً و ناسخاً للشريعة السابقة و هو محمد بن إسماعيل و هذا ممّا يصادم عقائد جمهور المسلمين من أنّ نبيّ الإسلام صلّى اللّٰه عليه و آله و سلّم هو خاتم الأنبياء و المرسلين، و شريعته خاتمة الشرائع، و كتابه خاتم الكتب</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فعند ذلك وقعت الإسماعيلية في مأزق كبير سيوافيك تفصيله في الفصول الآتية إن شاء اللّٰه تعالى</w:t>
      </w:r>
      <w:r>
        <w:rPr>
          <w:rFonts w:eastAsia="Amiri" w:cs="Amiri" w:ascii="Amiri" w:hAnsi="Amiri"/>
          <w:color w:val="111111"/>
          <w:sz w:val="28"/>
          <w:szCs w:val="28"/>
          <w:rtl w:val="true"/>
          <w:lang w:bidi="ar-SA"/>
        </w:rPr>
        <w:t xml:space="preserve">. </w:t>
      </w:r>
      <w:bookmarkStart w:id="37" w:name="pg11557_101179"/>
    </w:p>
    <w:p>
      <w:pPr>
        <w:pStyle w:val="Heading3"/>
        <w:numPr>
          <w:ilvl w:val="2"/>
          <w:numId w:val="1"/>
        </w:numPr>
        <w:rPr/>
      </w:pPr>
      <w:bookmarkStart w:id="38" w:name="__RefHeading___Toc4284059_73709187"/>
      <w:bookmarkStart w:id="39" w:name="_Toc13"/>
      <w:bookmarkEnd w:id="37"/>
      <w:bookmarkEnd w:id="38"/>
      <w:r>
        <w:rPr>
          <w:rtl w:val="true"/>
        </w:rPr>
        <w:t>السادسة</w:t>
      </w:r>
      <w:r>
        <w:rPr>
          <w:rtl w:val="true"/>
        </w:rPr>
        <w:t xml:space="preserve">: </w:t>
      </w:r>
      <w:r>
        <w:rPr>
          <w:rtl w:val="true"/>
        </w:rPr>
        <w:t>تربية الفدائيين للدفاع عن المذهب</w:t>
      </w:r>
      <w:bookmarkEnd w:id="39"/>
    </w:p>
    <w:p>
      <w:pPr>
        <w:pStyle w:val="BookText"/>
        <w:rPr/>
      </w:pPr>
      <w:r>
        <w:rPr>
          <w:rFonts w:ascii="Amiri" w:hAnsi="Amiri" w:eastAsia="Amiri" w:cs="Amiri"/>
          <w:color w:val="111111"/>
          <w:sz w:val="28"/>
          <w:sz w:val="28"/>
          <w:szCs w:val="28"/>
          <w:rtl w:val="true"/>
          <w:lang w:bidi="ar-SA"/>
        </w:rPr>
        <w:t>إنّ الأقلية المعارضة من أجل الحفاظ على كيانها لا مناص لها من تربية فدائيين مضحِّين بأنفسهم في سبيل الدعوة لصيانة أئمّتهم و دعاتهم من تعرض الأعداء، فينتقون من العناصر المخلصة المعروفة بالتضحية و الإقدام، و الشجاعة النادرة، و الجرأة الخارقة، و يكلَّفون بالتضحيات الجسدية، و تنفيذ أوامر الإمام أو نائبه، و إليك أحد النماذج المذكورة في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فكر فخر الملك بن نظام وزير السلطان سنجر، أن يثأر لأبيه و هاجم قلاع الإسماعيلية، فأوفد إليه الحسن بن الصباح أحد فدائييه فقتله بطعنة خنجر، و لقد كانت قلاعه في حصار مستمر من قبل السلجوقيين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حوصرت قلعة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السلطان السلجوقي و اشتد الحصار عليها، فأرسل السلطان رسولاً إلى الحسن بن الصباح يطلب منه الاستسلام، و يدعوه لطاعته، فنادى الحسن أحد فدائييه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ألقي بنفسك من هذا البرج ففعل، و قال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اطعن نفسك بهذا الخنجر ففعل، فقال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و قل لمولاك إنّه لدي سبعونَ ألفاً من الرجال الأُمناء المخلَصين أمثال هؤلاء الذين يبذلون دماءهم في سبيل عقيدتهم المثلى</w:t>
      </w:r>
      <w:r>
        <w:rPr>
          <w:rFonts w:eastAsia="Amiri" w:cs="Amiri" w:ascii="Amiri" w:hAnsi="Amiri"/>
          <w:color w:val="111111"/>
          <w:sz w:val="28"/>
          <w:szCs w:val="28"/>
          <w:rtl w:val="true"/>
          <w:lang w:bidi="ar-SA"/>
        </w:rPr>
        <w:t>.</w:t>
      </w:r>
      <w:r>
        <w:rPr>
          <w:rStyle w:val="FootnoteAnchor"/>
          <w:rtl w:val="true"/>
        </w:rPr>
        <w:footnoteReference w:id="5"/>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تفشّت هذه الظاهرة بين أوساطهم، و آل أمر الأتباع إلى طاعة عمياء لأئمتهم و دعاتهم في كلّ حكم يصدر عن القيادة العامة، أو الدعاة الخاصين دون الإفصاح عن أسبابه، و بلغ بهم الأمر إطاعتهم لأئمّتهم في رفع بعض الأحكام الإسلامية عن الجيل الإسماعيلي بحجة انّ العصر يضاده، و يشهد على ذلك ما كتبه المؤرّخ الإسماعيلي إذ يقول عن إمام عصره آغا خان الثالث 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الحجاب يتعارض و العقائد الإسماعيلية، و إنّي أُهيب بكل إسماعيلية أن تنزع </w:t>
      </w:r>
      <w:bookmarkStart w:id="40" w:name="pg11557_101180"/>
    </w:p>
    <w:p>
      <w:pPr>
        <w:pStyle w:val="BookText"/>
        <w:rPr/>
      </w:pPr>
      <w:bookmarkEnd w:id="40"/>
      <w:r>
        <w:rPr>
          <w:rFonts w:ascii="Amiri" w:hAnsi="Amiri" w:eastAsia="Amiri" w:cs="Amiri"/>
          <w:color w:val="111111"/>
          <w:sz w:val="28"/>
          <w:sz w:val="28"/>
          <w:szCs w:val="28"/>
          <w:rtl w:val="true"/>
          <w:lang w:bidi="ar-SA"/>
        </w:rPr>
        <w:t>نقابَها، و تنزل إلى معترك الحياة لتساهم مساهمة فعالة في بناء الهيكل الاجتماعي و الديني للطائفة الإسماعيلية خاصّة و للعالم الإسلامي عامة، و أن تعمل جنباً إلى جنب مع الرجل في مختلف نواحي الحياة أسوة بجميع النساء الإسماعيليات في العالم، و آمل في زيارتي القادمة أن لا أرى أثراً للحجاب بين النساء الإسماعيليات، و آمرك أن تبلغ ما سمعت لعموم الإسماعيليات بدون إبطاء</w:t>
      </w:r>
      <w:r>
        <w:rPr>
          <w:rFonts w:eastAsia="Amiri" w:cs="Amiri" w:ascii="Amiri" w:hAnsi="Amiri"/>
          <w:color w:val="111111"/>
          <w:sz w:val="28"/>
          <w:szCs w:val="28"/>
          <w:rtl w:val="true"/>
          <w:lang w:bidi="ar-SA"/>
        </w:rPr>
        <w:t>».</w:t>
      </w:r>
      <w:r>
        <w:rPr>
          <w:rStyle w:val="FootnoteAnchor"/>
          <w:rtl w:val="true"/>
        </w:rPr>
        <w:footnoteReference w:id="6"/>
      </w:r>
    </w:p>
    <w:p>
      <w:pPr>
        <w:pStyle w:val="Heading3"/>
        <w:numPr>
          <w:ilvl w:val="2"/>
          <w:numId w:val="1"/>
        </w:numPr>
        <w:rPr/>
      </w:pPr>
      <w:bookmarkStart w:id="41" w:name="__RefHeading___Toc4284061_73709187"/>
      <w:bookmarkStart w:id="42" w:name="_Toc14"/>
      <w:bookmarkEnd w:id="41"/>
      <w:r>
        <w:rPr>
          <w:rtl w:val="true"/>
        </w:rPr>
        <w:t>السابعة</w:t>
      </w:r>
      <w:r>
        <w:rPr>
          <w:rtl w:val="true"/>
        </w:rPr>
        <w:t xml:space="preserve">: </w:t>
      </w:r>
      <w:r>
        <w:rPr>
          <w:rtl w:val="true"/>
        </w:rPr>
        <w:t>كتمان الوثائق</w:t>
      </w:r>
      <w:bookmarkEnd w:id="42"/>
    </w:p>
    <w:p>
      <w:pPr>
        <w:pStyle w:val="BookText"/>
        <w:rPr/>
      </w:pPr>
      <w:r>
        <w:rPr>
          <w:rFonts w:ascii="Amiri" w:hAnsi="Amiri" w:eastAsia="Amiri" w:cs="Amiri"/>
          <w:color w:val="111111"/>
          <w:sz w:val="28"/>
          <w:sz w:val="28"/>
          <w:szCs w:val="28"/>
          <w:rtl w:val="true"/>
          <w:lang w:bidi="ar-SA"/>
        </w:rPr>
        <w:t>إنّ استعراض تاريخ الدعوات الباطنية السرية و تنظيماتها رهن الوقوف على وثائقها و مصادرها التي تنير الدرب لاستجلاء كنهها، و كشف حقيقتها و ما غمض من رموزها و مصطلحاتها، و لكن للأسف الشديد انّ الإسماعيلية كتموا وثائقهم و كتاباتهم و مؤلفاتهم و كلّ شيء يعود لهم و لم يبذلوها لأحد سواهم، فصار البحث عن الإسماعيلية بطوائفها أمراً مستعصياً، إلّا أن يستند الباحث إلى كتب خصومهم و ما قيل فيهم، و من المعلوم انّ القضاء في حقّ طائفة استناداً إلى كلمات مخالفيهم، خارج عن أدب البحث النزيه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ليس شيئاً عجيباً إنّما العجب انّ المؤرّخين المعاصرين من الإسماعيلية واجهوا نفس هذه المشكلة منذ زمن طويل، يقول مصطفى غالب و هو من طليعة كتّاب الإسماعيلية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المشاكل المستعصية التي يصعب على المؤرّخ و الباحث حلّها و سبر أغوارها، و هو يستعرض تاريخ الدعوات الباطنية السرية، و تنظيماتها، حرص تلك الدعوات الشديد على كتمان وثائقهم و مصادرهم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المعلومات التي نقدّمها للمهتمّين بالدراسات الإسلامية مستقاة من الوثائق و المصادر الإسماعيلية السرية</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نعم كانت الدعوة الإسماعيلية محفوفة بالغموض و الأسرار إلى أن جاء دور بعض المستشرقين فوقفوا على بعض تلك الوثائق و نشروها، و أوّل من طرق هذا الباب المستشرق الروسي الكبير البروفسور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ايفانوف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عضو جمعية الدراسات الإسلامية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بومباي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بعده البروفسور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لويس ماسينيون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المستشرق الفرنسي الشهير، ثمّ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شتروطمان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الألماني عميد معهد الدراسات الشرقية بجامعة هامبورغ،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مسيو هانري كوربن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أُستاذ الفلسفة الإسلامية في جامعة طهران، و المستشرق الانكليزي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برنارد لويس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المؤرخ 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سنة </w:t>
      </w:r>
      <w:r>
        <w:rPr>
          <w:rFonts w:eastAsia="Amiri" w:cs="Amiri" w:ascii="Amiri" w:hAnsi="Amiri"/>
          <w:color w:val="111111"/>
          <w:sz w:val="28"/>
          <w:szCs w:val="28"/>
          <w:lang w:bidi="ar-SA"/>
        </w:rPr>
        <w:t>1922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ميلادية كانت المكتبات في جميع أنحاء العالم فقيرة بالكتب الإسماعيلية إلى أن قام المستشرق الألماني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ادوارد 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بإنشاء مكتبة إسماعيلية ضخمة غايتها إظهار الآثار العلمية لطائفة كانت في مقدمة الطوائف الإسلامية في الناحية الفكرية و الفلسفية و العلمية، و لم يقتصر نشاط أُولئك المستشرقين عند حدود التأليف و النشر، بل تعدّاه إلى الدعاية المنتظمة سواء في المجلاّت العلمية الكبرى، كمجلة المتحف الآسيوية التي كانت تصدرها أكاديمية العلوم الروسية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بطروسبورغ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يشرف على تحريرها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ايفانوف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بعض المستشرقين الروس أمثال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سامينوف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ممن دبّجوا المقالات الطوال عن العقيدة الإسماعيلية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سنة </w:t>
      </w:r>
      <w:r>
        <w:rPr>
          <w:rFonts w:eastAsia="Amiri" w:cs="Amiri" w:ascii="Amiri" w:hAnsi="Amiri"/>
          <w:color w:val="111111"/>
          <w:sz w:val="28"/>
          <w:szCs w:val="28"/>
          <w:lang w:bidi="ar-SA"/>
        </w:rPr>
        <w:t>1918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المستشرق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سامينوف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مقاله الأوّل عن الدعوة الإسماعيلية و قد جمعه بنفسه و نشره في مجلته كما نقل إلى اللغة الإنكليزية عدداً ضخماً من الكتب الإسماعيلية المؤلفة باللغتين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الكجراتية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الأُوردية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أحدثت تلك الدراسات الهامة ثورة فكرية و انقلاباً عكسياً في العالم الإسلامي، حيث قام عدد من الأساتذة المصريين بنشر الآثار الإسماعيلية في العهود الفاطمية، فأخرجوا إلى حيّز الوجود عدداً لا بأس به من الكتب القيّمة </w:t>
      </w:r>
      <w:bookmarkStart w:id="43" w:name="pg11557_101182"/>
    </w:p>
    <w:p>
      <w:pPr>
        <w:pStyle w:val="BookText"/>
        <w:rPr/>
      </w:pPr>
      <w:bookmarkEnd w:id="43"/>
      <w:r>
        <w:rPr>
          <w:rFonts w:ascii="Amiri" w:hAnsi="Amiri" w:eastAsia="Amiri" w:cs="Amiri"/>
          <w:color w:val="111111"/>
          <w:sz w:val="28"/>
          <w:sz w:val="28"/>
          <w:szCs w:val="28"/>
          <w:rtl w:val="true"/>
          <w:lang w:bidi="ar-SA"/>
        </w:rPr>
        <w:t>و أظهروا للعالم أجمع آثار هذه الفرقة</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و بالرغم ممّا ذكره المؤرخ المعاصر من أنّ المصريين أظهروا للعالم أجمع آثار هذه الفرقة، لكنّا نرى أنّه يعتمد في كتابه على وثائق خطية موجودة في مكتبته الخاصة، أو مكتبة دعاة مذهبه في سورية، و يكشف هذا عن وجود لفيف من المصادر مخبوءة لم تر النور لحد الآن</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4284063_73709187"/>
      <w:bookmarkStart w:id="45" w:name="_Toc15"/>
      <w:bookmarkEnd w:id="44"/>
      <w:r>
        <w:rPr>
          <w:rtl w:val="true"/>
        </w:rPr>
        <w:t>الثامنة</w:t>
      </w:r>
      <w:r>
        <w:rPr>
          <w:rtl w:val="true"/>
        </w:rPr>
        <w:t xml:space="preserve">: </w:t>
      </w:r>
      <w:r>
        <w:rPr>
          <w:rtl w:val="true"/>
        </w:rPr>
        <w:t>الأئمّة المستورون</w:t>
      </w:r>
      <w:bookmarkEnd w:id="45"/>
    </w:p>
    <w:p>
      <w:pPr>
        <w:pStyle w:val="BookText"/>
        <w:rPr/>
      </w:pPr>
      <w:r>
        <w:rPr>
          <w:rFonts w:ascii="Amiri" w:hAnsi="Amiri" w:eastAsia="Amiri" w:cs="Amiri"/>
          <w:color w:val="111111"/>
          <w:sz w:val="28"/>
          <w:sz w:val="28"/>
          <w:szCs w:val="28"/>
          <w:rtl w:val="true"/>
          <w:lang w:bidi="ar-SA"/>
        </w:rPr>
        <w:t>إنّ الإسماعيلية أعطت للإمامة مركزاً شامخاً، و صنّفوا الإمامة إلى رتب و درجات، و زوّدوها بصلاحيات و اختصاصات واسعة، و سيوافيك بيان تلك الدرجات و الرتب، غير أنّ المهم هنا الإشارة إلى تصنيفهم الإمام إلى مستور، دخل كهف الاستتار؛ و ظاهر، يملك جاهاً و سلطاناً في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فالأئمّة المستورون هم الأئمّة الأربعة الأوائل الذين جاءوا بعد إسماعيل، و نشروا الدعوة سراً و كتماناً، و 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إسماعيل الملقّب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المدينة المنورة، و تسلّم شئون الإمامة و استتر عن الأنظار خشية وقوعه بيد الأعداء، و لقّب بالإمام المكتوم، لأنّه لم يعلن دعوته و أخذ في بسطها خفية، و توفي عام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محمد بن إسماعيل الملقّب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مدينة محمودآباد، و تولّى الإمامة عام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بعد وفاة أبيه، و سكن السلْمية عام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مصطحباً بعدد من أتباعه، و هو الذي نظم الدعوة تنظيماً دقيقاً، توفي عام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عبد اللّٰه بن محمد بن إسماعيل الملقب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عام </w:t>
      </w:r>
      <w:bookmarkStart w:id="46" w:name="pg11557_101183"/>
    </w:p>
    <w:p>
      <w:pPr>
        <w:pStyle w:val="BookText"/>
        <w:rPr/>
      </w:pPr>
      <w:bookmarkEnd w:id="46"/>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و تولّى الإمامة عام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سكن السلمية سراً حيث أصبحت مركزاً لنشر الدعوة، توفي فيها عام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أحمد بن عبد اللّٰه بن محمد بن إسماعيل المقلب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قيل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تولّى الإمامة عام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يقال انّه اتخذ عبد اللّٰه بن ميمون القداح حجة له و حجاباً عليه، توفي عام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المعروف بين الإسماعيلية انّ عبيد اللّٰه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هاجر إلى المغرب و أسّس هناك الدولة الفاطمية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ابتداءً لعهد الأئمّة الظاهرين الذين جهروا بالدعوة و أخرجوها عن الاستتار</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4284065_73709187"/>
      <w:bookmarkStart w:id="48" w:name="_Toc16"/>
      <w:bookmarkEnd w:id="47"/>
      <w:r>
        <w:rPr>
          <w:rtl w:val="true"/>
        </w:rPr>
        <w:t>التاسعة</w:t>
      </w:r>
      <w:r>
        <w:rPr>
          <w:rtl w:val="true"/>
        </w:rPr>
        <w:t>:</w:t>
      </w:r>
      <w:bookmarkEnd w:id="48"/>
    </w:p>
    <w:p>
      <w:pPr>
        <w:pStyle w:val="BookText"/>
        <w:rPr/>
      </w:pPr>
      <w:r>
        <w:rPr>
          <w:rFonts w:ascii="Amiri" w:hAnsi="Amiri" w:eastAsia="Amiri" w:cs="Amiri"/>
          <w:color w:val="111111"/>
          <w:sz w:val="28"/>
          <w:sz w:val="28"/>
          <w:szCs w:val="28"/>
          <w:rtl w:val="true"/>
          <w:lang w:bidi="ar-SA"/>
        </w:rPr>
        <w:t>انّهم عُرِّفوا بالإسماعيلية تارة، و الباطنية أُخرى، و الملاحدة ثالثاً، و بالسبعية رابعاً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سُمُّوا بالإسماعيلية لانتسابهم إلى إسماعيل بن جعفر الصادق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الباطنية لقولهم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ظاهر فله باطن، يكون ذلك الباطن مصدراً و ذلك الظاهر مظهراً له، و لا يكون ظاهر لا باطن له إلّا ما هو مثل السراب، و لا باطن لا ظاهر له إلّا خيال لا أصل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لقّبوا بالملاحدة لعدولهم من ظواهر الشريعة إلى بواطنها في بعض الأحوال</w:t>
      </w:r>
      <w:r>
        <w:rPr>
          <w:rFonts w:eastAsia="Amiri" w:cs="Amiri" w:ascii="Amiri" w:hAnsi="Amiri"/>
          <w:color w:val="111111"/>
          <w:sz w:val="28"/>
          <w:szCs w:val="28"/>
          <w:rtl w:val="true"/>
          <w:lang w:bidi="ar-SA"/>
        </w:rPr>
        <w:t>.</w:t>
      </w:r>
      <w:r>
        <w:rPr>
          <w:rStyle w:val="FootnoteAnchor"/>
          <w:rtl w:val="true"/>
        </w:rPr>
        <w:footnoteReference w:id="9"/>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تسميتهم بالسبعية، لأنّهم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الأئمّة تدور على سبعة سبعة، كأيام الأُسبوع، و السماوات السبع، و الكواكب السبع</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فدور الإمامة عندهم لا يتجاوز عن سبعة، ثمّ يأتي دور آخر على هذا الشكل</w:t>
      </w:r>
      <w:r>
        <w:rPr>
          <w:rFonts w:eastAsia="Amiri" w:cs="Amiri" w:ascii="Amiri" w:hAnsi="Amiri"/>
          <w:color w:val="111111"/>
          <w:sz w:val="28"/>
          <w:szCs w:val="28"/>
          <w:rtl w:val="true"/>
          <w:lang w:bidi="ar-SA"/>
        </w:rPr>
        <w:t xml:space="preserve">. </w:t>
      </w:r>
      <w:bookmarkStart w:id="49" w:name="pg11557_101184"/>
    </w:p>
    <w:p>
      <w:pPr>
        <w:pStyle w:val="BookText"/>
        <w:rPr/>
      </w:pPr>
      <w:bookmarkEnd w:id="49"/>
      <w:r>
        <w:rPr>
          <w:rFonts w:ascii="Amiri" w:hAnsi="Amiri" w:eastAsia="Amiri" w:cs="Amiri"/>
          <w:color w:val="111111"/>
          <w:sz w:val="28"/>
          <w:sz w:val="28"/>
          <w:szCs w:val="28"/>
          <w:rtl w:val="true"/>
          <w:lang w:bidi="ar-SA"/>
        </w:rPr>
        <w:t>و يقول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الإمام في عهد رسول اللّٰه صلّى اللّٰه عليه و آله و سلّم كان علياً عليه السّلام، و بعده كان ابنه الحسن إماماً مستودعاً، و بعده الحسين إماماً مستقراً و لذلك لم تذهب الإمامة في ذرية الحسن عليه السّلام، ثمّ نزلت الإمامة في ذرية الحسين، و انتهت بعده إلى علي ابنه، ثمّ إلى محمد ابنه، ثمّ إلى جعفر ابنه، ثمّ إلى إسماعيل ابنه و هو السابع</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و معنى ذلك انّ الدور تمّ بإسماعيل، و هو متم الدور، و انّ ابنه بادئ للدور الآخر كالتالي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إسماعيل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محمد بن إسماعيل الملقب بالرضي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عبد اللّٰه الملقب بالوفي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أحمد الملقب بالتقي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عبيد اللّٰه المهدي بن الحسين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المنصور، و به يتم الدور و يبتدأ دور آخر بالإمام المعز لدين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قلنا بخروج الحسن عليه السّلام لكونه إماماً مستودعاً لا مستقراً يتم الدور بمحمد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الدور الجديد، و سيوافيك تفصيله في بيان أدوار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تقدير فالسبعة عندهم لها مكانة خاصة، فلا يتجاوز دور الأئمّة في تمام مراحلها عن السبعة</w:t>
      </w:r>
      <w:r>
        <w:rPr>
          <w:rFonts w:eastAsia="Amiri" w:cs="Amiri" w:ascii="Amiri" w:hAnsi="Amiri"/>
          <w:color w:val="111111"/>
          <w:sz w:val="28"/>
          <w:szCs w:val="28"/>
          <w:rtl w:val="true"/>
          <w:lang w:bidi="ar-SA"/>
        </w:rPr>
        <w:t>.</w:t>
      </w:r>
    </w:p>
    <w:p>
      <w:pPr>
        <w:pStyle w:val="Heading3"/>
        <w:numPr>
          <w:ilvl w:val="2"/>
          <w:numId w:val="1"/>
        </w:numPr>
        <w:rPr/>
      </w:pPr>
      <w:bookmarkStart w:id="50" w:name="__RefHeading___Toc4284067_73709187"/>
      <w:bookmarkStart w:id="51" w:name="_Toc17"/>
      <w:bookmarkEnd w:id="50"/>
      <w:r>
        <w:rPr>
          <w:rtl w:val="true"/>
        </w:rPr>
        <w:t>العاشرة</w:t>
      </w:r>
      <w:r>
        <w:rPr>
          <w:rtl w:val="true"/>
        </w:rPr>
        <w:t>:</w:t>
      </w:r>
      <w:bookmarkEnd w:id="51"/>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المذهب الإسماعيلي لم يظهر على مسرح الحياة بصورة مذهب مدوّن متكامل، و إنّما أخذ بالتكامل عبر العصور، و في ظل احتكاك الدعاة بأصحاب الحركات الباطنية أوّلاً، و أصحاب الفلسفات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ظهر في أوّل يوم </w:t>
      </w:r>
      <w:bookmarkStart w:id="52" w:name="pg11557_101185"/>
    </w:p>
    <w:p>
      <w:pPr>
        <w:pStyle w:val="BookText"/>
        <w:rPr/>
      </w:pPr>
      <w:bookmarkEnd w:id="52"/>
      <w:r>
        <w:rPr>
          <w:rFonts w:ascii="Amiri" w:hAnsi="Amiri" w:eastAsia="Amiri" w:cs="Amiri"/>
          <w:color w:val="111111"/>
          <w:sz w:val="28"/>
          <w:sz w:val="28"/>
          <w:szCs w:val="28"/>
          <w:rtl w:val="true"/>
          <w:lang w:bidi="ar-SA"/>
        </w:rPr>
        <w:t>نشوئه بصورة عقيدة بسيطة، و هو أنّ الإمام بعد جعفر بن محمد ابنه إسماعيل، و انّه لم يمت بل غاب و يظهر حتى يملك الأرض و هو القائم، و هذه هي الإسماعيلية المحضة، و لم يخالط هذه العقيدة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لما كان قبولها محفوفاً بغموض، فرجع بعضهم عن حياة إسماعيل، و قالوا بإمامة ابنه محمد بن إسماعيل لظنّهم انّ الإمامة كانت في أبيه، و انّ الابن أحقّ بمقام الإمامة من الأخ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من الشيخ المفيد أنّ الفرقة الأُولى انقرضت و لم يبق منهم من يومئ إليه و الفرقة الباقية إلى اليوم هي الإسماعيلية غير الخالصة</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ثمّ صار المذهب الواحد مذاهب متشتتة و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 للدعاة تأثير في نضوج العقيدة الإسماعيلية و تكاملها مع اختلاف بينهم في بعض الأُصول فمثلاً الداعي النسفي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فلسفة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جاء بعده أبو حاتم الرازي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خالف فيه أقوال من سبقه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جاء بعده أبو يعقوب السجستاني الذي كان حيّاً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أُستاذاً للكرماني فانتصر للنسفي و خالف أبا حاتم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جاء الكرماني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راحة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استطاع أن يوفق بين آراء شيخه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آراء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حاتم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أنّ تأويل الظواهر لا يعتمد على ضابطة فكل يؤوّلها على ذوقه و سليقته، فتجد بينهم خلافاً شديداً في المسائل التأويلية</w:t>
      </w:r>
      <w:r>
        <w:rPr>
          <w:rFonts w:eastAsia="Amiri" w:cs="Amiri" w:ascii="Amiri" w:hAnsi="Amiri"/>
          <w:color w:val="111111"/>
          <w:sz w:val="28"/>
          <w:szCs w:val="28"/>
          <w:rtl w:val="true"/>
          <w:lang w:bidi="ar-SA"/>
        </w:rPr>
        <w:t>.</w:t>
      </w:r>
    </w:p>
    <w:p>
      <w:pPr>
        <w:pStyle w:val="Heading3"/>
        <w:numPr>
          <w:ilvl w:val="2"/>
          <w:numId w:val="1"/>
        </w:numPr>
        <w:rPr/>
      </w:pPr>
      <w:bookmarkStart w:id="53" w:name="__RefHeading___Toc4284069_73709187"/>
      <w:bookmarkStart w:id="54" w:name="_Toc18"/>
      <w:bookmarkEnd w:id="53"/>
      <w:r>
        <w:rPr>
          <w:rtl w:val="true"/>
        </w:rPr>
        <w:t>الحادية عشرة</w:t>
      </w:r>
      <w:r>
        <w:rPr>
          <w:rtl w:val="true"/>
        </w:rPr>
        <w:t>:</w:t>
      </w:r>
      <w:bookmarkEnd w:id="54"/>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ظهر لي من التتبّع في كتب الإسماعيلية انّ الفرقة المستعلية القاطنين في اليمن و الهند أقرب إلى الحقّ و عقائد جمهور المسلمين من </w:t>
      </w:r>
    </w:p>
    <w:p>
      <w:pPr>
        <w:pStyle w:val="BookText"/>
        <w:rPr/>
      </w:pPr>
      <w:r>
        <w:rPr>
          <w:rFonts w:ascii="Amiri" w:hAnsi="Amiri" w:eastAsia="Amiri" w:cs="Amiri"/>
          <w:color w:val="111111"/>
          <w:sz w:val="28"/>
          <w:sz w:val="28"/>
          <w:szCs w:val="28"/>
          <w:rtl w:val="true"/>
          <w:lang w:bidi="ar-SA"/>
        </w:rPr>
        <w:t>النزارية، فالطبقة الأُولى متعبّدون بالظواهر و تطبيق العمل على الشريعة بخلاف أغلب النزارية خصوصاً الدعاة المتأخرين منهم، فإنّهم يواجهون الأحداث الطارئة و المستجدة بالتدخل في الشريعة</w:t>
      </w:r>
      <w:r>
        <w:rPr>
          <w:rStyle w:val="FootnoteAnchor"/>
          <w:rtl w:val="true"/>
        </w:rPr>
        <w:footnoteReference w:id="13"/>
      </w:r>
      <w:r>
        <w:rPr>
          <w:rFonts w:ascii="Amiri" w:hAnsi="Amiri" w:eastAsia="Amiri" w:cs="Amiri"/>
          <w:color w:val="111111"/>
          <w:sz w:val="28"/>
          <w:sz w:val="28"/>
          <w:szCs w:val="28"/>
          <w:rtl w:val="true"/>
          <w:lang w:bidi="ar-SA"/>
        </w:rPr>
        <w:t>، و يظهر ذلك من أبحاثنا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أخيراً فالمذهب الإسماعيلي اكتنفه غموض و أحاطه إبهام، فإصابة الحقّ في جميع المراحل أمر مشكل، نستعينه سبحانه أن يوفقنا لبيان الحقّ و يحفظنا عن العثرة انّه هو المجيب</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يهم الباحث هو تبيين جذور المذهب و انه كيف نشأ؟ و هل كان هناك اتصال بين الإسماعيلية، و الحركات الباطنية التي نشأت في عصر الصادق عليه السّلام أو لا؟ و هذا هو الذي نطرحه على طاولة البحث في الفصل القادم بعد المرور على كلمات أصحاب المعاجم في حقّهم</w:t>
      </w:r>
      <w:r>
        <w:rPr>
          <w:rFonts w:eastAsia="Amiri" w:cs="Amiri" w:ascii="Amiri" w:hAnsi="Amiri"/>
          <w:color w:val="111111"/>
          <w:sz w:val="28"/>
          <w:szCs w:val="28"/>
          <w:rtl w:val="true"/>
          <w:lang w:bidi="ar-SA"/>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 w:name="pg11557_101188"/>
      <w:bookmarkStart w:id="56" w:name="pg11557_101188"/>
      <w:bookmarkEnd w:id="56"/>
    </w:p>
    <w:p>
      <w:pPr>
        <w:pStyle w:val="Heading2"/>
        <w:numPr>
          <w:ilvl w:val="1"/>
          <w:numId w:val="1"/>
        </w:numPr>
        <w:rPr/>
      </w:pPr>
      <w:bookmarkStart w:id="57" w:name="pg11557_101188"/>
      <w:bookmarkStart w:id="58" w:name="__RefHeading___Toc4284071_73709187"/>
      <w:bookmarkStart w:id="59" w:name="_Toc19"/>
      <w:bookmarkEnd w:id="57"/>
      <w:bookmarkEnd w:id="58"/>
      <w:r>
        <w:rPr>
          <w:rtl w:val="true"/>
        </w:rPr>
        <w:t>الفصل الثاني</w:t>
      </w:r>
      <w:r>
        <w:rPr>
          <w:rtl w:val="true"/>
        </w:rPr>
        <w:t xml:space="preserve">: </w:t>
      </w:r>
      <w:r>
        <w:rPr>
          <w:rtl w:val="true"/>
        </w:rPr>
        <w:t>الإسماعيلية في معاجم الملل و النحل</w:t>
      </w:r>
      <w:bookmarkEnd w:id="59"/>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0" w:name="__RefHeading___Toc4284073_73709187"/>
      <w:bookmarkStart w:id="61" w:name="_Toc20"/>
      <w:bookmarkEnd w:id="60"/>
      <w:r>
        <w:rPr>
          <w:rtl w:val="true"/>
        </w:rPr>
        <w:t>اشارة</w:t>
      </w:r>
      <w:bookmarkEnd w:id="61"/>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إنّ للإسماعيلية ذكراً في كتب الملل و النحل لا يتجاوز عن ذكر تاريخ إمامهم الأوّل، إسماعيل بن جعفر الصادق، و شيء يسير عن عقيدتهم فيه، دون تبيين عقائدهم و أُصولهم التي يعتقدون بها، و الأحكام و الفروع التي يصدرون عنها، و كلّ أخذ عن الآخر، و ربما زاد شيئاً، لا يُسمن و لا يغني من جوع، و إليك نصوصهم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النوبختي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توفي أبو عبد اللّٰه جعفر بن محمد عليه السّلام افترقت شيعته بعده إلىٰ ست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فرقة زعمت أنّ الإمام بعد جعفر بن محمد، ابنه إسماعيل بن جعفر، و أنكرت موت إسماعيل في حياة أبيه، و قالوا كان ذلك على جهة التلبيس من أبيه على الناس، لأنّه خاف فغيّبه عنهم، و زعموا أنّ إسماعيل لا يموت حتى يملك الأرض، و يقوم بأمر الناس، و أنّه هو القائم، لأنّ أباه أشار إليه بالإمامة بعده، و قلّدهم ذلك له، و أخبرهم أنّه صاحبه؛ و الإمام لا يقول إلّا الحقّ، فلما ظهر موته علمنا انّه قد صدَق، و انّه القائم، و انّه لم يمت، و هذه الفرقة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الإسماعيلية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 إسماعيل و عبد اللّٰه ابني جعفر بن محمد عليه السّلام فاطمة بنت الحسين بن الحسن بن علي بن أبي طالب عليه السّلام و أُمّها أُمُّ حبيب بنت عمر بن علي بن أبي طالب عليه السّلام، و أُمّها أسماء بنت عقيل بن أبي طالب عليهم السّلام</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فرقة ثالثة زعمت أنّ الإمام بعد جعفر بن محمد، محمد بن إسماعيل بن جعفر، و أُمّه أُمّ ولد،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كان لإسماعيل في حياة أبيه فلمّا توفي قبل أبيه جعل جعفر بن محمد الأمرَ لمحمد بن إسماعيل، و كان الحقّ له، و لا يجوز غير ذلك لأنّها لا تنتقل من أخ إلى أخ بعد الحسن و الحسين عليهما السّلام، و لا تكون إلّا في </w:t>
      </w:r>
    </w:p>
    <w:p>
      <w:pPr>
        <w:pStyle w:val="BookText"/>
        <w:rPr/>
      </w:pPr>
      <w:r>
        <w:rPr>
          <w:rFonts w:ascii="Amiri" w:hAnsi="Amiri" w:eastAsia="Amiri" w:cs="Amiri"/>
          <w:color w:val="111111"/>
          <w:sz w:val="28"/>
          <w:sz w:val="28"/>
          <w:szCs w:val="28"/>
          <w:rtl w:val="true"/>
          <w:lang w:bidi="ar-SA"/>
        </w:rPr>
        <w:t xml:space="preserve">الأعقاب، و لم يكن لأخوي إسماعيل عبد اللّٰه و موسى في الإمامة حق، كما لم يكن لمحمد بن الحنفية حقّ مع علي بن الحسين؛ و أصحاب هذا القول يسمّون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المباركية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برئيس لهم كان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إسماعيل بن جعفر</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الصنف السابع عشر من الرافضة يزعمون أنّ جعفر بن محمد مات و أنّ الإمام بعد جعفر،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أنكروا أن يكون إسماعيل ماتَ في حياة أبيه،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يموت حتى يملك، لأنّ أباه قد كان يخبر أنّه وصيّه و الإمام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الصنف الثامن عشر من الرافضة و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القرامطة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يزعمون أنّ النبي صلّى اللّٰه عليه و آله و سلّم نص على علي بن أبي طالب، و أنّ علياً نصّ على إمامة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انّ الحسنَ ابن علي نصَّ على إمامة أخيه الحسين بن علي، و أنّ الحسين بن علي نصّ على إمامة ابنه علي بن الحسين، و أنّ علي بن الحسين نصّ على إمامة ابنه محمد بن علي، و نصَّ محمد بن علي، على إمامة ابنه جعفر، و نصّ جعفر على إمامة ابن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زعموا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إلى اليوم لم يمت و لا يموت حتى يملك الأرض، و أنّه هو المهدي الذي تقدمت البشارة به، و احتجوا في ذلك بأخبار رووها عن أسلافهم، يخبرون فيها أنّ سابع الأئمّة قائمهم</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الصنف التاسع عشر من الرافضة يسوقون الإمامة من علي بن أبي طالب على سبيل ما حكينا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القرامطة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ينتهوا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جعفر بن محمد، و يزعمون أنّ جعفر بن محمد جعلها لإسماعيل ابنه، دون سائر ولده، فلما مات إسماعيل في حياة أبيه صارت في ابنه محمد بن إسماعيل، و هذا الصنف يُدعون،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المباركية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نُسِبوا إلى رئيس لهم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زعموا أنّ محمد بن إسماعيل قد </w:t>
      </w:r>
    </w:p>
    <w:p>
      <w:pPr>
        <w:pStyle w:val="BookText"/>
        <w:rPr/>
      </w:pPr>
      <w:r>
        <w:rPr>
          <w:rFonts w:ascii="Amiri" w:hAnsi="Amiri" w:eastAsia="Amiri" w:cs="Amiri"/>
          <w:color w:val="111111"/>
          <w:sz w:val="28"/>
          <w:sz w:val="28"/>
          <w:szCs w:val="28"/>
          <w:rtl w:val="true"/>
          <w:lang w:bidi="ar-SA"/>
        </w:rPr>
        <w:t>مات، و أنّها في ولده من بعده</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الإسماعيلية و هؤلاء ساقوا الإمامة إلى جعفر، و زعموا أنّ الإمام بعده ابنه إسماعيل، و افترق هؤلاء فرقتين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منتظرة لإسماعيل بن جعفر؛ مع اتّفاق أصحاب التواريخ على موت إسماعيل في حياة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فرقة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الإمام بعد جعفر، سبطه محمد بن إسماعيل بن جعفر، حيث إنّ جعفراً نصب ابنه إسماعيل للإمامة بعده، فلما مات إسماعيل في حياة أبيه، علمنا أنّه إنّما نصبَ ابنه إسماعيل للدلالة على إمامة ابنه محمد بن إسماعيل</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الاسفرائيني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يزعمون أنّ الإمامة صارت من جعفر إلى ابنه إسماعيل، و كذّبهم في هذه المقالة جميعُ أهل التواريخ، لِما صح عندهم من موت إسماعيل قبل أبيه جعفر؛ و قوم من هذه الطائفة يقولون بإمامة محمد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مذهب الإسماعيلية من الباطنية</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الشهرستاني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الإسماعيلية الواقفية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بعد جعفر إسماعيل، نصّاً عليه باتّفاق من أولاده، إلّا أنّهم اختلفوا في موته في حال حياة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يمت، إلّا أنّه أظهر موته تقية من خلفاء بني العباس، و عقد محضراً و أشهد عليه عامل المنصور بالمدينة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صحيح، و النصّ لا يَرجعُ قهقرى، و الفائدة في النص بقاء الإمامة في أولاد المنصوص عليه 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فالإمام بعد إسماعيل، محمد بن إسماعيل؛ و هؤلاء يقال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المباركيّة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منهم من وقف على محمد بن </w:t>
      </w:r>
    </w:p>
    <w:p>
      <w:pPr>
        <w:pStyle w:val="BookText"/>
        <w:rPr/>
      </w:pPr>
      <w:r>
        <w:rPr>
          <w:rFonts w:ascii="Amiri" w:hAnsi="Amiri" w:eastAsia="Amiri" w:cs="Amiri"/>
          <w:color w:val="111111"/>
          <w:sz w:val="28"/>
          <w:sz w:val="28"/>
          <w:szCs w:val="28"/>
          <w:rtl w:val="true"/>
          <w:lang w:bidi="ar-SA"/>
        </w:rPr>
        <w:t>إسماعيل و قال برجعته بعد غيبته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من ساق الإمامة في المستورين منهم، ثمّ في الظاهرين القائمين من بعدهم، و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الباطنية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سنذكر مذاهبهم على الانفراد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مذهب هذه الفرقة الوقف على إسماعيل بن جعفر، و محمد بن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الإسماعيلية المشهورة في الفرق منهم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الباطنية التعليمية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لهم مقالة مفردة</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مات إسماعيل رحمه الله انصرف القول عن إمامته من كان يظن ذلك، فيعتقده من أصحاب أبيه، و أقام على حياته شرذمة لم تكن من خاصة أبيه، و لا من الرواة عنه، و كانوا من الأباعد و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مات الصادق عليه السّلام انتقل فريق منهم إلى القولِ بإمامة موسى بن جعفر عليهما السّلام، و افترق الباقون فريقين، فريق منهم رجعوا عن حياة إسماعيل،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بإمامة ابنه محمد بن إسماعيل، لظنهم أنّ الإمامة كانت في أبيه، و أنّ الابن أحقّ بمقام الإمامة من الأخ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فريق ثبتوا على حياة إسماعيل، و هم اليوم شُذّاذ لا يعرف منهم أحد يومى إليه، و هذان الفريقان يسميان بالإسماعيلية، و المعروف منهم الآن مَنْ يزعم أنّ الإمامة بعد إسماعيل في ولده و ولد ولده إلى آخر الزمان</w:t>
      </w:r>
      <w:r>
        <w:rPr>
          <w:rFonts w:eastAsia="Amiri" w:cs="Amiri" w:ascii="Amiri" w:hAnsi="Amiri"/>
          <w:color w:val="111111"/>
          <w:sz w:val="28"/>
          <w:szCs w:val="28"/>
          <w:rtl w:val="true"/>
          <w:lang w:bidi="ar-SA"/>
        </w:rPr>
        <w:t>.</w:t>
      </w:r>
      <w:r>
        <w:rPr>
          <w:rStyle w:val="FootnoteAnchor"/>
          <w:rtl w:val="true"/>
        </w:rPr>
        <w:footnoteReference w:id="19"/>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صاحب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الإسماعيلية هم القائلون بإمامة إسماعيل هذا، و يدل كلام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هذا القول كان موجوداً من عصر الصادق عليه السّلام، و أنّ شِرذمة اعتقدوا حياته، أو بعد موت أبيه بقي بعضهم على القول بحياة إسماعيل، و بعضهم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بإمامة ابنه محمد بن إسماعيل، و لقب الإسماعيلية يعم الفريقين، و أنّ الموجود منهم في عصر المفيد من يزعم أنّ الإمامة بعد إسماعيل في </w:t>
      </w:r>
      <w:bookmarkStart w:id="62" w:name="pg11557_101194"/>
    </w:p>
    <w:p>
      <w:pPr>
        <w:pStyle w:val="BookText"/>
        <w:rPr/>
      </w:pPr>
      <w:bookmarkEnd w:id="62"/>
      <w:r>
        <w:rPr>
          <w:rFonts w:ascii="IRNazanin" w:hAnsi="IRNazanin" w:eastAsia="IRNazanin"/>
          <w:color w:val="111111"/>
          <w:sz w:val="28"/>
          <w:sz w:val="28"/>
          <w:szCs w:val="28"/>
          <w:rtl w:val="true"/>
          <w:lang w:bidi="fa-IR"/>
        </w:rPr>
        <w:t>ولده و ولد ولده إلى آخر الزمان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يقال الإسماعيلية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باعتبار مخالفتهم للاثني عشرية في الإمام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فرقة من الإسماعيلية تدعىٰ الباطنية و كان لها ذكر مستفيض في التاريخ و صارت لها قوة، و شدّة، و وقائع عدّة مع الملوك و الأُمراء، كما فصلته كتب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أنساب السمعاني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الفرقة الإسماعيلية جماعة من الباطنية ينتسبون إلى محمد بن إسماعيل بن جعفر الصادق، لانتساب زعيمهم المغربي إلى محمد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كتاب الشجرة انّه لم يعقب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الإسماعيلية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فرقتان</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4284075_73709187"/>
      <w:bookmarkStart w:id="64" w:name="_Toc21"/>
      <w:bookmarkEnd w:id="63"/>
      <w:r>
        <w:rPr>
          <w:rtl w:val="true"/>
        </w:rPr>
        <w:t>إحداهما</w:t>
      </w:r>
      <w:r>
        <w:rPr>
          <w:rtl w:val="true"/>
        </w:rPr>
        <w:t xml:space="preserve">: </w:t>
      </w:r>
      <w:r>
        <w:rPr>
          <w:rtl w:val="true"/>
        </w:rPr>
        <w:t>الآغاخانية</w:t>
      </w:r>
      <w:bookmarkEnd w:id="64"/>
    </w:p>
    <w:p>
      <w:pPr>
        <w:pStyle w:val="BookText"/>
        <w:rPr/>
      </w:pPr>
      <w:r>
        <w:rPr>
          <w:rFonts w:ascii="Amiri" w:hAnsi="Amiri" w:eastAsia="Amiri" w:cs="Amiri"/>
          <w:color w:val="111111"/>
          <w:sz w:val="28"/>
          <w:sz w:val="28"/>
          <w:szCs w:val="28"/>
          <w:rtl w:val="true"/>
          <w:lang w:bidi="ar-SA"/>
        </w:rPr>
        <w:t xml:space="preserve">يسوقون الإمامة في ذرية إسماعيل، و يعدّون فيهم جملة من خلفاء مصر، حتى ينتهوا إلى محمد شاه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الآغاخان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 اليوم في بمبئي، و يبعثون إليه بخمس أموالهم، و منهم الذين بسلْمية من بلاد حماة</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4284077_73709187"/>
      <w:bookmarkStart w:id="66" w:name="_Toc22"/>
      <w:bookmarkEnd w:id="65"/>
      <w:r>
        <w:rPr>
          <w:rtl w:val="true"/>
        </w:rPr>
        <w:t>و الفرقة الثانية</w:t>
      </w:r>
      <w:r>
        <w:rPr>
          <w:rtl w:val="true"/>
        </w:rPr>
        <w:t xml:space="preserve">: </w:t>
      </w:r>
      <w:r>
        <w:rPr>
          <w:rtl w:val="true"/>
        </w:rPr>
        <w:t>البُهْرَة</w:t>
      </w:r>
      <w:bookmarkEnd w:id="66"/>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بضم الباء و سكون الهاء و فتح الراء، لفظ هندي، معناه الجدّ و العمل، و هم يسوقون الإمامة في ولد إسماعيل، حتى ينتهوا إلى شخص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المهدي المنتظر، و إنّه غائب</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أمّا الذي يطلقون عليه اسم سلطان البهرة فالظاهر أنّه من قبيل النائب عن الإمام الغائب، و يبلغ عدد البهرة في الهند و اليمن و غيرها نحو أربعمائة ألف، و هم أهل جدّ و كسب، و لا يوجد بينهم فقير، و الفقير منهم يُوجِدون له عملاً من تجارة أو غيرها يكتفي به، و لهم ملاجئ و تكايا عامة في البلاد التي يقصدونها للحج و الزيارة، في مكّة، و المدينة، و النجف، و كربلاء،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مبانٍ تامة المرافق يَنزلونها و لا يحتاجون إلى النزول في فندق أو خلافه، و هم متمسكون بشرائع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خلفاء مصر الفاطميون على مذهب الإسماعيلية، القائلين بانتقال الإمامة من الصادق عليه السّلام إلى ولده إسماعيل، ثمّ في أولاده، و كانوا يقيمون شعائر الإسلام، و يحافظون على أحكامه، و ما كان يذمهم أو بعضهم بعض المؤرّخين إلّا للعداوة المذهبية، و لا يمكن التصديق بما ينسبه بعض المؤرّخين إلى بعضهم، بعد تأصّل العداوة المذهبية في النفوس، كما أنّ جماعة من أهل هذا العصر يخلطون بين الفريقين جهلاً أو تجاهلاً</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هذه الأقوال و الآراء فيهم، توقفنا على أنّ القومَ لم يكن لهم موقف واحد تجاه سوق الإمامة بعد وفاة الإمام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 من أنكر الواضحات،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إسماعيل لم يمت، و إنّه القائم، و هذه هي الإسماعيلية الخالصة</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و أمّا اشهاد الإمام على موته فلم يكن إلّا إظهاراً لموته تقيةً من خلفاء بني العباس، و أنّه عقد محضراً، و أشهدَ عليه عامل المنصور بالمدينة</w:t>
      </w:r>
      <w:r>
        <w:rPr>
          <w:rFonts w:eastAsia="Amiri" w:cs="Amiri" w:ascii="Amiri" w:hAnsi="Amiri"/>
          <w:color w:val="111111"/>
          <w:sz w:val="28"/>
          <w:szCs w:val="28"/>
          <w:rtl w:val="true"/>
          <w:lang w:bidi="ar-SA"/>
        </w:rPr>
        <w:t>.</w:t>
      </w:r>
      <w:r>
        <w:rPr>
          <w:rStyle w:val="FootnoteAnchor"/>
          <w:rtl w:val="true"/>
        </w:rPr>
        <w:footnoteReference w:id="23"/>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الطائفة لا تسوق الإمامة بعد إسماعيل إلى غيره، و إنّما تنتظر خروج </w:t>
      </w:r>
    </w:p>
    <w:p>
      <w:pPr>
        <w:pStyle w:val="BookText"/>
        <w:rPr/>
      </w:pPr>
      <w:r>
        <w:rPr>
          <w:rFonts w:ascii="IRNazanin" w:hAnsi="IRNazanin" w:eastAsia="IRNazanin"/>
          <w:color w:val="111111"/>
          <w:sz w:val="28"/>
          <w:sz w:val="28"/>
          <w:szCs w:val="28"/>
          <w:rtl w:val="true"/>
          <w:lang w:bidi="fa-IR"/>
        </w:rPr>
        <w:t>قائمهم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موته صحيح، و إنّ الإمام الصادق لَمّا نصّ على إمامته، و النص لا يرجع قهقرى، ففائدة النص بقاء الإمامة في أولاد المنصوص عليه دون غيرهم، فالإمام بعد إسماعيل، محمد بن إسماعيل، ثمّ إنّ هذه الطائفة على رأيين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وقف على محمد بن إسماعيل،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برجعته بعد غيبته؛ و هؤلاء القرامطة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ساق الإمامة في المستورين منهم، ثمّ في الظاهرين القائمين من بعدهم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سبقت الإشارة إلى نص الشيخ المفيد، و أنّه لا يعرف من الواقفين على إسماعيل، أو ابنه محمد المنتظرين لرجعته أحداً؛ و المعروف هو سوق الإمامة في ولد إسماعيل إلى آخر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سيوافيك الكلام في الأئمة المستورين و الظاهرين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وقفنا عليه في معاجم الملل و النحل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يغني الباحث، فليس فيها شيء من أُصولهم و عقائدهم، و لا من فروعهم، و ثوراتهم، و دولهم، و حضارتهم، و كتبهم و آثارهم العلمية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المهم في المقام هو دراسة جذور المذهب و انّه كيف نشأ و هذا ما سنبحث عنه في الفصل القادم إن شاء اللّٰه</w:t>
      </w:r>
      <w:r>
        <w:rPr>
          <w:rFonts w:eastAsia="Amiri" w:cs="Amiri" w:ascii="Amiri" w:hAnsi="Amiri"/>
          <w:color w:val="111111"/>
          <w:sz w:val="28"/>
          <w:szCs w:val="28"/>
          <w:rtl w:val="true"/>
          <w:lang w:bidi="ar-SA"/>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 w:name="pg11557_101198"/>
      <w:bookmarkStart w:id="68" w:name="pg11557_101198"/>
      <w:bookmarkEnd w:id="68"/>
    </w:p>
    <w:p>
      <w:pPr>
        <w:pStyle w:val="Heading2"/>
        <w:numPr>
          <w:ilvl w:val="1"/>
          <w:numId w:val="1"/>
        </w:numPr>
        <w:rPr/>
      </w:pPr>
      <w:bookmarkStart w:id="69" w:name="pg11557_101198"/>
      <w:bookmarkStart w:id="70" w:name="__RefHeading___Toc4284079_73709187"/>
      <w:bookmarkStart w:id="71" w:name="_Toc23"/>
      <w:bookmarkEnd w:id="69"/>
      <w:bookmarkEnd w:id="70"/>
      <w:r>
        <w:rPr>
          <w:rtl w:val="true"/>
        </w:rPr>
        <w:t>الفصل الثالث</w:t>
      </w:r>
      <w:r>
        <w:rPr>
          <w:rtl w:val="true"/>
        </w:rPr>
        <w:t xml:space="preserve">: </w:t>
      </w:r>
      <w:r>
        <w:rPr>
          <w:rtl w:val="true"/>
        </w:rPr>
        <w:t>الحركات الباطنية في عصر الإمام الصادق عليه السّلام</w:t>
      </w:r>
      <w:bookmarkEnd w:id="71"/>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2" w:name="__RefHeading___Toc4284081_73709187"/>
      <w:bookmarkStart w:id="73" w:name="_Toc24"/>
      <w:bookmarkEnd w:id="72"/>
      <w:r>
        <w:rPr>
          <w:rtl w:val="true"/>
        </w:rPr>
        <w:t>اشارة</w:t>
      </w:r>
      <w:bookmarkEnd w:id="73"/>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من المشاكل التي واجهت أئمّة أهل البيت عليهم السّلام هي الحركات الباطنية التي تزعّمها الموالي و العناصر المستسلمة، المندسَّة بين أصحاب أئمة أهل البيت عليهم السّلام في عصر الصادقين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سنحت الظروف للإمام الباقر و الصادق عليهما السّلام أن يؤسّسا جامعة إسلامية كبيرة دامت نصف قرن كان لها صدى كبير في العالم الإسلامي، فقاما بتربية نخبة من الفقهاء و المحدّثين و المفسّرين البارزين، و حفظا بذلك السنّة النبوية من الاندثار بعد ما كان التحدّث بها و كتابتها أمراً محظوراً أو مكروهاً إلى عهد الخليفة العباسي المنصور الدوانيقي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فأضحت تلك الجامعة شوكة في أعين خصومها، فقامت ثلة من العناصر الدخيلة بالانخراط في صفوف أصحاب الأئمّة بغية التخريب و التضليل، و تشويه سمعة أئمّة أهل البيت عليهم السّلام أوّلاً، و هدم كيان الإسلام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شكَّلت تلك العناصر فيما بعد اللبنة الأُولى للحركات الباطنية التي جرّت الويلات على الإسلام و المسلمين، فاتخذ الإمام الصادق عليه السّلام موقفاً حازماً أمامها تجنباً لأخطارها، فأعلن للملأ الإسلامي براءته من تلك الفئات المنحرفة عن الدين و الإسلام و تكفيرها و انّ عاقبتها النار</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جملة الذين أبدعوا الحركات الباطنية و أغروا جماعة من شيعة أئمّة أهل البيت عليهم السّلام هو محمد بن مقلاص المعروف بأبي الخطاب الأسدي، و زملاؤه، 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المغيرة بن سعيد، و بشار الشعيري و غيرهم، فقد تبرّأ منهم الإمام عليه السّلام على رءوس الأشهاد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نركز البحث هنا على رئيس الفرقة الباطنية،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زينب محمد بن مقلاص الأسدي</w:t>
      </w:r>
      <w:r>
        <w:rPr>
          <w:rFonts w:eastAsia="Amiri" w:cs="Amiri" w:ascii="Amiri" w:hAnsi="Amiri"/>
          <w:color w:val="111111"/>
          <w:sz w:val="28"/>
          <w:szCs w:val="28"/>
          <w:rtl w:val="true"/>
          <w:lang w:bidi="ar-SA"/>
        </w:rPr>
        <w:t xml:space="preserve">. </w:t>
      </w:r>
      <w:bookmarkStart w:id="74" w:name="pg11557_101201"/>
    </w:p>
    <w:p>
      <w:pPr>
        <w:pStyle w:val="BookText"/>
        <w:rPr/>
      </w:pPr>
      <w:bookmarkEnd w:id="74"/>
      <w:r>
        <w:rPr>
          <w:rFonts w:ascii="Amiri" w:hAnsi="Amiri" w:eastAsia="Amiri" w:cs="Amiri"/>
          <w:color w:val="111111"/>
          <w:sz w:val="28"/>
          <w:sz w:val="28"/>
          <w:szCs w:val="28"/>
          <w:rtl w:val="true"/>
          <w:lang w:bidi="ar-SA"/>
        </w:rPr>
        <w:t>و لعرض صورة صحيحة عن عقائد الخطابية، نأتي بنصوص علماء الفريقين ليتبين من خلالها جذور الدعوة الإسماعيلية، و انّها ليست سوى استمراراً لتلك الحركة الباطنية التي تزعّمها أبو زينب</w:t>
      </w:r>
      <w:r>
        <w:rPr>
          <w:rFonts w:eastAsia="Amiri" w:cs="Amiri" w:ascii="Amiri" w:hAnsi="Amiri"/>
          <w:color w:val="111111"/>
          <w:sz w:val="28"/>
          <w:szCs w:val="28"/>
          <w:rtl w:val="true"/>
          <w:lang w:bidi="ar-SA"/>
        </w:rPr>
        <w:t>:</w:t>
      </w:r>
    </w:p>
    <w:p>
      <w:pPr>
        <w:pStyle w:val="Heading3"/>
        <w:numPr>
          <w:ilvl w:val="2"/>
          <w:numId w:val="1"/>
        </w:numPr>
        <w:rPr/>
      </w:pPr>
      <w:bookmarkStart w:id="75" w:name="__RefHeading___Toc4284083_73709187"/>
      <w:bookmarkStart w:id="76" w:name="_Toc25"/>
      <w:bookmarkEnd w:id="75"/>
      <w:r>
        <w:rPr/>
        <w:t>1</w:t>
      </w:r>
      <w:r>
        <w:rPr>
          <w:rtl w:val="true"/>
        </w:rPr>
        <w:t xml:space="preserve"> - </w:t>
      </w:r>
      <w:r>
        <w:rPr>
          <w:rtl w:val="true"/>
        </w:rPr>
        <w:t>الكشي و الخطابية</w:t>
      </w:r>
      <w:bookmarkEnd w:id="76"/>
    </w:p>
    <w:p>
      <w:pPr>
        <w:pStyle w:val="BookText"/>
        <w:rPr/>
      </w:pPr>
      <w:r>
        <w:rPr>
          <w:rFonts w:ascii="Amiri" w:hAnsi="Amiri" w:eastAsia="Amiri" w:cs="Amiri"/>
          <w:color w:val="111111"/>
          <w:sz w:val="28"/>
          <w:sz w:val="28"/>
          <w:szCs w:val="28"/>
          <w:rtl w:val="true"/>
          <w:lang w:bidi="ar-SA"/>
        </w:rPr>
        <w:t>إنّ الكشي أحد الرجاليين الذي عاش في أواخر القرن الثالث و أوائل القرن الرابع، و وضع كتابه في الرجال على أساس الروايات المروية عن أئمة أهل البيت في حقّ الرواة، فقال ما هذا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أبو أُسامة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أُؤخر المغرب حتى تستبين النجوم؟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جبرئيل أنزلها على رسول اللّٰه صلّى اللّٰه عليه و آله و سلّم حين سقط القرص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كتب أبو عبد اللّٰه إلى أبي الخطاب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بلغني أنّك تزعم أنّ الزنا رجل، و أنّ الخمر رجل، و أنّ الصلاة رجل، و الصيام رجل، و الفواحش رجل، و ليس هو كما تقول، أنا أصل الحقّ و فروع الحقّ طاعة اللّٰه، وعدونا أصل الشر و فروعهم الفواحش، و كيف يطاع من لا يعرف و كيف يعرف من لا يطاع؟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قيل للإمام الصادق عليه السّلام روي عنكم أنّ الخمر و الميسر و الأنصاب و الأزلام رجال،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اللّٰه عزّ و جلّ ليخاطب خلقه بما لا يعلمون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أبو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أبرأ ممّن يزعم انّا أرباب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برئ اللّٰه منه،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أبرأ ممّن زعم أنّا 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برئ اللّٰه منه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عبد الصمد بن بشير عن مصادف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لبّى القوم الذين لبّوا 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جعفر، و هؤلاء هم الغلاة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أبي عبد اللّٰه عليه السّلام فأخبرته بذلك، فخرّ ساجداً ودق جؤجؤه بالأرض و بكى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فندمت على إخباري إيّاه،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 ما عليك أنت من ذا، فقال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عيسى لو سكت عمّا قالت النصارى فيه لكان حقاً على اللّٰه أن يصم سمعه و يعمي بصره، و لو سكت عمّا قال في أبو الخطاب لكان حقاً على اللّٰه أن يصم سمعي و يعمي بصري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علي بن حسان عن بعض أصحابنا رفعه إلى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عنده جعفر بن واقد و نفر من أصحاب أبي الخطاب فقيل انّه صار إلى بيروذ، و قال فيهم و هو الذي في السماء إله و في الأرض إله قال هو الإمام، فقال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 اللّٰه لا يأويني و إياه سقف بيت أبداً، هم شر من اليهود و النصارى و المجوس و الذين أشركوا، و اللّٰه ما صغر عظمة اللّٰه تصغيرهم شيئاً قط، و انّ عزيراً جال في صدره ما قالت اليهود فمحا اللّٰه اسمه من النبوة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الحسن الوشاء عن بعض أصحابنا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بأنّنا أنبياء اللّٰه، فعليه لعنة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ابن مسكان عمّن حدّثه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من قال فينا ما لا نقوله في أنفسنا، و لعن اللّٰه من أزالنا عن العبودية للّٰه الذي خلقنا و إليه مآبنا و معادنا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حنان بن سدير،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يزعمون انّكم آلهة يتلون علينا بذلك قرآناً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الرسل كلوا من الطيبات و اعملوا صالحاً إنّي بما تعملون عليم،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سدير سمعي و بصري و شعري و بشري و لحمي و دمي من هؤلاء براء، برئ اللّٰه منهم و رسوله ما هؤلاء على ديني و دين آبائي</w:t>
      </w:r>
      <w:r>
        <w:rPr>
          <w:rFonts w:eastAsia="Amiri" w:cs="Amiri" w:ascii="Amiri" w:hAnsi="Amiri"/>
          <w:color w:val="111111"/>
          <w:sz w:val="28"/>
          <w:szCs w:val="28"/>
          <w:rtl w:val="true"/>
          <w:lang w:bidi="ar-SA"/>
        </w:rPr>
        <w:t>».</w:t>
      </w:r>
      <w:r>
        <w:rPr>
          <w:rStyle w:val="FootnoteAnchor"/>
          <w:rtl w:val="true"/>
        </w:rPr>
        <w:footnoteReference w:id="24"/>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نهض أبو الخطاب بدعوته الفاسدة، و وصلت إلى مسامع عامل الخليفة دعا عيسى بن موسى للقضاء عليها و اجتثاث جذورها</w:t>
      </w:r>
      <w:r>
        <w:rPr>
          <w:rFonts w:eastAsia="Amiri" w:cs="Amiri" w:ascii="Amiri" w:hAnsi="Amiri"/>
          <w:color w:val="111111"/>
          <w:sz w:val="28"/>
          <w:szCs w:val="28"/>
          <w:rtl w:val="true"/>
          <w:lang w:bidi="ar-SA"/>
        </w:rPr>
        <w:t xml:space="preserve">. </w:t>
      </w:r>
      <w:bookmarkStart w:id="77" w:name="pg11557_101203"/>
    </w:p>
    <w:p>
      <w:pPr>
        <w:pStyle w:val="BookText"/>
        <w:rPr/>
      </w:pPr>
      <w:bookmarkEnd w:id="77"/>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سالم من أصحاب أبي الخطاب، و كان في المسجد يوم بعث عيسى ابن موسى بن علي بن عبد اللّٰه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عامل المنصور على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أبي الخطاب لمّا بلغه انّهم أظهروا الإباحات، ودعوا الناس إلى نبوة أبي الخطاب، و انّهم يجتمعون في المسجد و لزموا الأساطين يرون الناس انّهم قد لزموها للعبادة، و بعث إليهم رجلاً فقتلهم جميعاً لم يفلت منهم إلّا رجل واحد أصابته جراحات فسقط بين القتلى يعدّ فيهم، فلمّا جنّه الليل خرج من بينهم فتخلص، و هو أبو سلمة سالم بن مكرم الجمال الملقب بأبي خديجة</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هذه نصوص عشرة توقفك على جلية الحال، و انّ الحركة الباطنية أُسست بيد الخطابية، و سيظهر انّ أتباع أبي زينب تحولوا فيما بعد إلى جانب محمد بن إسماعيل و وجدوه مرتعاً خصباً، عندها تألّق نجم ابن إسماعيل بعد انتمائهم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الروايات التي رواها الكشي تعرب عن وجود القول بالألوهيّة و المقامات الغيبية للأئمّة حتى انّ الحلول في الأئمّة كان من نتاج أفكار أبي زينب و أصحابه في أواسط القرن الثاني، حتّىٰ طردهم الإمام الصادق و لعنهم و تبرّأ منهم، و نهى أصحابه عن مخالطتهم</w:t>
      </w:r>
      <w:r>
        <w:rPr>
          <w:rFonts w:eastAsia="Amiri" w:cs="Amiri" w:ascii="Amiri" w:hAnsi="Amiri"/>
          <w:color w:val="111111"/>
          <w:sz w:val="28"/>
          <w:szCs w:val="28"/>
          <w:rtl w:val="true"/>
          <w:lang w:bidi="ar-SA"/>
        </w:rPr>
        <w:t>.</w:t>
      </w:r>
    </w:p>
    <w:p>
      <w:pPr>
        <w:pStyle w:val="Heading3"/>
        <w:numPr>
          <w:ilvl w:val="2"/>
          <w:numId w:val="1"/>
        </w:numPr>
        <w:rPr/>
      </w:pPr>
      <w:bookmarkStart w:id="78" w:name="__RefHeading___Toc4284085_73709187"/>
      <w:bookmarkStart w:id="79" w:name="_Toc26"/>
      <w:bookmarkEnd w:id="78"/>
      <w:r>
        <w:rPr/>
        <w:t>2</w:t>
      </w:r>
      <w:r>
        <w:rPr>
          <w:rtl w:val="true"/>
        </w:rPr>
        <w:t xml:space="preserve"> - </w:t>
      </w:r>
      <w:r>
        <w:rPr>
          <w:rtl w:val="true"/>
        </w:rPr>
        <w:t>الأشعري و الخطابية</w:t>
      </w:r>
      <w:bookmarkEnd w:id="79"/>
    </w:p>
    <w:p>
      <w:pPr>
        <w:pStyle w:val="BookText"/>
        <w:rPr/>
      </w:pPr>
      <w:r>
        <w:rPr>
          <w:rFonts w:ascii="Amiri" w:hAnsi="Amiri" w:eastAsia="Amiri" w:cs="Amiri"/>
          <w:color w:val="111111"/>
          <w:sz w:val="28"/>
          <w:sz w:val="28"/>
          <w:szCs w:val="28"/>
          <w:rtl w:val="true"/>
          <w:lang w:bidi="ar-SA"/>
        </w:rPr>
        <w:t xml:space="preserve">و ليس الكشي ممّن انفرد في نقل تلك العقائد، فقد نسبها إليهم الأشعري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مقالات الإسلاميين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ما هذا نصه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الخطابية على خمس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يزعمون انّ الأئمة أنبياء محدَّثون، و رسل اللّٰه و حججه على خلقه لا يزال منهم رسولان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ناطق و الآخر صامت، فالناطق محمد صلّى اللّٰه عليه و آله و سلّم، و الصامت علي بن أبي طالب، فهم في الأرض اليوم طاعتهم مفترضة على جميع الخلق، يعلمون ما كان، و ما هو كائن، و زعموا أنّ أبا الخطاب نبي، و انّ </w:t>
      </w:r>
    </w:p>
    <w:p>
      <w:pPr>
        <w:pStyle w:val="BookText"/>
        <w:rPr/>
      </w:pPr>
      <w:r>
        <w:rPr>
          <w:rFonts w:ascii="Amiri" w:hAnsi="Amiri" w:eastAsia="Amiri" w:cs="Amiri"/>
          <w:color w:val="111111"/>
          <w:sz w:val="28"/>
          <w:sz w:val="28"/>
          <w:szCs w:val="28"/>
          <w:rtl w:val="true"/>
          <w:lang w:bidi="ar-SA"/>
        </w:rPr>
        <w:t>أُولئك الرسل فرضوا عليهم طاعة أبي الخطاب،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آلهة، و قالوا في أنفسهم مثل ذلك،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الحسين أبناء اللّٰه و أحباؤه، ثمّ قالوا ذلك في أنفسهم، و تأوّلوا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سَوَّيْتُهُ وَ نَفَخْتُ فِيهِ مِنْ رُوحِي فَقَعُوا لَهُ سٰاجِدِينَ</w:t>
      </w:r>
      <w:r>
        <w:rPr>
          <w:rFonts w:eastAsia="Amiri" w:cs="Amiri" w:ascii="Amiri" w:hAnsi="Amiri"/>
          <w:color w:val="111111"/>
          <w:sz w:val="28"/>
          <w:szCs w:val="28"/>
          <w:rtl w:val="true"/>
          <w:lang w:bidi="ar-SA"/>
        </w:rPr>
        <w:t>»</w:t>
      </w:r>
      <w:r>
        <w:rPr>
          <w:rStyle w:val="FootnoteAnchor"/>
          <w:rtl w:val="true"/>
        </w:rPr>
        <w:footnoteReference w:id="26"/>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آدم و نحن ولده، و عبدوا أبا الخطاب و زعموا أنّه إله، و زعموا أنّ جعفر بن محمد إلههم أيضاً إلّا أنّ أبا الخطاب أعظم منه، و أعظم من عليّ، و خرج أبو الخطاب على أبي جعفر فقتله عيسى بن موسى في سبخة الكوفة، و هم يتديّنون بشهادة الزور لموافقيهم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الفرقة الثانية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الفرقة السابعة من الغالية يزعمون أنّ الإمام بعد أبي الخطاب رجل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عبدوه كما عبدوا أبا الخطاب، و زعموا أنّ الدنيا لا تفنى، و انّ الجنّة ما يصيب الناس من الخير و النعمة و العافية، و انّ النار ما يصيب الناس من خلاف ذلك، و قالوا بالتناسخ، و انّهم لا يموتون، و لكن يرفعون بأبدانهم إلى الملكوت، و توضع للناس أجساد شبه أجسادهم، و استحلوا الخمر و الزنا و استحلوا سائر المحرمات، و دانوا بترك الصلاة، و هم يُسمّون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المعمرية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انّهم يسمّون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العمومية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الفرقة الثالثة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الثامنة من الغالية يقال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البزيغية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بزيغ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يزعمون أنّ جعفر بن محمد هو اللّٰه، و أنّه ليس بالذي يرون، و أنّه تشبّه للناس بهذه الصورة، و زعموا أنّ كلّ ما يحدث في قلوبهم وحي، و أنّ كلّ مؤمن يوحى إليه و تأوّلوا في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لِنَفْسٍ أَنْ تَمُوتَ إِلاّٰ بِإِذْنِ اَللّٰهِ</w:t>
      </w:r>
      <w:r>
        <w:rPr>
          <w:rFonts w:eastAsia="Amiri" w:cs="Amiri" w:ascii="Amiri" w:hAnsi="Amiri"/>
          <w:color w:val="111111"/>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أي بوحي من اللّٰه،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أَوْحىٰ رَبُّكَ إِلَى اَلنَّحْلِ</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أَوْحَيْتُ إِلَى اَلْحَوٰارِيِّينَ</w:t>
      </w:r>
      <w:r>
        <w:rPr>
          <w:rFonts w:eastAsia="Amiri" w:cs="Amiri" w:ascii="Amiri" w:hAnsi="Amiri"/>
          <w:color w:val="111111"/>
          <w:sz w:val="28"/>
          <w:szCs w:val="28"/>
          <w:rtl w:val="true"/>
          <w:lang w:bidi="ar-SA"/>
        </w:rPr>
        <w:t>»</w:t>
      </w:r>
      <w:r>
        <w:rPr>
          <w:rStyle w:val="FootnoteAnchor"/>
          <w:rtl w:val="true"/>
        </w:rPr>
        <w:footnoteReference w:id="29"/>
      </w:r>
      <w:r>
        <w:rPr>
          <w:rFonts w:ascii="Amiri" w:hAnsi="Amiri" w:eastAsia="Amiri" w:cs="Amiri"/>
          <w:color w:val="111111"/>
          <w:sz w:val="28"/>
          <w:sz w:val="28"/>
          <w:szCs w:val="28"/>
          <w:rtl w:val="true"/>
          <w:lang w:bidi="ar-SA"/>
        </w:rPr>
        <w:t xml:space="preserve">، و زعموا أنّ منهم من هو خير من جبريل و ميكائيل </w:t>
      </w:r>
      <w:bookmarkStart w:id="80" w:name="pg11557_101205"/>
    </w:p>
    <w:p>
      <w:pPr>
        <w:pStyle w:val="BookText"/>
        <w:rPr/>
      </w:pPr>
      <w:bookmarkEnd w:id="80"/>
      <w:r>
        <w:rPr>
          <w:rFonts w:ascii="Amiri" w:hAnsi="Amiri" w:eastAsia="Amiri" w:cs="Amiri"/>
          <w:color w:val="111111"/>
          <w:sz w:val="28"/>
          <w:sz w:val="28"/>
          <w:szCs w:val="28"/>
          <w:rtl w:val="true"/>
          <w:lang w:bidi="ar-SA"/>
        </w:rPr>
        <w:t>و محمد، و زعموا أنّه لا يموتُ منهم أحد، و أنّ أحدهم إذا بلغت عبادَته رُفع إلى الملكوت، و ادّعوا معاينة أمواتهم، و زعموا أنّهم يرونَهم بكرة و عشية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الفرقة الرابعة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التاسعة من الغالية يقال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عمير بن بيان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الفرقة تكذِّب من قال منهم انّهم لا يموتون، و يزعمون أنّهم يموتون، و لا يزال خلف منهم في الأرض أئمّة أنبياء، و عبدوا جعفراً كما عبده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اليعمريون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زعموا أنّه ربهم، و قد كانوا ضربوا خيمة في كناسة الكوفة، ثمّ اجتمعوا إلى عبادة جعفر، فأخذ يزيد بن عمر ابن هبيرة،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عمير بن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فقتله في الكناسة، و حبس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الفرقة الخامسة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العاشرة من الغالية يقال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المفضلية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رئيسهم كان صيرفياً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بربوبية جعفر، كما قال غيرهم من أصناف الخطابية، و انتحلوا النبوة و الرسالة و إنّما خالفوا في البراءة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جعفراً أظهر البراءة منه</w:t>
      </w:r>
      <w:r>
        <w:rPr>
          <w:rFonts w:eastAsia="Amiri" w:cs="Amiri" w:ascii="Amiri" w:hAnsi="Amiri"/>
          <w:color w:val="111111"/>
          <w:sz w:val="28"/>
          <w:szCs w:val="28"/>
          <w:rtl w:val="true"/>
          <w:lang w:bidi="ar-SA"/>
        </w:rPr>
        <w:t>.</w:t>
      </w:r>
      <w:r>
        <w:rPr>
          <w:rStyle w:val="FootnoteAnchor"/>
          <w:rtl w:val="true"/>
        </w:rPr>
        <w:footnoteReference w:id="30"/>
      </w:r>
    </w:p>
    <w:p>
      <w:pPr>
        <w:pStyle w:val="Heading3"/>
        <w:numPr>
          <w:ilvl w:val="2"/>
          <w:numId w:val="1"/>
        </w:numPr>
        <w:rPr/>
      </w:pPr>
      <w:bookmarkStart w:id="81" w:name="__RefHeading___Toc4284087_73709187"/>
      <w:bookmarkStart w:id="82" w:name="_Toc27"/>
      <w:bookmarkEnd w:id="81"/>
      <w:r>
        <w:rPr/>
        <w:t>3</w:t>
      </w:r>
      <w:r>
        <w:rPr>
          <w:rtl w:val="true"/>
        </w:rPr>
        <w:t xml:space="preserve"> - </w:t>
      </w:r>
      <w:r>
        <w:rPr>
          <w:rtl w:val="true"/>
        </w:rPr>
        <w:t>النوبختي و الخطابية</w:t>
      </w:r>
      <w:bookmarkEnd w:id="82"/>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 النوبختي فرقهم، و أضاف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الخطابية هم الذين خرجوا في حياة أبي عبد اللّٰه جعفر بن محمد عليهما السّلام فحاربوا عيسى بن موسى بن محمد بن عبد اللّٰه بن العباس، و كان عاملاً على الكوفة، فبلغه عنهم أنّهم أظهروا الإباحات، ودعوا إلى نبوة أبي الخطاب، و أنّهم مجتمعون في مسجد الكوفة، فبعث إليه فحاربوه و امتنعوا عليه، و كانوا سبعين رجلاً، فقتلهم جميعاً، فلم يفلت منهم إلّا رجل واحد أصابته جراحات فعدّ في القتلى، فتخلّص، و هو أبو سلمة سالم بن مكرم الجمال الملقّب بأبي خديجة و كان يزعم أنّه مات فرجع، فحاربوا عيسى محاربة شديدة بالحجارة و القصب و السكاكين، لأنّهم جعلوا القصب مكان الرماح</w:t>
      </w:r>
      <w:r>
        <w:rPr>
          <w:rFonts w:eastAsia="Amiri" w:cs="Amiri" w:ascii="Amiri" w:hAnsi="Amiri"/>
          <w:color w:val="111111"/>
          <w:sz w:val="28"/>
          <w:szCs w:val="28"/>
          <w:rtl w:val="true"/>
          <w:lang w:bidi="ar-SA"/>
        </w:rPr>
        <w:t xml:space="preserve">. </w:t>
      </w:r>
      <w:bookmarkStart w:id="83" w:name="pg11557_101206"/>
    </w:p>
    <w:p>
      <w:pPr>
        <w:pStyle w:val="BookText"/>
        <w:rPr/>
      </w:pPr>
      <w:bookmarkEnd w:id="83"/>
      <w:r>
        <w:rPr>
          <w:rFonts w:ascii="Amiri" w:hAnsi="Amiri" w:eastAsia="Amiri" w:cs="Amiri"/>
          <w:color w:val="111111"/>
          <w:sz w:val="28"/>
          <w:sz w:val="28"/>
          <w:szCs w:val="28"/>
          <w:rtl w:val="true"/>
          <w:lang w:bidi="ar-SA"/>
        </w:rPr>
        <w:t>و قد كان أبو الخطاب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قاتلوهم فإنّ قصبكم يعمل فيهم عمل الرماح و السيوف، و رماحهم و سيوفهم و سلاحهم لا تضرّكم و لا تخلّ فيكم، فقدّمهم عشرة عشرة للمحاربة، فلمّا قتل منهم نحو ثلاثين رجلاً،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ما يحل بنا من القوم و ما نرى قصبنا يعمل فيهم و لا يُؤثر، و قد عمل سلاحهم فينا و قُتل من ترى منهم، فذكر لهم ما رواه العامة أنّه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قد بدا للّٰه فيكم فما ذنبي، و قال لهم ما رواه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قد بُليتم و امتحنتم و أُذن في قتلكم، فقاتلوا على دينكم و أحسابكم، و لا تعطوا بلدتكم، فتذلّوا مع أنّكم لا تتخلصون من القتل فموتوا كراماً، فقاتلوا حتى قُتلوا عن آخرهم، و أُسر أبو الخطاب فأُتي به عيسى بن موسى فقتله في دار الرزق على شاطئ الفرات، و صلب مع جماعة منهم، ثمّ أمر بإحراقه فأُحرقوا، و بعث برءوسهم إلى المنصور فصلبها على باب مدينة بغداد ثلاثة أيام، ثمّ أُحرقت</w:t>
      </w:r>
      <w:r>
        <w:rPr>
          <w:rFonts w:eastAsia="Amiri" w:cs="Amiri" w:ascii="Amiri" w:hAnsi="Amiri"/>
          <w:color w:val="111111"/>
          <w:sz w:val="28"/>
          <w:szCs w:val="28"/>
          <w:rtl w:val="true"/>
          <w:lang w:bidi="ar-SA"/>
        </w:rPr>
        <w:t>.</w:t>
      </w:r>
      <w:r>
        <w:rPr>
          <w:rStyle w:val="FootnoteAnchor"/>
          <w:rtl w:val="true"/>
        </w:rPr>
        <w:footnoteReference w:id="31"/>
      </w:r>
    </w:p>
    <w:p>
      <w:pPr>
        <w:pStyle w:val="Heading3"/>
        <w:numPr>
          <w:ilvl w:val="2"/>
          <w:numId w:val="1"/>
        </w:numPr>
        <w:rPr/>
      </w:pPr>
      <w:bookmarkStart w:id="84" w:name="__RefHeading___Toc4284089_73709187"/>
      <w:bookmarkStart w:id="85" w:name="_Toc28"/>
      <w:bookmarkEnd w:id="84"/>
      <w:r>
        <w:rPr/>
        <w:t>4</w:t>
      </w:r>
      <w:r>
        <w:rPr>
          <w:rtl w:val="true"/>
        </w:rPr>
        <w:t xml:space="preserve"> - </w:t>
      </w:r>
      <w:r>
        <w:rPr>
          <w:rtl w:val="true"/>
        </w:rPr>
        <w:t>الطبري و الحركات الباطنية</w:t>
      </w:r>
      <w:bookmarkEnd w:id="85"/>
    </w:p>
    <w:p>
      <w:pPr>
        <w:pStyle w:val="Heading4"/>
        <w:numPr>
          <w:ilvl w:val="3"/>
          <w:numId w:val="1"/>
        </w:numPr>
        <w:rPr/>
      </w:pPr>
      <w:bookmarkStart w:id="86" w:name="__RefHeading___Toc4284091_73709187"/>
      <w:bookmarkStart w:id="87" w:name="_Toc29"/>
      <w:bookmarkEnd w:id="86"/>
      <w:r>
        <w:rPr>
          <w:rtl w:val="true"/>
        </w:rPr>
        <w:t>اشارة</w:t>
      </w:r>
      <w:bookmarkEnd w:id="87"/>
    </w:p>
    <w:p>
      <w:pPr>
        <w:pStyle w:val="BookText"/>
        <w:rPr/>
      </w:pPr>
      <w:r>
        <w:rPr>
          <w:rFonts w:ascii="Amiri" w:hAnsi="Amiri" w:eastAsia="Amiri" w:cs="Amiri"/>
          <w:color w:val="111111"/>
          <w:sz w:val="28"/>
          <w:sz w:val="28"/>
          <w:szCs w:val="28"/>
          <w:rtl w:val="true"/>
          <w:lang w:bidi="ar-SA"/>
        </w:rPr>
        <w:t>يظهر ممّا رواه الطبري في تاريخه و ابن الجوزي في منتظمه تفشّي هذا النوع من الإلحاد عند غير الخطابية أيضاً، و إليك نص ابن الجوزي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خروج الراوندية، و هم قوم من أهل خراسان كانوا على رأي أبي مسلم، إلّا أنّهم يقولون بتناسخ الأرواح، و يدّعون أنّ روح آدم عليه السّلام في عثمان بن نهيك، و أنّ ربهم الذي يطعمهم و يسقيهم هو أبو جعفر المنصور، و أنّ الهيثم بن معاوية جبرائيل</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هؤلاء طائفة من الباطنية يسمّون السبعية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الأرضون سبع، و السماوات سبع، و الأُسبوع سبعة يدل على أنّ دور الأئمّة يتم بسبعة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ثمّ ابنه عبد اللّٰه، ثمّ ابنه علي، ثمّ محمد بن علي، ثمّ إبراهيم، ثمّ السفاح، </w:t>
      </w:r>
      <w:bookmarkStart w:id="88" w:name="pg11557_101207"/>
    </w:p>
    <w:p>
      <w:pPr>
        <w:pStyle w:val="BookText"/>
        <w:rPr/>
      </w:pPr>
      <w:bookmarkEnd w:id="88"/>
      <w:r>
        <w:rPr>
          <w:rFonts w:ascii="Amiri" w:hAnsi="Amiri" w:eastAsia="Amiri" w:cs="Amiri"/>
          <w:color w:val="111111"/>
          <w:sz w:val="28"/>
          <w:sz w:val="28"/>
          <w:szCs w:val="28"/>
          <w:rtl w:val="true"/>
          <w:lang w:bidi="ar-SA"/>
        </w:rPr>
        <w:t>ثمّ المنصور،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يطوفون حول قصر المنصور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قصر ربنا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فأرسل المنصور، فحبس منهم 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كانوا ستمائة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أصحابهم الباقون و دخلوا السجن، فأخرجوهم و قصدوا نحو المنصور، فتنادى الناس، و غلقت أبواب المدينة، و خرج المنصور ماشياً و لم يكن عنده دابة، فمن ذلك الوقت ارتبط فرساً، فسمى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النوبة، يكون معه في قصره، فأتى بدابة فركبها و جاء معن بن زائدة فرمى بنفسه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أُنشدك اللّٰه يا أمير المؤمنين إلّا رجعت، فإنّي أخاف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يقبل و خرج، فاجتمع إليه الناس، و جاء عثمان بن نهيك فكلّمهم، فرموه بنشابة و كانت سبب هلاكه، ثمّ حمل الناس عليهم فقتلوهم، و كان ذلك في المدينة الهاشمية بالكوفة في سنة إحدى و أربعين</w:t>
      </w:r>
      <w:r>
        <w:rPr>
          <w:rFonts w:eastAsia="Amiri" w:cs="Amiri" w:ascii="Amiri" w:hAnsi="Amiri"/>
          <w:color w:val="111111"/>
          <w:sz w:val="28"/>
          <w:szCs w:val="28"/>
          <w:rtl w:val="true"/>
          <w:lang w:bidi="ar-SA"/>
        </w:rPr>
        <w:t>.</w:t>
      </w:r>
      <w:r>
        <w:rPr>
          <w:rStyle w:val="FootnoteAnchor"/>
          <w:rtl w:val="true"/>
        </w:rPr>
        <w:footnoteReference w:id="32"/>
      </w:r>
    </w:p>
    <w:p>
      <w:pPr>
        <w:pStyle w:val="Heading4"/>
        <w:numPr>
          <w:ilvl w:val="3"/>
          <w:numId w:val="1"/>
        </w:numPr>
        <w:rPr/>
      </w:pPr>
      <w:bookmarkStart w:id="89" w:name="__RefHeading___Toc4284093_73709187"/>
      <w:bookmarkStart w:id="90" w:name="_Toc30"/>
      <w:bookmarkEnd w:id="89"/>
      <w:r>
        <w:rPr>
          <w:rtl w:val="true"/>
        </w:rPr>
        <w:t>تحول الخطابية إلى الإسماعيلية</w:t>
      </w:r>
      <w:bookmarkEnd w:id="90"/>
    </w:p>
    <w:p>
      <w:pPr>
        <w:pStyle w:val="BookText"/>
        <w:rPr/>
      </w:pPr>
      <w:r>
        <w:rPr>
          <w:rFonts w:ascii="Amiri" w:hAnsi="Amiri" w:eastAsia="Amiri" w:cs="Amiri"/>
          <w:color w:val="111111"/>
          <w:sz w:val="28"/>
          <w:sz w:val="28"/>
          <w:szCs w:val="28"/>
          <w:rtl w:val="true"/>
          <w:lang w:bidi="ar-SA"/>
        </w:rPr>
        <w:t>إنّ الخطابية بعد قتل زعيمهم توجهوا إلى محمد بن إسماعيل، و قد كان بعض الضالين يؤم والده إسماعيل بن جعفر، و لكن الإمام الصادق عليه السّلام آيسه من إضلاله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الكشي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يقول للمفضل بن عمر الجعفي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كافر، يا مشرك مالك و لابني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منقطعاً إليه يقول فيه مع الخطابية، ثمّ رجع عنه</w:t>
      </w:r>
      <w:r>
        <w:rPr>
          <w:rFonts w:eastAsia="Amiri" w:cs="Amiri" w:ascii="Amiri" w:hAnsi="Amiri"/>
          <w:color w:val="111111"/>
          <w:sz w:val="28"/>
          <w:szCs w:val="28"/>
          <w:rtl w:val="true"/>
          <w:lang w:bidi="ar-SA"/>
        </w:rPr>
        <w:t>.</w:t>
      </w:r>
      <w:r>
        <w:rPr>
          <w:rStyle w:val="FootnoteAnchor"/>
          <w:rtl w:val="true"/>
        </w:rPr>
        <w:footnoteReference w:id="33"/>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يدل على أنّ المذهب الإسماعيلي نشأ و ترعرع في أحضان الخطابية، و إن لم يتبنىٰ كل ما تبنّته الخطابية، هي النصوص التاريخية التي سنتلوها عليك واحداً تلو الآخر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النوبختي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قتل أبي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بمقالته من أهل الكوفة و غيرهم إلى محمد بن إسماعيل بن جعفر بعد قتل أبي الخطاب، فقالوا بإمامته و أقاموا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صنوف الغالية افترقوا بعده على مقالات كثيرة،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فرقة منهم إنّ روح جعفر بن محمد جعلت في أبي الخطاب، ثمّ تحوّلت بعد غيبة أبي الخطاب في محمد بن إسماعيل بن جعفر و تشعبت منهم فرقة من المباركية ممّن قال بهذه المقالة تسمّى القرامطة</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تقسيم الإمام إلى صامت و ناطق من صميم عقائد الإسماعيلية، و نرى نفس ذلك التقسيم لدى الخطابية، و قد مر تصريح الأشعري بذلك حينما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 رسولان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ناطق، و الآخر صامت؛ فالناطق محمد، و الصامت علي ابن أبي طالب</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و يذكر ذلك التقسيم أيضاً البغدادي عند ذكره للخطابية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أتباعه كانوا يقولون ينبغي أن يكون في كلّ وقت إمام ناطق و آخر ساكت، و الأئمّة يكونون آلهة، و يعرفون الغيب، و يقولون انّ علياً في وقت النبي صامتاً، و كان النبي صلّى اللّٰه عليه و آله و سلّم ناطقاً، ثمّ صار علي بعده ناطقاً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يقولون في الأئمة بعد أن انتهى الأمر إلى جعفر، و كان أبو الخطاب في وقته إماماً صامتاً و صار بعده ناطقاً</w:t>
      </w:r>
      <w:r>
        <w:rPr>
          <w:rFonts w:eastAsia="Amiri" w:cs="Amiri" w:ascii="Amiri" w:hAnsi="Amiri"/>
          <w:color w:val="111111"/>
          <w:sz w:val="28"/>
          <w:szCs w:val="28"/>
          <w:rtl w:val="true"/>
          <w:lang w:bidi="ar-SA"/>
        </w:rPr>
        <w:t>.</w:t>
      </w:r>
      <w:r>
        <w:rPr>
          <w:rStyle w:val="FootnoteAnchor"/>
          <w:rtl w:val="true"/>
        </w:rPr>
        <w:footnoteReference w:id="36"/>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المقريزي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أتباع أبي الخطاب متفقون على أنّ الأئمّة مثل علي و أولاده كلّهم أنبياء، و إنّه لا بدّ من رسولين لكلّ أُمّة أحدهما ناطق و الآخر صامت، </w:t>
      </w:r>
    </w:p>
    <w:p>
      <w:pPr>
        <w:pStyle w:val="BookText"/>
        <w:rPr/>
      </w:pPr>
      <w:r>
        <w:rPr>
          <w:rFonts w:ascii="Amiri" w:hAnsi="Amiri" w:eastAsia="Amiri" w:cs="Amiri"/>
          <w:color w:val="111111"/>
          <w:sz w:val="28"/>
          <w:sz w:val="28"/>
          <w:szCs w:val="28"/>
          <w:rtl w:val="true"/>
          <w:lang w:bidi="ar-SA"/>
        </w:rPr>
        <w:t>فكان محمد ناطقاً و علي صامتاً، و إنّ جعفر بن محمد الصادق عليه السّلام كان نبياً، ثمّ انتقلت النبوة إلى أبي الخطاب</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وقفت على ما نقلناه عن الكشي من أنّ الخطابية كانت تؤوّل الآيات إلى مفاهيم غير مفهومة من ظواهر الآيات، حتى أنّه أوّل الخمر و الميسر و الأنصاب و الأزلام بأنّها رجال، فلما بلغ التأويل إلى الإمام الصادق عليه السّلام فقال رداً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اللّٰه عزّ و جلّ ليخاطب خلقه بما لا يعلمون</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و من الواضح أنّ الإسماعيلية وضعت لكلّ ظاهر باطناً، و اتخذت من التأويل ركناً أساسياً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 ذكر الشهرستاني و المقريزي شيئاً من تأويلات الخطابية</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قال الشهرستاني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أبو الخطاب أنّ الأئمّة أنبياء ثمّ آلهة، و قال بإلهية جعفر بن محمد و إلهية آبائه و هم أبناء اللّٰه و أحباؤه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الإلهية نور في النبوة، و النبوة نور في الإمامة، و لا يخلو العالم من هذه الآثار و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 أنّ جعفراً هو الإله في زمانه، و ليس هو المحسوس الذي يرونه، و لكن لما نزل إلى هذا العالم لبس تلك الصورة فرآه الناس فيها، و لما وقف عيسى بن موسى صاحب المنصور على خبث دعوته، قتله بسبخة الكوفة</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و قد عرفت أيضاً شيئاً من تأويلاتهم في كلام الكشي</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خلال استعراض تلك النصوص نخرج بهذه النتيجة انّ حقيقة التطرّف المشاهد في المذهب الإسماعيلي طرأت عليه من قبل أصحاب أبي الخطاب الذين استغلوا إمامة محمد بن إسماعيل لبث آرائهم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للمذهب الإسماعيلي دعائم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بالتأويل، و القول بأنّ لكلّ ظاهر باطناً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الفلسفة اليونانية، بأبعادها المختلفة في الإلهيات و الطبيعيات و الفلكيات سناداً و عماداً للمذهب كما سيظهر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الغلو في حقّ أئمّتهم و تزويدهم بصلاحيات و اختصاصات واسعة لا دليل عليها من العقل و لا الشرع</w:t>
      </w:r>
      <w:r>
        <w:rPr>
          <w:rFonts w:eastAsia="Amiri" w:cs="Amiri" w:ascii="Amiri" w:hAnsi="Amiri"/>
          <w:color w:val="111111"/>
          <w:sz w:val="28"/>
          <w:szCs w:val="28"/>
          <w:rtl w:val="true"/>
          <w:lang w:bidi="ar-SA"/>
        </w:rPr>
        <w:t>.</w:t>
      </w:r>
      <w:r>
        <w:rPr>
          <w:rStyle w:val="FootnoteAnchor"/>
          <w:rtl w:val="true"/>
        </w:rPr>
        <w:footnoteReference w:id="41"/>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فخرجنا بهذه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الإسماعيلية كانت فرقة واحدة، فانشقت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قرامطة و دروز، و بهرة، و نزارية و سيوافيك تفصيلها في الفصول الآتية</w:t>
      </w:r>
      <w:r>
        <w:rPr>
          <w:rFonts w:eastAsia="Amiri" w:cs="Amiri" w:ascii="Amiri" w:hAnsi="Amiri"/>
          <w:color w:val="111111"/>
          <w:sz w:val="28"/>
          <w:szCs w:val="28"/>
          <w:rtl w:val="true"/>
          <w:lang w:bidi="ar-SA"/>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1" w:name="pg11557_101212"/>
      <w:bookmarkStart w:id="92" w:name="pg11557_101212"/>
      <w:bookmarkEnd w:id="92"/>
    </w:p>
    <w:p>
      <w:pPr>
        <w:pStyle w:val="Heading2"/>
        <w:numPr>
          <w:ilvl w:val="1"/>
          <w:numId w:val="1"/>
        </w:numPr>
        <w:rPr/>
      </w:pPr>
      <w:bookmarkStart w:id="93" w:name="pg11557_101212"/>
      <w:bookmarkStart w:id="94" w:name="__RefHeading___Toc4284095_73709187"/>
      <w:bookmarkStart w:id="95" w:name="_Toc31"/>
      <w:bookmarkEnd w:id="93"/>
      <w:bookmarkEnd w:id="94"/>
      <w:r>
        <w:rPr>
          <w:rtl w:val="true"/>
        </w:rPr>
        <w:t>الفصل الرابع</w:t>
      </w:r>
      <w:r>
        <w:rPr>
          <w:rtl w:val="true"/>
        </w:rPr>
        <w:t xml:space="preserve">: </w:t>
      </w:r>
      <w:r>
        <w:rPr>
          <w:rtl w:val="true"/>
        </w:rPr>
        <w:t>عبد اللّٰه بن ميمون القداح إسماعيلي أو اثنا عشري؟</w:t>
      </w:r>
      <w:bookmarkEnd w:id="95"/>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6" w:name="__RefHeading___Toc4284097_73709187"/>
      <w:bookmarkStart w:id="97" w:name="_Toc32"/>
      <w:bookmarkEnd w:id="96"/>
      <w:r>
        <w:rPr>
          <w:rtl w:val="true"/>
        </w:rPr>
        <w:t>اشارة</w:t>
      </w:r>
      <w:bookmarkEnd w:id="97"/>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إنّ عبد اللّٰه بن ميمون القدّاح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أقطاب الدعوة الإسماعيلية، و سيوافيك نصوص الرجاليين في حقّه، غير انّا نركز في هذا المقام علىٰ أنّ عبد اللّٰه بن ميمون الإسماعيلي غير عبد اللّٰه بن ميمون الاثني عشري، فهما شخصان، لا شخص واحد،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عبد اللّٰه بن ميمون القداح أحد رواة الشيعة، المعروفين بالوثاقة، و قد روى زهاء ستين رواية عن أئمة أهل البيت في مختلف الأبواب الفقهية، فتارة عن الصادق عليه السّلام مباشرة، و أُخرى عن الباقر و علي بن أبي طالب بالواسطة، و لم نر في كتب الرجال الشيعية أي غموض في سيرته إلّا الشيء اليسير من اتهامه بالتزيّد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أبوه فقد صحب أئمّة ثلاثة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العابدين علي بن الحسين عليهما السّلام و الإمام الباقر محمد بن علي عليهما السّلام و الإمام الصادق جعفر بن محمد عليهما السّلام، و لم يذكر له توثيق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جانب و من جانب آخر يحدّثنا كتّاب المقالات انّ عبد اللّٰه بن ميمون القداح و أبوه قد انضما إلى الحركة الباطنية و تحرّكا في رقعة كبيرة من العالم الإسلامي بين الكوفة و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ممّا يجعل الباحث في حيرة من أمرهما، و لكن الحقّ انّ ما ذكرته كتب الرجال عن شخصية عبد اللّٰه بن ميمون و أبيه تختلف ماهويَّة عمّا ذكره أصحاب المقالات له و لأبيه، و إنّما حصل الخلط للاشتراك في التسمية، و لا يتجلّى ذلك بوضوح إلّا بعد الوقوف على نصوص كلّ منها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مقارنة النصوص لدليل واضح على تعدد المسمّيين و لنذكر نصوص الرجاليين من الشيعة أوّلاً</w:t>
      </w:r>
      <w:r>
        <w:rPr>
          <w:rFonts w:eastAsia="Amiri" w:cs="Amiri" w:ascii="Amiri" w:hAnsi="Amiri"/>
          <w:color w:val="111111"/>
          <w:sz w:val="28"/>
          <w:szCs w:val="28"/>
          <w:rtl w:val="true"/>
          <w:lang w:bidi="ar-SA"/>
        </w:rPr>
        <w:t xml:space="preserve">. </w:t>
      </w:r>
      <w:bookmarkStart w:id="98" w:name="pg11557_101215"/>
    </w:p>
    <w:p>
      <w:pPr>
        <w:pStyle w:val="Heading3"/>
        <w:numPr>
          <w:ilvl w:val="2"/>
          <w:numId w:val="1"/>
        </w:numPr>
        <w:rPr/>
      </w:pPr>
      <w:bookmarkStart w:id="99" w:name="__RefHeading___Toc4284099_73709187"/>
      <w:bookmarkStart w:id="100" w:name="_Toc33"/>
      <w:bookmarkEnd w:id="98"/>
      <w:bookmarkEnd w:id="99"/>
      <w:r>
        <w:rPr>
          <w:rtl w:val="true"/>
        </w:rPr>
        <w:t>عبد اللّٰه بن ميمون الإمامي في كتب الرجال</w:t>
      </w:r>
      <w:bookmarkEnd w:id="100"/>
    </w:p>
    <w:p>
      <w:pPr>
        <w:pStyle w:val="BookText"/>
        <w:rPr/>
      </w:pPr>
      <w:r>
        <w:rPr>
          <w:rFonts w:ascii="Amiri" w:hAnsi="Amiri" w:eastAsia="Amiri" w:cs="Amiri"/>
          <w:color w:val="111111"/>
          <w:sz w:val="28"/>
          <w:sz w:val="28"/>
          <w:szCs w:val="28"/>
          <w:rtl w:val="true"/>
          <w:lang w:bidi="ar-SA"/>
        </w:rPr>
        <w:t>قال البرقي في فصل أصحاب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ميمون القداح، مولى بني مخزوم، كان يبري القداح</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و 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ميمون القداح المكي، قال حدثني حمدويه، عن أيّوب بن نوح، عن جعفر بن يحيى، عن أبي خالد، عن عبد اللّٰه بن ميمون،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ميمون كم أنتم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أربعة،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إنّكم نور في ظلمات الأرض</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و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ميمون بن الأسود القداح مولى بني مخزوم يبري القداح، روى أبوه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جعفر و أبي عبد اللّٰه عليهما السّلام، و روى هو عن أبي عبد اللّٰه عليه السّلام، و كان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مبعث النبي صلّى اللّٰه عليه و آله و سلّم و أخباره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الجنة و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سنده إلى كتبه</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و قال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ميمون القداح له كتاب، ثمّ ذكر سنده إلى كتابه</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و قال الشيخ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ميمون القداح المكي، كان يبري القداح، مولىٰ بني مخزوم</w:t>
      </w:r>
      <w:r>
        <w:rPr>
          <w:rFonts w:eastAsia="Amiri" w:cs="Amiri" w:ascii="Amiri" w:hAnsi="Amiri"/>
          <w:color w:val="111111"/>
          <w:sz w:val="28"/>
          <w:szCs w:val="28"/>
          <w:rtl w:val="true"/>
          <w:lang w:bidi="ar-SA"/>
        </w:rPr>
        <w:t>.</w:t>
      </w:r>
      <w:r>
        <w:rPr>
          <w:rStyle w:val="FootnoteAnchor"/>
          <w:rtl w:val="true"/>
        </w:rPr>
        <w:footnoteReference w:id="46"/>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أباه في أصحاب علي بن الحسين عليهما السّلام</w:t>
      </w:r>
      <w:r>
        <w:rPr>
          <w:rStyle w:val="FootnoteAnchor"/>
          <w:rtl w:val="true"/>
        </w:rPr>
        <w:footnoteReference w:id="47"/>
      </w:r>
      <w:r>
        <w:rPr>
          <w:rFonts w:ascii="Amiri" w:hAnsi="Amiri" w:eastAsia="Amiri" w:cs="Amiri"/>
          <w:color w:val="111111"/>
          <w:sz w:val="28"/>
          <w:sz w:val="28"/>
          <w:szCs w:val="28"/>
          <w:rtl w:val="true"/>
          <w:lang w:bidi="ar-SA"/>
        </w:rPr>
        <w:t xml:space="preserve">و ذكره أيضاً في أصحاب </w:t>
      </w:r>
    </w:p>
    <w:p>
      <w:pPr>
        <w:pStyle w:val="BookText"/>
        <w:rPr/>
      </w:pPr>
      <w:r>
        <w:rPr>
          <w:rFonts w:ascii="Amiri" w:hAnsi="Amiri" w:eastAsia="Amiri" w:cs="Amiri"/>
          <w:color w:val="111111"/>
          <w:sz w:val="28"/>
          <w:sz w:val="28"/>
          <w:szCs w:val="28"/>
          <w:rtl w:val="true"/>
          <w:lang w:bidi="ar-SA"/>
        </w:rPr>
        <w:t>الإمام الباقر،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ميمون القداح مولىٰ بني مخزوم مكي</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هذا ما في كتب الشيعة، و أمّا الكتب الرجالية لأهل السنة، فقد ذكره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ميمون بن داود القداح المخزومي، مولاهم المكي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و إسماعيل بن أُميّة، و يحيى بن الأنصاري، و عثمان بن الأسود و غيرهم</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 xml:space="preserve">و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ميمون بن داود القداح المخزومي، المكي، متروك من الثامنة</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و تتلخّص مواصفاته التي ذكرت في الكتب الرجالية بالأُمور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و 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عبد اللّٰه بن ميمون بن الأسود أو ابن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مكي من بني مخزوم، و قد عرفت عن الكشي انّ أبا جعفر الباقر عليه السّلام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ميمون كم أنتم بمكة؟</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مخزومي ولاءً كما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بني مخزوم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الشيخ في الفهرست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عاصر والده الأئمّة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العابدين، و محمد الباقر، و جعفر الصادق عليهم السّلام</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الولد فقد عاصر الإمامين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الباقر و الصادق عليهما السّلام و روى عنهما، كما في رواية الكشي انّ أبا جعفر،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ميمون كم أنتم بمكة؟</w:t>
      </w:r>
      <w:r>
        <w:rPr>
          <w:rFonts w:eastAsia="Amiri" w:cs="Amiri" w:ascii="Amiri" w:hAnsi="Amiri"/>
          <w:color w:val="111111"/>
          <w:sz w:val="28"/>
          <w:szCs w:val="28"/>
          <w:rtl w:val="true"/>
          <w:lang w:bidi="ar-SA"/>
        </w:rPr>
        <w:t xml:space="preserve">». </w:t>
      </w:r>
      <w:bookmarkStart w:id="101" w:name="pg11557_101217"/>
    </w:p>
    <w:p>
      <w:pPr>
        <w:pStyle w:val="BookText"/>
        <w:rPr/>
      </w:pPr>
      <w:bookmarkEnd w:id="101"/>
      <w:r>
        <w:rPr>
          <w:rFonts w:ascii="Amiri" w:hAnsi="Amiri" w:eastAsia="Amiri" w:cs="Amiri"/>
          <w:color w:val="111111"/>
          <w:sz w:val="28"/>
          <w:sz w:val="28"/>
          <w:szCs w:val="28"/>
          <w:rtl w:val="true"/>
          <w:lang w:bidi="ar-SA"/>
        </w:rPr>
        <w:t>و ما في رجال النجاشي من أنّه روى عن أبي عبد اللّٰه محمول على كثرة رواياته عن أبي عبد اللّٰه و قلّته عن أبي جعفر، و إلّا فقد عرفت نقل الكشي روايته عن أبي جعفر مباشرة إلّا أن يقال بسقوط الواسطة عن قلم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أنّ الوالد صحب الأئمة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الولد صحب الإمام الباقر و الصادق عليهما السّلام فقط، و لم يرو شيئاً عن الإمام الكاظم عليه السّلام، و طبيعة الحال تقتضي أنّ الوالد توفي في حياة الإمام الصادق عليه السّلام و توفي الولد أواخر إمامته أو بعدها بقليل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أبا عبد اللّٰه البرقي والد صاحب المحاسن، و أحمد بن محمد بن عيسى الأشعري كلاهما</w:t>
      </w:r>
      <w:r>
        <w:rPr>
          <w:rStyle w:val="FootnoteAnchor"/>
          <w:rtl w:val="true"/>
        </w:rPr>
        <w:footnoteReference w:id="51"/>
      </w:r>
      <w:r>
        <w:rPr>
          <w:rFonts w:ascii="Amiri" w:hAnsi="Amiri" w:eastAsia="Amiri" w:cs="Amiri"/>
          <w:color w:val="111111"/>
          <w:sz w:val="28"/>
          <w:sz w:val="28"/>
          <w:szCs w:val="28"/>
          <w:rtl w:val="true"/>
          <w:lang w:bidi="ar-SA"/>
        </w:rPr>
        <w:t>ممّن لقيا الرضا عليه السّلام مع أنّهما يرويان عن عبد اللّه بن ميمون بواسطة جعفر بن محمد بن عبيد اللّٰه، فيكون عبد اللّٰه، متأخراً عن جعفر و معاصراً لتلامذة الإمام الصادق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التلقيب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لقّب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كان يبري القداح</w:t>
      </w:r>
      <w:r>
        <w:rPr>
          <w:rFonts w:eastAsia="Amiri" w:cs="Amiri" w:ascii="Amiri" w:hAnsi="Amiri"/>
          <w:color w:val="111111"/>
          <w:sz w:val="28"/>
          <w:szCs w:val="28"/>
          <w:rtl w:val="true"/>
          <w:lang w:bidi="ar-SA"/>
        </w:rPr>
        <w:t>.</w:t>
      </w:r>
    </w:p>
    <w:p>
      <w:pPr>
        <w:pStyle w:val="Heading3"/>
        <w:numPr>
          <w:ilvl w:val="2"/>
          <w:numId w:val="1"/>
        </w:numPr>
        <w:rPr/>
      </w:pPr>
      <w:bookmarkStart w:id="102" w:name="__RefHeading___Toc4284101_73709187"/>
      <w:bookmarkStart w:id="103" w:name="_Toc34"/>
      <w:bookmarkEnd w:id="102"/>
      <w:r>
        <w:rPr>
          <w:rtl w:val="true"/>
        </w:rPr>
        <w:t>عبد اللّٰه بن ميمون الإسماعيلي</w:t>
      </w:r>
      <w:bookmarkEnd w:id="103"/>
    </w:p>
    <w:p>
      <w:pPr>
        <w:pStyle w:val="BookText"/>
        <w:rPr/>
      </w:pPr>
      <w:r>
        <w:rPr>
          <w:rFonts w:ascii="Amiri" w:hAnsi="Amiri" w:eastAsia="Amiri" w:cs="Amiri"/>
          <w:color w:val="111111"/>
          <w:sz w:val="28"/>
          <w:sz w:val="28"/>
          <w:szCs w:val="28"/>
          <w:rtl w:val="true"/>
          <w:lang w:bidi="ar-SA"/>
        </w:rPr>
        <w:t>و إليك بيان ما يذكره أصحاب المقالات و المؤرّخون حوله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بين الفرق</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أصحاب المقالات إنّ الذين أسّسوا دعوة الباطنية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ميمون بن ديصان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بالقداح، و كان مولى لجعفر بن محمد الصادق، و كان من الأهواز، 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الملقب بدندان، اجتمعوا كلّهم مع ميمون ابن ديصان في سجن والي العراق، فأسّسوا في ذلك السجن مذاهب الباطنية، ثمّ ظهرت دعوتهم بعد خلاصهم من السجن من جهة المعروف بدندان، و ابتدأ بالدعوة في ناحية توز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في دينه جماعة من أكراد الجبل مع أهل الجبل المعروف بالبدين، ثمّ رحل ميمون بن ديصان إلى ناحية المغرب و انتسب في تلك الناحية إلى عقيل بن أبي طالب و زعم أنّه من نسله، فلمّا دخل في دعوته قوم من غلاة الرفض و الحُلُولية منهم ادّعىٰ انّه من ولد محمد بن إسماعيل بن جعفر الصادق، فقبل الأغبياء ذلك منه على جهل منهم بأنّ محمد بن إسماعيل بن جعفر مات و لم يعقب عند علماء الأنساب</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 النديم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اللّٰه بن ميمون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يعرف ميمون بالقداح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أهل قوزح العباس بقرب مدينة الأهواز، و أبوه ميمون الذي تنسب إليه الفرقة الميمونية التي أظهرت اتباع أبي الخطاب محمد بن أبي زينب الذي دعا إلى إلهية علي بن أبي طالب، و كان ميمون و ابنه ديصانيين، و ادّعى عبد اللّٰه انّه نبي مدة طويلة، و كان يظهر الشعابيذ، و يذكر انّ الأرض تطوى له فيمضي إلى أين أحب في أقرب مدة، و كان يخبر بالأحداث الكائنات في البلدان الشاسعة، و كان له مرتبون في مواضع يرغبهم و يحسن إليهم و يعاونونه على نواميسه و معهم طيور يطلقونها من المواضع المتفرقة إلى الموضع الذي فيه بيت عبد اللّٰه، فيخبر من حضره بما يكون فيتمَوّه ذلك عليهم</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صار إلى البصرة فنزل علىٰ قوم من أولاد عقيل بن أبي طالب، فكبس هناك، فهرب إلى سلمية بقرب حمص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قبل بني القداح قريب ممّن يتعصب للمجوس و دولتها، و كان ممّن واطأ عبد اللّٰه أمره رجل يعرف بمحمد بن الحسين و يلقب بزيدان من ناحية الكرخ من كتاب أحمد بن عبد العزيز بن أبي دلف، و كان هذا الرجل متفلسفاً، حاذقاً بعلم النجوم، شعوبياً، شديد الغيض من دولة الإسلام</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يئس أعداء الإسلام من استئصاله بالقوة أخذوا في وضع الأحاديث الكاذبة و تشكيك ضعفة العقول في دينهم بأُمور قد ضبطها المحدّثون و أفسدوا الصحيح بالتأويل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أوّل من 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الخطاب محمد بن أبي زينب مولىٰ بني أسد، و أبو شاكر بن ديصان صاحب كتاب الميزان في نصرة الزندقة و غيرهما، فألقوا إلى من وثقوا به انّ لكل شيء من العبادات باطناً، و انّ اللّٰه تعالى لم يوجب على أوليائه و من عرف الأئمّة و الأبواب صلاة و لا زكاة و لا غير ذلك و لا حرم عليهم شيئاً و أباحوا لهم نكاح الأُمّهات و الأخوات، و إنّما هذه قيود للعامة ساقطة عن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كانوا يظهرون التشيّع لآل النبي ليستروا أمرهم و يستميلوا العامة، و تفرّق أصحابهم في البلاد، و أظهروا الزهد و العبادة يغرون الناس بذلك و هم على خلافه، فقتل أبو الخطاب و جماعة من أصحابه 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نشأ لابن ديصان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شاكر ميمون بن ديصان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يقال له عبد اللّٰه القداح علّمه الحيل و أطلعه على أسرار هذه النحلة فحذق و تقدم،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لقب القداح لأنّه كان يعالج العيون و يقدحها، فلمّا توفي القداح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بعده ابنه أحمد مقامه، إلى آخر ما ذكر</w:t>
      </w:r>
      <w:r>
        <w:rPr>
          <w:rFonts w:eastAsia="Amiri" w:cs="Amiri" w:ascii="Amiri" w:hAnsi="Amiri"/>
          <w:color w:val="111111"/>
          <w:sz w:val="28"/>
          <w:szCs w:val="28"/>
          <w:rtl w:val="true"/>
          <w:lang w:bidi="ar-SA"/>
        </w:rPr>
        <w:t>.</w:t>
      </w:r>
      <w:r>
        <w:rPr>
          <w:rStyle w:val="FootnoteAnchor"/>
          <w:rtl w:val="true"/>
        </w:rPr>
        <w:footnoteReference w:id="54"/>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إليك مواصفات الرجل حسب ما ذكره البغدادي، و غيره من المؤرّخين فهي تختلف عمّا تعرفت عليه في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و 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ميمون بن ديصان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الأهواز أو من الكوفة، فانّ محمد بن أبي زينب و أتباعه كانوا كوفيين</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مولىً لجعفر بن محمد الصادق، و الظاهر انّ مراده هو حبه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فالرجل حسب ما يذكره البغدادي ممّن ذهب لناحية المغرب و انتسب في تلك الناحية إلى عقيل بن أبي طالب هذا من جانب، و من جانب نرى أنّ الأئمّة الإسماعيلية توجهوا إلى المغرب في أواسط القرن الثالث، لأنّ الإمام المستور الحسين بن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التقى بالنجف الأشرف بالداعي أبي قاسم حسن بن فرح بن حوشب و علي بن الفضل فأثر فيهما و أحضرهما إلى سلمية، ثمّ جهّزهما بعد ذلك إلى اليمن، و في عهده تمّ إرسال أبي عبد اللّٰه الشيعي إلى المغرب</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 xml:space="preserve">فيعلم من خلالها أنّ التمهيد لبسط نفوذهم في المغرب بدأ في أواسط القرن الثالث و انّ ميمون بن ديصان الوالد قصدها في تلك الآونة و قد أرّخ الكاتب الإسماعيلي مصطفى غالب في تقديمه لكتاب كنز الولد انّ عبد اللّٰه بن ميمون القداح ولد سنة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توفي سنة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57"/>
      </w:r>
      <w:r>
        <w:rPr>
          <w:rFonts w:ascii="Amiri" w:hAnsi="Amiri" w:eastAsia="Amiri" w:cs="Amiri"/>
          <w:color w:val="111111"/>
          <w:sz w:val="28"/>
          <w:sz w:val="28"/>
          <w:szCs w:val="28"/>
          <w:rtl w:val="true"/>
          <w:lang w:bidi="ar-SA"/>
        </w:rPr>
        <w:t>، فأين هو من عبد اللّٰه بن ميمون المعدود من أصحاب الباقر و الصادق عليهما السّلام، الذي توفي في أواسط القرن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التلقيب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يقدح العيون</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أضف إلى ذلك انّه من البعيد أن يروي المشايخ الكبار، كجعفر بن محمد الأشعري، و الحسن بن علي بن فضال، و أحمد بن إسحاق بن سعد، و حمّاد بن عيسى، و عبد اللّٰه بن المغيرة عمّن خدم الإسماعيلية و تآمر على الإمامية الاثني </w:t>
      </w:r>
    </w:p>
    <w:p>
      <w:pPr>
        <w:pStyle w:val="BookText"/>
        <w:rPr/>
      </w:pPr>
      <w:r>
        <w:rPr>
          <w:rFonts w:ascii="Amiri" w:hAnsi="Amiri" w:eastAsia="Amiri" w:cs="Amiri"/>
          <w:color w:val="111111"/>
          <w:sz w:val="28"/>
          <w:sz w:val="28"/>
          <w:szCs w:val="28"/>
          <w:rtl w:val="true"/>
          <w:lang w:bidi="ar-SA"/>
        </w:rPr>
        <w:t>عشرية، و لو افترضنا انّهم أخذوا منه الرواية حين استقامته، لصرّحوا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ممن حقّق هذا الأمر تفصيلاً صاحب أعيان الشيعة، فلاحظ</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 xml:space="preserve">لعب عبد اللّٰه بن ميمون القدّاح دوراً هاماً في نشر أفكار الخطابية و بثّها في أتباع محمد بن إسماعيل، و كان حلقة وصل بين الخطابية و الإسماعيلية، و أخيراً التحق بالإمام محمد بن إسماعيل و صار من دعاته، و كلّ الآفات التي أصابت العقيدة الإسماعيلية تعود إليه و إلى زميله محمد بن الحسين الملقب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كثير من النصوص التاريخية علىٰ ذلك، نكتفي منها بالقليل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يأس أعداء الإسلام من استئصاله بالقوة فأخذوا في وضع الأحاديث الكاذبة و تشكيك ضعفة العقول في دينهم بأُمور قد ضبطها المحدّثون، و أفسدوا الصحيح بالتأويل و الطعن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أوّل من فعل ذلك أبو الخطاب محمد بن أبي زينب مولى بني أسد، و أبو شاكر ميمون بن ديصان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فألقوا إلى من وثقوا به انَّ لكل شيء من العبادات باطناً، و انّ اللّٰه تعالى لم يوجب على أوليائه و لا من عرف الأئمّة و الأبواب، صلاة و لا زكاة و لا غير ذلك، و لا حرّم عليهم شيئاً و أباحوا لهم نكاح الأُمّهات و الأخوات، و إنّما هذه قيود للعامة ساقطة عن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كانوا يظهرون التشيع لآل النبي صلّى اللّٰه عليه و آله و سلّم ليستروا أمرهم و يستميلوا العامة، و تفرّق أصحابهم في البلاد، فقتل أبو الخطاب و جماعة من أصحابه بالكوفة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نشأ لابن ديصان ابن يقال له عبد اللّٰه القدّاح، علّمه الحيل و أطلعه على أسرار هذه النحلة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بنواحي كرخ و اصفهان رجل يعرف بمحمد بن الحسين و يلقب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إليه القدّاح و عرّفه من ذلك ما زاد به محلّه</w:t>
      </w:r>
      <w:r>
        <w:rPr>
          <w:rFonts w:eastAsia="Amiri" w:cs="Amiri" w:ascii="Amiri" w:hAnsi="Amiri"/>
          <w:color w:val="111111"/>
          <w:sz w:val="28"/>
          <w:szCs w:val="28"/>
          <w:rtl w:val="true"/>
          <w:lang w:bidi="ar-SA"/>
        </w:rPr>
        <w:t>.</w:t>
      </w:r>
      <w:r>
        <w:rPr>
          <w:rStyle w:val="FootnoteAnchor"/>
          <w:rtl w:val="true"/>
        </w:rPr>
        <w:footnoteReference w:id="59"/>
      </w:r>
      <w:bookmarkStart w:id="104" w:name="pg11557_101222"/>
    </w:p>
    <w:p>
      <w:pPr>
        <w:pStyle w:val="BookText"/>
        <w:rPr/>
      </w:pPr>
      <w:bookmarkEnd w:id="104"/>
      <w:r>
        <w:rPr>
          <w:rFonts w:ascii="Amiri" w:hAnsi="Amiri" w:eastAsia="Amiri" w:cs="Amiri"/>
          <w:color w:val="111111"/>
          <w:sz w:val="28"/>
          <w:sz w:val="28"/>
          <w:szCs w:val="28"/>
          <w:rtl w:val="true"/>
          <w:lang w:bidi="ar-SA"/>
        </w:rPr>
        <w:t>و من طالع تاريخ الإسماعيلية و كتبهم يقف على أنّ لأبي عبد اللّٰه بن ميمون القدّاح و ربيبه القدح المعلّى في صياغة العقيدة الإسماعيلية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خرجنا بهذه النتيجة انّ الخطابية و على حسب تعبير النوبختي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المباركيّة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جذور الإسماعيلية و انّ ميمون بن ديصان، ثمّ ابنه عبد اللّٰه بن ميمون القداح، و زميله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حلقة الوصل بين الفرقتين</w:t>
      </w:r>
      <w:r>
        <w:rPr>
          <w:rFonts w:eastAsia="Amiri" w:cs="Amiri" w:ascii="Amiri" w:hAnsi="Amiri"/>
          <w:color w:val="111111"/>
          <w:sz w:val="28"/>
          <w:szCs w:val="28"/>
          <w:rtl w:val="true"/>
          <w:lang w:bidi="ar-SA"/>
        </w:rPr>
        <w:t>.</w:t>
      </w:r>
    </w:p>
    <w:p>
      <w:pPr>
        <w:pStyle w:val="Heading3"/>
        <w:numPr>
          <w:ilvl w:val="2"/>
          <w:numId w:val="1"/>
        </w:numPr>
        <w:rPr/>
      </w:pPr>
      <w:bookmarkStart w:id="105" w:name="__RefHeading___Toc4284103_73709187"/>
      <w:bookmarkStart w:id="106" w:name="_Toc35"/>
      <w:bookmarkEnd w:id="105"/>
      <w:r>
        <w:rPr>
          <w:rtl w:val="true"/>
        </w:rPr>
        <w:t>ما روي عن عبد اللّٰه بن ميمون الإمامى في الجوامع الحديثية</w:t>
      </w:r>
      <w:bookmarkEnd w:id="106"/>
    </w:p>
    <w:p>
      <w:pPr>
        <w:pStyle w:val="BookText"/>
        <w:rPr/>
      </w:pPr>
      <w:r>
        <w:rPr>
          <w:rFonts w:ascii="Amiri" w:hAnsi="Amiri" w:eastAsia="Amiri" w:cs="Amiri"/>
          <w:color w:val="111111"/>
          <w:sz w:val="28"/>
          <w:sz w:val="28"/>
          <w:szCs w:val="28"/>
          <w:rtl w:val="true"/>
          <w:lang w:bidi="ar-SA"/>
        </w:rPr>
        <w:t xml:space="preserve">إنّ لعبد اللّٰه بن ميمون بن الأسود المخزومي روايات في مختلف الأبواب قد نقلها أصحاب الكتب الأربعة في جوامعهم و هي تناهز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و ليس في رواياته أيّ شذوذ إلّا في رواية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التمعّن فيها يوقف الإنسان على أنّه كان فقيهاً متقناً في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إليك ما وقفنا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عبد اللّٰه بن ميمون، عن الصادق جعفر بن محمد، عن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رجل من الأنصار إلى النبي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أُحب أن تشهد لي على نحل نحلتها ابني،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ولد سواه؟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فنحلتها كما نحلته؟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فانّا معاشر الأنبياء لا نشهد على الجنف</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عبد اللّٰه بن ميمون، عن أبي عبد اللّٰه، عن أبيه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أصحاب رسول اللّٰه صلّى اللّٰه عليه و آله و سلّم بتبوك يعبّون الماء، 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اشربوا في أيديكم، فإنّها من خير آنيتكم</w:t>
      </w:r>
      <w:r>
        <w:rPr>
          <w:rFonts w:eastAsia="Amiri" w:cs="Amiri" w:ascii="Amiri" w:hAnsi="Amiri"/>
          <w:color w:val="111111"/>
          <w:sz w:val="28"/>
          <w:szCs w:val="28"/>
          <w:rtl w:val="true"/>
          <w:lang w:bidi="ar-SA"/>
        </w:rPr>
        <w:t>».</w:t>
      </w:r>
      <w:r>
        <w:rPr>
          <w:rStyle w:val="FootnoteAnchor"/>
          <w:rtl w:val="true"/>
        </w:rPr>
        <w:footnoteReference w:id="61"/>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عبد اللّٰه بن ميمون، عن جعفر بن محمد، عن أبيه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الركعتان يصلّيهما متزوّج أفضل من سبعين ركعة يصليها أعزب</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عبد اللّٰه بن ميمون، عن جعفر بن محمد، عن أبيه عن آبائه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الصبي و الصبي، و الصبي و الصبية، و الصبية و الصبية يفرق بينهم في المضاجع لعشر سنين</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عبد اللّٰه بن ميمون، عن أبي عبد اللّٰه عليه السّلام عن أبيه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أُتي أمير المؤمنين عليه السّلام برجل قد ضرب رجلاً حتى انتقص من بصره، فدعا برجال من أسنانه ثمّ أراهم شيئاً، فنظر ما انتقص من بصره، فأعطاه دية ما انتقص من بصره</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اللّٰه بن ميمون، عن جعفر، عن أبيه عليه السّلام انّ النبي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الرزق أسرع إلى من يطعم الطعام من السكين في السنام</w:t>
      </w:r>
      <w:r>
        <w:rPr>
          <w:rFonts w:eastAsia="Amiri" w:cs="Amiri" w:ascii="Amiri" w:hAnsi="Amiri"/>
          <w:color w:val="111111"/>
          <w:sz w:val="28"/>
          <w:szCs w:val="28"/>
          <w:rtl w:val="true"/>
          <w:lang w:bidi="ar-SA"/>
        </w:rPr>
        <w:t>».</w:t>
      </w:r>
      <w:r>
        <w:rPr>
          <w:rStyle w:val="FootnoteAnchor"/>
          <w:rtl w:val="true"/>
        </w:rPr>
        <w:footnoteReference w:id="65"/>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أحمد بن إسحاق بن سعد، عن عبد اللّٰه بن ميمون، عن الصادق جعفر بن محمد، عن أبيه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الفضل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أُهدي إلى رسول اللّٰه صلّى اللّٰه عليه و آله و سلّم بغلة أهداها له كسرى أو قيصر، فركبها النبي صلّى اللّٰه عليه و آله و سلّم بجلّ من شعر و أردفني خلفه،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احفظ اللّٰه يحفظك، و احفظ اللّٰه تجده أمامك، تعرّف إلى اللّٰه عزّ و جلّ في الرخاء يعرفك في الشدة، إذا سألت فاسأل اللّٰه، و إذا استعنت فاستعن باللّٰه عزّ و جلّ، فقد مضى القلم بما هو كائن، فلو جهد الناس أن ينفعوك بأمرٍ لم يكتبه اللّٰه لك لم يقدروا عليه، و لو جهدوا أن يضروك بأمرٍ لم يكتبه اللّٰه عليك لم يقدروا عليه، فإن استطعت أن تعمل بالصبر مع اليقين فافعل، فإن لم تستطع، فاصبر، فإنّ في الصبر على ما تكره خيراً كثيراً، و اعلم أنّ الصبر مع النصر، و أنّ الفرج مع الكرب، و أنّ مع العسر يسراً، انّ مع العسر يسراً</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حاتم، عن محمد بن جعفر، عن محمد بن عمرو، عن علي بن محمد، عن جعفر بن محمد، عن عبد اللّٰه بن ميمون، عن جعفر بن محمد، عن أبيه محمد، عن علي بن الحسين، عن أمير المؤمنين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إنّك أعلنت سبيلاً من سبلك فجعلت فيه رضاك، و ندبت إليه أولياءك و جعلته أشرف سبلك عندك ثواباً، و أكرمهم لديك مآباً و أحبها إليك مسلكاً، ثمّ اشتريت فيه من المؤمنين أنفسهم و أموالهم بأنّ لهم الجنة يقاتلون في سبيلك فيقتلون و يُقتلون وعداً عليك حقّاً، فاجعلني ممّن اشترى فيه منك نفسه، ثمّ وفى لك ببيعه الذي بايعك عليه، غير ناكث، و لا ناقض عهداً، و لا مبدل تبديلاً، إلّا استنجازاً لموعودك، و استيجاباً لمحبتك، و تقرباً به إليك، فصلّ علىٰ محمد و آله و اجعله خاتمة عملي، و ارزقني فيه لك و بك مشهداً توجب لي به الرضا، و تحط عني به الخطايا، اجعلني في الأحياء المرزوقين بأيدي العداة العصاة تحت لواء الحق و راية الهدىٰ، ماض على نصرتهم قدماً غير مولٍّ دبراً، و لا محدث شكاً، و أعوذ بك عند ذلك من الذنب المحبط للأعمال</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الحسن بن علي، عن جعفر بن محمد، عن عبد اللّٰه بن ميمون، عن جعفر، عن أبيه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 اللّٰه عليه و آله و سلّم إذا خرج إلى الجمعة قعد على المنبر حتى يفرغ المؤذنون</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علي بن محبوب، عن الحسن بن علي، عن جعفر بن محمد، عن عبد اللّٰه بن ميمون، عن جعفر، عن أبيه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المقام لازقاً بالبيت فحوله عمر</w:t>
      </w:r>
      <w:r>
        <w:rPr>
          <w:rFonts w:eastAsia="Amiri" w:cs="Amiri" w:ascii="Amiri" w:hAnsi="Amiri"/>
          <w:color w:val="111111"/>
          <w:sz w:val="28"/>
          <w:szCs w:val="28"/>
          <w:rtl w:val="true"/>
          <w:lang w:bidi="ar-SA"/>
        </w:rPr>
        <w:t>».</w:t>
      </w:r>
      <w:r>
        <w:rPr>
          <w:rStyle w:val="FootnoteAnchor"/>
          <w:rtl w:val="true"/>
        </w:rPr>
        <w:footnoteReference w:id="69"/>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علي الكرخي، عن جعفر بن محمد، عن عبد اللّٰه بن ميمون، </w:t>
      </w:r>
    </w:p>
    <w:p>
      <w:pPr>
        <w:pStyle w:val="BookText"/>
        <w:rPr/>
      </w:pPr>
      <w:r>
        <w:rPr>
          <w:rFonts w:ascii="Amiri" w:hAnsi="Amiri" w:eastAsia="Amiri" w:cs="Amiri"/>
          <w:color w:val="111111"/>
          <w:sz w:val="28"/>
          <w:sz w:val="28"/>
          <w:szCs w:val="28"/>
          <w:rtl w:val="true"/>
          <w:lang w:bidi="ar-SA"/>
        </w:rPr>
        <w:t>عن جعفر، عن أبيه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النبي صلّى اللّٰه عليه و آله و سلّم يستهدي من ماء زمزم و هو بالمدينة</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جعفر بن محمد الأشعري، عن عبد اللّٰه بن ميمون،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أمير المؤمنين صلوات اللّٰه عليه المسجد، فإذا هو برجل على باب المسجد، كئيب حزين، فقال له أمير المؤمنين عليه السّلام ما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أُصبت بأبي و أُمي و أخي و أخشى أن أكون قد وجلت، فقال له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بتقوى اللّٰه و الصبر تقدم عليه غداً؛ و الصبر في الأُمور بمنزلة الرأس من الجسد، فإذا فارق الرأس الجسد فسد الجسد و إذا فارق الصبر الأُمور فسدت الأُمور</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حماد، عن عبد اللّٰه بن ميمون، عن أبي عبد اللّٰه، عن أبيه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زكاة الفطرة صاع من تمر، أو صاع من زبيب، أو صاع من شعير، أو صاع من إقط عن كلّ إنسان حرّ أو عبد، صغير أو كبير، و ليس على من لا يجد ما يتصدق به حرج</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حماد بن عيسى، عن عبد اللّٰه بن ميمون، عن أبي عبد اللّٰه عليه السّلام أنّ علياً صلوات اللّٰه عليه كان يقول إذا أصبح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 اللّٰه الملك القدُّوس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من زوال نعمتك، و من تحويل عافيتك، و من فجأة نقمتك، و من درك الشقاء، و من شرّ ما سبق في الليل، اللّهمّ إنّي أسألك بعزّة ملكك، و شدّة قوّتك، و بعظيم سلطانك، و بقدرتك على خلقك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سل حاجتك</w:t>
      </w:r>
      <w:r>
        <w:rPr>
          <w:rFonts w:eastAsia="Amiri" w:cs="Amiri" w:ascii="Amiri" w:hAnsi="Amiri"/>
          <w:color w:val="111111"/>
          <w:sz w:val="28"/>
          <w:szCs w:val="28"/>
          <w:rtl w:val="true"/>
          <w:lang w:bidi="ar-SA"/>
        </w:rPr>
        <w:t>.</w:t>
      </w:r>
      <w:r>
        <w:rPr>
          <w:rStyle w:val="FootnoteAnchor"/>
          <w:rtl w:val="true"/>
        </w:rPr>
        <w:footnoteReference w:id="73"/>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حماد بن عيسى، عن عبد اللّٰه بن ميمون، عن جعفر، عن أبيه عليهما السّلام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المحرمة لا تتنقّب، لأنّ إحرام المرأة في وجهها، و إحرام الرجل في رأسه</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أحمد بن محمد، عن الحسين بن سعيد، عن حماد بن عيسى، عن عبد اللّٰه بن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 آله و سلّم وقف بعرفات، فلمّا همّت الشمس أن تغيب قبل أن تندفع،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من الفقر، و من تشتّت الأمر، و من شر ما يحدث بالليل و النهار، أمسى ظلمي مستجيراً بعفوك، و أمسى خوفي مستجيراً بأمانك، و أمسى ذلّي مستجيراً بعزِّك، و أمسى وجهي الفاني مستجيراً بوجهك الباقي، يا خير من سئل، و يا أجود من أعطىٰ جلّلني برحمتك، و ألبسني عافيتك، و اصرف عني شرّ جميع خلقك</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حماد بن عيسى، عن عبد اللّٰه بن ميمون،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للعبد أن يستثني ما بينه و بين أربعين يوماً إذا نسي، انّ رسول اللّٰه صلّى اللّٰه عليه و آله و سلّم أتاه ناس من اليهود فسألوه عن أشياء،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غداً أُحدّثكم و لم يستثن، فاحتبس جبرئيل عليه السّلام عنه أربعين يوماً ثمّ أتاه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تَقُولَنَّ لِشَيْ‌ءٍ إِنِّي فٰاعِلٌ ذٰلِكَ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يَشٰاءَ اَللّٰهُ وَ اُذْكُرْ رَبَّكَ إِذٰا نَسِيتَ</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r>
        <w:rPr>
          <w:rStyle w:val="FootnoteAnchor"/>
          <w:rtl w:val="true"/>
        </w:rPr>
        <w:footnoteReference w:id="77"/>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حماد بن عيسى، عن عبد اللّٰه بن ميمون، عن أبي عبد اللّٰه، عن أبيه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لا يفطرن الصائم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القيء و الاحتلام و الحجامة، و قد احتجم النبي صلّى اللّٰه عليه و آله و سلّم و هو صائم، و كان لا يرى بأساً بالكحل للصائم</w:t>
      </w:r>
      <w:r>
        <w:rPr>
          <w:rFonts w:eastAsia="Amiri" w:cs="Amiri" w:ascii="Amiri" w:hAnsi="Amiri"/>
          <w:color w:val="111111"/>
          <w:sz w:val="28"/>
          <w:szCs w:val="28"/>
          <w:rtl w:val="true"/>
          <w:lang w:bidi="ar-SA"/>
        </w:rPr>
        <w:t>».</w:t>
      </w:r>
      <w:r>
        <w:rPr>
          <w:rStyle w:val="FootnoteAnchor"/>
          <w:rtl w:val="true"/>
        </w:rPr>
        <w:footnoteReference w:id="78"/>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حماد بن عيسى، عن عبد اللّٰه بن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للعبد أن يستثني ما بينه و بين أربعين يوماً إذا نسي</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أحمد بن محمد، عن أبيه، عن عبد اللّٰه بن ميمون،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أمير المؤمنين صلوات اللّٰه عليه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من الاحتلام، و من سوء الأحلام، و أن يلعب بي الشيطان في اليقظة و المنام</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الحسن بن فضال، عن محمد بن الحسن بن الجهم، عن عبد اللّٰه بن ميمون، عن أبي عبد اللّٰه، عن أبيه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 الرجل المرأة فهو أحقّ بها ما لم تغتسل من الثالثة</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عبد اللّٰه بن ميمون باسناده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ضللتم الطريق فتيامنوا</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أحمد بن يحيى، عن جعفر بن محمد، عن عبد اللّٰه بن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علي عليه السّلام بأسير يوم صفين فبايعه، فقال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أقتلك انّي أخاف اللّٰه ربّ العالمين، فخلّى سبيله، و أعطى سلبه الذي جاء به</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فضال، عن عبد اللّٰه بن ميمون القدّاح،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الجنة على الديّوث</w:t>
      </w:r>
      <w:r>
        <w:rPr>
          <w:rFonts w:eastAsia="Amiri" w:cs="Amiri" w:ascii="Amiri" w:hAnsi="Amiri"/>
          <w:color w:val="111111"/>
          <w:sz w:val="28"/>
          <w:szCs w:val="28"/>
          <w:rtl w:val="true"/>
          <w:lang w:bidi="ar-SA"/>
        </w:rPr>
        <w:t>».</w:t>
      </w:r>
      <w:r>
        <w:rPr>
          <w:rStyle w:val="FootnoteAnchor"/>
          <w:rtl w:val="true"/>
        </w:rPr>
        <w:footnoteReference w:id="84"/>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أحمد بن محمد، عن ابن فضال، عن عبد اللّٰه بن ميمون القدّاح،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يعقوب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لا تزن، فإنّ الطائر لو زنا لتناثر ريشه</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سهل بن زياد، عن جعفر بن محمد الأشعري، عن ابن القدّاح،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النبي صلّى اللّٰه عليه و آله و سلّم إذا شرب اللبن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لنا فيه و زدنا منه</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جعفر بن محمد، عن عبد اللّٰه بن ميمون القدّاح، عن جعفر، عن أبيه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النبي صلّى اللّٰه عليه و آله و سلّم تعاهدوا نعالكم عند أبواب مساجدكم، و نهى أن يتنعل الرجل و هو قائم</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جعفر بن محمد، عن عبد اللّٰه بن ميمون القدّاح، عن جعفر، عن أبيه، عن آبائه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انكسفت الشمس في زمن رسول اللّٰه صلّى اللّٰه عليه و آله و سلّم فصلّى بالناس ركعتين، فطوّل حتى غشي على بعض القوم ممّن كان وراءه من طول القيام</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جعفر بن محمد، عن عبد اللّٰه بن ميمون القدّاح، عن جعفر، عن أبيه عليهما السّلام أنّ علياً عليه السّلام كان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فاته صيام الثلاثة أيام في الحج، و هي قبل التروية بيوم و يوم التروية و يوم عرفة فليصم أيام التشريق، فقد أذن له</w:t>
      </w:r>
      <w:r>
        <w:rPr>
          <w:rFonts w:eastAsia="Amiri" w:cs="Amiri" w:ascii="Amiri" w:hAnsi="Amiri"/>
          <w:color w:val="111111"/>
          <w:sz w:val="28"/>
          <w:szCs w:val="28"/>
          <w:rtl w:val="true"/>
          <w:lang w:bidi="ar-SA"/>
        </w:rPr>
        <w:t>».</w:t>
      </w:r>
      <w:r>
        <w:rPr>
          <w:rStyle w:val="FootnoteAnchor"/>
          <w:rtl w:val="true"/>
        </w:rPr>
        <w:footnoteReference w:id="89"/>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جعفر بن محمد الأشعري، عن عبد اللّٰه بن ميمون القدّاح؛ و علي ابن إبراهيم، عن أبيه، عن حمّاد بن عيسى، عن القدّاح،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سلك طريقاً يطلب فيه علماً سلك اللّٰه به طريقاً إلى الجنة، و انّ الملائكة لتضع أجنحتها لطالب العلم رضاً به، و انّه يستغفر لطالب العلم مَنْ في السماء و من في الأرض حتى الحوت في البحر، و فضل العالم على العابد كفضل القمر على سائر النجوم ليلة البدر، و إنّ العلماء ورثة الأنبياء، إنّ الأنبياء لم يورّثوا ديناراً و لا درهماً و لكن ورّثوا العلم، فمن أخذ منه أخذ بحظ وافر</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جعفر بن محمد الأشعري، عن عبد اللّٰه بن ميمون القدّاح،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العلم عليه قفل و مفتاحه المسألة</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جعفر بن محمد الأشعري، عن عبد اللّٰه بن ميمون القدّاح، عن أبي عبد اللّٰه عليه السّلام عن آبائه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رجل إلى 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العلم؟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الانصات،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الاستماع،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مه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نشره</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جعفر بن محمد الأشعري، عن عبد اللّٰه بن ميمون القداح،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أمير المؤمنين صلوات اللّٰه عليه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العبادة العفاف</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جعفر بن محمد الأشعري، عن عبد اللّٰه بن ميمون القدّاح،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مألوف و لا خير فيمن لا يألف و لا يؤلف</w:t>
      </w:r>
      <w:r>
        <w:rPr>
          <w:rFonts w:eastAsia="Amiri" w:cs="Amiri" w:ascii="Amiri" w:hAnsi="Amiri"/>
          <w:color w:val="111111"/>
          <w:sz w:val="28"/>
          <w:szCs w:val="28"/>
          <w:rtl w:val="true"/>
          <w:lang w:bidi="ar-SA"/>
        </w:rPr>
        <w:t>».</w:t>
      </w:r>
      <w:r>
        <w:rPr>
          <w:rStyle w:val="FootnoteAnchor"/>
          <w:rtl w:val="true"/>
        </w:rPr>
        <w:footnoteReference w:id="94"/>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جعفر بن محمد الأشعري، عن عبد اللّٰه بن ميمون القدّاح،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أطعم مؤمناً حتّى يشبعه لم يدر أحدٌ من خلق اللّٰه ماله من الأجر في الآخرة، لا ملك مقرب و لا نبي مرسل إلّا اللّٰه ربّ العالمين،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موجبات المغفرة إطعام المسلم السغبان، ثمّ تلا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إِطْعٰامٌ فِي يَوْمٍ ذِي مَسْغَبَةٍ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يَتِيماً ذٰا مَقْرَبَةٍ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مِسْكِيناً ذٰا مَتْرَبَةٍ</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r>
        <w:rPr>
          <w:rStyle w:val="FootnoteAnchor"/>
          <w:rtl w:val="true"/>
        </w:rPr>
        <w:footnoteReference w:id="96"/>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جعفر بن محمد الأشعري، عن عبد اللّٰه بن ميمون القدّاح،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ركعتان بالسواك أفضل من سبعين ركعة بغير سواك،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أشقّ على أُمتي لأمرتهم بالسواك مع كلّ صلاة</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جعفر بن محمد الأشعري، عن عبد اللّٰه بن ميمون القدّاح،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أمير المؤمنين عليه السّلام إذا حضر أحداً من أهل بيته الموت،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العلي العظيم، سبحان اللّٰه ربّ السماوات السبع و ربّ الأرضين السبع و ما بينهما و ربّ العرش العظيم، و الحمد للّٰه ربّ العالمين فإذا قالها المريض،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فليس عليك بأس</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جعفر بن محمد الأشعري، عن عبد اللّٰه بن ميمون القدّاح، عن أبي عبد اللّٰه، عن آبائه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صنائع المعروف تقي مصارع السوء</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جعفر بن محمد الأشعري، عن عبد اللّٰه بن ميمون القدّاح، عن جعفر، عن أبيه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صلوات اللّٰه عليه قال لرجل كبير لم يحجّ قطّ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شئت أن تجهّز رجلاً، ثمّ أبعثه أن يحجّ عنك</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جعفر بن محمد الأشعري عن عبد اللّٰه بن ميمون القدّاح، عن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كان لا يرى بأساً بعقد الثوب إذا قصر، ثمّ يصلّى فيه و إن كان محرماً</w:t>
      </w:r>
      <w:r>
        <w:rPr>
          <w:rFonts w:eastAsia="Amiri" w:cs="Amiri" w:ascii="Amiri" w:hAnsi="Amiri"/>
          <w:color w:val="111111"/>
          <w:sz w:val="28"/>
          <w:szCs w:val="28"/>
          <w:rtl w:val="true"/>
          <w:lang w:bidi="ar-SA"/>
        </w:rPr>
        <w:t>.</w:t>
      </w:r>
      <w:r>
        <w:rPr>
          <w:rStyle w:val="FootnoteAnchor"/>
          <w:rtl w:val="true"/>
        </w:rPr>
        <w:footnoteReference w:id="101"/>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جعفر بن محمد الأشعري، عن عبد اللّٰه بن ميمون القدّاح، عن أبي عبد اللّٰه عن آبائه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النبي صلّى اللّٰه عليه و آله و سلّم ما استفاد امرؤ مسلم فائدة بعد </w:t>
      </w:r>
    </w:p>
    <w:p>
      <w:pPr>
        <w:pStyle w:val="BookText"/>
        <w:rPr/>
      </w:pPr>
      <w:r>
        <w:rPr>
          <w:rFonts w:ascii="Amiri" w:hAnsi="Amiri" w:eastAsia="Amiri" w:cs="Amiri"/>
          <w:color w:val="111111"/>
          <w:sz w:val="28"/>
          <w:sz w:val="28"/>
          <w:szCs w:val="28"/>
          <w:rtl w:val="true"/>
          <w:lang w:bidi="ar-SA"/>
        </w:rPr>
        <w:t>الإسلام أفضل من زوجة مسلمة تسرّه إذا نظر إليها، و تطيعه إذا أمرها، و تحفظه إذا غاب عنها في نفسها و ماله</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جعفر بن محمد الأشعري، عن عبد اللّٰه بن ميمون القدّاح،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الحسين عليهما السّلام كان يتزوّج و هو يتعرق عرقاً يأكل ما يزيد علىٰ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و صلّى اللّٰه على محمد و آله، و يستغفر اللّٰه عزّ و جلّ، و قد زوّجناك علىٰ شرط اللّٰه، ثمّ قال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حمد اللّٰه فقد خطب</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جعفر بن محمد الأشعري، عن عبد اللّٰه بن ميمون القدّاح، عن أبي عبد اللّٰه، عن أبيه، عن آبائه عليهم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بالمدينة رجلان يسمّىٰ أحدهما هيت و الآخر مانع، فقالا لرجل و رسول اللّٰه صلّى اللّٰه عليه و آله و سلّم يسمع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افتتحتم الطائف إن شاء اللّٰه فعليك بابنة غيلان الثقفية، فإنّها شموع بخلاء مبتلة هيفاء شنباء، إذا جلست تثنّت، و إذا تكلّمت غنت، تقبل بأربع و تدبر بثمان بين رجليها مثل القدح، فقال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أريكما من أُولي الاربة من الرجال، فأمر بهما رسول اللّٰه صلّى اللّٰه عليه و آله و سلّم فغرّب بهما إلى مكان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العرايا، و كانا يتسوّفان في كلّ جمعة</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جعفر بن محمد الأشعري، عن عبد اللّٰه بن ميمون القدّاح، عن أبي عبد اللّٰه، عن أبيه عليهما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للزاني ست خصال، ثلاث في الدنيا و ثلاث في الآخرة، أمّا التي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فيذهب بنور الوجه، و يورث الفقر، و يعجّل الفناء؛ و أمّا التي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فسخط الرب، و سوء الحساب، و الخلود في النار</w:t>
      </w:r>
      <w:r>
        <w:rPr>
          <w:rFonts w:eastAsia="Amiri" w:cs="Amiri" w:ascii="Amiri" w:hAnsi="Amiri"/>
          <w:color w:val="111111"/>
          <w:sz w:val="28"/>
          <w:szCs w:val="28"/>
          <w:rtl w:val="true"/>
          <w:lang w:bidi="ar-SA"/>
        </w:rPr>
        <w:t>».</w:t>
      </w:r>
      <w:r>
        <w:rPr>
          <w:rStyle w:val="FootnoteAnchor"/>
          <w:rtl w:val="true"/>
        </w:rPr>
        <w:footnoteReference w:id="105"/>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الحسن بن عليّ، عن عبد اللّٰه بن ميمون القدّاح،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كهف الإجابة، كما أنّ السحاب كهف المطر</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الحسن بن علي، عن عبد اللّٰه بن ميمون القدّاح، عن جعفر بن محمد، عن أبيه، عن علي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سجدتا السهو بعد التسليم و قبل الكلام</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اللّٰه بن المغيرة، عن عبد اللّٰه بن ميمون القدّاح، عن أبي عبد اللّٰه، عن آبائه، عن علي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إذا خرج من الخلاء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رزقني لذّته، و أبقى قوته في جسدي، و أخرج عني أذاه يا لها من نعمة</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الحسن بن أبي الجهم، عن عبد اللّٰه بن ميمون القدّاح، عن أبي عبد اللّٰه، عن أبيه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قنبر مولى علي عليه السّلام بفطرة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بجراب فيه سويق عليه خاتم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هذا لهو البخل تختم على طعامك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ذلك؟ لا أحب أن يدخل بطني شيء إلّا شيء أعرف سبيله،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كسر الخاتم، فأخرج منه سويقاً، فجعل منه في قدح فأعطاه إياه، فأخذ القدح فلمّا أراد أن يشرب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اللّهمّ لك صمنا، و على رزقك أفطرنا، فتقبّل منّا إنّك أنت السميع العليم</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جعفر بن محمد الأشعري، عن عبد اللّٰه بن ميمون القدّاح، عن أبي عبيدة الحذّاء،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أعجل الخير ثواباً صلة الرحم</w:t>
      </w:r>
      <w:r>
        <w:rPr>
          <w:rFonts w:eastAsia="Amiri" w:cs="Amiri" w:ascii="Amiri" w:hAnsi="Amiri"/>
          <w:color w:val="111111"/>
          <w:sz w:val="28"/>
          <w:szCs w:val="28"/>
          <w:rtl w:val="true"/>
          <w:lang w:bidi="ar-SA"/>
        </w:rPr>
        <w:t>».</w:t>
      </w:r>
      <w:r>
        <w:rPr>
          <w:rStyle w:val="FootnoteAnchor"/>
          <w:rtl w:val="true"/>
        </w:rPr>
        <w:footnoteReference w:id="110"/>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حامل تلك الدرر اللامعة و راويها، أجلّ من أن يكون موصوفاً بما وصف به عبد اللّٰه بن ميمون الإسماعيلي في كتب الملل و النحل أو في سائر المعاجم</w:t>
      </w:r>
      <w:r>
        <w:rPr>
          <w:rFonts w:eastAsia="Amiri" w:cs="Amiri" w:ascii="Amiri" w:hAnsi="Amiri"/>
          <w:color w:val="111111"/>
          <w:sz w:val="28"/>
          <w:szCs w:val="28"/>
          <w:rtl w:val="true"/>
          <w:lang w:bidi="ar-SA"/>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7" w:name="pg11557_101234"/>
      <w:bookmarkStart w:id="108" w:name="pg11557_101234"/>
      <w:bookmarkEnd w:id="108"/>
    </w:p>
    <w:p>
      <w:pPr>
        <w:pStyle w:val="Heading2"/>
        <w:numPr>
          <w:ilvl w:val="1"/>
          <w:numId w:val="1"/>
        </w:numPr>
        <w:rPr/>
      </w:pPr>
      <w:bookmarkStart w:id="109" w:name="pg11557_101234"/>
      <w:bookmarkStart w:id="110" w:name="__RefHeading___Toc4284105_73709187"/>
      <w:bookmarkStart w:id="111" w:name="_Toc36"/>
      <w:bookmarkEnd w:id="109"/>
      <w:bookmarkEnd w:id="110"/>
      <w:r>
        <w:rPr>
          <w:rtl w:val="true"/>
        </w:rPr>
        <w:t>الفصل الخامس</w:t>
      </w:r>
      <w:r>
        <w:rPr>
          <w:rtl w:val="true"/>
        </w:rPr>
        <w:t xml:space="preserve">: </w:t>
      </w:r>
      <w:r>
        <w:rPr>
          <w:rtl w:val="true"/>
        </w:rPr>
        <w:t>في الأئمة المستورين</w:t>
      </w:r>
      <w:bookmarkEnd w:id="111"/>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2" w:name="__RefHeading___Toc4284107_73709187"/>
      <w:bookmarkStart w:id="113" w:name="_Toc37"/>
      <w:bookmarkEnd w:id="112"/>
      <w:r>
        <w:rPr>
          <w:rtl w:val="true"/>
        </w:rPr>
        <w:t>اشارة</w:t>
      </w:r>
      <w:bookmarkEnd w:id="113"/>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يرجع نشوء الإسماعيلية و تكوّنهم، إلى القول بإمامة إسماعيل بن جعفر الصادق عليه السّلام و استمرارها في عقبه، فهو الإمام الأوّل، و قد تلته أئمّة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جعفر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إسماعيل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عبد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عبيد اللّٰه المهدي بن الحسين، مؤسس الدولة الفاطمية في المغرب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القائم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محمد المنصور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معد بن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نزار بن معد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نزار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معد بن علي المستنصر</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هؤلاء هم الأئمّة المتّفق عليهم بين الفرق الإسماعيلية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المستعلية، و النزارية المؤمنية، و النزارية القاسمية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الآغاخانية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اختلفوا إلى فرقتين، فذهبت المستعلية إلى أنّ الإمام القائم بالأمر بعد المستنصر عبارة عن كلّ 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المستعلي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الآمر بأحكام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الطيّب بن الآمر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جاء دور الستر فلا إمام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النزارية بكلا فريقيها قالوا باستمرار الإمامة بعد المستنصر،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القائم بالأمر عبارة عن كلِّ 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نزار بن معد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حسن بن معد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علاء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محمود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ركن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محمود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افترقت النزارية إلى فرقتين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النزارية المؤمنية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النزارية القاسمية الآغاخانية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ساقوا الإمامة بعد شمس الدين، بشكل خاص لا يلتقيان أبداً إلى العصر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ستوافيك أسماؤهم</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سنقوم بترجمة الأئمّة المتّفق عليهم بين جميع الفرق، الذين لا يتجاوز عددهم ثلاثة عشر إماماً آخرهم المستنصر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عقدنا لبيانه فصلين مستقلين، أحدهما في الأئمّة المستورين، و الثاني في المتظاهرين بالإمامة</w:t>
      </w:r>
      <w:r>
        <w:rPr>
          <w:rFonts w:eastAsia="Amiri" w:cs="Amiri" w:ascii="Amiri" w:hAnsi="Amiri"/>
          <w:color w:val="111111"/>
          <w:sz w:val="28"/>
          <w:szCs w:val="28"/>
          <w:rtl w:val="true"/>
          <w:lang w:bidi="ar-SA"/>
        </w:rPr>
        <w:t xml:space="preserve">. </w:t>
      </w:r>
      <w:bookmarkStart w:id="114" w:name="pg11557_101238"/>
    </w:p>
    <w:p>
      <w:pPr>
        <w:pStyle w:val="Heading3"/>
        <w:numPr>
          <w:ilvl w:val="2"/>
          <w:numId w:val="1"/>
        </w:numPr>
        <w:rPr/>
      </w:pPr>
      <w:bookmarkStart w:id="115" w:name="__RefHeading___Toc4284109_73709187"/>
      <w:bookmarkStart w:id="116" w:name="_Toc38"/>
      <w:bookmarkEnd w:id="114"/>
      <w:bookmarkEnd w:id="115"/>
      <w:r>
        <w:rPr>
          <w:rtl w:val="true"/>
        </w:rPr>
        <w:t>الإمام الأوّل</w:t>
      </w:r>
      <w:r>
        <w:rPr>
          <w:rtl w:val="true"/>
        </w:rPr>
        <w:t xml:space="preserve">: </w:t>
      </w:r>
      <w:r>
        <w:rPr>
          <w:rtl w:val="true"/>
        </w:rPr>
        <w:t xml:space="preserve">إسماعيل بن جعفر الصادق </w:t>
      </w:r>
      <w:r>
        <w:rPr>
          <w:rtl w:val="true"/>
        </w:rPr>
        <w:t>(</w:t>
      </w:r>
      <w:r>
        <w:rPr/>
        <w:t>110</w:t>
      </w:r>
      <w:r>
        <w:rPr>
          <w:rtl w:val="true"/>
        </w:rPr>
        <w:t>-</w:t>
      </w:r>
      <w:r>
        <w:rPr/>
        <w:t>145</w:t>
      </w:r>
      <w:r>
        <w:rPr>
          <w:rtl w:val="true"/>
        </w:rPr>
        <w:t xml:space="preserve"> </w:t>
      </w:r>
      <w:r>
        <w:rPr>
          <w:rtl w:val="true"/>
        </w:rPr>
        <w:t>ه</w:t>
      </w:r>
      <w:r>
        <w:rPr>
          <w:rtl w:val="true"/>
        </w:rPr>
        <w:t>)</w:t>
      </w:r>
      <w:bookmarkEnd w:id="116"/>
    </w:p>
    <w:p>
      <w:pPr>
        <w:pStyle w:val="Heading4"/>
        <w:numPr>
          <w:ilvl w:val="3"/>
          <w:numId w:val="1"/>
        </w:numPr>
        <w:rPr/>
      </w:pPr>
      <w:bookmarkStart w:id="117" w:name="__RefHeading___Toc4284111_73709187"/>
      <w:bookmarkStart w:id="118" w:name="_Toc39"/>
      <w:bookmarkEnd w:id="117"/>
      <w:r>
        <w:rPr>
          <w:rtl w:val="true"/>
        </w:rPr>
        <w:t>اشارة</w:t>
      </w:r>
      <w:bookmarkEnd w:id="118"/>
    </w:p>
    <w:p>
      <w:pPr>
        <w:pStyle w:val="BookText"/>
        <w:rPr/>
      </w:pPr>
      <w:r>
        <w:rPr>
          <w:rFonts w:ascii="IRNazanin" w:hAnsi="IRNazanin" w:eastAsia="IRNazanin"/>
          <w:color w:val="111111"/>
          <w:sz w:val="28"/>
          <w:sz w:val="28"/>
          <w:szCs w:val="28"/>
          <w:rtl w:val="true"/>
          <w:lang w:bidi="fa-IR"/>
        </w:rPr>
        <w:t>الإمام الأوّل</w:t>
      </w:r>
      <w:r>
        <w:rPr>
          <w:rStyle w:val="FootnoteAnchor"/>
          <w:rtl w:val="true"/>
        </w:rPr>
        <w:footnoteReference w:id="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جعفر الصادق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إسماعيل هو الإمام الأوّل و المؤسِّس للمذهب، فوالده الإمام الصادق عليه السّلام غنيّ عن التعريف، و فضله أشهر من أن يذكر، وُلِد الإمام الصادق عام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على قول و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 آخر و توفي عام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هو من عظماء أهل البيت عليهم السّلام و ساداتهم، ذو علوم جَمّة، و عبادة موفورة، و زهادة بيّنة، و تلاوة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فضائل و مآثر يقصر عنها القلمُ و البيان؛ و قد أنجب عليه السّلام عشرة أولاد، هم إسماعيل و يليه عبد اللّٰه، و موسى الكاظم، و إسحاق، و محمد، و العباس و علي، و أمّا الإناث، فأكبرهنّ أُمّ فروة، ثمّ أسماء، و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تزوج عليه السّلام فاطمة بنت الحسين بن علي بن الحسين، فأنجب منها إسماعيل و عبد اللّٰه و أُمّ فروة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إسماعيل أكبر الإخوة و كان أبو عبد اللّٰه عليه السّلام شديد المحبة له و البر به و الإشفاق عليه، مات في حياة أبيه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بالعريض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حمل على رقاب الرجال إلىٰ أبيه بالمدينة، حتى دفن بالبقيع</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لذلك كان من اللازم استعراض سيرته و سيرة بعض أولاده ممن كان لهم دور في نشوء هذه الفرقة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عنونه الشيخ في أصحاب رجال الصادق عليه السّلام و اقتصر على اسمه و اسم آبائه،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جعفر بن محمد بن علي بن الحسين بن علي بن أبي طالب الهاشمي، المدني</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و قال ابن عنبة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إسماعيل بن جعفر الصادق عليه السّلام و يكنى أبا محمد، و أُمّه فاطمة بنت الحسين الأثرم بن الحسن بن علي بن أبي طالب عليه السّلام و يعرف بإسماعيل الأعرج، و كان أكبر ولد أبيه، و أحبَّهم إليه، كان يحبُه حباً شديداً، و توفي في حياة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بالعريض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فحمل على رقاب الرجال إلى البقيع، فدفن به سنة ثلاث و ثلاثين و مائة، قبل وفاة الصادق عليه السّلام بعشرين سنة، كذا قال أبو القاسم ابن خداع نسّابة المصريين</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و قال ابن خلدون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قبل أبيه، و كان أبو جعفر المنصور طلبه، فشهد له عامل المدينة بأنّه مات</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توفي إسماعيل جزع أبو عبد اللّٰه عليه جزعاً شديداً، و حزن عليه حزناً عظيماً، و تقدّم سريرَه بغير حذاء و لا رداء، و أمر بوضع سريره على الأرض قبلَ دفنه مراراً، و كان يكشف عن وجهه و ينظر إليه</w:t>
      </w:r>
      <w:r>
        <w:rPr>
          <w:rFonts w:eastAsia="Amiri" w:cs="Amiri" w:ascii="Amiri" w:hAnsi="Amiri"/>
          <w:color w:val="111111"/>
          <w:sz w:val="28"/>
          <w:szCs w:val="28"/>
          <w:rtl w:val="true"/>
          <w:lang w:bidi="ar-SA"/>
        </w:rPr>
        <w:t>.</w:t>
      </w:r>
      <w:r>
        <w:rPr>
          <w:rStyle w:val="FootnoteAnchor"/>
          <w:rtl w:val="true"/>
        </w:rPr>
        <w:footnoteReference w:id="116"/>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نقف في حياة إسماعيل على شيء سوى ما نقله ابن أبي الحديد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القاسم بن محمد بن طلحة</w:t>
      </w:r>
      <w:r>
        <w:rPr>
          <w:rStyle w:val="FootnoteAnchor"/>
          <w:rtl w:val="true"/>
        </w:rPr>
        <w:footnoteReference w:id="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بعرة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 شرطة الكوفة، لعيسى </w:t>
      </w:r>
    </w:p>
    <w:p>
      <w:pPr>
        <w:pStyle w:val="BookText"/>
        <w:rPr/>
      </w:pPr>
      <w:r>
        <w:rPr>
          <w:rFonts w:ascii="Amiri" w:hAnsi="Amiri" w:eastAsia="Amiri" w:cs="Amiri"/>
          <w:color w:val="111111"/>
          <w:sz w:val="28"/>
          <w:sz w:val="28"/>
          <w:szCs w:val="28"/>
          <w:rtl w:val="true"/>
          <w:lang w:bidi="ar-SA"/>
        </w:rPr>
        <w:t xml:space="preserve">ابن موسى العباسي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 إسماعيل بن جعفر الصادق بكلام خرجا فيه إلى المنافرة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فضلنا و إحساننا سابغاً عليكم يا بني هاشم، و على بني عبد مناف كافة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فضل و إحسان أسديتموه إلى بني عبد 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أغضب أبوك جدي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ليموتن محمد و لنجولنّ بين خلاخيل نسائه، كما جال بين خلاخيل نسائنا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فأنزل اللّٰه تعالى مراغمة لأبيك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لَكُمْ أَنْ تُؤْذُوا رَسُولَ اَللّٰهِ وَ لاٰ أَنْ تَنْكِحُوا أَزْوٰاجَهُ مِنْ بَعْدِهِ أَبَداً</w:t>
      </w:r>
      <w:r>
        <w:rPr>
          <w:rFonts w:eastAsia="Amiri" w:cs="Amiri" w:ascii="Amiri" w:hAnsi="Amiri"/>
          <w:color w:val="111111"/>
          <w:sz w:val="28"/>
          <w:szCs w:val="28"/>
          <w:rtl w:val="true"/>
          <w:lang w:bidi="ar-SA"/>
        </w:rPr>
        <w:t>»</w:t>
      </w:r>
      <w:r>
        <w:rPr>
          <w:rStyle w:val="FootnoteAnchor"/>
          <w:rtl w:val="true"/>
        </w:rPr>
        <w:footnoteReference w:id="118"/>
      </w:r>
      <w:r>
        <w:rPr>
          <w:rFonts w:ascii="Amiri" w:hAnsi="Amiri" w:eastAsia="Amiri" w:cs="Amiri"/>
          <w:color w:val="111111"/>
          <w:sz w:val="28"/>
          <w:sz w:val="28"/>
          <w:szCs w:val="28"/>
          <w:rtl w:val="true"/>
          <w:lang w:bidi="ar-SA"/>
        </w:rPr>
        <w:t>و منع ابن عمك أُمّي من حقّها في فدك، و غيرها من ميراث أبيها، و أجلب أبوكَ على عثمان، و حصره حتى قُتِل، و نكثَ بيعة علىٍّ، و شام السيف في وجهه، و أفسد قلوبَ المسلمين عليه، فإن كان لبني عبد مناف قوم غير هؤلاء، أسديتم إليهم إحساناً، فعرّفني من هم، جعلت فداك؟</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و روى الكشي بسنده عن عنبسة العابد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جعفر بن محمد بباب الخليفة أبي جعفر بالحيرة، حين أُتي ببسّام، و إسماعيل بن جعفر بن محمد، فأُدخلا على أبي جعفر</w:t>
      </w:r>
      <w:r>
        <w:rPr>
          <w:rStyle w:val="FootnoteAnchor"/>
          <w:rtl w:val="true"/>
        </w:rPr>
        <w:footnoteReference w:id="120"/>
      </w:r>
      <w:r>
        <w:rPr>
          <w:rFonts w:ascii="Amiri" w:hAnsi="Amiri" w:eastAsia="Amiri" w:cs="Amiri"/>
          <w:color w:val="111111"/>
          <w:sz w:val="28"/>
          <w:sz w:val="28"/>
          <w:szCs w:val="28"/>
          <w:rtl w:val="true"/>
          <w:lang w:bidi="ar-SA"/>
        </w:rPr>
        <w:t>فأُخرج بسّام مقتولاً، و أُخرِج إسماعيل بن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جعفر رأسه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فعلتها يا فاسق، أبشر بالنار</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المنصور من باب خطاب الغائبين بما يقتضيه الحال</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الحديث يدل على أنّه وشي عليهما لدى المنصور فطلبهما، فقتل بسّاماً </w:t>
      </w:r>
      <w:bookmarkStart w:id="119" w:name="pg11557_101241"/>
    </w:p>
    <w:p>
      <w:pPr>
        <w:pStyle w:val="BookText"/>
        <w:rPr/>
      </w:pPr>
      <w:bookmarkEnd w:id="119"/>
      <w:r>
        <w:rPr>
          <w:rFonts w:ascii="Amiri" w:hAnsi="Amiri" w:eastAsia="Amiri" w:cs="Amiri"/>
          <w:color w:val="111111"/>
          <w:sz w:val="28"/>
          <w:sz w:val="28"/>
          <w:szCs w:val="28"/>
          <w:rtl w:val="true"/>
          <w:lang w:bidi="ar-SA"/>
        </w:rPr>
        <w:t>و أطلق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ثبتت براءته مما نسب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الكشي أيضاً في ترجمة عبد اللّٰه بن شريك العامري، عن أبي خديجة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سألت اللّٰه في إسماعيل أن يُبقيه بعدي فأبى، و لكنّه قد أعطاني فيه منزلة أُخرى، انّه يكون أوّل منشور في عشرة من أصحابه، و منهم عبد اللّٰه بن شريك و هو صاحب لوائه</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و الحديث يدل على انّ الإمام الصادق عليه السّلام كان يحبّه كثيراً، و لعلّ إسماعيل مرض، فدعا أبوه اللّٰه تعالى أن يشفيه و لكن اللّٰه قدّر موته، كما يدل على وثاقته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ممّا رواه الكشي في ترجمة المفضل بن مزيد، أخي شعيب الكاتب، أنّه كان مأموراً بدفع جوائز إلى بني هاشم، و كان أسماءُ أصحاب الجوائز مكتوباً في كتابٍ، ناولَ الكتابَ للإمام الصادق عليه السّلام فلما رآه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لإسماعيل هاهنا شيئاً، فأجاب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خرج إلينا</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و من راجع الكتب الحديثية يرىٰ أنّ هناك روايات يظهر منها جلالة منزلة إسماعيل، عند والده نذكر منها ما يلي</w:t>
      </w:r>
      <w:r>
        <w:rPr>
          <w:rFonts w:eastAsia="Amiri" w:cs="Amiri" w:ascii="Amiri" w:hAnsi="Amiri"/>
          <w:color w:val="111111"/>
          <w:sz w:val="28"/>
          <w:szCs w:val="28"/>
          <w:rtl w:val="true"/>
          <w:lang w:bidi="ar-SA"/>
        </w:rPr>
        <w:t>:</w:t>
      </w:r>
    </w:p>
    <w:p>
      <w:pPr>
        <w:pStyle w:val="Heading4"/>
        <w:numPr>
          <w:ilvl w:val="3"/>
          <w:numId w:val="1"/>
        </w:numPr>
        <w:rPr/>
      </w:pPr>
      <w:bookmarkStart w:id="120" w:name="__RefHeading___Toc4284113_73709187"/>
      <w:bookmarkStart w:id="121" w:name="_Toc40"/>
      <w:bookmarkEnd w:id="120"/>
      <w:r>
        <w:rPr>
          <w:rtl w:val="true"/>
        </w:rPr>
        <w:t>[</w:t>
      </w:r>
      <w:r>
        <w:rPr>
          <w:rtl w:val="true"/>
        </w:rPr>
        <w:t>جلالة منزلة إسماعيل، عند والده</w:t>
      </w:r>
      <w:r>
        <w:rPr>
          <w:rtl w:val="true"/>
        </w:rPr>
        <w:t>]</w:t>
      </w:r>
      <w:bookmarkEnd w:id="121"/>
    </w:p>
    <w:p>
      <w:pPr>
        <w:pStyle w:val="Heading5"/>
        <w:numPr>
          <w:ilvl w:val="4"/>
          <w:numId w:val="1"/>
        </w:numPr>
        <w:rPr/>
      </w:pPr>
      <w:bookmarkStart w:id="122" w:name="__RefHeading___Toc4284115_73709187"/>
      <w:bookmarkStart w:id="123" w:name="_Toc41"/>
      <w:bookmarkEnd w:id="122"/>
      <w:r>
        <w:rPr/>
        <w:t>1</w:t>
      </w:r>
      <w:r>
        <w:rPr>
          <w:rtl w:val="true"/>
        </w:rPr>
        <w:t xml:space="preserve"> - </w:t>
      </w:r>
      <w:r>
        <w:rPr>
          <w:rtl w:val="true"/>
        </w:rPr>
        <w:t>الإمام الصادق عليه السّلام يستأجر من يحجّ عن إسماعيل</w:t>
      </w:r>
      <w:r>
        <w:rPr>
          <w:rtl w:val="true"/>
        </w:rPr>
        <w:t>:</w:t>
      </w:r>
      <w:bookmarkEnd w:id="123"/>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الكليني بسنده،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إذ دخل عليه رجل فأعطاه ثلاثين ديناراً يحجّ بها عن إسماعيل، و لم يترك شيئاً من العمرةِ إلى الحجّ إلّا اشترط عليه أن يسعىٰ في وادي مُحسِّر،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إذا أنت فعلتَ هذا كانَ لإسماعيل حجة بما أنفق من ماله، و كانت لك تسْع بما أتعبَت من بدنك</w:t>
      </w:r>
      <w:r>
        <w:rPr>
          <w:rFonts w:eastAsia="Amiri" w:cs="Amiri" w:ascii="Amiri" w:hAnsi="Amiri"/>
          <w:color w:val="111111"/>
          <w:sz w:val="28"/>
          <w:szCs w:val="28"/>
          <w:rtl w:val="true"/>
          <w:lang w:bidi="ar-SA"/>
        </w:rPr>
        <w:t>.</w:t>
      </w:r>
      <w:r>
        <w:rPr>
          <w:rStyle w:val="FootnoteAnchor"/>
          <w:rtl w:val="true"/>
        </w:rPr>
        <w:footnoteReference w:id="124"/>
      </w:r>
      <w:bookmarkStart w:id="124" w:name="pg11557_101242"/>
    </w:p>
    <w:p>
      <w:pPr>
        <w:pStyle w:val="Heading5"/>
        <w:numPr>
          <w:ilvl w:val="4"/>
          <w:numId w:val="1"/>
        </w:numPr>
        <w:rPr/>
      </w:pPr>
      <w:bookmarkStart w:id="125" w:name="__RefHeading___Toc4284117_73709187"/>
      <w:bookmarkStart w:id="126" w:name="_Toc42"/>
      <w:bookmarkEnd w:id="124"/>
      <w:bookmarkEnd w:id="125"/>
      <w:r>
        <w:rPr/>
        <w:t>2</w:t>
      </w:r>
      <w:r>
        <w:rPr>
          <w:rtl w:val="true"/>
        </w:rPr>
        <w:t xml:space="preserve"> - </w:t>
      </w:r>
      <w:r>
        <w:rPr>
          <w:rtl w:val="true"/>
        </w:rPr>
        <w:t>الإمام ينصحه من الائتمان بالفاسق</w:t>
      </w:r>
      <w:r>
        <w:rPr>
          <w:rtl w:val="true"/>
        </w:rPr>
        <w:t>:</w:t>
      </w:r>
      <w:bookmarkEnd w:id="126"/>
    </w:p>
    <w:p>
      <w:pPr>
        <w:pStyle w:val="BookText"/>
        <w:rPr/>
      </w:pPr>
      <w:r>
        <w:rPr>
          <w:rFonts w:ascii="Amiri" w:hAnsi="Amiri" w:eastAsia="Amiri" w:cs="Amiri"/>
          <w:color w:val="111111"/>
          <w:sz w:val="28"/>
          <w:sz w:val="28"/>
          <w:szCs w:val="28"/>
          <w:rtl w:val="true"/>
          <w:lang w:bidi="ar-SA"/>
        </w:rPr>
        <w:t>روى الكليني بسنده، عن حريز بن عبد اللّٰه السجستاني،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لإسماعيل بن أبي عبد اللّٰه عليه السّلام دنانير و أراد رجل من قريش أن يخرجَ إلى اليمن، فقال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إنّ فلاناً يريد الخروج إلى اليمن، و عندي كذا و كذا ديناراً، أ فترىٰ أن أدفعها إليه يبتاع لي بها بضاعة من اليمن؟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أما بلغك أنّه يشرب الخمر؟ فقال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يقول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لا تفعل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فعصى إسماعيلُ أباه و دفع إليه دنانيره فاستهلكها، و لم يأته بشيء منها، فخرج إسماعيل و قضى أنّ أبا عبد اللّٰه عليه السّلام حجّ و حجّ إسماعيل تلك السنة فجعل يطوف بالبيت،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أجرني و اخلف عليّ فلحقه أبو عبد اللّٰه عليه السّلام فهمزه بيده من خلفه،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يا بني فلا و اللّٰه ما لك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و لا لك أن يأجرك و لا يُخلف عليك، و قد بلغك أنّه يشرب الخمر فائتمنته، فقال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إنّي لم أره يشرب الخمر، إنّما سمعت الناس يقولون</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اللّٰه عزّ و جلّ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يُؤْمِنُ بِاللّٰهِ وَ يُؤْمِنُ لِلْمُؤْمِنِينَ</w:t>
      </w:r>
      <w:r>
        <w:rPr>
          <w:rFonts w:eastAsia="Amiri" w:cs="Amiri" w:ascii="Amiri" w:hAnsi="Amiri"/>
          <w:color w:val="111111"/>
          <w:sz w:val="28"/>
          <w:szCs w:val="28"/>
          <w:rtl w:val="true"/>
          <w:lang w:bidi="ar-SA"/>
        </w:rPr>
        <w:t>»</w:t>
      </w:r>
      <w:r>
        <w:rPr>
          <w:rStyle w:val="FootnoteAnchor"/>
          <w:rtl w:val="true"/>
        </w:rPr>
        <w:footnoteReference w:id="125"/>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اللّٰه و يصدق للمؤمنين فإذا شهد عندك المؤمنون فصدِّقهم و لا تأتمن شارب الخمر، فإنّ اللّٰه عزّ و جلّ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تُؤْتُوا اَلسُّفَهٰاءَ أَمْوٰالَكُمُ</w:t>
      </w:r>
      <w:r>
        <w:rPr>
          <w:rFonts w:eastAsia="Amiri" w:cs="Amiri" w:ascii="Amiri" w:hAnsi="Amiri"/>
          <w:color w:val="111111"/>
          <w:sz w:val="28"/>
          <w:szCs w:val="28"/>
          <w:rtl w:val="true"/>
          <w:lang w:bidi="ar-SA"/>
        </w:rPr>
        <w:t>»</w:t>
      </w:r>
      <w:r>
        <w:rPr>
          <w:rStyle w:val="FootnoteAnchor"/>
          <w:rtl w:val="true"/>
        </w:rPr>
        <w:footnoteReference w:id="126"/>
      </w:r>
      <w:r>
        <w:rPr>
          <w:rFonts w:ascii="Amiri" w:hAnsi="Amiri" w:eastAsia="Amiri" w:cs="Amiri"/>
          <w:color w:val="111111"/>
          <w:sz w:val="28"/>
          <w:sz w:val="28"/>
          <w:szCs w:val="28"/>
          <w:rtl w:val="true"/>
          <w:lang w:bidi="ar-SA"/>
        </w:rPr>
        <w:t>فأيّ سفيه أسفه من شارب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شارب الخمر لا يُزوَّج إذا خَطَبَ، و لا يُشفَّع إذا شَفَع، و لا يُؤتمن على أمانة، فمن ائتمنه على أمانة فاستهلكها لم يكن للذي ائتمنه، على اللّٰه أن يأجره و لا يخلف عليه</w:t>
      </w:r>
      <w:r>
        <w:rPr>
          <w:rFonts w:eastAsia="Amiri" w:cs="Amiri" w:ascii="Amiri" w:hAnsi="Amiri"/>
          <w:color w:val="111111"/>
          <w:sz w:val="28"/>
          <w:szCs w:val="28"/>
          <w:rtl w:val="true"/>
          <w:lang w:bidi="ar-SA"/>
        </w:rPr>
        <w:t>.</w:t>
      </w:r>
      <w:r>
        <w:rPr>
          <w:rStyle w:val="FootnoteAnchor"/>
          <w:rtl w:val="true"/>
        </w:rPr>
        <w:footnoteReference w:id="127"/>
      </w:r>
      <w:bookmarkStart w:id="127" w:name="pg11557_101243"/>
    </w:p>
    <w:p>
      <w:pPr>
        <w:pStyle w:val="Heading4"/>
        <w:numPr>
          <w:ilvl w:val="3"/>
          <w:numId w:val="1"/>
        </w:numPr>
        <w:rPr/>
      </w:pPr>
      <w:bookmarkStart w:id="128" w:name="__RefHeading___Toc4284119_73709187"/>
      <w:bookmarkStart w:id="129" w:name="_Toc43"/>
      <w:bookmarkEnd w:id="127"/>
      <w:bookmarkEnd w:id="128"/>
      <w:r>
        <w:rPr>
          <w:rtl w:val="true"/>
        </w:rPr>
        <w:t>قلة رواياته</w:t>
      </w:r>
      <w:bookmarkEnd w:id="129"/>
    </w:p>
    <w:p>
      <w:pPr>
        <w:pStyle w:val="BookText"/>
        <w:rPr/>
      </w:pPr>
      <w:r>
        <w:rPr>
          <w:rFonts w:ascii="Amiri" w:hAnsi="Amiri" w:eastAsia="Amiri" w:cs="Amiri"/>
          <w:color w:val="111111"/>
          <w:sz w:val="28"/>
          <w:sz w:val="28"/>
          <w:szCs w:val="28"/>
          <w:rtl w:val="true"/>
          <w:lang w:bidi="ar-SA"/>
        </w:rPr>
        <w:t>لم نجد في الجوامع الحديثية شيئاً يروى عنه، إلّا الحديثين التاليين، و لعلّ قصر عمره و موته في حياة والده صارا سبباً لقلة الرواية عنه، و إليك ما وقفنا عليه من رواياته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الكليني بسنده، عن أبي أيّوب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إسماعيل بن جعفر، متى تجوز شهادة الغلام؟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عشر سنين،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أمره؟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و سلّم دخل بعائشة و هي بنت عشر سنين، و ليس يدخل بالجارية حتى تكون امرأة، فإذا كان للغلام عشر سنين جاز أمره و جازت شهادته</w:t>
      </w:r>
      <w:r>
        <w:rPr>
          <w:rFonts w:eastAsia="Amiri" w:cs="Amiri" w:ascii="Amiri" w:hAnsi="Amiri"/>
          <w:color w:val="111111"/>
          <w:sz w:val="28"/>
          <w:szCs w:val="28"/>
          <w:rtl w:val="true"/>
          <w:lang w:bidi="ar-SA"/>
        </w:rPr>
        <w:t>.</w:t>
      </w:r>
      <w:r>
        <w:rPr>
          <w:rStyle w:val="FootnoteAnchor"/>
          <w:rtl w:val="true"/>
        </w:rPr>
        <w:footnoteReference w:id="128"/>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الشيخ الطوسي، عن داود بن فرقد، عن إسماعيل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اختصم رجلان إلى داود عليه السّلام في بقرة فجاء هذا ببيّنة على أنّها له، و جاء هذا ببيّنة على أنّها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داود عليه السّلام المحرابَ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إنّه قد أعياني أن أحكم بين هذين، فكُن أنتَ الذي تحكم، فأوحى اللّٰه عزّ و جلّ إليه اخرج فخذ البقرة من الذي في يده، فادفعها إلى الآخر، و اضرب عنقه،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فضجت بنو إسرائيل من ذلك،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هذا ببيّنة و جاء هذا ببيّنة، و كان أحقّهما بإعطائها الذي في يديه، فأخذها منه، و ضرب عنقه، فأعطاها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داود عليه السّلام المحرابَ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قد ضجَّتْ بنو إسرائيل ممّا حكمتُ، فأوحى إليه ربُّه أنّ الذي كانت البقرة في يده لقي أب الآخر فقتله و أخذ البقرة منه، إذا جاءك مثل هذا فاحكم بينهم بما ترى و لا تسألني أن أحكم حتى الحساب</w:t>
      </w:r>
      <w:r>
        <w:rPr>
          <w:rFonts w:eastAsia="Amiri" w:cs="Amiri" w:ascii="Amiri" w:hAnsi="Amiri"/>
          <w:color w:val="111111"/>
          <w:sz w:val="28"/>
          <w:szCs w:val="28"/>
          <w:rtl w:val="true"/>
          <w:lang w:bidi="ar-SA"/>
        </w:rPr>
        <w:t>.</w:t>
      </w:r>
      <w:r>
        <w:rPr>
          <w:rStyle w:val="FootnoteAnchor"/>
          <w:rtl w:val="true"/>
        </w:rPr>
        <w:footnoteReference w:id="129"/>
      </w:r>
      <w:bookmarkStart w:id="130" w:name="pg11557_101244"/>
    </w:p>
    <w:p>
      <w:pPr>
        <w:pStyle w:val="Heading4"/>
        <w:numPr>
          <w:ilvl w:val="3"/>
          <w:numId w:val="1"/>
        </w:numPr>
        <w:rPr/>
      </w:pPr>
      <w:bookmarkStart w:id="131" w:name="__RefHeading___Toc4284121_73709187"/>
      <w:bookmarkStart w:id="132" w:name="_Toc44"/>
      <w:bookmarkEnd w:id="130"/>
      <w:bookmarkEnd w:id="131"/>
      <w:r>
        <w:rPr>
          <w:rtl w:val="true"/>
        </w:rPr>
        <w:t>وفاته</w:t>
      </w:r>
      <w:bookmarkEnd w:id="132"/>
    </w:p>
    <w:p>
      <w:pPr>
        <w:pStyle w:val="BookText"/>
        <w:rPr/>
      </w:pPr>
      <w:r>
        <w:rPr>
          <w:rFonts w:ascii="Amiri" w:hAnsi="Amiri" w:eastAsia="Amiri" w:cs="Amiri"/>
          <w:color w:val="111111"/>
          <w:sz w:val="28"/>
          <w:sz w:val="28"/>
          <w:szCs w:val="28"/>
          <w:rtl w:val="true"/>
          <w:lang w:bidi="ar-SA"/>
        </w:rPr>
        <w:t xml:space="preserve">قد عرفت أنّ ابن عنبة ذكر أنّه توفي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صاحب تهذيب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إمام مات و هو صغير، و لم يروَ عنه شيء من الحديث</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 xml:space="preserve">و أرّخ الزركلي في الأعلام وفاته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تبع صاحب دائرة المعارف الإسلامية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إسماعيل في المدينة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قبل وفاة أبيه بخمسة أعوام</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 xml:space="preserve">و القول الثاني أقرب للصواب، لأنّه لو كان 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لكانت وفاته قبل وفاة أبيه بخمسة عشر عاماً، و هذا المقدار من الفاصل الزمني، يوجب انقطاع الناس عنه، و نسيانهم له عند وفاة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عارف تامر السوري من كُتّاب الإسماعيلية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إسماعيل ولد سنة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المدينة المنورة، و ادّعى والده الصادق أنّه مات سنة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بموجب محضر أشهد عليه عامل الخليفة المنصور العباسي</w:t>
      </w:r>
      <w:r>
        <w:rPr>
          <w:rFonts w:eastAsia="Amiri" w:cs="Amiri" w:ascii="Amiri" w:hAnsi="Amiri"/>
          <w:color w:val="111111"/>
          <w:sz w:val="28"/>
          <w:szCs w:val="28"/>
          <w:rtl w:val="true"/>
          <w:lang w:bidi="ar-SA"/>
        </w:rPr>
        <w:t>.</w:t>
      </w:r>
      <w:r>
        <w:rPr>
          <w:rStyle w:val="FootnoteAnchor"/>
          <w:rtl w:val="true"/>
        </w:rPr>
        <w:footnoteReference w:id="132"/>
      </w:r>
    </w:p>
    <w:p>
      <w:pPr>
        <w:pStyle w:val="Heading4"/>
        <w:numPr>
          <w:ilvl w:val="3"/>
          <w:numId w:val="1"/>
        </w:numPr>
        <w:rPr/>
      </w:pPr>
      <w:bookmarkStart w:id="133" w:name="__RefHeading___Toc4284123_73709187"/>
      <w:bookmarkStart w:id="134" w:name="_Toc45"/>
      <w:bookmarkEnd w:id="133"/>
      <w:r>
        <w:rPr>
          <w:rtl w:val="true"/>
        </w:rPr>
        <w:t>استشهاد الإمام الصادق عليه السّلام على موته</w:t>
      </w:r>
      <w:r>
        <w:rPr>
          <w:rtl w:val="true"/>
        </w:rPr>
        <w:t>:</w:t>
      </w:r>
      <w:bookmarkEnd w:id="134"/>
    </w:p>
    <w:p>
      <w:pPr>
        <w:pStyle w:val="BookText"/>
        <w:rPr/>
      </w:pPr>
      <w:r>
        <w:rPr>
          <w:rFonts w:ascii="Amiri" w:hAnsi="Amiri" w:eastAsia="Amiri" w:cs="Amiri"/>
          <w:color w:val="111111"/>
          <w:sz w:val="28"/>
          <w:sz w:val="28"/>
          <w:szCs w:val="28"/>
          <w:rtl w:val="true"/>
          <w:lang w:bidi="ar-SA"/>
        </w:rPr>
        <w:t>كان الإمام الصادق حريصاً على إفهام الشيعة بأنّ الإمامة لم تُكْتب لإسماعيل، فليس هو من خلفاء الرسول الاثني عشر الذين كتبت لهم الخلافة و الإمامة بأمر السماء و إبلاغ الرسول الأعظم</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الدواعي التي ساعدت على بثّ بذر الشبهة و الشك في نفوس </w:t>
      </w:r>
    </w:p>
    <w:p>
      <w:pPr>
        <w:pStyle w:val="BookText"/>
        <w:rPr/>
      </w:pPr>
      <w:r>
        <w:rPr>
          <w:rFonts w:ascii="Amiri" w:hAnsi="Amiri" w:eastAsia="Amiri" w:cs="Amiri"/>
          <w:color w:val="111111"/>
          <w:sz w:val="28"/>
          <w:sz w:val="28"/>
          <w:szCs w:val="28"/>
          <w:rtl w:val="true"/>
          <w:lang w:bidi="ar-SA"/>
        </w:rPr>
        <w:t>الشيعة في ذلك اليوم، هو ما اشتهر من أنّ الإمامة للولد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إسماعيل أكبرَ أولاده فكانت أماني الشيعة معقودة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الضابطة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صحّت أم لم تصح، و لأجل ذلك تركزت جهود الإمام الصادق عليه السّلام على معالجة الوضع و اجتثاث جذور تلك الشبهة و انّ الإمامة لغيره، فتراه تارة ينصَّ على ذلك، بقوله و كلامه، و أُخرى بالاستشهاد على موت إسماعيل، و أنّه قد انتقل إلى رحمة اللّٰه، و لن يصلحَ للقيادة و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نماذج تؤيد النهج الثاني الذي انتهجه الإمام عليه السّلام لتحقيق غرضه في إزالة تلك الشبهة، و أمّا القسم الأوّل أي النصوص على إمامة أخيه فموكولة إلى محلّها</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النعماني عن زرارة بن أعين،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عليه السّلام و عند يمينه سيّدُ ولده موسى عليه السّلام، و قُدّامه مرقد مغطى،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زرارة، جئني بداود بن كثير الرقي، و حمران، و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عليه المفضل بن عمر، فخرجت فأحضرت مَنْ أمرني بإحضاره، و لم يزل الناس يدخلون واحداً إثرَ واحد، حتى صرنا في البيت ثلاثين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حشد المجلس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داودُ اكشف لي عن وجه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فكشف عن وجهه فقال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داود أ حيٌّ هو أم 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هو ميّت، فجعل يعرض ذلك على رجل رجل، حتى أتى على آخر مَن في المجلس، و انتهى عليهم بأسرهم و كلٌّ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ميّت يا مولاي،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أمر بغُسْله و حنوطه، و ادراجه في أثوابه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فرغ منه قال للمفضل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مفضّل احسر عن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فحسَر عن وجهه،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حيٌّ هو أم 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اشهد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حُمِل إلى قبره، فلما وضع في لَحده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مفضل اكشف عن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p>
    <w:p>
      <w:pPr>
        <w:pStyle w:val="BookText"/>
        <w:rPr/>
      </w:pPr>
      <w:r>
        <w:rPr>
          <w:rFonts w:ascii="Amiri" w:hAnsi="Amiri" w:eastAsia="Amiri" w:cs="Amiri"/>
          <w:color w:val="111111"/>
          <w:sz w:val="28"/>
          <w:sz w:val="28"/>
          <w:szCs w:val="28"/>
          <w:rtl w:val="true"/>
          <w:lang w:bidi="ar-SA"/>
        </w:rPr>
        <w:t>للجماعة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حيٌّ هو أم 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اشهد، و اشهدوا، فإنّه سيرتاب المبطلون، يريدون إطفاء نور اللّٰه بأفواههم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أومأ إلى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متم نوره و لو كره المشركون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حثونا عليه التراب ثمّ أعاد علينا القول،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الميّت، المحنَّط، المكفَّن، المدفون في هذا اللحد من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أخذ بيد موسى عليه السّلام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حقّ، و الحقّ منه، إلى أن يرث اللّٰه الأرض و من عليها</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الشيخ الطوسي بسنده عن أبي كهمس،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موتَ إسماعيل و أبو عبد اللّٰه عليه السّلام جالس عنده فلمّا حضره الموت، شدّ لحييه و غمّضه، و غطّى عليه المِلْحَفة، ثمّ أمر بتهيئته، فلمّا فرغ من أمره، دعا بكفنه فكتب في حاشية الكفن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يشهد أن لا إله إلّا اللّٰه</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الصدوق بسنده عن أبي كهمس قال حضرت موت إسماعيل و رأيت أبا عبد اللّٰه عليه السّلام و قد سجد سجدة فأطال السجود، ثمّ رفع رأسه فنظر إليه، ثمّ سجد سجدة أُخرى أطول من الأُولى ثمّ رفع رأسه، و قد حضره الموت فغمّضه و ربط لحيته، و غطّى عليه الملحفة، ثمّ قام، و رأيتُ وجهه و قد دخل منه شيء اللّٰه أعلم به، ثمّ قام فدخل منزله فمكث ساعة ثمّ خرج علينا مدهِناً، مكتَحلاً، عليه ثياب غير ثيابه التي كانت عليه، و وجهه غير الذي دخل به، فأمر و نهى في أمره، حتى إذا فرغ، دعا بكفنه، فكتب في حاشية الكفن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يشهد أن لا إله إلّا اللّٰه</w:t>
      </w:r>
      <w:r>
        <w:rPr>
          <w:rFonts w:eastAsia="Amiri" w:cs="Amiri" w:ascii="Amiri" w:hAnsi="Amiri"/>
          <w:color w:val="111111"/>
          <w:sz w:val="28"/>
          <w:szCs w:val="28"/>
          <w:rtl w:val="true"/>
          <w:lang w:bidi="ar-SA"/>
        </w:rPr>
        <w:t>.</w:t>
      </w:r>
      <w:r>
        <w:rPr>
          <w:rStyle w:val="FootnoteAnchor"/>
          <w:rtl w:val="true"/>
        </w:rPr>
        <w:footnoteReference w:id="136"/>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الروايات و خاصّة ما نقلناه عن أبي خديجة الجمّال حاكية عن جلالة إسماعيل، و يؤكّدها تقبيل الإمام له بعد موته مراراً</w:t>
      </w:r>
      <w:r>
        <w:rPr>
          <w:rFonts w:eastAsia="Amiri" w:cs="Amiri" w:ascii="Amiri" w:hAnsi="Amiri"/>
          <w:color w:val="111111"/>
          <w:sz w:val="28"/>
          <w:szCs w:val="28"/>
          <w:rtl w:val="true"/>
          <w:lang w:bidi="ar-SA"/>
        </w:rPr>
        <w:t xml:space="preserve">. </w:t>
      </w:r>
      <w:bookmarkStart w:id="135" w:name="pg11557_101247"/>
    </w:p>
    <w:p>
      <w:pPr>
        <w:pStyle w:val="BookText"/>
        <w:rPr/>
      </w:pPr>
      <w:bookmarkEnd w:id="135"/>
      <w:r>
        <w:rPr>
          <w:rFonts w:ascii="Amiri" w:hAnsi="Amiri" w:eastAsia="Amiri" w:cs="Amiri"/>
          <w:color w:val="111111"/>
          <w:sz w:val="28"/>
          <w:sz w:val="28"/>
          <w:szCs w:val="28"/>
          <w:rtl w:val="true"/>
          <w:lang w:bidi="ar-SA"/>
        </w:rPr>
        <w:t>نعم هناك روايات تدل على ذمّه ذكرها الكشي في ترجمة عدّة، مثل إبراهيم ابن أبي سمال، و عبد الرحمن بن سيابة، و الفيض المختار، و قد ناقش السيد الخوئي، اسنادها فلاحظ</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و قد أخطأ الكاتب الإسماعيلي، مصطفى غالب السوري في فهم رأي الشيعة في معرض كتابته عن إمامه،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مؤرّخي الشيعة، و السنة، يذهبون في إسماعيل مذهباً مختلفاً كلّ الاختلاف عمّا يقوله الإسماعيلية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إسماعيل لم يكن يصلح للإمامة، كونه كان يشربُ الخمر، و أنّه كان من أصدقاء أبي الخطاب الملْحِد الذي تبرّأ منه الإمام الصادق، و أنّ الصادق أظهر فرحه لموت ابنه إسماعيل، و على هذه الصورة اضطربت الروايات، و اختلفت الأقاويل في أمر إسماعيل، فأصبح أكثر الباحثين لا يدرون حقيقة أمره، و لا سيّما أنّه الإمام الذي تنسب إليه الحركة الإسماعيلية التي قامت بدورٍ هامٍّ في تاريخ العالم الإسلامي منذ ظهورها</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 xml:space="preserve">قد عرفت عقيدة الشيعة الإماميّة في حقّ إسماعيل و 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بكرة أبيهم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يذكرون إسماعيل بخير، اقتداء بإمامهم الصادق عليه السّلام و أنّ رميه بشرب الخمر من صنيع أعداء أهل البيت عليهم السّلام حيث كانوا لا يتمكّنون من رمي أئمة الشيعة بالسفاسف فيوجهونها إلى أولادهم المظلومين المضطهدين</w:t>
      </w:r>
      <w:r>
        <w:rPr>
          <w:rFonts w:eastAsia="Amiri" w:cs="Amiri" w:ascii="Amiri" w:hAnsi="Amiri"/>
          <w:color w:val="111111"/>
          <w:sz w:val="28"/>
          <w:szCs w:val="28"/>
          <w:rtl w:val="true"/>
          <w:lang w:bidi="ar-SA"/>
        </w:rPr>
        <w:t>.</w:t>
      </w:r>
    </w:p>
    <w:p>
      <w:pPr>
        <w:pStyle w:val="Heading4"/>
        <w:numPr>
          <w:ilvl w:val="3"/>
          <w:numId w:val="1"/>
        </w:numPr>
        <w:rPr/>
      </w:pPr>
      <w:bookmarkStart w:id="136" w:name="__RefHeading___Toc4284125_73709187"/>
      <w:bookmarkStart w:id="137" w:name="_Toc46"/>
      <w:bookmarkEnd w:id="136"/>
      <w:r>
        <w:rPr>
          <w:rtl w:val="true"/>
        </w:rPr>
        <w:t>هل كان عمل الإمام تغطية لستره؟</w:t>
      </w:r>
      <w:bookmarkEnd w:id="137"/>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الإسماعيلية تدّعي أنّ ما قام به الإمام الصادق عليه السّلام كان تغطية، لستره عن أعين العباسيين، الذين كانوا يطاردونه بسبب نشاطه المتزايد في نشر التعاليم </w:t>
      </w:r>
      <w:bookmarkStart w:id="138" w:name="pg11557_101248"/>
    </w:p>
    <w:p>
      <w:pPr>
        <w:pStyle w:val="BookText"/>
        <w:rPr/>
      </w:pPr>
      <w:bookmarkEnd w:id="138"/>
      <w:r>
        <w:rPr>
          <w:rFonts w:ascii="Amiri" w:hAnsi="Amiri" w:eastAsia="Amiri" w:cs="Amiri"/>
          <w:color w:val="111111"/>
          <w:sz w:val="28"/>
          <w:sz w:val="28"/>
          <w:szCs w:val="28"/>
          <w:rtl w:val="true"/>
          <w:lang w:bidi="ar-SA"/>
        </w:rPr>
        <w:t>التي اعتبرتها الدولة العباسية منافية لقوانينها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المعروف انّه توجه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إلى دمشق فعلم به عامل الخليفة، و هذا ما جعله يغادرها إلى البصرة ليعيش فيها متستراً بقية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في البصرة سنة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كان أخوه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حجاباً عليه، أمّا ولي عهده محمد فكان له من العمر أربع عشرة سنة عند موته</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 xml:space="preserve">و على ما ذكره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لأكثر الإسماعيلية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مات في حياة أبيه، فكيف يكون إماماً بعد أبيه و هو رهين التراب؟</w:t>
      </w:r>
      <w:r>
        <w:rPr>
          <w:rFonts w:eastAsia="Amiri" w:cs="Amiri" w:ascii="Amiri" w:hAnsi="Amiri"/>
          <w:color w:val="111111"/>
          <w:sz w:val="28"/>
          <w:szCs w:val="28"/>
          <w:rtl w:val="true"/>
          <w:lang w:bidi="ar-SA"/>
        </w:rPr>
        <w:t>!</w:t>
      </w:r>
    </w:p>
    <w:p>
      <w:pPr>
        <w:pStyle w:val="Heading4"/>
        <w:numPr>
          <w:ilvl w:val="3"/>
          <w:numId w:val="1"/>
        </w:numPr>
        <w:rPr/>
      </w:pPr>
      <w:bookmarkStart w:id="139" w:name="__RefHeading___Toc4284127_73709187"/>
      <w:bookmarkStart w:id="140" w:name="_Toc47"/>
      <w:bookmarkEnd w:id="139"/>
      <w:r>
        <w:rPr>
          <w:rtl w:val="true"/>
        </w:rPr>
        <w:t>اسطورة حياته بعد رحيل أبيه</w:t>
      </w:r>
      <w:bookmarkEnd w:id="140"/>
    </w:p>
    <w:p>
      <w:pPr>
        <w:pStyle w:val="BookText"/>
        <w:rPr/>
      </w:pPr>
      <w:r>
        <w:rPr>
          <w:rFonts w:ascii="Amiri" w:hAnsi="Amiri" w:eastAsia="Amiri" w:cs="Amiri"/>
          <w:color w:val="111111"/>
          <w:sz w:val="28"/>
          <w:sz w:val="28"/>
          <w:szCs w:val="28"/>
          <w:rtl w:val="true"/>
          <w:lang w:bidi="ar-SA"/>
        </w:rPr>
        <w:t>غير أنّ بعضهم يجازفون في القول، و يدعون أمراً خارقاً للعادة،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الهام في قضية إسماعيل و إمامته، هو أنّه عاش بعد أبيه، و أثبت هذا الخبر كثيرون من المؤلفين المعاصرين له مما يدل على أنّ إسماعيل بقي بعد أبيه اثنتي عشرة سنة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حكى أنّ إسماعيل حين ترك المدينة سرّاً، رُئي ثانية في البصرة، حيث بلغ رفعة، بما أظهر من مقدرة نادرة بشفاء المرضى و المعلولين، و خشية من اكتشاف الأمر، ترك البصرة و رحل إلى سوريا و استقر فيها، و لكن ليس بطمأنينة تامّة حيث حالما سمع الخليفة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يحكم الجزيرة العربية، بوجود إسماعيل، أمر واليه في دمشق بإرساله إسماعيل تحت الحراسة إلى بلاطه، و لكنَّ الوالي لم يكن يحترم الإمام إسماعيل فحسب، بل كان من أتباعه، و بناء عليه و لينقذ الوالي سيده الروحي، نصح الإمام أن يترك سوريا لعدّة أيّام، و ما أن ابتعد الإمام </w:t>
      </w:r>
    </w:p>
    <w:p>
      <w:pPr>
        <w:pStyle w:val="BookText"/>
        <w:rPr/>
      </w:pPr>
      <w:r>
        <w:rPr>
          <w:rFonts w:ascii="Amiri" w:hAnsi="Amiri" w:eastAsia="Amiri" w:cs="Amiri"/>
          <w:color w:val="111111"/>
          <w:sz w:val="28"/>
          <w:sz w:val="28"/>
          <w:szCs w:val="28"/>
          <w:rtl w:val="true"/>
          <w:lang w:bidi="ar-SA"/>
        </w:rPr>
        <w:t>عن سوريا، حتى أعلن الوالي التفتيش الدقيق عنه، و كتب للخليفة أنّه لم يجد لإسماعيل أثراً في أيّ مكان</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انّ كثيراً من المؤلفين المعاصرين لإسماعيل أثبتوا حياته بعد وفاة أبيه، شيء لم يدعمه بالدليل، فَمَنْ هؤلاء المؤلّفون المعاصرون الذين أثبتوا حياته بعد الإمام الصادق، و ما هي كتبهم؟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أوعز الكاتب في الهامش إلى عمدة الطالب، و تقدم نصُّهُ‌</w:t>
      </w:r>
      <w:r>
        <w:rPr>
          <w:rStyle w:val="FootnoteAnchor"/>
          <w:rtl w:val="true"/>
        </w:rPr>
        <w:footnoteReference w:id="141"/>
      </w:r>
      <w:r>
        <w:rPr>
          <w:rFonts w:ascii="Amiri" w:hAnsi="Amiri" w:eastAsia="Amiri" w:cs="Amiri"/>
          <w:color w:val="111111"/>
          <w:sz w:val="28"/>
          <w:sz w:val="28"/>
          <w:szCs w:val="28"/>
          <w:rtl w:val="true"/>
          <w:lang w:bidi="ar-SA"/>
        </w:rPr>
        <w:t>و ليس فيه أيُّ إشارة إلى ذلك، فضلاً عن إشارته إلى كثيرٍ من المؤلفين المعاصرين للإمام إسماعيل، هكذا تحرّف الحقائق بيد العابثين اللاعبين بتاريخ أُمتنا المجيدة، أو بيد سماسرة الأهواء فيبيحون الكذب لدعم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اعترف بهذه الحقيقة الكاتب الإسماعيلي عامر تامر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أقوال كثيرة لمؤرخين يؤكدون فيها أنّه مات في عهد والده، و أنّ قصة ظهوره في البصرة أُسطورة لا تقوم على حقيقة، و مهما يكن من أمر فالإسماعيليون اشتهروا بالتخفّي و الاستتار، و المحافظة على أئمّتهم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ليس بعيداً أن تكون الرواية الأُولى صحيحة</w:t>
      </w:r>
      <w:r>
        <w:rPr>
          <w:rFonts w:eastAsia="Amiri" w:cs="Amiri" w:ascii="Amiri" w:hAnsi="Amiri"/>
          <w:color w:val="111111"/>
          <w:sz w:val="28"/>
          <w:szCs w:val="28"/>
          <w:rtl w:val="true"/>
          <w:lang w:bidi="ar-SA"/>
        </w:rPr>
        <w:t>.</w:t>
      </w:r>
      <w:r>
        <w:rPr>
          <w:rStyle w:val="FootnoteAnchor"/>
          <w:rtl w:val="true"/>
        </w:rPr>
        <w:footnoteReference w:id="142"/>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تفسير قصة وفاة إسماعيل بالتمويه و التغطية فكره ورثها الجُدُد من الإسماعيليين عن أسلافهم، قال مصطفى غالب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أغلب مؤرّخي الإسماعيلية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قصة وفاة إسماعيل في حياة أبيه كانت قصة أرادَ بها الإمام جعفر الصادق التمويه و التغطية على الخليفة العباسي أبي جعفر المنصور، الذي كان يُطارد أئمة الشيعة في كلّ مكان، و تحت كلّ شمس، فخاف جعفر الصادق على ابنه و خليفته إسماعيل، فادّعى موته و أتى بشهود كتبوا المحضر إلى الخليفة </w:t>
      </w:r>
    </w:p>
    <w:p>
      <w:pPr>
        <w:pStyle w:val="BookText"/>
        <w:rPr/>
      </w:pPr>
      <w:r>
        <w:rPr>
          <w:rFonts w:ascii="Amiri" w:hAnsi="Amiri" w:eastAsia="Amiri" w:cs="Amiri"/>
          <w:color w:val="111111"/>
          <w:sz w:val="28"/>
          <w:sz w:val="28"/>
          <w:szCs w:val="28"/>
          <w:rtl w:val="true"/>
          <w:lang w:bidi="ar-SA"/>
        </w:rPr>
        <w:t>العباسي، الذي أظهر سروراً و ارتياحاً لوفاة إسماعيل الذي كان إليه أمر إمامة الشيعة، ثمّ شُوهِد إسماعيل بعد ذلك في البصرة، و في بعض البلدان 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الأساس لم تسقط الإمامة عن إسماعيل بالموت قبل أبيه لأنّه مات بعد أبيه</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و يقول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رأينا الأخير في هذا الموضوع بعد أن اطّلعنا على جميع ما كتب حول إمامة إسماعيل،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الإمام جعفر الصادق قد شعر بالأخطار التي تهدِّد حياة ابنه الإمام إسماعيل، بعد أن نصّ عليه، و أصبح وليّاً للعهد، فأمره أن يستتر و كان ذلك عام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خشية نقمة الخلفاء العباسيين و تدبّر الأمر بأن كتب محضراً بوفاته، و شهد عليه عامل المنصور، الذي كان بدوره من الإسماعيليين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فوراً توجه إسماعيل إلى سلمية، و منها إلى دمشق، و علم المنصور بذلك، فكتب إلى عامله أن يلقي القبض على الإمام إسماعيل، و لكن عامله المذكور كان قد اعتنق المذهب الإسماعيلي، فعرض الكتاب على الإمام إسماعيل، الذي ترك البلاد نحو العراق حيث شوهد بالبصرة عام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قد مرّ على مقعد فشفاه بإذن اللّٰه، و لبث الإمام إسماعيل عدّة سنوات يتنقل سرّاً بين أتباعه، حتى توفي بالبصرة عام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يؤكد كتاب دستور المنجمين أنّ إسماعيل هو أوّل إمام مستور و كان بدء ستره سنة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لم يمت إلّا بعد سبع</w:t>
      </w:r>
      <w:r>
        <w:rPr>
          <w:rStyle w:val="FootnoteAnchor"/>
          <w:rtl w:val="true"/>
        </w:rPr>
        <w:footnoteReference w:id="144"/>
      </w:r>
      <w:r>
        <w:rPr>
          <w:rFonts w:ascii="Amiri" w:hAnsi="Amiri" w:eastAsia="Amiri" w:cs="Amiri"/>
          <w:color w:val="111111"/>
          <w:sz w:val="28"/>
          <w:sz w:val="28"/>
          <w:szCs w:val="28"/>
          <w:rtl w:val="true"/>
          <w:lang w:bidi="ar-SA"/>
        </w:rPr>
        <w:t>سنين</w:t>
      </w:r>
      <w:r>
        <w:rPr>
          <w:rFonts w:eastAsia="Amiri" w:cs="Amiri" w:ascii="Amiri" w:hAnsi="Amiri"/>
          <w:color w:val="111111"/>
          <w:sz w:val="28"/>
          <w:szCs w:val="28"/>
          <w:rtl w:val="true"/>
          <w:lang w:bidi="ar-SA"/>
        </w:rPr>
        <w:t>».</w:t>
      </w:r>
      <w:r>
        <w:rPr>
          <w:rStyle w:val="FootnoteAnchor"/>
          <w:rtl w:val="true"/>
        </w:rPr>
        <w:footnoteReference w:id="145"/>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ذكره أُسطورة حاكتها يدُ الخيال، و لم يكن الإمام الصادق عليه السّلام و لا </w:t>
      </w:r>
    </w:p>
    <w:p>
      <w:pPr>
        <w:pStyle w:val="BookText"/>
        <w:rPr/>
      </w:pPr>
      <w:r>
        <w:rPr>
          <w:rFonts w:ascii="Amiri" w:hAnsi="Amiri" w:eastAsia="Amiri" w:cs="Amiri"/>
          <w:color w:val="111111"/>
          <w:sz w:val="28"/>
          <w:sz w:val="28"/>
          <w:szCs w:val="28"/>
          <w:rtl w:val="true"/>
          <w:lang w:bidi="ar-SA"/>
        </w:rPr>
        <w:t>أصحابه الأجلاّء، ممّن تتلمذوا في مدرسة الحركات السرية، حتى يفتعل موت ابنه بمرأى و مسمع من الناس، و هو بعدُ حيّ يُرزق، و لم يكن عامل الخليفة بالمدينة المنورة بليداً، يكتفي بالتنويه، حتى يتسلَّم المحضر و يبعث به إلى دار الخلافة العباسية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أنّ الكاتب يذكر في كلامه الثاني أنّ عامل الخليفة في المدينة كان بدوره من الإسماعيليين، مع أنّه لم يكن في ذلك اليوم أثر للإسماعيلية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كانت الإمامة لأبيه الإمام الصادق عليه السّلام فكيف يكون في حياة الصادق عليه السّلام من الإسماعيلية؟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أعجب منه أنّه يعتمد في إثبات معتقده بدستور المنجمين، ثمّ يذكر له مصدراً في التعليقة بالشكل التالي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بلوشيه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دى خويه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عقيدة إسلامية مبنيّة على تنبّؤ المنجمين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أكثر أخطائهم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عقيدةٌ منهارةٌ و فاشلة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أنّ هؤلاء التجئوا في تصحيح إمامة ابنه، محمد بن إسماعيل إلى القول بعدم بطلان إمامة إسماعيل بموته في حياة والده، و لمّا توفي الإمام الصادق تسلّم عبد اللّٰه بن إسماعيل الإمامة من والده، لكان أرجح من اللجوء إلى بعض الأساطير التي لا قيمة علمية لها في مجالات البحوث التاريخية و العقائدية المبتنية على أُسس علمية دقيقة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الحقّ أنّه توفي أيام حياة أبيه، بشهادة الأخبار المتضافرة التي تعرفت عليها، و هل يمكن إغفال أُمّة كبيرة و فيهم جواسيس الخليفة و عمالها؟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ستر رحيل إسماعيل إلى البصرة بتمثيل جنازة بطريقة مسرحيّة يعلن بها موته فانّه منهج و أُسلوب السياسيين المخادعين، المعروفين بالتخطيط و المؤامرة، و من يريد تفسير فعلَ الإمام عن هذا الطريق فهو من هؤلاء الجماعة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إناء بالذي فيه ينضح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هذا من وضع الجنازة مرّات و كشف وجهه و الاستشهاد على موته و كتابة الشهادة على كفنه؟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التاريخ يشهد على أنّه لم يكن لإسماعيل و لا لولده الإمام الثاني، أيّة دعوة في زمان أبي جعفر المنصور و لا ولده، بشهادة أنّ المهدي العباسي الذي تسلم عرش الخلافة بعد المنصور العباسي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كان متشدداً على أصحاب الأهواء و الفرق، و كتب له ابن المفضل صنوف الفرق صنفاً صنفاً، ثمّ قرأ الكتاب على الناس، فقال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الكتاب يقرأ على الناس على باب الذهب بالمدينة، و مرّة أُخرى بمدينة الوضاح،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المفضل صنف لهم صنوف الفرق فرقة فرقة حتىٰ قال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فرقة يقال لهم الزرارية، و فرقة يقال لهم العمارية أصحاب عمار الساباطي، و فرقة يقال لهم اليعفورية، و منهم فرقة أصحاب سليمان الأقطع، و فرقة يقال لهم الجواليقية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يذكر يومئذ هشام بن الحكم و لا أصحابه</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ترى انّه يذكر جميع الفرق المزعومة للشيعة، حتى يذكر العمارية المنسوبة إلى عمار الساباطي الذي لم يكن له يوم ذاك أيّ تابع إلّا كونه فطحياً مؤمناً بإمامة عبد اللّٰه الأفطح، و لا يذكر الإسماعيلية؟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كانت لإسماعيل دعوة سرية أيّام المنصور، ثمّ لابنه محمد، حيث كانا ينتقلان من بلد إلى بلد، كان من المحتّم مجيء اسمه في قائمة أصحاب الأهواء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يدلّ على أنّ المذهب قد نشأ بعد لأي من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 البحث في الإمام الأوّل، و كانت حصيلته هي</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الرجل كان رجلاً ثقة، محبوباً للوالد، و تُوفي في حياة والده و هو عنه راض، و لم تكن له أيُّ دعوةٍ للإمامة، و لم تظْهر أيَّ دعوة باسمه أيّام خلافة المهدي العباسي الذي تُوفي عام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قد مضى على وفاة الإمام الصادق عليه السّلام إحدى و عشرون سنة</w:t>
      </w:r>
      <w:r>
        <w:rPr>
          <w:rFonts w:eastAsia="Amiri" w:cs="Amiri" w:ascii="Amiri" w:hAnsi="Amiri"/>
          <w:color w:val="111111"/>
          <w:sz w:val="28"/>
          <w:szCs w:val="28"/>
          <w:rtl w:val="true"/>
          <w:lang w:bidi="ar-SA"/>
        </w:rPr>
        <w:t xml:space="preserve">. </w:t>
      </w:r>
      <w:bookmarkStart w:id="141" w:name="pg11557_101253"/>
    </w:p>
    <w:p>
      <w:pPr>
        <w:pStyle w:val="Heading3"/>
        <w:numPr>
          <w:ilvl w:val="2"/>
          <w:numId w:val="1"/>
        </w:numPr>
        <w:rPr/>
      </w:pPr>
      <w:bookmarkStart w:id="142" w:name="__RefHeading___Toc4284129_73709187"/>
      <w:bookmarkStart w:id="143" w:name="_Toc48"/>
      <w:bookmarkEnd w:id="141"/>
      <w:bookmarkEnd w:id="142"/>
      <w:r>
        <w:rPr>
          <w:rtl w:val="true"/>
        </w:rPr>
        <w:t>الإمام الثاني</w:t>
      </w:r>
      <w:r>
        <w:rPr>
          <w:rtl w:val="true"/>
        </w:rPr>
        <w:t xml:space="preserve">: </w:t>
      </w:r>
      <w:r>
        <w:rPr>
          <w:rtl w:val="true"/>
        </w:rPr>
        <w:t xml:space="preserve">محمد بن إسماعيل </w:t>
      </w:r>
      <w:r>
        <w:rPr>
          <w:rtl w:val="true"/>
        </w:rPr>
        <w:t>(</w:t>
      </w:r>
      <w:r>
        <w:rPr/>
        <w:t>132</w:t>
      </w:r>
      <w:r>
        <w:rPr>
          <w:rtl w:val="true"/>
        </w:rPr>
        <w:t>-</w:t>
      </w:r>
      <w:r>
        <w:rPr/>
        <w:t>193</w:t>
      </w:r>
      <w:r>
        <w:rPr>
          <w:rtl w:val="true"/>
        </w:rPr>
        <w:t xml:space="preserve"> </w:t>
      </w:r>
      <w:r>
        <w:rPr>
          <w:rtl w:val="true"/>
        </w:rPr>
        <w:t>ه</w:t>
      </w:r>
      <w:r>
        <w:rPr>
          <w:rtl w:val="true"/>
        </w:rPr>
        <w:t>)</w:t>
      </w:r>
      <w:bookmarkEnd w:id="143"/>
    </w:p>
    <w:p>
      <w:pPr>
        <w:pStyle w:val="BookText"/>
        <w:rPr/>
      </w:pPr>
      <w:r>
        <w:rPr>
          <w:rFonts w:ascii="Amiri" w:hAnsi="Amiri" w:eastAsia="Amiri" w:cs="Amiri"/>
          <w:color w:val="111111"/>
          <w:sz w:val="28"/>
          <w:sz w:val="28"/>
          <w:szCs w:val="28"/>
          <w:rtl w:val="true"/>
          <w:lang w:bidi="ar-SA"/>
        </w:rPr>
        <w:t>محمد بن إسماعيل، هو الإمام الثاني للإسماعيلية، قال ابن عنبة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أعقب إسماعيل من محمد و علي ابني إسماعيل، أمّا محمد بن إسماعيل فقال شيخ الشرف العبيدلي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إمام الميمونية و قبره 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يصفه الكاتب الإسماعيلي أنّه ولد سنة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المدينة عند ما توفي والده الإمام إسماعيل، اضطر لترك المدينة خوفاً من مراقبة الرشيد العباسي، الذي استطاع بنشاطه من إخماد كافة الثورات و الدعوات الإمامية، فذهب إلى الكوفة، و منها إلى فرغانة، ثمّ إلى نيسابور، عمل على نشر دعوته بنشاط في الجزيرة العربية، و في كافة البلدان الإسلامية، و قد استطاع التموية على الخلفاء العباسيين و الإفلات من قبضتهم، و هم المهدي و الهادي و الرشيد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ازداد تستراً بعد أن أعطى الرشيدُ أمراً بالقبض عليه، ثمّ إنّه رَحَل إلى الريّ و منها إلى نهاوند، و فيها عقد زواجه على ابنة أميرها أبي المنصور بن جوشن، و بعد ذلك توجه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سوريا حيث جعلها مركزاً لإقامته و نشر دعوته، وجّه الرشيد جيشاً لإلقاء القبض عليه عند ما كان في نهاوند، و لكن أتباعه تمكنوا من الانتصار على الجيش المذكور و ردّوه خائباً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 أنّه هو الذي أرسل الداعيين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الحلواني و أبا سفيان إلى المغرب، تُوفّي في </w:t>
      </w:r>
    </w:p>
    <w:p>
      <w:pPr>
        <w:pStyle w:val="BookText"/>
        <w:rPr/>
      </w:pPr>
      <w:r>
        <w:rPr>
          <w:rFonts w:ascii="Amiri" w:hAnsi="Amiri" w:eastAsia="Amiri" w:cs="Amiri"/>
          <w:color w:val="111111"/>
          <w:sz w:val="28"/>
          <w:sz w:val="28"/>
          <w:szCs w:val="28"/>
          <w:rtl w:val="true"/>
          <w:lang w:bidi="ar-SA"/>
        </w:rPr>
        <w:t xml:space="preserve">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دفن في جبل واقع إلى الشمال الغربي منها، و يعرف حتى الآن بضريح محمد بن علي، وفاته سنة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 إنّ حجته هو ميمون القداح، و الحقيقة أنّ الإمام محمد بن إسماعيل هو نفسه كان يحمل لقبي ميمون و القداح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ترك عدداً من الأولاد و منهم عبد اللّٰه الذي كان وليّاً للعهد</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للقارئ الكريم أن ينظر إلى كلمات ذلك الكاتب بنظر الشك و الريبة، و يتفحّص عن مآخذ كلامه و مصادر نقله، فإنّ ما وقفنا عليه في السير و الآثار لا يدعم كلامه، و ذلك للأسباب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شيخ الشرف العبيدلي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توفي ببغداد، و قبره هناك، و الكاتب يذكر أنّه توفي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بسوريا، و قبره هناك، و له ضريح معروف بضريح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من أينَ علم انّه ضريح محمد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حُرِّفَ اسم والده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الروايات المتضافرة من الفريقين تشهد على أنّه كانت بينه و بين الرشيد صلة و كان موقفه منه، موقف العين، و قد أخبره بما يجري في أوساط العلويين، من جمع الأموال للثورة، و الدعوة إلى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هذه الروايات التي وقفنا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ابن عنبة، عن أبي القاسم بن إسماعيل نسابة المصريين، أنّ موسى الكاظم عليه السّلام كان يخاف ابن أخيه محمد بن إسماعيل، و يبرّه، و هو لا يترك السعي به إلى السلطان من بني العباس</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نصر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محمد بن إسماعيل بن الصادق عليه السّلام مع موسى الكاظم عليه السّلام يكتب له السر إلى شيعته في الآفاق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ورد الرشيد الحجاز، سعى</w:t>
      </w:r>
      <w:r>
        <w:rPr>
          <w:rStyle w:val="FootnoteAnchor"/>
          <w:rtl w:val="true"/>
        </w:rPr>
        <w:footnoteReference w:id="148"/>
      </w:r>
      <w:r>
        <w:rPr>
          <w:rFonts w:ascii="Amiri" w:hAnsi="Amiri" w:eastAsia="Amiri" w:cs="Amiri"/>
          <w:color w:val="111111"/>
          <w:sz w:val="28"/>
          <w:sz w:val="28"/>
          <w:szCs w:val="28"/>
          <w:rtl w:val="true"/>
          <w:lang w:bidi="ar-SA"/>
        </w:rPr>
        <w:t>محمد بن إسماعيل بعمه إلى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أعلمتَ أنّ في الأرض خليفتين </w:t>
      </w:r>
    </w:p>
    <w:p>
      <w:pPr>
        <w:pStyle w:val="BookText"/>
        <w:rPr/>
      </w:pPr>
      <w:r>
        <w:rPr>
          <w:rFonts w:ascii="Amiri" w:hAnsi="Amiri" w:eastAsia="Amiri" w:cs="Amiri"/>
          <w:color w:val="111111"/>
          <w:sz w:val="28"/>
          <w:sz w:val="28"/>
          <w:szCs w:val="28"/>
          <w:rtl w:val="true"/>
          <w:lang w:bidi="ar-SA"/>
        </w:rPr>
        <w:t>يجبى إليهما الخراج؟ فقال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أنا 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أظهر أسرارَه فقبض الرشيد على موسى الكاظم عليه السّلام و حبسه، و كان سبب هلاكه، و حظى محمد بن إسماعيل عند الرشيد، و خرج معه إلى العراق، و مات ببغداد، و دعا عليه موسى بن جعفر عليهما السّلام بدعاء استجابه اللّٰه تعالى فيه و في أولاده، و لمّا لِيمَ‌</w:t>
      </w:r>
      <w:r>
        <w:rPr>
          <w:rStyle w:val="FootnoteAnchor"/>
          <w:rtl w:val="true"/>
        </w:rPr>
        <w:footnoteReference w:id="149"/>
      </w:r>
      <w:r>
        <w:rPr>
          <w:rFonts w:ascii="Amiri" w:hAnsi="Amiri" w:eastAsia="Amiri" w:cs="Amiri"/>
          <w:color w:val="111111"/>
          <w:sz w:val="28"/>
          <w:sz w:val="28"/>
          <w:szCs w:val="28"/>
          <w:rtl w:val="true"/>
          <w:lang w:bidi="ar-SA"/>
        </w:rPr>
        <w:t>موسى بن جعفر عليهما السّلام في صلة محمد بن إسماعيل و الاتصال مع سعيه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حدثني أبي، عن أبيه، عن جدّه، عن أبيه، عن جدّه، عن النبي صلّى اللّٰه عليه و آله و سلّم، الرحم إذا قُطِعتَ فوَصَلْتَ ثمّ قُطِعَتْ فَوصلت ثمّ قُطِعْتَ فوصلتَ ثمّ قُطِعَت قطعها اللّٰه تعالى، و إنّما أردتُ أن يقطع اللّٰه رحمه من رحمي</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هذا ما رواه ابن عنبة من طرق أهل السنّة، كما رواه محدّثوا الشيعة و نأتي بنصّ أفضلهم و أوسعهم اطلاعاً، أعني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الكليني المتوفى عام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الكافي</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الكليني بسند صحيح</w:t>
      </w:r>
      <w:r>
        <w:rPr>
          <w:rStyle w:val="FootnoteAnchor"/>
          <w:rtl w:val="true"/>
        </w:rPr>
        <w:footnoteReference w:id="151"/>
      </w:r>
      <w:r>
        <w:rPr>
          <w:rFonts w:ascii="Amiri" w:hAnsi="Amiri" w:eastAsia="Amiri" w:cs="Amiri"/>
          <w:color w:val="111111"/>
          <w:sz w:val="28"/>
          <w:sz w:val="28"/>
          <w:szCs w:val="28"/>
          <w:rtl w:val="true"/>
          <w:lang w:bidi="ar-SA"/>
        </w:rPr>
        <w:t>عن علي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محمد بن إسماعيل و قد اعتمرنا عمرة رجب، و نحن يومئذ بمكة،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إنّي أُريد بغداد، و قد أحببتُ أن أُودِّعَ عمي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موسى بن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أحببت أن تذهبَ معي إليه، فخرجتُ معه نحو أخي، و هو في داره التي بالحوبة، و ذلك بعد المغرب بقليل، فضربت البابَ فأجابني أخي،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ذا أُخرِجُ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بطيء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اعجل فخرج و عليه ازار ممشّق</w:t>
      </w:r>
      <w:r>
        <w:rPr>
          <w:rStyle w:val="FootnoteAnchor"/>
          <w:rtl w:val="true"/>
        </w:rPr>
        <w:footnoteReference w:id="152"/>
      </w:r>
      <w:r>
        <w:rPr>
          <w:rFonts w:ascii="Amiri" w:hAnsi="Amiri" w:eastAsia="Amiri" w:cs="Amiri"/>
          <w:color w:val="111111"/>
          <w:sz w:val="28"/>
          <w:sz w:val="28"/>
          <w:szCs w:val="28"/>
          <w:rtl w:val="true"/>
          <w:lang w:bidi="ar-SA"/>
        </w:rPr>
        <w:t>قد عقده في عنقه حتى قعد تحت عتبة الباب، فقال عليّ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فانكببتُ عليه فقبّلتُ رأسه،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جئتك في أمر إن تره صواباً </w:t>
      </w:r>
    </w:p>
    <w:p>
      <w:pPr>
        <w:pStyle w:val="BookText"/>
        <w:rPr/>
      </w:pPr>
      <w:r>
        <w:rPr>
          <w:rFonts w:ascii="Amiri" w:hAnsi="Amiri" w:eastAsia="Amiri" w:cs="Amiri"/>
          <w:color w:val="111111"/>
          <w:sz w:val="28"/>
          <w:sz w:val="28"/>
          <w:szCs w:val="28"/>
          <w:rtl w:val="true"/>
          <w:lang w:bidi="ar-SA"/>
        </w:rPr>
        <w:t>فاللّٰه وفق له، و إن يكن غير ذلك، فما أكثر ما نخطئ،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أخيك يريد أن يودعك و يخرجَ إلى بغداد،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ادعه، فدعوتُه و كان متنحّياً، فدنا منه فقبّل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أوصني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 أن تتقي اللّٰه في دمي، فقال مجيباً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أرادك بسوء فعل اللّٰه به، و جعل يدعو على من يريده بسوء، ثمّ عاد فقبّل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أوصني،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 أن تتقي اللّٰه في دمي،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أرادك بسوء فَعَلَ اللّٰه به و فعل، ثمّ عاد فقبّل رأسه،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أوصني،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 أن تتقي اللّٰه في دمي، فدعا على من أراده بسوء، ثمّ تنحّى عنه، و مضيت معه، فقال لي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مكانَك فقمتُ مكاني فدخل منزله، ثمّ دعاني فدخلتُ إليه، فتناول صرّة فيها مائة دينار فأعطانيها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لابن أخيك يستعين بها على سفره،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فأخذتها فأدرجتها في حاشية ردائي، ثمّ ناولني مائة أُخرى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 أيضاً، ثمّ ناولني صرة أُخرى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 أيضاً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إذا كنتَ تخاف منه مثلَ الذي ذكرت، فلِمَ تعينه على نفسك؟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وصلتُه و قطعني قطع اللّٰه أجله، ثمّ تناول مخدَّة أدم، فيها ثلاثة آلاف درهم وضح</w:t>
      </w:r>
      <w:r>
        <w:rPr>
          <w:rStyle w:val="FootnoteAnchor"/>
          <w:rtl w:val="true"/>
        </w:rPr>
        <w:footnoteReference w:id="153"/>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 هذه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إليه فأعطيته المائة الأُولى ففرح بها فرحاً شديداً و دعا لعمِّه، ثمّ أعطيته الثانية و الثالثة ففرح بها حتى ظننت انّه سيرجع و لا يخرج، ثمّ أعطيته الثلاثة آلاف درهم فمضى على وجهه حتى دخل على هارون فسلّم عليه بالخلافة،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ظننتُ أنّ في الأرض خليفتين، حتى رأيت عمي موسى بن جعفر يُسلَّم عليه بالخلافة، فأرسل هارون إليه بمائة ألف درهم فرماه اللّٰه بالذبحة</w:t>
      </w:r>
      <w:r>
        <w:rPr>
          <w:rStyle w:val="FootnoteAnchor"/>
          <w:rtl w:val="true"/>
        </w:rPr>
        <w:footnoteReference w:id="154"/>
      </w:r>
      <w:r>
        <w:rPr>
          <w:rFonts w:ascii="IRNazanin" w:hAnsi="IRNazanin" w:eastAsia="IRNazanin"/>
          <w:color w:val="111111"/>
          <w:sz w:val="28"/>
          <w:sz w:val="28"/>
          <w:szCs w:val="28"/>
          <w:rtl w:val="true"/>
          <w:lang w:bidi="fa-IR"/>
        </w:rPr>
        <w:t>فما نظر منها إلى درهم و لا مسّه</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روى الكشي في رجاله، عن أبي جعفر محمد بن قولويه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بعض المشايخ، عن علي بن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محمد بن إسماعيل ابن جعفر يسألني أن أسأل أبا لحسن موسى عليه السّلام، أن يأذن له في الخروج إلى العراق، و أن يرضى عنه و يوصيه بوصيّة،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فتجنّبت حتى دخل المتوضّى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أخيك محمد بن إسماعيل، يسألك أن تأذن له في الخروج إلى العراق، و أن توصيه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له عليه السّلام، فلمّا رجع إلى مجلسه قام محمد بن إسماعيل،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أحبَّ أن توصيني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أُوصيك أن تتقي اللّٰه في 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من يسعى في دمك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أوصني،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أُوصيك أن تتقي اللّٰه في 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ناوله أبو الحسن عليه السّلام صرة فيها مائة و خمسون ديناراً، فقبضها محمد، ثمّ ناوله أُخرى فيها مائة و خمسون ديناراً، فقبضها، ثمّ أعطاه صرة أُخرى فيها مائة و خمسون ديناراً، فقبضها ثمّ أمر له بألف و خمسمائة درهم كانت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استكثرته؟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ليكون أوكد لحجّتي إذا قطعني و وصلتُه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إلى العراق، فلمّا ورد حضرة هارون أتى باب هارون بثياب طريقه قبل أن ينزل، و استأذن على هارون و قال للحاجب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لأمير المؤمنين إنّ محمد بن إسماعيل بن جعفر بن محمد بالباب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أوّلاً و غيّر ثياب طريقك وَ عُدْ لأُدخلك إليه بغير إذن فقد نام أمير المؤمنين في هذا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أمير المؤمنين انّي حضرتُ و لم تأذن لي، فدخل الحاجب و أعلم هارون قول محمد بن إسماعيل، فأمر بدخوله، فدخل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خليفتان في الأرض موسى بن جعفر بالمدينة يجبى له الخراج و أنت بالعراق يجبى لك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له بمائة ألف درهم، فلمّا قبضها و حمل إلى منزله أخذته الريحة في جوف ليلته، فمات، و حول من الغد المال الذي حمل إليه</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و رواه ابن شهرآشوب في مناقبه</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فلو صحّ ما ذكراه فكيف تكون له ثورة أيام الرشيد و هو يتعامل معه، معاملة العيون و الجواسيس، أو السعاة و الوشاة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نقل أبو الفرج الاصفهاني نفس القصة و تبعه الشيخ المفيد</w:t>
      </w:r>
      <w:r>
        <w:rPr>
          <w:rStyle w:val="FootnoteAnchor"/>
          <w:rtl w:val="true"/>
        </w:rPr>
        <w:footnoteReference w:id="158"/>
      </w:r>
      <w:r>
        <w:rPr>
          <w:rFonts w:ascii="Amiri" w:hAnsi="Amiri" w:eastAsia="Amiri" w:cs="Amiri"/>
          <w:color w:val="111111"/>
          <w:sz w:val="28"/>
          <w:sz w:val="28"/>
          <w:szCs w:val="28"/>
          <w:rtl w:val="true"/>
          <w:lang w:bidi="ar-SA"/>
        </w:rPr>
        <w:t xml:space="preserve">و لكن الساعي في كليهما هو علي بن إسماعيل أخو محمد بن إسماعيل، لكن السند قاصر، لأنّ الاصفهاني يرويه عن أحمد بن محمد بن سعيد بن عقدة المتوفى عام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عن شيخه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الحسن العلوي</w:t>
      </w:r>
      <w:r>
        <w:rPr>
          <w:rStyle w:val="FootnoteAnchor"/>
          <w:rtl w:val="true"/>
        </w:rPr>
        <w:footnoteReference w:id="159"/>
      </w:r>
      <w:r>
        <w:rPr>
          <w:rFonts w:ascii="Amiri" w:hAnsi="Amiri" w:eastAsia="Amiri" w:cs="Amiri"/>
          <w:color w:val="111111"/>
          <w:sz w:val="28"/>
          <w:sz w:val="28"/>
          <w:szCs w:val="28"/>
          <w:rtl w:val="true"/>
          <w:lang w:bidi="ar-SA"/>
        </w:rPr>
        <w:t xml:space="preserve">و الرواية مرسلة إذ لا يتمكن ابن عقدة من نقل القصة بواسطة واحدة، كيف و الإمام الكاظم قد أُخذ في آخر السبعينات بعد المائة، و توفي عام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160"/>
      </w:r>
      <w:r>
        <w:rPr>
          <w:rFonts w:ascii="Amiri" w:hAnsi="Amiri" w:eastAsia="Amiri" w:cs="Amiri"/>
          <w:color w:val="111111"/>
          <w:sz w:val="28"/>
          <w:sz w:val="28"/>
          <w:szCs w:val="28"/>
          <w:rtl w:val="true"/>
          <w:lang w:bidi="ar-SA"/>
        </w:rPr>
        <w:t>و لأجل الإيماء إلى الإرسال أضاف المفيد بعد إنهاء السند قولَه عن مشايخهم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نقله الكليني بسند صحيح هو 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 الرشيد جيشاً لإلقاء القبض عليه عند ما كان في نهاوند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على مصدره و لقد تصفّحت حياة الرشيد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تاريخ الطبري، و مروج الذهب للمسعودي، و كامل الجزري، فلم أجد فيها شيئاً من الحرب المزعومة و انتصار محمد بن إسماعيل على جيش الرشيد</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نقل الجزري في حوادث سنة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ظهر في الكوفة رجل ادّعى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إسماعيل بن جعفر بن محمد بن علي بن الحسين بن علي بن أبي طالب، و هو رئيس الإسماعيلية، و جمع جمعاً عظيماً من الأعراب و أهل السواد و استفحل أمره في شوال، فسيّر إليه جيش من بغداد، فقاتلوه و ظفروا به و انهزم، </w:t>
      </w:r>
    </w:p>
    <w:p>
      <w:pPr>
        <w:pStyle w:val="BookText"/>
        <w:rPr/>
      </w:pPr>
      <w:r>
        <w:rPr>
          <w:rFonts w:ascii="Amiri" w:hAnsi="Amiri" w:eastAsia="Amiri" w:cs="Amiri"/>
          <w:color w:val="111111"/>
          <w:sz w:val="28"/>
          <w:sz w:val="28"/>
          <w:szCs w:val="28"/>
          <w:rtl w:val="true"/>
          <w:lang w:bidi="ar-SA"/>
        </w:rPr>
        <w:t>و قتل كثير من أصحابه</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قال مصطفى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يعتبر الإمام محمد بن إسماعيل أوّل الأئمة المستورين، و الناطق السابع و متم الدور، لأنّ إمامته كانت بداية دور جديد في تاريخ الدعوة الإسماعيلية، فقام بنسخ الشريعة التي سبقته، و بذلك جمع بين النطق و الإمامة، و رفع التكاليف الظاهرة للشريعة، و نادى بالتأويل، و اهتم بالباطن، و لذلك قال فيه الداعي إدريس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إنّما خص محمد بن إسماعيل بذلك لانتظامه في سلك مقامات دور الستر، لأنّك إذا عددت آدم و وصيه و أئمّة دوره، كان خاتمهم الناطق، و هو نوح عليه السّلام و إذا عددت عيسى و وصيه قائمة دوره، كان محمّد صلّى اللّٰه عليه و آله و سلّم متسلماً لمراتبهم، و هو الناطق خاتم للنطقاء، و كان وصيّه عليه السّلام بالفضل منفرداً به، و إذا عددت الأئمّة في دوره كان محمد بن إسماعيل سابعهم، و للسابع قوّة على من تقدّمه، فلذلك صار ناطقاً و خاتماً للأُسبوع، و قائماً و هو ناسخ شريعة صاحب الدور السادس، ببيان معانيها و إظهار باطنها المبطن فيها</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و لو لا انّه فسّر نسخ الشريعة ببيان معانيها و إظهار باطنها المبطن فيها، كان المتبادر منه أنّه كان صاحب شريعة و دين حديث و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كلامه انّ النبي صلّى اللّٰه عليه و آله و سلّم كان خاتماً للدور الثاني، و انّ الدور الثالث يبتدأ بوصي النبي صلّى اللّٰه عليه و آله و سلّم علي أمير المؤمنين عليه السّلام و بما انّهم لا يعدّون الحسن بن علي في أئمتهم، يكون محمد بن إسماعيل هو سابع الأئمّة و أفضلهم</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ما ذكره اعتبارات و تخيّلات لم يقم عليها دليل، فما هو الدليل القاطع العقلي أو النقلي على هذا الدور، و إنّ كلّ سابع، خاتم له</w:t>
      </w:r>
      <w:r>
        <w:rPr>
          <w:rFonts w:eastAsia="Amiri" w:cs="Amiri" w:ascii="Amiri" w:hAnsi="Amiri"/>
          <w:color w:val="111111"/>
          <w:sz w:val="28"/>
          <w:szCs w:val="28"/>
          <w:rtl w:val="true"/>
          <w:lang w:bidi="ar-SA"/>
        </w:rPr>
        <w:t xml:space="preserve">. </w:t>
      </w:r>
      <w:bookmarkStart w:id="144" w:name="pg11557_101260"/>
    </w:p>
    <w:p>
      <w:pPr>
        <w:pStyle w:val="Heading3"/>
        <w:numPr>
          <w:ilvl w:val="2"/>
          <w:numId w:val="1"/>
        </w:numPr>
        <w:rPr/>
      </w:pPr>
      <w:bookmarkStart w:id="145" w:name="__RefHeading___Toc4284131_73709187"/>
      <w:bookmarkStart w:id="146" w:name="_Toc49"/>
      <w:bookmarkEnd w:id="144"/>
      <w:bookmarkEnd w:id="145"/>
      <w:r>
        <w:rPr>
          <w:rtl w:val="true"/>
        </w:rPr>
        <w:t>الإمام الثالث</w:t>
      </w:r>
      <w:r>
        <w:rPr>
          <w:rtl w:val="true"/>
        </w:rPr>
        <w:t xml:space="preserve">: </w:t>
      </w:r>
      <w:r>
        <w:rPr>
          <w:rtl w:val="true"/>
        </w:rPr>
        <w:t xml:space="preserve">عبد اللّٰه بن محمد بن إسماعيل </w:t>
      </w:r>
      <w:r>
        <w:rPr>
          <w:rtl w:val="true"/>
        </w:rPr>
        <w:t>(</w:t>
      </w:r>
      <w:r>
        <w:rPr/>
        <w:t>179</w:t>
      </w:r>
      <w:r>
        <w:rPr>
          <w:rtl w:val="true"/>
        </w:rPr>
        <w:t>-</w:t>
      </w:r>
      <w:r>
        <w:rPr/>
        <w:t>212</w:t>
      </w:r>
      <w:r>
        <w:rPr>
          <w:rtl w:val="true"/>
        </w:rPr>
        <w:t xml:space="preserve"> </w:t>
      </w:r>
      <w:r>
        <w:rPr>
          <w:rtl w:val="true"/>
        </w:rPr>
        <w:t>ه</w:t>
      </w:r>
      <w:r>
        <w:rPr>
          <w:rtl w:val="true"/>
        </w:rPr>
        <w:t>)</w:t>
      </w:r>
      <w:bookmarkEnd w:id="146"/>
    </w:p>
    <w:p>
      <w:pPr>
        <w:pStyle w:val="BookText"/>
        <w:rPr/>
      </w:pPr>
      <w:r>
        <w:rPr>
          <w:rFonts w:ascii="Amiri" w:hAnsi="Amiri" w:eastAsia="Amiri" w:cs="Amiri"/>
          <w:color w:val="111111"/>
          <w:sz w:val="28"/>
          <w:sz w:val="28"/>
          <w:szCs w:val="28"/>
          <w:rtl w:val="true"/>
          <w:lang w:bidi="ar-SA"/>
        </w:rPr>
        <w:t xml:space="preserve">ولد في بلدة نيسابور عام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من ألقابه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المستور، و الرضي، و الناصر، و العطار، و عبد اللّٰه الأكبر، كان كثير التنقل بين نهاوند و الأهواز و طبرستان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عرف أنّه كان معاصراً للرشيد، و قد أدرك عصر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سمّى جميع دعاته باسمه حتى لا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ما خرج من فرغانة إلى الديلم، و كان يصحبه أخوه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الديلم تزوّج فتاة علوية و ولد له منها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ألّف في سلمية رسائل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 الصفاء و خلاّن 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دفن في سلمية</w:t>
      </w:r>
      <w:r>
        <w:rPr>
          <w:rStyle w:val="FootnoteAnchor"/>
          <w:rtl w:val="true"/>
        </w:rPr>
        <w:footnoteReference w:id="163"/>
      </w:r>
      <w:r>
        <w:rPr>
          <w:rFonts w:ascii="Amiri" w:hAnsi="Amiri" w:eastAsia="Amiri" w:cs="Amiri"/>
          <w:color w:val="111111"/>
          <w:sz w:val="28"/>
          <w:sz w:val="28"/>
          <w:szCs w:val="28"/>
          <w:rtl w:val="true"/>
          <w:lang w:bidi="ar-SA"/>
        </w:rPr>
        <w:t>و ضريحه يعرف بالإمام إسماعيل</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 xml:space="preserve">إنّ من يدرس كتاب رسائل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 الصفاء و خلاّن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يقف على أنّه أثر لجنة علمية لا تأليف شاب لم يتجاوز عمره الثلاثين إلّا قليلاً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 الكتاب أُلّف في القرن الرابع الهجري، و قد قامت بتأليفه جماعة، و كان أبو حيان التوحيدي على معرفة بأحوال أحد أفرادها، و قد وصفه لصمصام الدولة الذي ولي الأمر في سنة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65"/>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مقدمة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تألّفتْ هذه الجماعة في القرن الرابع الهجري، و كان موطنها البصرة، و لها فرع في بغداد، و لم يعرف من أشخاصها سوى خمسة يتغشاهم الغموض و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إنّ أحدهم هو أبو سليمان محمد بن معشر البستي المعروف بالمقدسي، و الآخر أبو الحسن علي بن هارون الزنجاني، ثمّ أبو أحمد المهرجاني، فأبو الحسن العوفي، فزيد بن رفاعة، و يؤخذ من كلام لأبي حيّان التوحيدي أثبته أحمد زكي باشا في مقدمته لرسائل الإخوان انّ زيد بن رفاعة كان متهماً بمذهبه، و انّ الوزير صمصام الدولة بن عضد الدولة سأله عنه</w:t>
      </w:r>
      <w:r>
        <w:rPr>
          <w:rFonts w:eastAsia="Amiri" w:cs="Amiri" w:ascii="Amiri" w:hAnsi="Amiri"/>
          <w:color w:val="111111"/>
          <w:sz w:val="28"/>
          <w:szCs w:val="28"/>
          <w:rtl w:val="true"/>
          <w:lang w:bidi="ar-SA"/>
        </w:rPr>
        <w:t>.</w:t>
      </w:r>
      <w:r>
        <w:rPr>
          <w:rStyle w:val="FootnoteAnchor"/>
          <w:rtl w:val="true"/>
        </w:rPr>
        <w:footnoteReference w:id="166"/>
      </w:r>
      <w:bookmarkStart w:id="147" w:name="pg11557_101262"/>
    </w:p>
    <w:p>
      <w:pPr>
        <w:pStyle w:val="Heading3"/>
        <w:numPr>
          <w:ilvl w:val="2"/>
          <w:numId w:val="1"/>
        </w:numPr>
        <w:rPr/>
      </w:pPr>
      <w:bookmarkStart w:id="148" w:name="__RefHeading___Toc4284133_73709187"/>
      <w:bookmarkStart w:id="149" w:name="_Toc50"/>
      <w:bookmarkEnd w:id="147"/>
      <w:bookmarkEnd w:id="148"/>
      <w:r>
        <w:rPr>
          <w:rtl w:val="true"/>
        </w:rPr>
        <w:t>الإمام الرابع</w:t>
      </w:r>
      <w:r>
        <w:rPr>
          <w:rtl w:val="true"/>
        </w:rPr>
        <w:t xml:space="preserve">: </w:t>
      </w:r>
      <w:r>
        <w:rPr>
          <w:rtl w:val="true"/>
        </w:rPr>
        <w:t xml:space="preserve">أحمد بن عبد اللّٰه </w:t>
      </w:r>
      <w:r>
        <w:rPr>
          <w:rtl w:val="true"/>
        </w:rPr>
        <w:t>(</w:t>
      </w:r>
      <w:r>
        <w:rPr/>
        <w:t>198</w:t>
      </w:r>
      <w:r>
        <w:rPr>
          <w:rtl w:val="true"/>
        </w:rPr>
        <w:t>-</w:t>
      </w:r>
      <w:r>
        <w:rPr/>
        <w:t>265</w:t>
      </w:r>
      <w:r>
        <w:rPr>
          <w:rtl w:val="true"/>
        </w:rPr>
        <w:t xml:space="preserve"> </w:t>
      </w:r>
      <w:r>
        <w:rPr>
          <w:rtl w:val="true"/>
        </w:rPr>
        <w:t>ه</w:t>
      </w:r>
      <w:r>
        <w:rPr>
          <w:rtl w:val="true"/>
        </w:rPr>
        <w:t>)</w:t>
      </w:r>
      <w:bookmarkEnd w:id="149"/>
    </w:p>
    <w:p>
      <w:pPr>
        <w:pStyle w:val="BookText"/>
        <w:rPr/>
      </w:pPr>
      <w:r>
        <w:rPr>
          <w:rFonts w:ascii="Amiri" w:hAnsi="Amiri" w:eastAsia="Amiri" w:cs="Amiri"/>
          <w:color w:val="111111"/>
          <w:sz w:val="28"/>
          <w:sz w:val="28"/>
          <w:szCs w:val="28"/>
          <w:rtl w:val="true"/>
          <w:lang w:bidi="ar-SA"/>
        </w:rPr>
        <w:t>عرّفه الكاتب عارف تامر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سلمية سنة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اتخذ من هذه المدينة مقراً له و مركزاً لتوزيع الدعاة و نشر التعاليم في المناطق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جانب كبير من العلم، و إليه تنسب رسالة الجامعة لإخوان الصفاء و خلاّن 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له ولدان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يتنقل بين الديلم و الكوفة، و غيرهما في سبيل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الحقيقة أنّ ذلك لم يكن إلّا في سبيل نشر الدعاية و الأفكار الإسماعيلية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لقبه الوفي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عاصر المأمون و اشترك في إثارة الناس عليه، إلى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يقضي فصل الشتاء في سلَمية، و الصيف في مصياف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نشاط الدعاة في عصره بلغ الأوج خاصة في المجال 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في مصياف سنة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عن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و دفن فيها في جبل مشهد</w:t>
      </w:r>
      <w:r>
        <w:rPr>
          <w:rFonts w:eastAsia="Amiri" w:cs="Amiri" w:ascii="Amiri" w:hAnsi="Amiri"/>
          <w:color w:val="111111"/>
          <w:sz w:val="28"/>
          <w:szCs w:val="28"/>
          <w:rtl w:val="true"/>
          <w:lang w:bidi="ar-SA"/>
        </w:rPr>
        <w:t>.</w:t>
      </w:r>
      <w:r>
        <w:rPr>
          <w:rStyle w:val="FootnoteAnchor"/>
          <w:rtl w:val="true"/>
        </w:rPr>
        <w:footnoteReference w:id="167"/>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 المؤرّخ 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تعرض الإمام أثناء وجوده في السلَمية لمضايقات الخلفاء العباسيين المستمرة، لذلك وجد بأنّ السلَمية لم تعد مكاناً صالحاً له، فغادرها سرّاً إلى الري حيث استقر فيها مدّة طويلة عمل خلالها لنشر دعوته على نطاق واسع، فاعتنقها أكثر الملوك و الأُمراء، و قدّموا جميع إمكانياتهم </w:t>
      </w:r>
    </w:p>
    <w:p>
      <w:pPr>
        <w:pStyle w:val="BookText"/>
        <w:rPr/>
      </w:pPr>
      <w:r>
        <w:rPr>
          <w:rFonts w:ascii="Amiri" w:hAnsi="Amiri" w:eastAsia="Amiri" w:cs="Amiri"/>
          <w:color w:val="111111"/>
          <w:sz w:val="28"/>
          <w:sz w:val="28"/>
          <w:szCs w:val="28"/>
          <w:rtl w:val="true"/>
          <w:lang w:bidi="ar-SA"/>
        </w:rPr>
        <w:t>لمساعدة الدعاة في سبيل نشرها و تعميمها في جميع الأقطار الشرقية، و الجدير بالذكر انّ أكثر الحكام و الولاة في العهد العباسي كانوا يتظاهرون بنقمتهم على الإسماعيلية، بينما كانوا يدينون بعقائدها في الباطن و ينصرون الدعاة، و يعملون سراً على تقوية الدعوة و إنجاحها</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و قد ذكر عارف تامر انّ لقبه هو الوفي في حين أنّ مصطفى غالب قد لقبه بمحمد التقي، و الظاهر انّهما لقبين لشخص واحد</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يذهب عليك ما في كلامه من المبالغة من اعتناق أكثر الحكام و الولاة لعقائد الإسماعيلية، فإنّ المؤرّخين المعاصرين</w:t>
      </w:r>
      <w:r>
        <w:rPr>
          <w:rStyle w:val="FootnoteAnchor"/>
          <w:rtl w:val="true"/>
        </w:rPr>
        <w:footnoteReference w:id="169"/>
      </w:r>
      <w:r>
        <w:rPr>
          <w:rFonts w:ascii="Amiri" w:hAnsi="Amiri" w:eastAsia="Amiri" w:cs="Amiri"/>
          <w:color w:val="111111"/>
          <w:sz w:val="28"/>
          <w:sz w:val="28"/>
          <w:szCs w:val="28"/>
          <w:rtl w:val="true"/>
          <w:lang w:bidi="ar-SA"/>
        </w:rPr>
        <w:t>، قد اعتادا على المبالغة في الثناء و انتشار الدعوة من دون أن يذكرا لكلامهما مصدراً</w:t>
      </w:r>
      <w:r>
        <w:rPr>
          <w:rFonts w:eastAsia="Amiri" w:cs="Amiri" w:ascii="Amiri" w:hAnsi="Amiri"/>
          <w:color w:val="111111"/>
          <w:sz w:val="28"/>
          <w:szCs w:val="28"/>
          <w:rtl w:val="true"/>
          <w:lang w:bidi="ar-SA"/>
        </w:rPr>
        <w:t xml:space="preserve">. </w:t>
      </w:r>
      <w:bookmarkStart w:id="150" w:name="pg11557_101264"/>
    </w:p>
    <w:p>
      <w:pPr>
        <w:pStyle w:val="Heading3"/>
        <w:numPr>
          <w:ilvl w:val="2"/>
          <w:numId w:val="1"/>
        </w:numPr>
        <w:rPr/>
      </w:pPr>
      <w:bookmarkStart w:id="151" w:name="__RefHeading___Toc4284135_73709187"/>
      <w:bookmarkStart w:id="152" w:name="_Toc51"/>
      <w:bookmarkEnd w:id="150"/>
      <w:bookmarkEnd w:id="151"/>
      <w:r>
        <w:rPr>
          <w:rtl w:val="true"/>
        </w:rPr>
        <w:t>الإمام الخامس</w:t>
      </w:r>
      <w:r>
        <w:rPr>
          <w:rtl w:val="true"/>
        </w:rPr>
        <w:t xml:space="preserve">: </w:t>
      </w:r>
      <w:r>
        <w:rPr>
          <w:rtl w:val="true"/>
        </w:rPr>
        <w:t xml:space="preserve">الحسين بن أحمد </w:t>
      </w:r>
      <w:r>
        <w:rPr>
          <w:rtl w:val="true"/>
        </w:rPr>
        <w:t>(</w:t>
      </w:r>
      <w:r>
        <w:rPr/>
        <w:t>219</w:t>
      </w:r>
      <w:r>
        <w:rPr>
          <w:rtl w:val="true"/>
        </w:rPr>
        <w:t>-</w:t>
      </w:r>
      <w:r>
        <w:rPr/>
        <w:t>289</w:t>
      </w:r>
      <w:r>
        <w:rPr>
          <w:rtl w:val="true"/>
        </w:rPr>
        <w:t xml:space="preserve"> </w:t>
      </w:r>
      <w:r>
        <w:rPr>
          <w:rtl w:val="true"/>
        </w:rPr>
        <w:t>ه</w:t>
      </w:r>
      <w:r>
        <w:rPr>
          <w:rtl w:val="true"/>
        </w:rPr>
        <w:t>)</w:t>
      </w:r>
      <w:bookmarkEnd w:id="152"/>
    </w:p>
    <w:p>
      <w:pPr>
        <w:pStyle w:val="BookText"/>
        <w:rPr/>
      </w:pPr>
      <w:r>
        <w:rPr>
          <w:rFonts w:ascii="Amiri" w:hAnsi="Amiri" w:eastAsia="Amiri" w:cs="Amiri"/>
          <w:color w:val="111111"/>
          <w:sz w:val="28"/>
          <w:sz w:val="28"/>
          <w:szCs w:val="28"/>
          <w:rtl w:val="true"/>
          <w:lang w:bidi="ar-SA"/>
        </w:rPr>
        <w:t xml:space="preserve">ولد في مصياف سنة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كان مركز إقامته في سلمية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اشتهر بثروته المالية الطائلة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ألقابه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المرتضىٰ، و المقتدى، و الزكي، و الهادي، و التقي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لخص رسالة الجامعة برسالة موجزة سمّاها جامعة الجامعة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علىٰ علاقات طيبة مع الهاشميين القاطنين في سلمية، التقى بالنجف الأشرف بالداعي أبي قاسم حسن بن فرح بن حوشب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منصور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بن الفضل حيث كانا يدعوان للحسن العسكري الاثني عشري فأثّر فيهما و أحضرهما إلى سلمية، ثمّ جهزهما بعد ذلك إلى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عهده تم إرسال أبي عبد اللّٰه الشيعي</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1"/>
      </w:r>
      <w:r>
        <w:rPr>
          <w:rFonts w:ascii="IRNazanin" w:hAnsi="IRNazanin" w:eastAsia="IRNazanin"/>
          <w:color w:val="111111"/>
          <w:sz w:val="28"/>
          <w:sz w:val="28"/>
          <w:szCs w:val="28"/>
          <w:rtl w:val="true"/>
          <w:lang w:bidi="fa-IR"/>
        </w:rPr>
        <w:t>إلى المغرب</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عصره دبَّ الوهن إلى الدولة العباسية و أحدقت بها الثورات و الاضطرابات، تولى ابن طولون في عهده شئون مصر و أوكل إليه تنظيم بلاد الشام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الأموال الطائلة تحمل إليه من كافة الجهات حتى من آذربيجان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مات في سلمية و دفن في مقام جده عبد اللّٰه بن محمد و كان ذلك سنة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 xml:space="preserve">ما ذكره من أنّه توفي عام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غير صحيح، لأنّه عام وفاة والده و لعلّه تصحيف سنة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أرّخ ميلاده و وفاته مؤلف تاريخ الدعوة الإسماعيلية كما ذكرنا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عهد بالإمامة من بعده لابنه محمد المهدي</w:t>
      </w:r>
      <w:r>
        <w:rPr>
          <w:rStyle w:val="FootnoteAnchor"/>
          <w:rtl w:val="true"/>
        </w:rPr>
        <w:footnoteReference w:id="173"/>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ستهاجر بعدي هجرة و تلقى محناً شديدة</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 xml:space="preserve">قد سبق و أن ذكرنا أنّ محمد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الإمام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الداعيين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الحلواني و أبا سفيان إلى المغرب، و لكن لم يحددا تاريخ البعث، فبما انّ محمد بن إسماعيل استلم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رأي الإسماعيلية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توفي عام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فيكون إرسالهما بين الحدين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الداعيان مهتمين بالتبليغ و الدعوة في أيام الأئمّة الثلاثة إلى أن استلم الإمام الحسين بن أحمد زمام الإمامة، و وقف بأنّ الدعوة في المغرب تتقدم باستمرار، فحينئذٍ طلب من الداعية الكبير أبي عبد اللّٰه الحسين أحمد بن محمد بن زكريا الشيعي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يدعو الناس إلى المذهب الإسماعيلي في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الذهاب إلى اليمن و يدرس هناك علىٰ ابن حوشب و يطيعه و يقتدي به، ثمّ يذهب بعد فراغه من الدراسة، إلى المغرب قاصداً بلدة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كتامة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توجه أبو عبد اللّٰه إلى اليمن حيث شهد مجالس ابن حوشب و أصبح من كبار أصحابه، فلمّا أتى خبر وفاة الحلواني و أبي سفيان دعاة المغرب إلى ابن حوشب قال لأبي عبد اللّٰه 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أرض كتامة من المغرب قد حرثها الحلواني و أبو سفيان و قد ماتا و ليس لها غيرك، فبادر فانّها موطّأة ممهّدة 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فخرج أبو عبد اللّٰه إلى مكة و أعطاه ابن حوشب مالاً و سيّر معه عبد اللّٰه بن أبي ملاحف، فلمّا قدم أبو عبد اللّٰه مكة سأل عن حجاج كتامة، فأرشِد إليهم، فاجتمع بهم، و لم يُعرِّفهم قصدَه، و جلس قريباً منهم، فسمعهم يتحدثون بفضائل أهل البيت، فأظهر استحسان ذلك، و حدّثهم بما لم يعلموه، فلمّا أراد القيام سألوه أن يأذن لهم في زيارته و الانبساط معه، فأذن لهم في ذلك، فسألوه أين مقصده،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مصر، ففرِحوا بصحبته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من رؤساء الكتاميين بمكة رجل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حُريث الجُميلي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آخر اسمه موسى بن مكاد فرحلوا و هو لا يخبرهم بغرضه، و أظهر لهم العبادة و الزهد، فازدادوا فيه رغبة و خدموه، و كان يسألهم عن بلادهم و أحوالهم و قبائلهم و عن طاعتهم لسلطان إفريقية،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علينا طاعة، و بيننا و بينه عشرة أيام،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فتحملون السلاح؟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شغلنا، و لم يزل يتعرّف أحوالهم حتى وصلوا إلى مصر، فلمّا أراد وداعهم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تطلب بمصر؟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أطلب التعليم بها</w:t>
      </w:r>
      <w:r>
        <w:rPr>
          <w:rStyle w:val="FootnoteAnchor"/>
          <w:rtl w:val="true"/>
        </w:rPr>
        <w:footnoteReference w:id="175"/>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تقصد هذا فبلادنا أنفع لك، و نحن أعرف بحقك، و لم يزالوا به حتى أجابهم إلى المسير معهم بعد الخضوع و السؤال، فسار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قاربوا بلادَهم لقيهم رجال من الشيعة فأخبروهم بخبره، فرغبُوا في نزوله عندهم و اقترعوا فيمن يضيِّفه منهم، ثمّ رحلوا حتى وصلوا إلى أرض كتامة منتصف شهر ربيع الأوّل سنة ثمانين و مائتين، فسأله قوم منهم أن ينزل عندهم حتى يقاتلوا دونه،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يكون فج الأخيار؟ فتعجبوا من ذلك و لم يكونوا ذكروه له،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بني سليان،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نقصد، ثمّ نأتي كلّ قوم منكم في ديارهم و نزورهم في بيوتهم، فأرضى بذلك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سار إلى جبل يقال له إنكجان، و فيه فج الأخيار،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فج الأخيار، و ما سمي إلّا بكم و لقد جاء في الآثار</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للمهدي هجرة تنبو عن الأوطان، ينصره </w:t>
      </w:r>
    </w:p>
    <w:p>
      <w:pPr>
        <w:pStyle w:val="BookText"/>
        <w:rPr/>
      </w:pPr>
      <w:r>
        <w:rPr>
          <w:rFonts w:ascii="Amiri" w:hAnsi="Amiri" w:eastAsia="Amiri" w:cs="Amiri"/>
          <w:color w:val="111111"/>
          <w:sz w:val="28"/>
          <w:sz w:val="28"/>
          <w:szCs w:val="28"/>
          <w:rtl w:val="true"/>
          <w:lang w:bidi="ar-SA"/>
        </w:rPr>
        <w:t>فيها الأخيار من أهل ذلك الزمان، قوم مشتق اسمهم من الكتمان، فإنّهم كتامة و بخروجكم من هذا الفج يسمّى فج الأخيار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قال للكتاميين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صاحب البدر الذي ذكر لكم أبو سفيان و الحلواني، فازدادت محبتهم له و تعظيمهم لأمره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الحسن بن هارون و هو من أكابر كتامة، فأخذ أبا عبد اللّٰه إليه، و دافع عنه، و مضيا إلى مدينة ناصرون فأتته القبائل من كلّ مكان و عظم شأنه، و صارت الرئاسة للحسن بن هارون، فاستقام له أمر البربر و عامة كتامة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 الأمر على ذلك حتى توفي الإمام الحسين بن أحمد عام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عهد بالإمامة من بعده لابنه محمد المهدي،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ستهاجر بعدي هجرة بعيدة، و تلقى محناً شديدة، فلمّا قام عبيد اللّٰه بعد أبيه انتشرت دعوته، و أرسل إليه أبو عبد اللّٰه الشيعي رجالاً من كتامة من المغرب ليخبروه بما فتح اللّٰه عليه و انّهم ينتظرونه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ما سنذكره في سيرة الإمام التالي الإمام عبيد اللّٰه المهدي</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هؤلاء هم الأئمّة المستورون عند الإسماعيلية، و الذي يدلّ على ذلك أنّ القاضي النعمان وصفهم بالاستتار، و جعل مبدأ الظهور قيام عبد اللّٰه الإمام المهدي باللّٰه، و إليك أبياته في أُرجوزته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اشتدت المحنة بعد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الأمر إلى التستر</w:t>
      </w:r>
    </w:p>
    <w:p>
      <w:pPr>
        <w:pStyle w:val="BookText"/>
        <w:rPr/>
      </w:pPr>
      <w:r>
        <w:rPr>
          <w:rFonts w:ascii="Amiri" w:hAnsi="Amiri" w:eastAsia="Amiri" w:cs="Amiri"/>
          <w:color w:val="111111"/>
          <w:sz w:val="28"/>
          <w:sz w:val="28"/>
          <w:szCs w:val="28"/>
          <w:rtl w:val="true"/>
          <w:lang w:bidi="ar-SA"/>
        </w:rPr>
        <w:t xml:space="preserve">و كان قد أقام بعضَ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مقامَه لمّا رأى من جَلدِه</w:t>
      </w:r>
    </w:p>
    <w:p>
      <w:pPr>
        <w:pStyle w:val="BookText"/>
        <w:rPr/>
      </w:pPr>
      <w:r>
        <w:rPr>
          <w:rFonts w:ascii="Amiri" w:hAnsi="Amiri" w:eastAsia="Amiri" w:cs="Amiri"/>
          <w:color w:val="111111"/>
          <w:sz w:val="28"/>
          <w:sz w:val="28"/>
          <w:szCs w:val="28"/>
          <w:rtl w:val="true"/>
          <w:lang w:bidi="ar-SA"/>
        </w:rPr>
        <w:t xml:space="preserve">فجعل الأمر له في ستر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قالوا بذاك يدري</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لخوفه عليه من أعدائه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ثقاتُ محض أوليائِه </w:t>
      </w:r>
    </w:p>
    <w:p>
      <w:pPr>
        <w:pStyle w:val="BookText"/>
        <w:rPr/>
      </w:pPr>
      <w:r>
        <w:rPr>
          <w:rFonts w:ascii="Amiri" w:hAnsi="Amiri" w:eastAsia="Amiri" w:cs="Amiri"/>
          <w:color w:val="111111"/>
          <w:sz w:val="28"/>
          <w:sz w:val="28"/>
          <w:szCs w:val="28"/>
          <w:rtl w:val="true"/>
          <w:lang w:bidi="ar-SA"/>
        </w:rPr>
        <w:t xml:space="preserve">و أهلُه الذين قد كانوا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بالأمر، و قاموا أربعة</w:t>
      </w:r>
    </w:p>
    <w:p>
      <w:pPr>
        <w:pStyle w:val="BookText"/>
        <w:rPr/>
      </w:pPr>
      <w:r>
        <w:rPr>
          <w:rFonts w:ascii="Amiri" w:hAnsi="Amiri" w:eastAsia="Amiri" w:cs="Amiri"/>
          <w:color w:val="111111"/>
          <w:sz w:val="28"/>
          <w:sz w:val="28"/>
          <w:szCs w:val="28"/>
          <w:rtl w:val="true"/>
          <w:lang w:bidi="ar-SA"/>
        </w:rPr>
        <w:t xml:space="preserve">لمّا مضى كلّهم لصلبه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مستترين بعده بحسبه</w:t>
      </w:r>
    </w:p>
    <w:p>
      <w:pPr>
        <w:pStyle w:val="BookText"/>
        <w:rPr/>
      </w:pPr>
      <w:r>
        <w:rPr>
          <w:rFonts w:ascii="Amiri" w:hAnsi="Amiri" w:eastAsia="Amiri" w:cs="Amiri"/>
          <w:color w:val="111111"/>
          <w:sz w:val="28"/>
          <w:sz w:val="28"/>
          <w:szCs w:val="28"/>
          <w:rtl w:val="true"/>
          <w:lang w:bidi="ar-SA"/>
        </w:rPr>
        <w:t xml:space="preserve">قد دخلوا في جملة الرعية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لشدة المحنة و الرزية</w:t>
      </w:r>
    </w:p>
    <w:p>
      <w:pPr>
        <w:pStyle w:val="BookText"/>
        <w:rPr/>
      </w:pPr>
      <w:r>
        <w:rPr>
          <w:rFonts w:ascii="Amiri" w:hAnsi="Amiri" w:eastAsia="Amiri" w:cs="Amiri"/>
          <w:color w:val="111111"/>
          <w:sz w:val="28"/>
          <w:sz w:val="28"/>
          <w:szCs w:val="28"/>
          <w:rtl w:val="true"/>
          <w:lang w:bidi="ar-SA"/>
        </w:rPr>
        <w:t xml:space="preserve">و كلهم له دعاة تسري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دعوة في الناس كانت تجري</w:t>
      </w:r>
    </w:p>
    <w:p>
      <w:pPr>
        <w:pStyle w:val="BookText"/>
        <w:rPr/>
      </w:pPr>
      <w:r>
        <w:rPr>
          <w:rFonts w:ascii="Amiri" w:hAnsi="Amiri" w:eastAsia="Amiri" w:cs="Amiri"/>
          <w:color w:val="111111"/>
          <w:sz w:val="28"/>
          <w:sz w:val="28"/>
          <w:szCs w:val="28"/>
          <w:rtl w:val="true"/>
          <w:lang w:bidi="ar-SA"/>
        </w:rPr>
        <w:t xml:space="preserve">يعرفهم في كل عصر و 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حين و أوان، كلُّ مَن</w:t>
      </w:r>
    </w:p>
    <w:p>
      <w:pPr>
        <w:pStyle w:val="BookText"/>
        <w:rPr/>
      </w:pPr>
      <w:r>
        <w:rPr>
          <w:rFonts w:ascii="Amiri" w:hAnsi="Amiri" w:eastAsia="Amiri" w:cs="Amiri"/>
          <w:color w:val="111111"/>
          <w:sz w:val="28"/>
          <w:sz w:val="28"/>
          <w:szCs w:val="28"/>
          <w:rtl w:val="true"/>
          <w:lang w:bidi="ar-SA"/>
        </w:rPr>
        <w:t xml:space="preserve">والاهم، و كلُّ أوليائهم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ما علم من أسمائهم</w:t>
      </w:r>
    </w:p>
    <w:p>
      <w:pPr>
        <w:pStyle w:val="BookText"/>
        <w:rPr/>
      </w:pPr>
      <w:r>
        <w:rPr>
          <w:rFonts w:ascii="Amiri" w:hAnsi="Amiri" w:eastAsia="Amiri" w:cs="Amiri"/>
          <w:color w:val="111111"/>
          <w:sz w:val="28"/>
          <w:sz w:val="28"/>
          <w:szCs w:val="28"/>
          <w:rtl w:val="true"/>
          <w:lang w:bidi="ar-SA"/>
        </w:rPr>
        <w:t xml:space="preserve">و لم يكن يمنعني من ذكرهم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احتفاظي بمصون سرهم</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 xml:space="preserve">و ليس لي بأن أقول جهراً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قد أُُدّي إليّ سرّاً</w:t>
      </w:r>
    </w:p>
    <w:p>
      <w:pPr>
        <w:pStyle w:val="BookText"/>
        <w:rPr/>
      </w:pPr>
      <w:r>
        <w:rPr>
          <w:rFonts w:ascii="Amiri" w:hAnsi="Amiri" w:eastAsia="Amiri" w:cs="Amiri"/>
          <w:color w:val="111111"/>
          <w:sz w:val="28"/>
          <w:sz w:val="28"/>
          <w:szCs w:val="28"/>
          <w:rtl w:val="true"/>
          <w:lang w:bidi="ar-SA"/>
        </w:rPr>
        <w:t xml:space="preserve">و هم على الجملة كانوا استتروا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يكونوا إذ تولّوا ظهروا</w:t>
      </w:r>
    </w:p>
    <w:p>
      <w:pPr>
        <w:pStyle w:val="BookText"/>
        <w:rPr/>
      </w:pPr>
      <w:r>
        <w:rPr>
          <w:rFonts w:ascii="Amiri" w:hAnsi="Amiri" w:eastAsia="Amiri" w:cs="Amiri"/>
          <w:color w:val="111111"/>
          <w:sz w:val="28"/>
          <w:sz w:val="28"/>
          <w:szCs w:val="28"/>
          <w:rtl w:val="true"/>
          <w:lang w:bidi="ar-SA"/>
        </w:rPr>
        <w:t xml:space="preserve">بل دخلوا في جملة السواد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لخوفهم من سطوة الأعادي</w:t>
      </w:r>
    </w:p>
    <w:p>
      <w:pPr>
        <w:pStyle w:val="BookText"/>
        <w:rPr/>
      </w:pPr>
      <w:r>
        <w:rPr>
          <w:rFonts w:ascii="Amiri" w:hAnsi="Amiri" w:eastAsia="Amiri" w:cs="Amiri"/>
          <w:color w:val="111111"/>
          <w:sz w:val="28"/>
          <w:sz w:val="28"/>
          <w:szCs w:val="28"/>
          <w:rtl w:val="true"/>
          <w:lang w:bidi="ar-SA"/>
        </w:rPr>
        <w:t xml:space="preserve">حتى إذا انتهى الكتاب أجله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صار أمر اللّٰه فيمن جعله</w:t>
      </w:r>
    </w:p>
    <w:p>
      <w:pPr>
        <w:pStyle w:val="BookText"/>
        <w:rPr/>
      </w:pPr>
      <w:r>
        <w:rPr>
          <w:rFonts w:ascii="Amiri" w:hAnsi="Amiri" w:eastAsia="Amiri" w:cs="Amiri"/>
          <w:color w:val="111111"/>
          <w:sz w:val="28"/>
          <w:sz w:val="28"/>
          <w:szCs w:val="28"/>
          <w:rtl w:val="true"/>
          <w:lang w:bidi="ar-SA"/>
        </w:rPr>
        <w:t xml:space="preserve">بمنّه مفتاحَ قفل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أيّده بالنصر و التمكين</w:t>
      </w:r>
      <w:r>
        <w:rPr>
          <w:rStyle w:val="FootnoteAnchor"/>
          <w:rtl w:val="true"/>
        </w:rPr>
        <w:footnoteReference w:id="178"/>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ينبغي إلفات القارئ إليه انّ القاضي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الأُرجوزة المختارة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ذكر في المقام استتار الأئمة بعد رحيل الإمام الصادق و هو يوافق عقيدة الإسماعيلية، لكنّه في مقام الرد و النقد، رد على جميع الفرق الشيعية ما عدا الإمامية الاثني عشرية، فقد رد على مقالات الحريرية، الراوندية، الحصينية، الزيدية، الجارودية، البترية، المغيرية، الكيسانية، الكربية، البيانية، المختارية، الحارثية، </w:t>
      </w:r>
    </w:p>
    <w:p>
      <w:pPr>
        <w:pStyle w:val="BookText"/>
        <w:rPr/>
      </w:pPr>
      <w:r>
        <w:rPr>
          <w:rFonts w:ascii="Amiri" w:hAnsi="Amiri" w:eastAsia="Amiri" w:cs="Amiri"/>
          <w:color w:val="111111"/>
          <w:sz w:val="28"/>
          <w:sz w:val="28"/>
          <w:szCs w:val="28"/>
          <w:rtl w:val="true"/>
          <w:lang w:bidi="ar-SA"/>
        </w:rPr>
        <w:t>العباسية، الرزامية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يردّ على الإمامية بشيء فلو لم يكن المذهب الاثنا عشري مرضيّاً عنده لما فاته التعرض عليه، كيف و هو من أعظم فرق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يدل على أنّ المؤلف كان إمامياً اثني عشرياً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رأي المحدّث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يعيش في حال التقية في عصر الخليفة الفاطمي المعزّ بدين اللّٰه في القاهرة و يجاريه، و قد ألف دعائم الإسلام، الذي اعتمدت عليه الإسماعيلية و الاثنا عشرية، و إنّما المهم هو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 الدعائم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انفرد المذهب الإسماعيلي في الاعتماد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كان هناك مبرر لتأليف هذا الكتاب و ما ماثله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سيوافيك ما يخالف هذا الرأي في الفصل الثالث عشر ضمن ترجمة أبي حنيفة النعمان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تمت ترجمة سيرة الأئمّة المستورين، فلو جعلنا إسماعيل بن جعفر أوّل الأئمّة، فالأئمّة المستورون خمسة و 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جعفر، و قد عرفت أنّه لم تكن له أيّة دعوة، و إنّما ذكرناه في هذه القائمة مجاراة للقوم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إسماعيل، و لم تثبت عندنا له دعوة، بل كان يتعاطى مع هارون الرشيد على 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إسماعيل، المعروف بالوفي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أحمد بن عبد اللّٰه، المعروف بالتقي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أحمد، المعروف بالرضي</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هذا فالإمام السادس أعني عبيد اللّٰه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خرج عن كهف الاستتار، و أسّس دولة إسماعيلية بإفريقية هو ابن الإمام السابق،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أحمد، و على ذلك جرى مؤرخو الإسماعيلية فيذكرونه ابناً للإمام السابق، و مع </w:t>
      </w:r>
      <w:bookmarkStart w:id="153" w:name="pg11557_101270"/>
    </w:p>
    <w:p>
      <w:pPr>
        <w:pStyle w:val="BookText"/>
        <w:rPr/>
      </w:pPr>
      <w:bookmarkEnd w:id="153"/>
      <w:r>
        <w:rPr>
          <w:rFonts w:ascii="Amiri" w:hAnsi="Amiri" w:eastAsia="Amiri" w:cs="Amiri"/>
          <w:color w:val="111111"/>
          <w:sz w:val="28"/>
          <w:sz w:val="28"/>
          <w:szCs w:val="28"/>
          <w:rtl w:val="true"/>
          <w:lang w:bidi="ar-SA"/>
        </w:rPr>
        <w:t>ذلك ففي نسبه خلاف كما سيوافيك تفصيله</w:t>
      </w:r>
      <w:r>
        <w:rPr>
          <w:rFonts w:eastAsia="Amiri" w:cs="Amiri" w:ascii="Amiri" w:hAnsi="Amiri"/>
          <w:color w:val="111111"/>
          <w:sz w:val="28"/>
          <w:szCs w:val="28"/>
          <w:rtl w:val="true"/>
          <w:lang w:bidi="ar-SA"/>
        </w:rPr>
        <w:t>.</w:t>
      </w:r>
    </w:p>
    <w:p>
      <w:pPr>
        <w:pStyle w:val="Heading3"/>
        <w:numPr>
          <w:ilvl w:val="2"/>
          <w:numId w:val="1"/>
        </w:numPr>
        <w:rPr/>
      </w:pPr>
      <w:bookmarkStart w:id="154" w:name="__RefHeading___Toc4284137_73709187"/>
      <w:bookmarkStart w:id="155" w:name="_Toc52"/>
      <w:bookmarkEnd w:id="154"/>
      <w:r>
        <w:rPr>
          <w:rtl w:val="true"/>
        </w:rPr>
        <w:t>تتمة</w:t>
      </w:r>
      <w:bookmarkEnd w:id="155"/>
    </w:p>
    <w:p>
      <w:pPr>
        <w:pStyle w:val="BookText"/>
        <w:rPr/>
      </w:pPr>
      <w:r>
        <w:rPr>
          <w:rFonts w:ascii="Amiri" w:hAnsi="Amiri" w:eastAsia="Amiri" w:cs="Amiri"/>
          <w:color w:val="111111"/>
          <w:sz w:val="28"/>
          <w:sz w:val="28"/>
          <w:szCs w:val="28"/>
          <w:rtl w:val="true"/>
          <w:lang w:bidi="ar-SA"/>
        </w:rPr>
        <w:t>الموجود في كتب أنساب الطالبيين أنّ محمد بن إسماعيل بن جعفر الصادق لم يعقّب إلّا من رجلين، و لم يتعرّضوا لعبد اللّٰه بن محمد، فضلاً عن أحمد بن عبد اللّٰه و ولده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لمحمد بن إسماعيل هذا من الأولاد المعقبين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الثاني، و جعفر الأكبر السلامي</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و قال أبو طالب الأزوَرقاني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عقّب محمد من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الأكبر السلامي، و إسماعيل الثاني</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و قال ابن عنبة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أعقب محمد بن إسماعيل من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الثاني، و جعفر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السلامي</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نعم ذكر الشهرستاني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ثلاثة من أولاد محمد بن إسماعيل بقوا مستورين لا وقوف لأحد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الرضي، و الوفي، و التقي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رَبِّي أَعْلَمُ بِعِدَّتِهِمْ مٰا يَعْلَمُهُمْ إِلاّٰ قَلِيلٌ</w:t>
      </w:r>
      <w:r>
        <w:rPr>
          <w:rFonts w:eastAsia="Amiri" w:cs="Amiri" w:ascii="Amiri" w:hAnsi="Amiri"/>
          <w:color w:val="111111"/>
          <w:sz w:val="28"/>
          <w:szCs w:val="28"/>
          <w:rtl w:val="true"/>
          <w:lang w:bidi="ar-SA"/>
        </w:rPr>
        <w:t>»</w:t>
      </w:r>
      <w:r>
        <w:rPr>
          <w:rStyle w:val="FootnoteAnchor"/>
          <w:rtl w:val="true"/>
        </w:rPr>
        <w:footnoteReference w:id="182"/>
      </w:r>
      <w:r>
        <w:rPr>
          <w:rFonts w:ascii="Amiri" w:hAnsi="Amiri" w:eastAsia="Amiri" w:cs="Amiri"/>
          <w:color w:val="111111"/>
          <w:sz w:val="28"/>
          <w:sz w:val="28"/>
          <w:szCs w:val="28"/>
          <w:rtl w:val="true"/>
          <w:lang w:bidi="ar-SA"/>
        </w:rPr>
        <w:t>ثمّ ظهر المهدي بالمغرب و بنى المهدية</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و لكن ما ذكره الشهرستاني رأي تفرّد به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لذلك نرى أنّ بعض علماء الأنساب جعل أئمّة الإسماعيلية على الترتيب التالي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الإمام جعفر الصادق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إسماعيل بن جعفر الصادق، المعروف بالمكتوم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السلامي، المعروف بالمصدق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المعروف بالحبيب</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المهدي ابن محمد الحبيب، و عليه يكون المهدي الإمام الخامس</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بعض الروايات انّه ابن جعفر بن الحسن بن الحسن، بن محمد بن جعفر الشاعر السلامي بن محمد بن إسماعيل</w:t>
      </w:r>
      <w:r>
        <w:rPr>
          <w:rFonts w:eastAsia="Amiri" w:cs="Amiri" w:ascii="Amiri" w:hAnsi="Amiri"/>
          <w:color w:val="111111"/>
          <w:sz w:val="28"/>
          <w:szCs w:val="28"/>
          <w:rtl w:val="true"/>
          <w:lang w:bidi="ar-SA"/>
        </w:rPr>
        <w:t>.</w:t>
      </w:r>
      <w:r>
        <w:rPr>
          <w:rStyle w:val="FootnoteAnchor"/>
          <w:rtl w:val="true"/>
        </w:rPr>
        <w:footnoteReference w:id="185"/>
      </w:r>
      <w:bookmarkStart w:id="156" w:name="pg11557_101272"/>
    </w:p>
    <w:p>
      <w:pPr>
        <w:pStyle w:val="Heading2"/>
        <w:numPr>
          <w:ilvl w:val="1"/>
          <w:numId w:val="1"/>
        </w:numPr>
        <w:rPr/>
      </w:pPr>
      <w:bookmarkStart w:id="157" w:name="__RefHeading___Toc4284139_73709187"/>
      <w:bookmarkStart w:id="158" w:name="_Toc53"/>
      <w:bookmarkEnd w:id="156"/>
      <w:bookmarkEnd w:id="157"/>
      <w:r>
        <w:rPr>
          <w:rtl w:val="true"/>
        </w:rPr>
        <w:t>الفصل السادس</w:t>
      </w:r>
      <w:r>
        <w:rPr>
          <w:rtl w:val="true"/>
        </w:rPr>
        <w:t xml:space="preserve">: </w:t>
      </w:r>
      <w:r>
        <w:rPr>
          <w:rtl w:val="true"/>
        </w:rPr>
        <w:t>في الأئمة الظاهرين</w:t>
      </w:r>
      <w:r>
        <w:rPr>
          <w:rtl w:val="true"/>
        </w:rPr>
        <w:t>:</w:t>
      </w:r>
      <w:bookmarkEnd w:id="158"/>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9" w:name="__RefHeading___Toc4284141_73709187"/>
      <w:bookmarkStart w:id="160" w:name="_Toc54"/>
      <w:bookmarkEnd w:id="159"/>
      <w:r>
        <w:rPr>
          <w:rtl w:val="true"/>
        </w:rPr>
        <w:t>اشارة</w:t>
      </w:r>
      <w:bookmarkEnd w:id="160"/>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1" w:name="pg11557_101274"/>
      <w:bookmarkStart w:id="162" w:name="pg11557_101274"/>
      <w:bookmarkEnd w:id="162"/>
    </w:p>
    <w:p>
      <w:pPr>
        <w:pStyle w:val="Heading3"/>
        <w:numPr>
          <w:ilvl w:val="2"/>
          <w:numId w:val="1"/>
        </w:numPr>
        <w:rPr/>
      </w:pPr>
      <w:bookmarkStart w:id="163" w:name="pg11557_101274"/>
      <w:bookmarkStart w:id="164" w:name="__RefHeading___Toc4284143_73709187"/>
      <w:bookmarkStart w:id="165" w:name="_Toc55"/>
      <w:bookmarkEnd w:id="163"/>
      <w:bookmarkEnd w:id="164"/>
      <w:r>
        <w:rPr>
          <w:rtl w:val="true"/>
        </w:rPr>
        <w:t>الإمام السادس</w:t>
      </w:r>
      <w:r>
        <w:rPr>
          <w:rtl w:val="true"/>
        </w:rPr>
        <w:t xml:space="preserve">: </w:t>
      </w:r>
      <w:r>
        <w:rPr>
          <w:rtl w:val="true"/>
        </w:rPr>
        <w:t xml:space="preserve">عبيد اللّٰه المهدي </w:t>
      </w:r>
      <w:r>
        <w:rPr>
          <w:rtl w:val="true"/>
        </w:rPr>
        <w:t>(</w:t>
      </w:r>
      <w:r>
        <w:rPr/>
        <w:t>260</w:t>
      </w:r>
      <w:r>
        <w:rPr>
          <w:rtl w:val="true"/>
        </w:rPr>
        <w:t>-</w:t>
      </w:r>
      <w:r>
        <w:rPr/>
        <w:t>322</w:t>
      </w:r>
      <w:r>
        <w:rPr>
          <w:rtl w:val="true"/>
        </w:rPr>
        <w:t xml:space="preserve"> </w:t>
      </w:r>
      <w:r>
        <w:rPr>
          <w:rtl w:val="true"/>
        </w:rPr>
        <w:t>ه</w:t>
      </w:r>
      <w:r>
        <w:rPr>
          <w:rtl w:val="true"/>
        </w:rPr>
        <w:t>)</w:t>
      </w:r>
      <w:bookmarkEnd w:id="165"/>
    </w:p>
    <w:p>
      <w:pPr>
        <w:pStyle w:val="Heading4"/>
        <w:numPr>
          <w:ilvl w:val="3"/>
          <w:numId w:val="1"/>
        </w:numPr>
        <w:rPr/>
      </w:pPr>
      <w:bookmarkStart w:id="166" w:name="__RefHeading___Toc4284145_73709187"/>
      <w:bookmarkStart w:id="167" w:name="_Toc56"/>
      <w:bookmarkEnd w:id="166"/>
      <w:r>
        <w:rPr>
          <w:rtl w:val="true"/>
        </w:rPr>
        <w:t>اشارة</w:t>
      </w:r>
      <w:bookmarkEnd w:id="167"/>
    </w:p>
    <w:p>
      <w:pPr>
        <w:pStyle w:val="BookText"/>
        <w:rPr/>
      </w:pPr>
      <w:r>
        <w:rPr>
          <w:rFonts w:ascii="Amiri" w:hAnsi="Amiri" w:eastAsia="Amiri" w:cs="Amiri"/>
          <w:color w:val="111111"/>
          <w:sz w:val="28"/>
          <w:sz w:val="28"/>
          <w:szCs w:val="28"/>
          <w:rtl w:val="true"/>
          <w:lang w:bidi="ar-SA"/>
        </w:rPr>
        <w:t>الإمام عبيد اللّٰه الملقب بالمهدي، هو مؤسس الدولة الإسماعيلية في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بسلمية التي هي بلدة بالشام من اعمال حمص عام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دعي له بالخلافة على منابر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رقادة، و القيروان، يوم الجمعة لتسع بقين من شهر ربيع الآخر سنة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فخرجت بلاد المغرب عن ولاية بني العباس، و بنى البلدة المعروفة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توفي بها عام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سبرنا التاريخ نجد أنّ المؤرخين، و أصحاب المعاجم، لا يمسّون إسماعيل و لا الأئمّة الذين تلوه بكلمة مشينة، و إنّما يذكرونهم كسائر الفرق فلهم مالهم و عليهم ما عليهم، فلما وصل الأمر إلى عبيد اللّٰه الذي أسس دولة شيعية في المغرب و تعاقب على حكمها خلفاء تمكنوا من إرساء دعائمها و تقوية مرتكزاتها، ثارت ثائرة السنّة المعاندين، و أخذوا يصبّون عليهم قوارع الكلم، و يرمونهم بأفظع النسب و التهم، ممّا يندىٰ لها الجبين، و الذي دعاهم لذلك أمران</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عداؤهم السياسي، فهؤلاء الخلفاء أخرجوا المغرب و مصر و الشامات من قبضة الخليفة ببغداد، مما حرض البلاط العباسي و وعاظ الخلفاء على سبّهم و الطعن في نسبهم، و انّ نسب عبد اللّٰه المهدي لا يصل إلى آل علي، بل إلى مجوسي أو يهودي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بغضهم للشيعة، فلقد قام الخلفاء الفاطميون بتأسيس دولة إسلامية شيعية، لأوّل مرة في أقصاع كبيرة من الأرض و أشاعوا فيها التشيع، و حب أهل البيت، و أمروا بإدخال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الأذان، و ترك بعض البدع، كإقامة صلاة التراويح جماعة و غيرها، ممّا حدا بالمتعصبين من أهل السنّة كالذهبي، و من لف 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لا يقيم للأشاعرة من أهل العقائد و لا لغير الحنابلة من أهل الفقه وزناً و لا قيمة، فكيف للشيعة المنزهة للّٰه سبحانه عن الجسم و لوازمه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يسبّهم و يتّهمهم بتهم رخيصة، و انّهم من عناصر يهودية قلبوا الإسلام ظهراً لبطن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نرى في كتب التاريخ و المعاجم حول نسب عبيد اللّٰه المهدي،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وفيات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خلكان، و سير أعلام النبلاء للذهبي و غيرهما لا يمكن الاعتماد عليها و الوثوق بها، لأنّها وليدة أجواء العداء السياسي، و الاختلاف المذهبي، اللّذين يعميان و يصمان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هناك من رد تلك التهم المشينة من المؤرخين برحابة صدر كابن خلدون في مقدمته، و المقريزي في خططه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ابن خلدون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 عبيد اللّٰه المهدي بن محمد الحبيب بن جعفر الصادق</w:t>
      </w:r>
      <w:r>
        <w:rPr>
          <w:rStyle w:val="FootnoteAnchor"/>
          <w:rtl w:val="true"/>
        </w:rPr>
        <w:footnoteReference w:id="186"/>
      </w:r>
      <w:r>
        <w:rPr>
          <w:rFonts w:ascii="Amiri" w:hAnsi="Amiri" w:eastAsia="Amiri" w:cs="Amiri"/>
          <w:color w:val="111111"/>
          <w:sz w:val="28"/>
          <w:sz w:val="28"/>
          <w:szCs w:val="28"/>
          <w:rtl w:val="true"/>
          <w:lang w:bidi="ar-SA"/>
        </w:rPr>
        <w:t>بن محمد المكتوم بن</w:t>
      </w:r>
      <w:r>
        <w:rPr>
          <w:rStyle w:val="FootnoteAnchor"/>
          <w:rtl w:val="true"/>
        </w:rPr>
        <w:footnoteReference w:id="187"/>
      </w:r>
      <w:r>
        <w:rPr>
          <w:rFonts w:ascii="Amiri" w:hAnsi="Amiri" w:eastAsia="Amiri" w:cs="Amiri"/>
          <w:color w:val="111111"/>
          <w:sz w:val="28"/>
          <w:sz w:val="28"/>
          <w:szCs w:val="28"/>
          <w:rtl w:val="true"/>
          <w:lang w:bidi="ar-SA"/>
        </w:rPr>
        <w:t>جعفر الصادق، و لا عبرة بمن أنكر هذا النسب من أهل القيروان و غيرهم و بالمحضر الذي ثبت ببغداد أيام القادر بالطعن في نسبهم، و شهد فيه أعلام الأئمّة، و قد مرّ ذكرهم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كتاب المعتضد </w:t>
      </w:r>
    </w:p>
    <w:p>
      <w:pPr>
        <w:pStyle w:val="BookText"/>
        <w:rPr/>
      </w:pPr>
      <w:r>
        <w:rPr>
          <w:rFonts w:ascii="Amiri" w:hAnsi="Amiri" w:eastAsia="Amiri" w:cs="Amiri"/>
          <w:color w:val="111111"/>
          <w:sz w:val="28"/>
          <w:sz w:val="28"/>
          <w:szCs w:val="28"/>
          <w:rtl w:val="true"/>
          <w:lang w:bidi="ar-SA"/>
        </w:rPr>
        <w:t>إلى ابن الأغلب بالقيروان و ابن مدرار بسجلماسة يغريهم بالقبض عليه، لمّا سار إلى المغرب، شاهد بصحة نسبه، و شعر الشريف الرضي مسجل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شهدوا في المحضر فشهادتهم على السماع و هي ما علمت، و قد كان نسبهم ببغداد منكراً عند أعدائهم شيعة بني العباس منذ مائة سنة، فتلون الناس بمذهب أهل الدولة و جاءت شهادة عليه مع أنّها شهادة على النفي، مع أنّ طبيعة الوجود في الانقياد إليهم، و ظهور كلمتهم حتىٰ في مكة و المدينة أدل شيء علىٰ صحّة نسبهم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يجعل نسبهم في اليهودية و النصرانية ليعمونَ القدح و غيره، فكفاه ذلك اثماً و سفسفة</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 xml:space="preserve">ثمّ إنّ تقي الدين المقريزي بعد ما نقل أقوال المخالفين في حقّ عبيد اللّٰه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إنّهم وصفوه تارة بأنّه ابن مجوسي، و أُخرى أنّه ابن 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بالقضاء العادل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أقوال إن أنصفت تبيّن لك أنّها موضوعة، فإنّ بني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كانوا إذ ذاك على غاية من وفور العدد و جلالة القدر عند الشيعة، فما الحامل لشيعتهم على الإعراض عنهم و الدعاء لابن مجوسيّ أو لابن 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ممّا لا يفعله أحد و لو بلغ الغاية في الجهل و السخف، و إنّما جاء ذلك من قبل ضَعَفة خلفاء بني العباس عند ما غصوا بمكان الفاطميّين، فإنّهم كانوا قد اتصلت دولتهم نحواً من مائتين و سبعين سنة، و ملِكوا من بني العباس بلاد المغرب و مصر و الشام و ديارَ بكر و الحرمين و اليمن، و خطب لهم ببغداد نحو أربعين خطبة و عجزت عساكر بني العباس عن مقاومتهم</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فلاذت حينئذٍ بتنفير الكافة عنهم بإشاعة الطعن في نسبهم، و بث ذلك عنهم خلفاؤهم و أعجب به أولياؤهم و أُمراء دولتهم الذين كانوا يحاربون عساكر الفاطميين كي يدفعوا بذلك عن أنفسهم و سلطانهم معرّة العجز عن مقاومتهم، </w:t>
      </w:r>
    </w:p>
    <w:p>
      <w:pPr>
        <w:pStyle w:val="BookText"/>
        <w:rPr/>
      </w:pPr>
      <w:r>
        <w:rPr>
          <w:rFonts w:ascii="Amiri" w:hAnsi="Amiri" w:eastAsia="Amiri" w:cs="Amiri"/>
          <w:color w:val="111111"/>
          <w:sz w:val="28"/>
          <w:sz w:val="28"/>
          <w:szCs w:val="28"/>
          <w:rtl w:val="true"/>
          <w:lang w:bidi="ar-SA"/>
        </w:rPr>
        <w:t>و دفعهم عمّا غُلِبُوا عليه من ديار مصر، و الشام و الحرمين حتى اشتهر ذلك ببغداد، و أسجل القضاة بنفيهم من نسب العلويين، و شهد بذلك من أعلام الناس جماعة منهم الشريفان الرضي و المرتضى</w:t>
      </w:r>
      <w:r>
        <w:rPr>
          <w:rStyle w:val="FootnoteAnchor"/>
          <w:rtl w:val="true"/>
        </w:rPr>
        <w:footnoteReference w:id="189"/>
      </w:r>
      <w:r>
        <w:rPr>
          <w:rFonts w:ascii="Amiri" w:hAnsi="Amiri" w:eastAsia="Amiri" w:cs="Amiri"/>
          <w:color w:val="111111"/>
          <w:sz w:val="28"/>
          <w:sz w:val="28"/>
          <w:szCs w:val="28"/>
          <w:rtl w:val="true"/>
          <w:lang w:bidi="ar-SA"/>
        </w:rPr>
        <w:t>و أبو حامد الاسفرائيني و القدوري في عدّة وافرة عند ما جمعوا لذلك في سنة اثنتين و أربعمائة أيام القادر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شهادة القوم في ذلك على السماع لما اشتهر، و عرف بين الناس ببغداد و أهلها من شيعة بني العباس، الطاعنون في هذا النسب، و المتطيّرون من بني علي ابن أبي طالب، الفاعلون فيهم منذ ابتداء دولتهم الأفاعيل القبيحة، فنقل الأخباريون و أهل التاريخ ذلك كما سمعوه، و رووه حسب ما تلقوه من غير تدبّر، و الحقّ من وراء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كفاك بكتاب المعتضد من خلائف بني العباس حجة، فإنّه كتب في شأن عبيد اللّٰه إلى ابن الأغلب بالقيروان و ابن مدرار بسجلماسة</w:t>
      </w:r>
      <w:r>
        <w:rPr>
          <w:rStyle w:val="FootnoteAnchor"/>
          <w:rtl w:val="true"/>
        </w:rPr>
        <w:footnoteReference w:id="190"/>
      </w:r>
      <w:r>
        <w:rPr>
          <w:rFonts w:ascii="Amiri" w:hAnsi="Amiri" w:eastAsia="Amiri" w:cs="Amiri"/>
          <w:color w:val="111111"/>
          <w:sz w:val="28"/>
          <w:sz w:val="28"/>
          <w:szCs w:val="28"/>
          <w:rtl w:val="true"/>
          <w:lang w:bidi="ar-SA"/>
        </w:rPr>
        <w:t xml:space="preserve">بالقبض على عبيد اللّٰه، فتفطّن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أعزك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لصحّة هذا الشاهد، فإنّ المعتضد لو لا صحّة نسب عبيد اللّٰه عنده ما كتب لمن ذكرنا بالقبض عليه، إذ القوم حينئذٍ لا يَدْعون لِدعيّ البتة و لا يذعنون له بوجه، و إنّما ينقادون لمن كان علويّاً، فخاف ممّا وقع، و لو كان عنده من الأدعياء، لما مرّ له بفكر و لا خافه على ضيعة من ضياع الأرض</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كان القوم،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علي بن أبي طالب، تحتَ ترقّب الخوف من بني العباس لتطلّبهم لهم في كلّ وقت، و قصدهم إيّاهم دائماً بأنواع من العقاب، فصاروا ما بين طريد شريد، و بين خائف يترقّب، و مع ذلك فإنّ لشيعتهم الكثيرة المنتشرة في أقطارهم من المحبة لهم، و الإقبال عليهم ما لا مزيد عليه، و تكرّر قيام </w:t>
      </w:r>
    </w:p>
    <w:p>
      <w:pPr>
        <w:pStyle w:val="BookText"/>
        <w:rPr/>
      </w:pPr>
      <w:r>
        <w:rPr>
          <w:rFonts w:ascii="Amiri" w:hAnsi="Amiri" w:eastAsia="Amiri" w:cs="Amiri"/>
          <w:color w:val="111111"/>
          <w:sz w:val="28"/>
          <w:sz w:val="28"/>
          <w:szCs w:val="28"/>
          <w:rtl w:val="true"/>
          <w:lang w:bidi="ar-SA"/>
        </w:rPr>
        <w:t>الرجال منهم مرّة بعد مرّة و الطلب عليهم من ورائهم، فلاذوا بالاختفاء و لم يكادوا يُعْرفُون، حتى تسمّى محمد بن إسماعيل الإمام جدُّ عبيد اللّٰه المهدي بالمكتوم، سمّاه بذلك الشيعة عند اتّفاقهم على إخفائه، حذراً من المتغلّبين عليهم، و كانت الشيعة فرقاً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 من كان يذهب إلى أنّ الإمام من ولد جعفر الصادق هو إسماعيل ابنه، و هؤلاء يعرفون من بين فرق الشيعة بالإسماعيلية من أجل انّهم يرون أنّ الإمام من بعد جعفر ابنه إسماعيل، و انّ الإمام بعد إسماعيل بن جعفر الصادق هو ابنه محمد المكتوم، و بعد ابنه محمد المكتوم، ابنه جعفر الصادق</w:t>
      </w:r>
      <w:r>
        <w:rPr>
          <w:rStyle w:val="FootnoteAnchor"/>
          <w:rtl w:val="true"/>
        </w:rPr>
        <w:footnoteReference w:id="191"/>
      </w:r>
      <w:r>
        <w:rPr>
          <w:rFonts w:ascii="Amiri" w:hAnsi="Amiri" w:eastAsia="Amiri" w:cs="Amiri"/>
          <w:color w:val="111111"/>
          <w:sz w:val="28"/>
          <w:sz w:val="28"/>
          <w:szCs w:val="28"/>
          <w:rtl w:val="true"/>
          <w:lang w:bidi="ar-SA"/>
        </w:rPr>
        <w:t>، و من بعد جعفر الصادق، ابنه محمد الحبيب، و كانوا أهل غلو في دعاويهم في هؤلاء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محمد بن جعفر هذا يؤمل ظهوره و انّه يصير له دولة، و كان باليمن من أهل هذا المذهب كثير بعدن و بإفريقية و في كتامة و نفره، تلقوا ذلك من عهد جعفر الصادق، فقدم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جعفر والد عبيد اللّٰه رجل من شيعته باليمن فبعث معه الحسن بن حوشب في سنة ثمان و ستين و مائتين، فأظهرا أمرهما باليمن، و أشهرا الدعوة في سنة سبعين، و صار لابن حوشب دولة بصنعاء، و بثّ الدعاة بأقطار الأرض، و كان من جملة دعاته أبو عبد اللّٰه الشيعي، فسيّره إلى المغرب فلقي كتامة و دعاهم، فلمّا مات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جعفر عهد لابنه عبيد اللّٰه فطلبه المكتفي العباسي و كان يسكن عسكر مكرم، فسار إلى الشام، ثمّ سار إلى المغرب فكان من أمره ما كان، و كانت رجال هذه الدولة الذين قاموا ببلاد المغرب و ديار مصر أربعة عشر رجلاً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خلاصة أخبارهم في أنسابهم، فتفطّن و لا تغتر بزخرف القول الذي لفّقوه من الطعن فيهم، و اللّٰه يهدي من يشاء</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و لا يظن القارئ الكريم انّ الكاتب بصدد الدفاع عن عقيدتهم و أُصولهم، و ما اقترفوه من الأعمال الشنيعة كسائر الخلفاء و الملوك، و إنّما الهدف إيقاف القارئ على بَخس حملة الأقلام لحق هؤلاء، و لو كان لآل البيت حرية و لم يكن لهم اضطهاد لما التجئوا إلى ترك أوطانهم و الهجرة إلى أقاصي البلاد هرباً ممّا يحيط بهم من الأخطار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نعم ما قال العزيز باللّٰه أحد الخلفاء الفاطميين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نحن بنو المصطفى ذوو محن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أوّلنا مبتلى و خاتمنا</w:t>
      </w:r>
    </w:p>
    <w:p>
      <w:pPr>
        <w:pStyle w:val="BookText"/>
        <w:rPr/>
      </w:pPr>
      <w:r>
        <w:rPr>
          <w:rFonts w:ascii="Amiri" w:hAnsi="Amiri" w:eastAsia="Amiri" w:cs="Amiri"/>
          <w:color w:val="111111"/>
          <w:sz w:val="28"/>
          <w:sz w:val="28"/>
          <w:szCs w:val="28"/>
          <w:rtl w:val="true"/>
          <w:lang w:bidi="ar-SA"/>
        </w:rPr>
        <w:t xml:space="preserve">عجيبة في الأيام محنَتنا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يجرعها في الحياة كاظمنا</w:t>
      </w:r>
    </w:p>
    <w:p>
      <w:pPr>
        <w:pStyle w:val="BookText"/>
        <w:rPr/>
      </w:pPr>
      <w:r>
        <w:rPr>
          <w:rFonts w:ascii="Amiri" w:hAnsi="Amiri" w:eastAsia="Amiri" w:cs="Amiri"/>
          <w:color w:val="111111"/>
          <w:sz w:val="28"/>
          <w:sz w:val="28"/>
          <w:szCs w:val="28"/>
          <w:rtl w:val="true"/>
          <w:lang w:bidi="ar-SA"/>
        </w:rPr>
        <w:t xml:space="preserve">يفرح هذا الورى بعيدهم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طرّاً و أعيادنا مآتمنا</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 xml:space="preserve">إنّ الباطل إذا خلص من شائبة الحق، لا يمكن أن يدوم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حاكماً،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أعوام منها على مصر، و على مساحات شاسعة من المغرب و الشام و العراق، فلم تكن الدعوة إلحادية، و لا مجوسية، و لا يهودية، بل دعوة إسلامية على نهج آل البيت، لكنّهم ضلّوا في الطريق، فأخذوا ببعض و تركوا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انّ الناس بايعوا الحاكم باللّٰه الإمام الحادي عشر و هو ابن خمس و ستين سنة ممّا يدلّل على أنّ قلوب الأُمّة كانت تهوي إليهم لمّا شاهدوا بأمّ أعينهم من إشاعة للعدل و عمران للبلاد، و بسط للثقافة و أمن للطرق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نسب المقريزي إلى الشريف الرضي من أنّه وافق القوم في نفي انتسابهم إلى البيت العلوي فيصفه ابن أبي الحديد و يقول</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أبو الحسن الصابي و ابنه غرس النعمة محمد في تاريخهما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القادر باللّٰه عقد مجلساً أحضر فيه الطاهر أبا أحمد الموسوي، و ابنه أبا القاسم المرتضىٰ و جماعة من القضاة و الشهود و الفقهاء، و أبرز إليهم أبيات الرضي أبي الحسن التي </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مقامي على الهَوان و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مِقْول صارِم و أنف حَمِيّ</w:t>
      </w:r>
    </w:p>
    <w:p>
      <w:pPr>
        <w:pStyle w:val="BookText"/>
        <w:rPr/>
      </w:pPr>
      <w:r>
        <w:rPr>
          <w:rFonts w:ascii="Amiri" w:hAnsi="Amiri" w:eastAsia="Amiri" w:cs="Amiri"/>
          <w:color w:val="111111"/>
          <w:sz w:val="28"/>
          <w:sz w:val="28"/>
          <w:szCs w:val="28"/>
          <w:rtl w:val="true"/>
          <w:lang w:bidi="ar-SA"/>
        </w:rPr>
        <w:t xml:space="preserve">و إباء مُحلِّقٌ بي عن الضي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 كما زاغَ طائر وحشيّ</w:t>
      </w:r>
    </w:p>
    <w:p>
      <w:pPr>
        <w:pStyle w:val="BookText"/>
        <w:rPr/>
      </w:pPr>
      <w:r>
        <w:rPr>
          <w:rFonts w:ascii="Amiri" w:hAnsi="Amiri" w:eastAsia="Amiri" w:cs="Amiri"/>
          <w:color w:val="111111"/>
          <w:sz w:val="28"/>
          <w:sz w:val="28"/>
          <w:szCs w:val="28"/>
          <w:rtl w:val="true"/>
          <w:lang w:bidi="ar-SA"/>
        </w:rPr>
        <w:t xml:space="preserve">أي عذر له إلى المجد إن 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غلام في غمده المشرفيّ</w:t>
      </w:r>
    </w:p>
    <w:p>
      <w:pPr>
        <w:pStyle w:val="BookText"/>
        <w:rPr/>
      </w:pPr>
      <w:r>
        <w:rPr>
          <w:rFonts w:ascii="Amiri" w:hAnsi="Amiri" w:eastAsia="Amiri" w:cs="Amiri"/>
          <w:color w:val="111111"/>
          <w:sz w:val="28"/>
          <w:sz w:val="28"/>
          <w:szCs w:val="28"/>
          <w:rtl w:val="true"/>
          <w:lang w:bidi="ar-SA"/>
        </w:rPr>
        <w:t xml:space="preserve">أحمل الضيمَ في بلاد الأعادي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بمصر الخليفةُ العلوي</w:t>
      </w:r>
    </w:p>
    <w:p>
      <w:pPr>
        <w:pStyle w:val="BookText"/>
        <w:rPr/>
      </w:pPr>
      <w:r>
        <w:rPr>
          <w:rFonts w:ascii="Amiri" w:hAnsi="Amiri" w:eastAsia="Amiri" w:cs="Amiri"/>
          <w:color w:val="111111"/>
          <w:sz w:val="28"/>
          <w:sz w:val="28"/>
          <w:szCs w:val="28"/>
          <w:rtl w:val="true"/>
          <w:lang w:bidi="ar-SA"/>
        </w:rPr>
        <w:t xml:space="preserve">من أبوه أبي، و مولاه مولا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 إذا ضامني البعيدُ القصيّ</w:t>
      </w:r>
    </w:p>
    <w:p>
      <w:pPr>
        <w:pStyle w:val="BookText"/>
        <w:rPr/>
      </w:pPr>
      <w:r>
        <w:rPr>
          <w:rFonts w:ascii="Amiri" w:hAnsi="Amiri" w:eastAsia="Amiri" w:cs="Amiri"/>
          <w:color w:val="111111"/>
          <w:sz w:val="28"/>
          <w:sz w:val="28"/>
          <w:szCs w:val="28"/>
          <w:rtl w:val="true"/>
          <w:lang w:bidi="ar-SA"/>
        </w:rPr>
        <w:t xml:space="preserve">لفَّ عِرقي بِعِرْقِه سيدا 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جميعاً محمد و عليّ</w:t>
      </w:r>
    </w:p>
    <w:p>
      <w:pPr>
        <w:pStyle w:val="BookText"/>
        <w:rPr/>
      </w:pPr>
      <w:r>
        <w:rPr>
          <w:rFonts w:ascii="Amiri" w:hAnsi="Amiri" w:eastAsia="Amiri" w:cs="Amiri"/>
          <w:color w:val="111111"/>
          <w:sz w:val="28"/>
          <w:sz w:val="28"/>
          <w:szCs w:val="28"/>
          <w:rtl w:val="true"/>
          <w:lang w:bidi="ar-SA"/>
        </w:rPr>
        <w:t>و قال القادر للنقيب أبي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لولدك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هوان قد أقام عليه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ضيم لقي من جهتنا؟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ذُلّ أصابه في مملكتنا؟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الذي يعمل معه صاحب مصر لو مضىٰ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كان يصنع إليه أكثر من صنيعنا؟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نولِّه النقابة؟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نولِّه المظالم؟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نستخلفه على الحرمين و الحجاز، و جعلناه أمير الحجيج؟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كان يحصل له من صاحب مصر أكثر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نظنّه كان يكون لو حصل عنده إلّا واحداً من أبناء الطالبيين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النقيب أبو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الشعر فممّا لم نسمعه منه، و لا رأيناه بخطه، و لا يبعد أن يكون بعضُ أعدائه نَحله إيّاه، و عزاه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كذلك، فلتكتب الآن محضراً يتضمن القدح في أنساب ولاة مصر، و يكتُب محمد خطه فيه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 محضراً بذلك، شهد فيه جميع من حضر المجلس، منهم النقيب أبو أحمد، و ابنه المرتضى، و حمل المحضر إلى الرضي ليكتب خطّه فيه، حَمَله أبوه و أخوه، فامتنع من سطر خطه،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أكتب و أخاف دعاة صاحب مصر، و أنكر الشعر، و كتب خطه و أقسم فيه أنّه ليس بشعره، و أنّه لا يعرفه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فأجبره أبوه علىٰ أن يكتب خطّه في المحضر، فلم يفعل،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دعاة المصريين و غيلتهم لي فانّهم معروفون بذلك، فقال أبوه</w:t>
      </w:r>
      <w:r>
        <w:rPr>
          <w:rFonts w:eastAsia="Amiri" w:cs="Amiri" w:ascii="Amiri" w:hAnsi="Amiri"/>
          <w:color w:val="111111"/>
          <w:sz w:val="28"/>
          <w:szCs w:val="28"/>
          <w:rtl w:val="true"/>
          <w:lang w:bidi="ar-SA"/>
        </w:rPr>
        <w:t xml:space="preserve">: </w:t>
      </w:r>
      <w:bookmarkStart w:id="168" w:name="pg11557_101281"/>
    </w:p>
    <w:p>
      <w:pPr>
        <w:pStyle w:val="BookText"/>
        <w:rPr/>
      </w:pPr>
      <w:bookmarkEnd w:id="168"/>
      <w:r>
        <w:rPr>
          <w:rFonts w:ascii="Amiri" w:hAnsi="Amiri" w:eastAsia="Amiri" w:cs="Amiri"/>
          <w:color w:val="111111"/>
          <w:sz w:val="28"/>
          <w:sz w:val="28"/>
          <w:szCs w:val="28"/>
          <w:rtl w:val="true"/>
          <w:lang w:bidi="ar-SA"/>
        </w:rPr>
        <w:t>يا عجباه، أ تخاف من بينك و بينه ستمائة فرسخ، و لا تخاف من بينك و بينه مائة 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حلف ألّا يكلّمه، و كذلك المرتضى، فعلا ذلك تقية و خوفاً من القادر، و تسكيناً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انتهى الأمر إلى القادر سكتَ على سوءٍ أضمره، و بعد ذلك بأيام صرفه عن النقابة، و ولّاها محمد بن عمر النهر السائسي</w:t>
      </w:r>
      <w:r>
        <w:rPr>
          <w:rFonts w:eastAsia="Amiri" w:cs="Amiri" w:ascii="Amiri" w:hAnsi="Amiri"/>
          <w:color w:val="111111"/>
          <w:sz w:val="28"/>
          <w:szCs w:val="28"/>
          <w:rtl w:val="true"/>
          <w:lang w:bidi="ar-SA"/>
        </w:rPr>
        <w:t>.</w:t>
      </w:r>
      <w:r>
        <w:rPr>
          <w:rStyle w:val="FootnoteAnchor"/>
          <w:rtl w:val="true"/>
        </w:rPr>
        <w:footnoteReference w:id="194"/>
      </w:r>
    </w:p>
    <w:p>
      <w:pPr>
        <w:pStyle w:val="Heading4"/>
        <w:numPr>
          <w:ilvl w:val="3"/>
          <w:numId w:val="1"/>
        </w:numPr>
        <w:rPr/>
      </w:pPr>
      <w:bookmarkStart w:id="169" w:name="__RefHeading___Toc4284147_73709187"/>
      <w:bookmarkStart w:id="170" w:name="_Toc57"/>
      <w:bookmarkEnd w:id="169"/>
      <w:r>
        <w:rPr>
          <w:rtl w:val="true"/>
        </w:rPr>
        <w:t>ذهاب عبيد اللّٰه إلى إفريقية</w:t>
      </w:r>
      <w:bookmarkEnd w:id="170"/>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تمكن أبو عبد اللّٰه و استقر أمره مهّد الطريق لإمامة عبيد اللّٰه المهدي، فبعثَ برجال من كتامة إلى سلمية في أرض الشام، فقدِموا على عبيد اللّٰه و أخبروه بما فتح اللّٰه عليه، و كان قد اشتهر هناك انّ الخليفة المكتفي طلبه، فخرج من سلَمية فارّاً و معه ابنه أبو القاسم نزار، و معهما أهلهما فأقاما بمصر مستقرين، ثمّ سار إلى طرابلس و قد سبقَ خبره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فسار إلى قسطيلية فقدم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الأغلب إلى عامل طرابلس بأخذ عبيد اللّٰه و قد فاتهم، فلم يدركوه، فرحل إلى سجلماسة و أقام بها، فوافىٰ عامله علىٰ سجلماسة كتاب زيادة اللّٰه، بالقبض علىٰ عبيد اللّٰه فلم يجد بداً من أن قبض عليه و سجنه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شهر رمضان سار أبو عبد اللّٰه من رقادة في جيوش عظيمة يريد سجلماسة، فحاربه اليسع يوماً كاملاً إلى الليل ثمّ فر عاملها في خاصته، فدخل أبو عبد اللّٰه من الغد إلى البلد و أخرج عبيد اللّٰه و ابنه و مشى في ركابهما بجميع رؤساء القبائل، و هو يقول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مولاكم، و هو يبكي من شدة الفرح حتى وصل بهما إلىٰ فسطاط و أقاما فيها أربعين يوماً، ثمّ سار إلى إفريقية في ربيع الآخر سنة سبع و تسعين و نزل برقادة، و قسّم علىٰ وجوه كتامة أعمال إفريقية</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و لكن العجب انّ عبيد اللّٰه جزىٰ أبا عبد اللّٰه الشيعي جزاء السنمار، و ذلك انّ المهدي لما استقامت له البلاد، و دانت له العباد، و باشر الأُمور بنفسه و كف يد أبي عبد اللّٰه و يد أخيه أبي العباس، داخل أبا العباس الحسد و عظم عليه الفطام عن الأمر و النهي و الأخذ و العطاء، فأقبل يزري على المهدي في مجلس أخيه و يتكلّم فيه و أخوه ينهاه و لا يرضىٰ فعله فلا يزيده ذلك إلّا لجاجاً، و لم يزل حتى أثّر في قلب أخيه و كلّ ذلك يصل إلى المهدي و هو يتغافل، ثمّ صار أبو العباس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ليس الذي كنّا نعتقد طاعتَه و ندعو إليه، لأنّ المهدي يختم بالحجة و يأتي بالآيات الباهرة، فأخذ قوله بقلوب كثير من الناس، منهم إنسان في كتامة يقال له شيخ المشايخ، فواجه المهدي بذلك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المهدي، فأظهر لنا آية فقد شككنا فيك، فقتله، فخافه أبو عبد اللّٰه و علم أنّ المهدي قد تغيّر عليه و اتّفق هو و أخوه و من معهما على الاجتماع عند أبي زاكي و عزموا علىٰ قتل المهدي، و اجتمع معهم قبائل كتامة إلّا قليلاً منهم و كان معهم رجل يظهر أنّه منهم و ينقل ما يجري إلى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وقف المهديّ علىٰ أمرهم حاربهم و أمر رجالاً معه أن يرصدوا أبا عبد اللّٰه و أخاه أبا العباس و يقتلوهما</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و لكن الإسماعيلية تنكر ذلك،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الأقوال لا يقرّها المنطق، و لا يمكن أن يصدّقها العقل، فلو كان أبو عبد اللّٰه الشيعي يبغي الخلافة لنفسه لكان باستطاعته أن يحصل عليها قبل قدوم الإمام محمد المهدي إلى إفريقية عند ما كانت جيوشه يربو عددها على المائة ألف مقاتل بينما كان الإمام المهدي في الرملة بطريقه إليه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عبد اللّٰه الشيعي قضى آخر أيّامه بقرب الإمام مخلِصاً له </w:t>
      </w:r>
    </w:p>
    <w:p>
      <w:pPr>
        <w:pStyle w:val="BookText"/>
        <w:rPr/>
      </w:pPr>
      <w:r>
        <w:rPr>
          <w:rFonts w:ascii="Amiri" w:hAnsi="Amiri" w:eastAsia="Amiri" w:cs="Amiri"/>
          <w:color w:val="111111"/>
          <w:sz w:val="28"/>
          <w:sz w:val="28"/>
          <w:szCs w:val="28"/>
          <w:rtl w:val="true"/>
          <w:lang w:bidi="ar-SA"/>
        </w:rPr>
        <w:t>حتّى أدركته الوفاة، فدفن باحتفال مهيب و صلّى عليه الإمام المهدي</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و لكن فات الكاتب أنّ أبا عبد اللّٰه الشيعي و إن كان لا يبغي الخلافة لنفسه لفقدانه الرصيد الشعبي، و مع ذلك كان يتطلع للمشاركة في الأُمور، و قد حال المهدي دون ذلك، فعند ذلك ثارت ثائرته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تآمر على إمامه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هناك نكتة أُخرى هامة و هي أنّ النبي صلّى اللّٰه عليه و آله و سلّم أخبر عن خروج المهدي في آخر الزمان، و انّه يملك الشرق و الغرب، و يجري القسط و العدل بين الناس، فاتخذ المهدي هذا الخبر الذائع الصيت ذريعة لاستقطاب الناس حوله، و قد سمّى نفسه محمّداً، و لقب نفسه بالمهدي فتقمّص أوصاف المهدي الذي أخبر به النبي صلّى اللّٰه عليه و آله و سلّم، ليتخذها وسيلة لتحقيق مآربه و انّه مفترض الطاعة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مات عبيد اللّٰه في ليلة الثلاثاء منتصف شهر ربيع الأوّل سنة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بالمهدية في القيروان عن ثلاث و ستين سنة، و كانت خلافته أربعاً و عشرين سنة و شهراً و عشرين يوماً، و قام بعده ابنه</w:t>
      </w:r>
      <w:r>
        <w:rPr>
          <w:rFonts w:eastAsia="Amiri" w:cs="Amiri" w:ascii="Amiri" w:hAnsi="Amiri"/>
          <w:color w:val="111111"/>
          <w:sz w:val="28"/>
          <w:szCs w:val="28"/>
          <w:rtl w:val="true"/>
          <w:lang w:bidi="ar-SA"/>
        </w:rPr>
        <w:t xml:space="preserve">. </w:t>
      </w:r>
      <w:bookmarkStart w:id="171" w:name="pg11557_101284"/>
    </w:p>
    <w:p>
      <w:pPr>
        <w:pStyle w:val="Heading3"/>
        <w:numPr>
          <w:ilvl w:val="2"/>
          <w:numId w:val="1"/>
        </w:numPr>
        <w:rPr/>
      </w:pPr>
      <w:bookmarkStart w:id="172" w:name="__RefHeading___Toc4284149_73709187"/>
      <w:bookmarkStart w:id="173" w:name="_Toc58"/>
      <w:bookmarkEnd w:id="171"/>
      <w:bookmarkEnd w:id="172"/>
      <w:r>
        <w:rPr>
          <w:rtl w:val="true"/>
        </w:rPr>
        <w:t>الإمام السابع</w:t>
      </w:r>
      <w:r>
        <w:rPr>
          <w:rtl w:val="true"/>
        </w:rPr>
        <w:t xml:space="preserve">: </w:t>
      </w:r>
      <w:r>
        <w:rPr>
          <w:rtl w:val="true"/>
        </w:rPr>
        <w:t xml:space="preserve">القائم بأمر اللّٰه </w:t>
      </w:r>
      <w:r>
        <w:rPr>
          <w:rtl w:val="true"/>
        </w:rPr>
        <w:t>(</w:t>
      </w:r>
      <w:r>
        <w:rPr/>
        <w:t>280</w:t>
      </w:r>
      <w:r>
        <w:rPr>
          <w:rtl w:val="true"/>
        </w:rPr>
        <w:t>-</w:t>
      </w:r>
      <w:r>
        <w:rPr/>
        <w:t>334</w:t>
      </w:r>
      <w:r>
        <w:rPr>
          <w:rtl w:val="true"/>
        </w:rPr>
        <w:t xml:space="preserve"> </w:t>
      </w:r>
      <w:r>
        <w:rPr>
          <w:rtl w:val="true"/>
        </w:rPr>
        <w:t>ه</w:t>
      </w:r>
      <w:r>
        <w:rPr>
          <w:rtl w:val="true"/>
        </w:rPr>
        <w:t>)</w:t>
      </w:r>
      <w:bookmarkEnd w:id="173"/>
    </w:p>
    <w:p>
      <w:pPr>
        <w:pStyle w:val="BookText"/>
        <w:rPr/>
      </w:pPr>
      <w:r>
        <w:rPr>
          <w:rFonts w:ascii="Amiri" w:hAnsi="Amiri" w:eastAsia="Amiri" w:cs="Amiri"/>
          <w:color w:val="111111"/>
          <w:sz w:val="28"/>
          <w:sz w:val="28"/>
          <w:szCs w:val="28"/>
          <w:rtl w:val="true"/>
          <w:lang w:bidi="ar-SA"/>
        </w:rPr>
        <w:t xml:space="preserve">ولد الإمام القائم بأمر اللّٰه، ابن الإمام عبيد اللّٰه المهدي، في محرم سنة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ارتحل مع أبيه الإمام محمد المهدي إلى المغرب، و عَهد إليه بالإمامة من بعده حسب الأُصول الإسماعيلية، فاقتفى إثر أبيه و خطا خطاه، و نهج نهجه، و عمل جاهداً على تعزيز و ازدهار الدعوة الإسماعيلية، و تعميمها في جميع البلدان و الأقاليم، و وجّه اهتمامَه الزائد لتنظيم و تقويةَ البحرية الإسماعيلية، فشكل اسطولاً عظيماً، تمكن بواسطته من قهر العصابات البحرية المالطية، التي كانت تأتي بأعمال القرصنة لغزو البلاد الإسماعيلية، و قيامهم بأعمال النهب و السلب و التخريب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احتلَّ الاسطول الإسماعيلي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لونبارتي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غرناطة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 من البلاد الايطالية التي كانت خاضعة لحكم الروم، كما فتح الإسماعيلية جزيرة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صقليا</w:t>
      </w:r>
      <w:r>
        <w:rPr>
          <w:rFonts w:eastAsia="Amiri" w:cs="Amiri" w:ascii="Amiri" w:hAnsi="Amiri"/>
          <w:color w:val="111111"/>
          <w:sz w:val="28"/>
          <w:szCs w:val="28"/>
          <w:rtl w:val="true"/>
          <w:lang w:bidi="ar-SA"/>
        </w:rPr>
        <w:t>».</w:t>
      </w:r>
      <w:r>
        <w:rPr>
          <w:rStyle w:val="FootnoteAnchor"/>
          <w:rtl w:val="true"/>
        </w:rPr>
        <w:footnoteReference w:id="198"/>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المقريزي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اسمه بالمشرق عبد الرحمن فتسمىٰ في بلاد المغرب بمحمد، فلما فرغ من جميع ما يريده و تمكّن، أظهر موتَ أبيه، و استقلّ بالأمر و له سبع و أربعون سنة، و تبع سيرة أبيه، و ثار عليه جماعة فظفر بهم، و بثّ جيوشَه في البرّ و البحر فسبَوا و غَنِمُوا من بلد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بعث جيشاً إلى مصر فملكوا </w:t>
      </w:r>
    </w:p>
    <w:p>
      <w:pPr>
        <w:pStyle w:val="BookText"/>
        <w:rPr/>
      </w:pPr>
      <w:r>
        <w:rPr>
          <w:rFonts w:ascii="Amiri" w:hAnsi="Amiri" w:eastAsia="Amiri" w:cs="Amiri"/>
          <w:color w:val="111111"/>
          <w:sz w:val="28"/>
          <w:sz w:val="28"/>
          <w:szCs w:val="28"/>
          <w:rtl w:val="true"/>
          <w:lang w:bidi="ar-SA"/>
        </w:rPr>
        <w:t xml:space="preserve">الاسكندرية، و الاخشيد يومئذٍ أمير مصر، فلما كان في سنة ثلاث و ثلاثين و ثلاثمائة خرج عليه أبو يزيد مخلد بن كندار النكاري الخارجي بإفريقية، و اشتدّت شوكتُه و كثرت أتباعه، و هزمَ جيوشَ القائم غير مرة، و كان مذهبه تكفير أهل الملّة، و إراقة دمائهم ديانة، فملك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حرّقها، و قتل الأطفال، و سبى النسوان، ثمّ ملك القيروان، فاضطرب القائم، و خاف الناس، و همّوا بالنقلة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قوى أمر أبي يزيد و نازل المهدية و حصر القائم بها، و كاد أن يغلب عليها، فلما بلغ المصلّىٰ حيث أشار المهدي أنّه يصل، هزمه أصحاب القائم و قتلوا كثيراً من أصحابه، و كانت له قصص و أنباء، إلى أن مات القائم لثلاث عشرة خلت من شوال سنة أربع و ثلاثين و ثلاثمائة، عن أربع و خمسين سنة و تسعة أشهر، و لم يرق منبراً، و لا ركب دابّة لصيدٍ مدّة خلافته حتى مات، و صلى مرّةً على جنازةٍ، و صلى بالناس العيدَ مرة واحدة، و كانت مدّة خلافته اثنتي عشرة سنة و ستة أشهر و أيّاماً، و ترك أبا الظاهر إسماعيل، و أبا عبد اللّٰه جعفر أو حمزة، و عدنان، و عدّة أُخر، و قام من بعده ابنه</w:t>
      </w:r>
      <w:r>
        <w:rPr>
          <w:rFonts w:eastAsia="Amiri" w:cs="Amiri" w:ascii="Amiri" w:hAnsi="Amiri"/>
          <w:color w:val="111111"/>
          <w:sz w:val="28"/>
          <w:szCs w:val="28"/>
          <w:rtl w:val="true"/>
          <w:lang w:bidi="ar-SA"/>
        </w:rPr>
        <w:t>.</w:t>
      </w:r>
      <w:r>
        <w:rPr>
          <w:rStyle w:val="FootnoteAnchor"/>
          <w:rtl w:val="true"/>
        </w:rPr>
        <w:footnoteReference w:id="199"/>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الجزري في حوادث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هذه السنة توفي القائم بأمر اللّٰه، أبو القاسم محمد بن عبد اللّٰه المهدي العلوي صاحب إفريقية، لثلاث عشرة مضت من شوال، و قام بالأمر بعده ابنه إسماعيل، و تلقّب المنصور باللّٰه، و كتم موته</w:t>
      </w:r>
      <w:r>
        <w:rPr>
          <w:rStyle w:val="FootnoteAnchor"/>
          <w:rtl w:val="true"/>
        </w:rPr>
        <w:footnoteReference w:id="200"/>
      </w:r>
      <w:r>
        <w:rPr>
          <w:rFonts w:ascii="Amiri" w:hAnsi="Amiri" w:eastAsia="Amiri" w:cs="Amiri"/>
          <w:color w:val="111111"/>
          <w:sz w:val="28"/>
          <w:sz w:val="28"/>
          <w:szCs w:val="28"/>
          <w:rtl w:val="true"/>
          <w:lang w:bidi="ar-SA"/>
        </w:rPr>
        <w:t xml:space="preserve">خوفاً أن يعلم بذلك أبو يزيد، و هو بالقرب منه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أبقى الأُمور على حالها، و لم يتسمّ بالخليفة، و لم يغير السكّة، و لا الخطبة، و لا البنود، و بقي على ذلك إلى أن فرغ من أمر أبي يزيد، فلما فرغ منه أظهر موته، و تسمّى بالخلافة، و عمل آلات الحرب و المراكب، و كان شهماً شجاعاً، و ضبط الملك و البلاد</w:t>
      </w:r>
      <w:r>
        <w:rPr>
          <w:rFonts w:eastAsia="Amiri" w:cs="Amiri" w:ascii="Amiri" w:hAnsi="Amiri"/>
          <w:color w:val="111111"/>
          <w:sz w:val="28"/>
          <w:szCs w:val="28"/>
          <w:rtl w:val="true"/>
          <w:lang w:bidi="ar-SA"/>
        </w:rPr>
        <w:t>.</w:t>
      </w:r>
      <w:r>
        <w:rPr>
          <w:rStyle w:val="FootnoteAnchor"/>
          <w:rtl w:val="true"/>
        </w:rPr>
        <w:footnoteReference w:id="201"/>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ذكره الذهبي السلفي و بالغ في ذمه، و سلك في ترجمته نفس ما سلكه في ترجمة أبيه، و لأجل ذلك تركنا النقل عنه، و من أراد الوقوف عليه فليرجع إلى كتابه</w:t>
      </w:r>
      <w:r>
        <w:rPr>
          <w:rFonts w:eastAsia="Amiri" w:cs="Amiri" w:ascii="Amiri" w:hAnsi="Amiri"/>
          <w:color w:val="111111"/>
          <w:sz w:val="28"/>
          <w:szCs w:val="28"/>
          <w:rtl w:val="true"/>
          <w:lang w:bidi="ar-SA"/>
        </w:rPr>
        <w:t>.</w:t>
      </w:r>
      <w:r>
        <w:rPr>
          <w:rStyle w:val="FootnoteAnchor"/>
          <w:rtl w:val="true"/>
        </w:rPr>
        <w:footnoteReference w:id="202"/>
      </w:r>
      <w:bookmarkStart w:id="174" w:name="pg11557_101287"/>
    </w:p>
    <w:p>
      <w:pPr>
        <w:pStyle w:val="Heading3"/>
        <w:numPr>
          <w:ilvl w:val="2"/>
          <w:numId w:val="1"/>
        </w:numPr>
        <w:rPr/>
      </w:pPr>
      <w:bookmarkStart w:id="175" w:name="__RefHeading___Toc4284151_73709187"/>
      <w:bookmarkStart w:id="176" w:name="_Toc59"/>
      <w:bookmarkEnd w:id="174"/>
      <w:bookmarkEnd w:id="175"/>
      <w:r>
        <w:rPr>
          <w:rtl w:val="true"/>
        </w:rPr>
        <w:t>الإمام الثامن</w:t>
      </w:r>
      <w:r>
        <w:rPr>
          <w:rtl w:val="true"/>
        </w:rPr>
        <w:t xml:space="preserve">: </w:t>
      </w:r>
      <w:r>
        <w:rPr>
          <w:rtl w:val="true"/>
        </w:rPr>
        <w:t xml:space="preserve">الإمام المنصور باللّٰه </w:t>
      </w:r>
      <w:r>
        <w:rPr>
          <w:rtl w:val="true"/>
        </w:rPr>
        <w:t>(</w:t>
      </w:r>
      <w:r>
        <w:rPr/>
        <w:t>303</w:t>
      </w:r>
      <w:r>
        <w:rPr>
          <w:rtl w:val="true"/>
        </w:rPr>
        <w:t>-</w:t>
      </w:r>
      <w:r>
        <w:rPr/>
        <w:t>346</w:t>
      </w:r>
      <w:r>
        <w:rPr>
          <w:rtl w:val="true"/>
        </w:rPr>
        <w:t xml:space="preserve"> </w:t>
      </w:r>
      <w:r>
        <w:rPr>
          <w:rtl w:val="true"/>
        </w:rPr>
        <w:t>ه</w:t>
      </w:r>
      <w:r>
        <w:rPr>
          <w:rtl w:val="true"/>
        </w:rPr>
        <w:t>)</w:t>
      </w:r>
      <w:bookmarkEnd w:id="176"/>
    </w:p>
    <w:p>
      <w:pPr>
        <w:pStyle w:val="BookText"/>
        <w:rPr/>
      </w:pPr>
      <w:r>
        <w:rPr>
          <w:rFonts w:ascii="Amiri" w:hAnsi="Amiri" w:eastAsia="Amiri" w:cs="Amiri"/>
          <w:color w:val="111111"/>
          <w:sz w:val="28"/>
          <w:sz w:val="28"/>
          <w:szCs w:val="28"/>
          <w:rtl w:val="true"/>
          <w:lang w:bidi="ar-SA"/>
        </w:rPr>
        <w:t xml:space="preserve">ولد الإمام المنصور باللّٰه، إسماعيل بن الإمام القائم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جمادى الآخرة سنة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بالقيروان سنة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تسلّم شئون الإمامة بعد وفاة أبيه سنة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كان سياسيّاً عظيماً، و محارباً قديراً، و خطيباً من أفصح الخطباء و أبلغهم</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و قال المقريزي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في حرب أبي يزيد حتى ظفر به و حمل إليه فمات من جراحات كانت به، سلخ المحرّم سنة ست و ثلاثين و ثلاثمائة و لم يزل المنصور إلى أن مات سلخ شوال سنة إحدىٰ و أربعين و ثلاثمائة عن إحدىٰ و أربعين سنة و خمسة أشهر، و كانت مدّة خلافته ثمان سنين و قيل سبع سنين و عشرة أيّام، و قد اختلف في تاريخ ولادته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أوّل ليلة من جمادى الآخرة سنة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بالمهدية،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ولد في سنة اثنتين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إحدى و ثلاثمائة، و كان خطيباً بليغاً يرتجل الخطبة لوقته شجاعاً عاقلاً، و قام من بعده ابنه</w:t>
      </w:r>
      <w:r>
        <w:rPr>
          <w:rFonts w:eastAsia="Amiri" w:cs="Amiri" w:ascii="Amiri" w:hAnsi="Amiri"/>
          <w:color w:val="111111"/>
          <w:sz w:val="28"/>
          <w:szCs w:val="28"/>
          <w:rtl w:val="true"/>
          <w:lang w:bidi="ar-SA"/>
        </w:rPr>
        <w:t>.</w:t>
      </w:r>
      <w:r>
        <w:rPr>
          <w:rStyle w:val="FootnoteAnchor"/>
          <w:rtl w:val="true"/>
        </w:rPr>
        <w:footnoteReference w:id="204"/>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المؤرخ 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زال أبو يزيد هارباً و الجيوش تلاحقه حتى التجأ إلى جبل البربر، و جمع خلقاً كثيراً لمقابلة جيش الإمام المنصور، و لكنّه هزم،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فأدركه أحد الأُمراء الإسماعيليين و قبض عليه و ساقه إلى الإمام المنصور، و كان ذلك سنة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فقتله و أمر الإمام أن تبنىٰ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المنصورية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تيمّناً بذلك الانتصار العظيم، ثمّ عاد الإمام إلى المهدية في شهر رمضان عام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فعهد بالإمامة من بعده لولده المعز لدين اللّٰه، و توفي يوم الأحد في الثالث و العشرين من شوال سنة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و دفن جسده الطاهر في مدينة المنصورة، و قيل كانت وفاته سنة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و دفن بالمهدية</w:t>
      </w:r>
      <w:r>
        <w:rPr>
          <w:rFonts w:eastAsia="Amiri" w:cs="Amiri" w:ascii="Amiri" w:hAnsi="Amiri"/>
          <w:color w:val="111111"/>
          <w:sz w:val="28"/>
          <w:szCs w:val="28"/>
          <w:rtl w:val="true"/>
          <w:lang w:bidi="ar-SA"/>
        </w:rPr>
        <w:t>.</w:t>
      </w:r>
      <w:r>
        <w:rPr>
          <w:rStyle w:val="FootnoteAnchor"/>
          <w:rtl w:val="true"/>
        </w:rPr>
        <w:footnoteReference w:id="205"/>
      </w:r>
      <w:bookmarkStart w:id="177" w:name="pg11557_101289"/>
    </w:p>
    <w:p>
      <w:pPr>
        <w:pStyle w:val="Heading3"/>
        <w:numPr>
          <w:ilvl w:val="2"/>
          <w:numId w:val="1"/>
        </w:numPr>
        <w:rPr/>
      </w:pPr>
      <w:bookmarkStart w:id="178" w:name="__RefHeading___Toc4284153_73709187"/>
      <w:bookmarkStart w:id="179" w:name="_Toc60"/>
      <w:bookmarkEnd w:id="177"/>
      <w:bookmarkEnd w:id="178"/>
      <w:r>
        <w:rPr>
          <w:rtl w:val="true"/>
        </w:rPr>
        <w:t>الإمام التاسع</w:t>
      </w:r>
      <w:r>
        <w:rPr>
          <w:rtl w:val="true"/>
        </w:rPr>
        <w:t xml:space="preserve">: </w:t>
      </w:r>
      <w:r>
        <w:rPr>
          <w:rtl w:val="true"/>
        </w:rPr>
        <w:t xml:space="preserve">المعزّ لدين اللّٰه مؤسس الدولة الفاطمية في مصر </w:t>
      </w:r>
      <w:r>
        <w:rPr>
          <w:rtl w:val="true"/>
        </w:rPr>
        <w:t>(</w:t>
      </w:r>
      <w:r>
        <w:rPr/>
        <w:t>319</w:t>
      </w:r>
      <w:r>
        <w:rPr>
          <w:rtl w:val="true"/>
        </w:rPr>
        <w:t>-</w:t>
      </w:r>
      <w:r>
        <w:rPr/>
        <w:t>365</w:t>
      </w:r>
      <w:r>
        <w:rPr>
          <w:rtl w:val="true"/>
        </w:rPr>
        <w:t xml:space="preserve"> </w:t>
      </w:r>
      <w:r>
        <w:rPr>
          <w:rtl w:val="true"/>
        </w:rPr>
        <w:t>ه</w:t>
      </w:r>
      <w:r>
        <w:rPr>
          <w:rtl w:val="true"/>
        </w:rPr>
        <w:t>)</w:t>
      </w:r>
      <w:bookmarkEnd w:id="179"/>
    </w:p>
    <w:p>
      <w:pPr>
        <w:pStyle w:val="BookText"/>
        <w:rPr/>
      </w:pPr>
      <w:r>
        <w:rPr>
          <w:rFonts w:ascii="Amiri" w:hAnsi="Amiri" w:eastAsia="Amiri" w:cs="Amiri"/>
          <w:color w:val="111111"/>
          <w:sz w:val="28"/>
          <w:sz w:val="28"/>
          <w:szCs w:val="28"/>
          <w:rtl w:val="true"/>
          <w:lang w:bidi="ar-SA"/>
        </w:rPr>
        <w:t>و هو أوّل خليفة فاطمي ملك مصر و خرج إليها، و كان مغرىً بالنجوم و يعمل بأقوال المنجمين، و كان المعز عالماً، فاضلاً، جواداً، شجاعاً، جارياً على منهاج أبيه في حسن السيرة، و إنصاف الرعية، و ستر ما يدعون إليه إلّا عن الخاصة، ثمّ أظهره و أمر الدعاة بإظهاره إلّا أنّه لم يخرج فيه إلى حد يذم به</w:t>
      </w:r>
      <w:r>
        <w:rPr>
          <w:rFonts w:eastAsia="Amiri" w:cs="Amiri" w:ascii="Amiri" w:hAnsi="Amiri"/>
          <w:color w:val="111111"/>
          <w:sz w:val="28"/>
          <w:szCs w:val="28"/>
          <w:rtl w:val="true"/>
          <w:lang w:bidi="ar-SA"/>
        </w:rPr>
        <w:t>.</w:t>
      </w:r>
      <w:r>
        <w:rPr>
          <w:rStyle w:val="FootnoteAnchor"/>
          <w:rtl w:val="true"/>
        </w:rPr>
        <w:footnoteReference w:id="206"/>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المقريزي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المعز لدين اللّٰه أبو تميم،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للنصف من رمضان سنة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فانقاد إليه البربر و أحسن إليهم، فعظم أمره و اختص من مواليه،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كنّاه بأبي الحسين، و أعلى قدره، و سيّره في رتبة الوزارة، و عقدَ له علىٰ جيش كثيف، فدوّخ المغرب، و افتتح مدناً، و قهر عدّة أكابر و أسّرهم، حتى أتىٰ البحر المحيط الذي لا عمارة بعده، ثمّ قدم غانماً مظفراً، فعظم قدرُه عند المعزّ، و لما وصل الخبر إلى المعز بموت كافور الإخشيدي صاحب مصر أخذ في تجهيز جوهر بالعساكر إلى أخذ ديار مصر حتى تهيأ أمره، و برز للمسير، فلمّا ثبتت قدم جوهر بمصر، عزم المعز على المسير إلى مصر أجال فكره فيمن يخلفه في بلاد المغرب، فوقع اختياره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بن زيري الصنهاجي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تأهب لخلافة المغرب، </w:t>
      </w:r>
    </w:p>
    <w:p>
      <w:pPr>
        <w:pStyle w:val="BookText"/>
        <w:rPr/>
      </w:pPr>
      <w:r>
        <w:rPr>
          <w:rFonts w:ascii="Amiri" w:hAnsi="Amiri" w:eastAsia="Amiri" w:cs="Amiri"/>
          <w:color w:val="111111"/>
          <w:sz w:val="28"/>
          <w:sz w:val="28"/>
          <w:szCs w:val="28"/>
          <w:rtl w:val="true"/>
          <w:lang w:bidi="ar-SA"/>
        </w:rPr>
        <w:t>فأكبر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مولانا أنت و آباؤك الأئمة من ولد رسول اللّٰه صلّى اللّٰه عليه و آله و سلّم ما صفا لكم المغرب فكيف يصفو لي و أنا صنهاجيّ بربريّ؟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قتلتني يا مولانا بغير سيف و لا رمح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به المعز حتى أجاب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ملك جوهرُ مصر بادر حسن بن جعفر الحسني بالدعاء للمعز في مكة، و بعث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بالخبر، فسيّر إلى المعزّ يعرّفه بإقامة الدعوة له بمكة، فأنفذ إليه بتقليده الحرم و أعماله، و سار المعز بعساكره من المغرب حتى نزل بالجيزة، فعقد له جوهر جسراً جديداً عند المختار بالجزيرة، فسار إليه و قد زيّنت له مدينة الفسطاط فلم يشقها، و دخل إلى القاهرة بجميع أولاده و إخوته و سائر أولاد عبيد اللّٰه المهدي، و ذلك لسبع خلون من رمضان سنة اثنتين و ستين و ثلاثمائة، فعند ما دخل القصر صلّى ركعتين، و أمر فكتب في سائر مدن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الناس بعد رسول اللّٰه صلّى اللّٰه عليه و آله و سلّم أمير المؤمنين علي بن أبي طالب، و أثبت اسم المعزّ لدين اللّٰه و اسم أبيه عبد اللّٰه الأمير، و جلس في القصر علىٰ سرير الذهب، و صلّى بالناس صلاة عيد الفطر في المصلّىٰ، و ركب لفتح خليج مصر يوم الوفاء و عمل عيد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قدمت القرامطة إلى مصر فسير إليهم الجيوش و هزموهم، و ما زال إلى أن توفي من علة اعتلّها بعد دخوله إلى القاهرة بسنتين و سبعة أشهر و عشرة أيّام و عمره خمس و أربعون سنة و ستة أشهر تقريباً، فإنّ مولده بالمهدية في حادي عشر شهر رمضان سنة تسع عشرة و ثلاثمائة</w:t>
      </w:r>
      <w:r>
        <w:rPr>
          <w:rStyle w:val="FootnoteAnchor"/>
          <w:rtl w:val="true"/>
        </w:rPr>
        <w:footnoteReference w:id="207"/>
      </w:r>
      <w:r>
        <w:rPr>
          <w:rFonts w:ascii="Amiri" w:hAnsi="Amiri" w:eastAsia="Amiri" w:cs="Amiri"/>
          <w:color w:val="111111"/>
          <w:sz w:val="28"/>
          <w:sz w:val="28"/>
          <w:szCs w:val="28"/>
          <w:rtl w:val="true"/>
          <w:lang w:bidi="ar-SA"/>
        </w:rPr>
        <w:t xml:space="preserve">، و وفاته بالقاهرة لأربع عشرة خلت من ربيع الآخر سنة خمس و ستين و ثلاثمائة، و كانت مدّة خلافته بالمغرب و ديار مصر ثلاثاً و عشرين سنة و عشرة أيّام و هو أوّل الخلفاء الفاطميين بمصر و إليه تنسب القاهرة المعزية، لأنّ عبده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القائد بناها حسب ما رسم له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المعز عالماً، فاضلاً، جواداً، أحسن السيرة منصفاً للرعية، مغرماً بالنجوم، أُقيمت له الدعوة بالمغرب كله و ديار مصر و الشام و الحرمين و بعض </w:t>
      </w:r>
    </w:p>
    <w:p>
      <w:pPr>
        <w:pStyle w:val="BookText"/>
        <w:rPr/>
      </w:pPr>
      <w:r>
        <w:rPr>
          <w:rFonts w:ascii="Amiri" w:hAnsi="Amiri" w:eastAsia="Amiri" w:cs="Amiri"/>
          <w:color w:val="111111"/>
          <w:sz w:val="28"/>
          <w:sz w:val="28"/>
          <w:szCs w:val="28"/>
          <w:rtl w:val="true"/>
          <w:lang w:bidi="ar-SA"/>
        </w:rPr>
        <w:t>اعمال العراق، و قام من بعده ابنه العزيز باللّٰه أبو منصور نزار</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يقول 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المعز عاقلاً، حازماً، سرياً، أديباً، حسن النظر في النجامة، و ينسب إليه من الشعر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للّٰه ما صنعت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المحاجر في المعاجر</w:t>
      </w:r>
    </w:p>
    <w:p>
      <w:pPr>
        <w:pStyle w:val="BookText"/>
        <w:rPr/>
      </w:pPr>
      <w:r>
        <w:rPr>
          <w:rFonts w:ascii="Amiri" w:hAnsi="Amiri" w:eastAsia="Amiri" w:cs="Amiri"/>
          <w:color w:val="111111"/>
          <w:sz w:val="28"/>
          <w:sz w:val="28"/>
          <w:szCs w:val="28"/>
          <w:rtl w:val="true"/>
          <w:lang w:bidi="ar-SA"/>
        </w:rPr>
        <w:t xml:space="preserve">أمضي و أقضي في النفو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من الخناجر في الحناجر</w:t>
      </w:r>
    </w:p>
    <w:p>
      <w:pPr>
        <w:pStyle w:val="BookText"/>
        <w:rPr/>
      </w:pPr>
      <w:r>
        <w:rPr>
          <w:rFonts w:ascii="Amiri" w:hAnsi="Amiri" w:eastAsia="Amiri" w:cs="Amiri"/>
          <w:color w:val="111111"/>
          <w:sz w:val="28"/>
          <w:sz w:val="28"/>
          <w:szCs w:val="28"/>
          <w:rtl w:val="true"/>
          <w:lang w:bidi="ar-SA"/>
        </w:rPr>
        <w:t xml:space="preserve">و لقد تعبت ببينكم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 المهاجر في الهواجر</w:t>
      </w:r>
    </w:p>
    <w:p>
      <w:pPr>
        <w:pStyle w:val="BookText"/>
        <w:rPr/>
      </w:pPr>
      <w:r>
        <w:rPr>
          <w:rFonts w:ascii="Amiri" w:hAnsi="Amiri" w:eastAsia="Amiri" w:cs="Amiri"/>
          <w:color w:val="111111"/>
          <w:sz w:val="28"/>
          <w:sz w:val="28"/>
          <w:szCs w:val="28"/>
          <w:rtl w:val="true"/>
          <w:lang w:bidi="ar-SA"/>
        </w:rPr>
        <w:t>و ينسب إليه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اطلع الحسن من جبينك شمسا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ورد في وجنتيك اطلا</w:t>
      </w:r>
    </w:p>
    <w:p>
      <w:pPr>
        <w:pStyle w:val="BookText"/>
        <w:rPr/>
      </w:pPr>
      <w:r>
        <w:rPr>
          <w:rFonts w:ascii="Amiri" w:hAnsi="Amiri" w:eastAsia="Amiri" w:cs="Amiri"/>
          <w:color w:val="111111"/>
          <w:sz w:val="28"/>
          <w:sz w:val="28"/>
          <w:szCs w:val="28"/>
          <w:rtl w:val="true"/>
          <w:lang w:bidi="ar-SA"/>
        </w:rPr>
        <w:t xml:space="preserve">و كأن الجمال خاف على الور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جفافاً فمد بالشعر ظلا</w:t>
      </w:r>
    </w:p>
    <w:p>
      <w:pPr>
        <w:pStyle w:val="BookText"/>
        <w:rPr/>
      </w:pPr>
      <w:r>
        <w:rPr>
          <w:rFonts w:ascii="Amiri" w:hAnsi="Amiri" w:eastAsia="Amiri" w:cs="Amiri"/>
          <w:color w:val="111111"/>
          <w:sz w:val="28"/>
          <w:sz w:val="28"/>
          <w:szCs w:val="28"/>
          <w:rtl w:val="true"/>
          <w:lang w:bidi="ar-SA"/>
        </w:rPr>
        <w:t>و هو معنى غريب بديع</w:t>
      </w:r>
      <w:r>
        <w:rPr>
          <w:rFonts w:eastAsia="Amiri" w:cs="Amiri" w:ascii="Amiri" w:hAnsi="Amiri"/>
          <w:color w:val="111111"/>
          <w:sz w:val="28"/>
          <w:szCs w:val="28"/>
          <w:rtl w:val="true"/>
          <w:lang w:bidi="ar-SA"/>
        </w:rPr>
        <w:t>.</w:t>
      </w:r>
      <w:r>
        <w:rPr>
          <w:rStyle w:val="FootnoteAnchor"/>
          <w:rtl w:val="true"/>
        </w:rPr>
        <w:footnoteReference w:id="209"/>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المعز أبو تميم معد بن المنصور العبيدي الديار المصرية على يد القائد جوهر، و جاء المعزّ بعد ذلك من إفريقية، و كان يُطعن في نسبه، فلمّا قرب من البلد و خرج الناس للقائه، اجتمع به جماعة من الأشراف، فقال له من بينهم ابن طباطبا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ينتسب مولانا؟ فقال له المعزّ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سنعقد مجلساً و نجمعكم و نسرد عليكم نسبنا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استقر المعز بالقصر جمع الناس في مجلس عام و جلس لهم،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بقي من رؤسائكم أحد؟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معتبر، فسلّ عند ذلك نصف سيفه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نسبي، و نثر عليهم ذهباً كثيراً،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حسبي، فقالوا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و أطعنا</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لا شكّ انّ عصر المعز لدين اللّٰه من العصور الذهبية للإسماعيلية حيث أصبحت مصر داراً للخلافة، و أصبح الإمام المعز أوّل خليفة فاطمي فيها، فعمل علىٰ ترقية العلوم و الثقافة، و أمر ببناء الجامع الأزهر، و جعله داراً للعلوم و منهلاً للثقافة و الفكر، و شجّع العلماء، و خصّص لهم المبالغ الطائلة، فوفدوا عليه من كلّ قطر حيث وجدوا المساعدات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أشرف بنفسه علىٰ تأليف الكتب علىٰ غرار المذهب الإسماعيلي، فتقدمت الثقافة الإسماعيلية تقدماً باهراً، و ازدهر في عصره فقهاء و شعراء و فلاسفة يشار إليهم بالبنان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فقهاء 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النعمان بن محمد بن منصور التميمي المغربي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توفي بالقاهرة في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جمادى الثانية سنة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صلّى عليه الإمام المعز لدين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خدم المهدي باللّٰه مؤسس الدولة الفاطمية تسع سنوات، ثمّ ولي قضاء طرابلس في عهد القائم بأمر اللّٰه الخليفة الثاني للفاطميين، و في عهد الخليفة الثالث المنصور باللّٰه عين قاضياً للمنصورية، و وصل إلى أعلى المراتب في عهد المعز لدين اللّٰه الخليفة الرابع الفاطمي إذ رفعه إلىٰ مرتبة قاضي القضاة وداعي الدعاة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نشر كتابه لأوّل مرّة في مستدرك الوسائل للمحدّث النوري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مبعّضاً و موزعاً أحاديثه على أبواب الكتب الفقهية كما تم طبعه مستقلاً بتحقيق آصف بن علي أصغر فيضي في مصر عام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طبع ثالثاً على الأُفست في بيروت عام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 شعراء عصره ابن هانئ الأندلسي، و هو محمد بن هانئ الأندلسي من قرية اشبيلية، ولد عام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لقب بأبي القاسم، و لما اتهم بمذهب الإسماعيلية غادر الأندلس نازلاً إلى المغرب، و اتصل بأميره، فبالغ في إكرامه و أحسن إليه، و لما وصل خبره إلى المعز طلبه من أمير المغرب، فأقام عنده حتى ارتحل الإمام المعز إلى مصر فلحق به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ابن هانئ من فحول الشعراء، و لكن قصائده تحكي عن غلوه في حقّ الأئمّة الإسماعيلية حيث تفوح منها رائحة الإلحاد، و قد أعطى لهم ما للخالق من الأوصاف، و إليك مقتطفات من أشعاره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شئتَ لا ما شاءت الأقدارُ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فاحكم فأنتَ الواحدُ القهّار</w:t>
      </w:r>
    </w:p>
    <w:p>
      <w:pPr>
        <w:pStyle w:val="BookText"/>
        <w:rPr/>
      </w:pPr>
      <w:r>
        <w:rPr>
          <w:rFonts w:ascii="Amiri" w:hAnsi="Amiri" w:eastAsia="Amiri" w:cs="Amiri"/>
          <w:color w:val="111111"/>
          <w:sz w:val="28"/>
          <w:sz w:val="28"/>
          <w:szCs w:val="28"/>
          <w:rtl w:val="true"/>
          <w:lang w:bidi="ar-SA"/>
        </w:rPr>
        <w:t xml:space="preserve">و كأنّما أنت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كأنّما أنصارك الأنصار</w:t>
      </w:r>
    </w:p>
    <w:p>
      <w:pPr>
        <w:pStyle w:val="BookText"/>
        <w:rPr/>
      </w:pPr>
      <w:r>
        <w:rPr>
          <w:rFonts w:ascii="Amiri" w:hAnsi="Amiri" w:eastAsia="Amiri" w:cs="Amiri"/>
          <w:color w:val="111111"/>
          <w:sz w:val="28"/>
          <w:sz w:val="28"/>
          <w:szCs w:val="28"/>
          <w:rtl w:val="true"/>
          <w:lang w:bidi="ar-SA"/>
        </w:rPr>
        <w:t xml:space="preserve">أنت الذي كانت تبشّرنا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كتبها الأحبار و الأخبار</w:t>
      </w:r>
    </w:p>
    <w:p>
      <w:pPr>
        <w:pStyle w:val="BookText"/>
        <w:rPr/>
      </w:pPr>
      <w:r>
        <w:rPr>
          <w:rFonts w:ascii="Amiri" w:hAnsi="Amiri" w:eastAsia="Amiri" w:cs="Amiri"/>
          <w:color w:val="111111"/>
          <w:sz w:val="28"/>
          <w:sz w:val="28"/>
          <w:szCs w:val="28"/>
          <w:rtl w:val="true"/>
          <w:lang w:bidi="ar-SA"/>
        </w:rPr>
        <w:t xml:space="preserve">هذا إمام المتقين و من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دوخ الطغيان و الكفار</w:t>
      </w:r>
    </w:p>
    <w:p>
      <w:pPr>
        <w:pStyle w:val="BookText"/>
        <w:rPr/>
      </w:pPr>
      <w:r>
        <w:rPr>
          <w:rFonts w:ascii="Amiri" w:hAnsi="Amiri" w:eastAsia="Amiri" w:cs="Amiri"/>
          <w:color w:val="111111"/>
          <w:sz w:val="28"/>
          <w:sz w:val="28"/>
          <w:szCs w:val="28"/>
          <w:rtl w:val="true"/>
          <w:lang w:bidi="ar-SA"/>
        </w:rPr>
        <w:t xml:space="preserve">هذا الذي ترجى النجاة بحبِّه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يُحط الإصر و الأوزار</w:t>
      </w:r>
    </w:p>
    <w:p>
      <w:pPr>
        <w:pStyle w:val="BookText"/>
        <w:rPr/>
      </w:pPr>
      <w:r>
        <w:rPr>
          <w:rFonts w:ascii="Amiri" w:hAnsi="Amiri" w:eastAsia="Amiri" w:cs="Amiri"/>
          <w:color w:val="111111"/>
          <w:sz w:val="28"/>
          <w:sz w:val="28"/>
          <w:szCs w:val="28"/>
          <w:rtl w:val="true"/>
          <w:lang w:bidi="ar-SA"/>
        </w:rPr>
        <w:t xml:space="preserve">هذا الذي تجدي شفاعته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و تخمد أن تراه النارُ</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إنّ بيته الأوّل ينم عن غلوّه غلواً يكسي صفة الخالق على المخلوق</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العجب أنّ المؤرّخ الإسماعيلي المعاصر حاول تصحيح الأشعار، و دفع الفاسد بالأفسد، حيث قال في تعليقته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العقيدة الإسماعيلية تنزّه الخالق عن الصفات كالعالم و القادر و الصانع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إطلاق الصفات عليه يوجب الكثرة في ذاته عندهم، و هم يروون عن الإمام الباقر محمد بن علي زين العابدين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عالم على المعنى انّه يؤتي العلم من يشاء لا على معنى انّ العلم قائم بذاته، و انّه تعالى قادر على معنى أنّ القدرة قائمة بذاتها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الإمام قائماً مقام الأمر و الكلمة في هذا العالم فجميع صفات الباري واقفة عليه، و من هنا نجد انّ إطلاق كلمة الواحد القهار على المعز إنّما هي حسب الاعتقاد</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عزب عن هذا المسكين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إطلاق الصفات عليه سبحانه لا توجب الكثرة في ذاته عند المحقّقين، و ذلك لأنّ الأوصاف و إن كانت مختلفة مفهوماً لكنّها متحدة وجوداً، فذاته نفس العلم و القدرة و الحياة، لا انّ كلّ واحدة من هذه الصفات تمثل جزءاً من ذاته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صحّ ما ذكره من التفسير في العالم و القادر بمعنى أنّه سبحانه يعطي العلم و القدرة لا يصحّ ذلك في الواحد القهار، إذ معناه عندئذ انّ الإمام يهب الوحدة و القهر من يشاء لكي يصحّ إطلاقها على الإمام، و لا شكّ انّ في ما جاء به الشاعر غلواً واضحاً، عصمنا اللّٰه من غلو الغالين و إبطاء التالين</w:t>
      </w:r>
      <w:r>
        <w:rPr>
          <w:rFonts w:eastAsia="Amiri" w:cs="Amiri" w:ascii="Amiri" w:hAnsi="Amiri"/>
          <w:color w:val="111111"/>
          <w:sz w:val="28"/>
          <w:szCs w:val="28"/>
          <w:rtl w:val="true"/>
          <w:lang w:bidi="ar-SA"/>
        </w:rPr>
        <w:t xml:space="preserve">. </w:t>
      </w:r>
      <w:bookmarkStart w:id="180" w:name="pg11557_101295"/>
    </w:p>
    <w:p>
      <w:pPr>
        <w:pStyle w:val="Heading3"/>
        <w:numPr>
          <w:ilvl w:val="2"/>
          <w:numId w:val="1"/>
        </w:numPr>
        <w:rPr/>
      </w:pPr>
      <w:bookmarkStart w:id="181" w:name="__RefHeading___Toc4284155_73709187"/>
      <w:bookmarkStart w:id="182" w:name="_Toc61"/>
      <w:bookmarkEnd w:id="180"/>
      <w:bookmarkEnd w:id="181"/>
      <w:r>
        <w:rPr>
          <w:rtl w:val="true"/>
        </w:rPr>
        <w:t>الإمام العاشر</w:t>
      </w:r>
      <w:r>
        <w:rPr>
          <w:rtl w:val="true"/>
        </w:rPr>
        <w:t xml:space="preserve">: </w:t>
      </w:r>
      <w:r>
        <w:rPr>
          <w:rtl w:val="true"/>
        </w:rPr>
        <w:t xml:space="preserve">العزيز باللّٰه </w:t>
      </w:r>
      <w:r>
        <w:rPr>
          <w:rtl w:val="true"/>
        </w:rPr>
        <w:t>(</w:t>
      </w:r>
      <w:r>
        <w:rPr/>
        <w:t>344</w:t>
      </w:r>
      <w:r>
        <w:rPr>
          <w:rtl w:val="true"/>
        </w:rPr>
        <w:t>-</w:t>
      </w:r>
      <w:r>
        <w:rPr/>
        <w:t>386</w:t>
      </w:r>
      <w:r>
        <w:rPr>
          <w:rtl w:val="true"/>
        </w:rPr>
        <w:t xml:space="preserve"> </w:t>
      </w:r>
      <w:r>
        <w:rPr>
          <w:rtl w:val="true"/>
        </w:rPr>
        <w:t>ه</w:t>
      </w:r>
      <w:r>
        <w:rPr>
          <w:rtl w:val="true"/>
        </w:rPr>
        <w:t>)</w:t>
      </w:r>
      <w:bookmarkEnd w:id="182"/>
    </w:p>
    <w:p>
      <w:pPr>
        <w:pStyle w:val="BookText"/>
        <w:rPr/>
      </w:pPr>
      <w:r>
        <w:rPr>
          <w:rFonts w:ascii="Amiri" w:hAnsi="Amiri" w:eastAsia="Amiri" w:cs="Amiri"/>
          <w:color w:val="111111"/>
          <w:sz w:val="28"/>
          <w:sz w:val="28"/>
          <w:szCs w:val="28"/>
          <w:rtl w:val="true"/>
          <w:lang w:bidi="ar-SA"/>
        </w:rPr>
        <w:t>الإمام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العزيز باللّٰه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 xml:space="preserve">نزار بن معد، العزيز باللّٰه، ولي العهد بمصر يوم الخميس رابع شهر ربيع الآخر سنة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استقل بالأمر بعد وفاة أبيه، و كان يوم الجمعة حادي عشر الشهر المذكور و سُتِرتْ وفاة أبيه و سُلّم عليه بالخلافة، و كان شجاعاً، حسن العفو عند المقدرة، ذكره أبو منصور الثعالبي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يتيمة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أورد له شعراً قاله في بعض الأعياد، و قد وافق موت بعض أولاده و عقد عليه المآتم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بنو المصطفى ذوو محن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يجرعها في الحياة كاظمنا</w:t>
      </w:r>
    </w:p>
    <w:p>
      <w:pPr>
        <w:pStyle w:val="BookText"/>
        <w:rPr/>
      </w:pPr>
      <w:r>
        <w:rPr>
          <w:rFonts w:ascii="Amiri" w:hAnsi="Amiri" w:eastAsia="Amiri" w:cs="Amiri"/>
          <w:color w:val="111111"/>
          <w:sz w:val="28"/>
          <w:sz w:val="28"/>
          <w:szCs w:val="28"/>
          <w:rtl w:val="true"/>
          <w:lang w:bidi="ar-SA"/>
        </w:rPr>
        <w:t xml:space="preserve">عجيبة في الأنام محنتنا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أوّلنا مبتلى و خاتمنا</w:t>
      </w:r>
    </w:p>
    <w:p>
      <w:pPr>
        <w:pStyle w:val="BookText"/>
        <w:rPr/>
      </w:pPr>
      <w:r>
        <w:rPr>
          <w:rFonts w:ascii="Amiri" w:hAnsi="Amiri" w:eastAsia="Amiri" w:cs="Amiri"/>
          <w:color w:val="111111"/>
          <w:sz w:val="28"/>
          <w:sz w:val="28"/>
          <w:szCs w:val="28"/>
          <w:rtl w:val="true"/>
          <w:lang w:bidi="ar-SA"/>
        </w:rPr>
        <w:t xml:space="preserve">يفرح هذا الورى بعيدهم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طرّاً و أعيادنا مآتمنا</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فتحت له حُمْص و حماة و شَيْزَر، و حلب، و الموصل، و خطب له باليمن و لم يزل في سلطانه و عظم شأنه إلى أن خرج إلى بلبيس متوجهاً إلى الشام، فابتدأت به العلّة في العشر الأخير من رجب سنة ست و ثمانين و ثلاثمائة، و لم يزل مرضه يزيد حتى توفي في مسلخ الحمّام في الثلاثاء الثامن و العشرين من شهر رمضان سنة </w:t>
      </w:r>
    </w:p>
    <w:p>
      <w:pPr>
        <w:pStyle w:val="BookText"/>
        <w:rPr/>
      </w:pPr>
      <w:r>
        <w:rPr>
          <w:rFonts w:ascii="Amiri" w:hAnsi="Amiri" w:eastAsia="Amiri" w:cs="Amiri"/>
          <w:color w:val="111111"/>
          <w:sz w:val="28"/>
          <w:sz w:val="28"/>
          <w:szCs w:val="28"/>
          <w:rtl w:val="true"/>
          <w:lang w:bidi="ar-SA"/>
        </w:rPr>
        <w:t>ست و ثمانين و ثلاثمائة</w:t>
      </w:r>
      <w:r>
        <w:rPr>
          <w:rFonts w:eastAsia="Amiri" w:cs="Amiri" w:ascii="Amiri" w:hAnsi="Amiri"/>
          <w:color w:val="111111"/>
          <w:sz w:val="28"/>
          <w:szCs w:val="28"/>
          <w:rtl w:val="true"/>
          <w:lang w:bidi="ar-SA"/>
        </w:rPr>
        <w:t>.</w:t>
      </w:r>
      <w:r>
        <w:rPr>
          <w:rStyle w:val="FootnoteAnchor"/>
          <w:rtl w:val="true"/>
        </w:rPr>
        <w:footnoteReference w:id="214"/>
      </w:r>
      <w:r>
        <w:rPr>
          <w:rFonts w:ascii="Amiri" w:hAnsi="Amiri" w:eastAsia="Amiri" w:cs="Amiri"/>
          <w:color w:val="111111"/>
          <w:sz w:val="28"/>
          <w:sz w:val="28"/>
          <w:szCs w:val="28"/>
          <w:rtl w:val="true"/>
          <w:lang w:bidi="ar-SA"/>
        </w:rPr>
        <w:t>بمدينة بلبيس و حمل إلى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ابن خلكان انّ تاريخ وفاته في الثامن و العشرين من شهر رمضان، في حين انّ المقريزي ذكره في الثامن و العشرين من رجب مع توافقهما في سنة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السنة توفي العزيز أبو منصور نزار ابن المعز أبي تميم معد العلوي، صاحب مصر لليلتين بقيتا من رمضان و عمره اثنتان و أربعون سنة و ثمانية أشهر و نصف، بمدينة بلبيس، و كان برز إليها لغزو الروم، فلحقه عدة أمراض،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النقرس، و الحصا، و القولنج، فاتصلت به إلى الشامات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خلافته إحدى و عشرين سنة و خمسة أشهر و نصفاً، و مولده بالمهدية من إفريقية</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كريماً، شجاعاً، صفوحاً، أسمر، أصهب الشعر، أعين، أشهل، بعيد ما بين المنكبين، حسن الأخلاق، قريباً من الرعية، مغرى بالصيد، و يكثر من صيد السباع، و لا يؤثر سفك الدماء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جرت وقعات بين المصريين و هفتكين الأمير، و قتل خلق، و ضرب المثل بشجاعة هفتكين و هزم الجيوش، و فرّ منه جوهر القائد، فسار لحربه صاحب مصر العزيز بنفسه، فالتقوا بالرملة، 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هفتكين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فرس أدهم يجول في الناس، فبعث إليه العزيز رسولاً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أزعجتني و أحوجتني لمباشرة الحرب، و أنا طالب للصلح، و أهب لك الشام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 الأمر، و وقعت الحرب، فحمل العزيز بنفسه عليه في الأبطال، فانهزم هفتكين و من معه من القرامطة، و استحرَّ بهم القتل</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تهيأ العزيز لغزو الروم فأُحرقت مراكبه، فغضب و قتل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مائتي نفس اتهمهم، ثمّ وصلت رسل طاغية الروم بهديّة، تطلب الهدنة، فأجاب بشرط أن لا يبقىٰ في مملكتهم أسير، و بأن يخطبوا للعزيز بقسطنطنية في جامعها، و عقدت سبعة أعوام</w:t>
      </w:r>
      <w:r>
        <w:rPr>
          <w:rFonts w:eastAsia="Amiri" w:cs="Amiri" w:ascii="Amiri" w:hAnsi="Amiri"/>
          <w:color w:val="111111"/>
          <w:sz w:val="28"/>
          <w:szCs w:val="28"/>
          <w:rtl w:val="true"/>
          <w:lang w:bidi="ar-SA"/>
        </w:rPr>
        <w:t>.</w:t>
      </w:r>
      <w:r>
        <w:rPr>
          <w:rStyle w:val="FootnoteAnchor"/>
          <w:rtl w:val="true"/>
        </w:rPr>
        <w:footnoteReference w:id="216"/>
      </w:r>
      <w:bookmarkStart w:id="183" w:name="pg11557_101298"/>
    </w:p>
    <w:p>
      <w:pPr>
        <w:pStyle w:val="Heading3"/>
        <w:numPr>
          <w:ilvl w:val="2"/>
          <w:numId w:val="1"/>
        </w:numPr>
        <w:rPr/>
      </w:pPr>
      <w:bookmarkStart w:id="184" w:name="__RefHeading___Toc4284157_73709187"/>
      <w:bookmarkStart w:id="185" w:name="_Toc62"/>
      <w:bookmarkEnd w:id="183"/>
      <w:bookmarkEnd w:id="184"/>
      <w:r>
        <w:rPr>
          <w:rtl w:val="true"/>
        </w:rPr>
        <w:t>الإمام الحادي عشر</w:t>
      </w:r>
      <w:r>
        <w:rPr>
          <w:rtl w:val="true"/>
        </w:rPr>
        <w:t xml:space="preserve">: </w:t>
      </w:r>
      <w:r>
        <w:rPr>
          <w:rtl w:val="true"/>
        </w:rPr>
        <w:t xml:space="preserve">الحاكم بأمر اللّٰه </w:t>
      </w:r>
      <w:r>
        <w:rPr>
          <w:rtl w:val="true"/>
        </w:rPr>
        <w:t>(</w:t>
      </w:r>
      <w:r>
        <w:rPr/>
        <w:t>375</w:t>
      </w:r>
      <w:r>
        <w:rPr>
          <w:rtl w:val="true"/>
        </w:rPr>
        <w:t>-</w:t>
      </w:r>
      <w:r>
        <w:rPr/>
        <w:t>411</w:t>
      </w:r>
      <w:r>
        <w:rPr>
          <w:rtl w:val="true"/>
        </w:rPr>
        <w:t xml:space="preserve"> </w:t>
      </w:r>
      <w:r>
        <w:rPr>
          <w:rtl w:val="true"/>
        </w:rPr>
        <w:t>ه</w:t>
      </w:r>
      <w:r>
        <w:rPr>
          <w:rtl w:val="true"/>
        </w:rPr>
        <w:t>)</w:t>
      </w:r>
      <w:bookmarkEnd w:id="185"/>
    </w:p>
    <w:p>
      <w:pPr>
        <w:pStyle w:val="Heading4"/>
        <w:numPr>
          <w:ilvl w:val="3"/>
          <w:numId w:val="1"/>
        </w:numPr>
        <w:rPr/>
      </w:pPr>
      <w:bookmarkStart w:id="186" w:name="__RefHeading___Toc4284159_73709187"/>
      <w:bookmarkStart w:id="187" w:name="_Toc63"/>
      <w:bookmarkEnd w:id="186"/>
      <w:r>
        <w:rPr>
          <w:rtl w:val="true"/>
        </w:rPr>
        <w:t>اشارة</w:t>
      </w:r>
      <w:bookmarkEnd w:id="187"/>
    </w:p>
    <w:p>
      <w:pPr>
        <w:pStyle w:val="BookText"/>
        <w:rPr/>
      </w:pPr>
      <w:r>
        <w:rPr>
          <w:rFonts w:ascii="IRNazanin" w:hAnsi="IRNazanin" w:eastAsia="IRNazanin"/>
          <w:color w:val="111111"/>
          <w:sz w:val="28"/>
          <w:sz w:val="28"/>
          <w:szCs w:val="28"/>
          <w:rtl w:val="true"/>
          <w:lang w:bidi="fa-IR"/>
        </w:rPr>
        <w:t>هو منصور بن نزار</w:t>
      </w:r>
      <w:r>
        <w:rPr>
          <w:rStyle w:val="FootnoteAnchor"/>
          <w:rtl w:val="true"/>
        </w:rPr>
        <w:footnoteReference w:id="217"/>
      </w:r>
      <w:r>
        <w:rPr>
          <w:rFonts w:ascii="Amiri" w:hAnsi="Amiri" w:eastAsia="Amiri" w:cs="Amiri"/>
          <w:color w:val="111111"/>
          <w:sz w:val="28"/>
          <w:sz w:val="28"/>
          <w:szCs w:val="28"/>
          <w:rtl w:val="true"/>
          <w:lang w:bidi="ar-SA"/>
        </w:rPr>
        <w:t xml:space="preserve">ولد يوم الخميس لأربع ليال بقين من شهر ربيع الأوّل سنة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بويع في اليوم الذي توفي فيه والده أي سنة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كان عمره أحد عشر عاماً و نصف العام و هو من الشخصيات القليلة التي لم تتجلّ شخصيته بوضوح، و قام بأعمال إصلاحية زعم مناوءوه انّها من البدع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بنى الجامع براشدة، و أخرج إلى الجوامع و المساجد، من الآلات، و المصاحف، و الستور و الحصر ما لم ير الناس مثله، و حمل أهل الذمة على الإسلام، أو المسير إلى مأمنهم، أو لبس الغيار، فأسلم كثير منهم، ثمّ كان الرجل منهم بعد ذلك يلقاه، و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أُريد العود إلى ديني، فيأذن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أظن انّ إدخال الحصر إلى المساجد، لأجل أنّ المسجود عليه في مذهب الشيعة يجب أن يكون إمّا أرضاً، أو ما أنبتته الأرض، فبما أنّ المساجد كانت مفروشة فحمل الحصر على ذلك</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في سنة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بترك صلاة التراويح، فاجتمع الناس بالجامع العتيق، و صلّى بهم إمام جميع رمضان، فأخذه و قتله، و لم يصل أحد </w:t>
      </w:r>
    </w:p>
    <w:p>
      <w:pPr>
        <w:pStyle w:val="BookText"/>
        <w:rPr/>
      </w:pPr>
      <w:r>
        <w:rPr>
          <w:rFonts w:ascii="Amiri" w:hAnsi="Amiri" w:eastAsia="Amiri" w:cs="Amiri"/>
          <w:color w:val="111111"/>
          <w:sz w:val="28"/>
          <w:sz w:val="28"/>
          <w:szCs w:val="28"/>
          <w:rtl w:val="true"/>
          <w:lang w:bidi="ar-SA"/>
        </w:rPr>
        <w:t xml:space="preserve">التراويح إلى سنة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قام الخليفة بمهمته، فإنّ صلاة التراويح كانت تقام في عصر النبي صلّى اللّٰه عليه و آله و سلّم و الخليفة الأوّل بغير جماعة، و إنّما أُقيمت جماعة في عصر الخليفة الثاني، واصفاً إيّاها بالبدعة الحسنة، و لمّا تسلّم الإمام أمير المؤمنين علي عليه السّلام زمام الخلافة نهى الناس عن إقامتها جماعة، فلمّا رأى إصرار الناس على إقامتها جماعة تركهم و ما يهوون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رميه بتهمة قتل الإمام بعد انقضاء شهر رمضان، فما لا يقبله العقل، إذ كان في وسع الخليفة منعه من إقامتها أوّل الشهر فأي مصلحة كانت تكمن في استمهاله إلى آخر الشهر و اكتسابه مكانة في القلوب ثمّ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المقريزي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الحاكم بني خارج باب الفتوح أحد أبواب القاهرة، و أوّل من أسّسه أمير المؤمنين العزيز باللّٰه، نزار بن المعز لدين اللّٰه معد، و خطب فيه و صلّى بالناس الجمعة، ثمّ أكمله ابنه الحاكم بأمر اللّٰه، فلمّا وسّع أمير الجيوش بدر الجمالي القاهرة، و جعل أبوابها حيث هي اليوم صار جامعُ الحاكم داخل القاهرة</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 xml:space="preserve">و ينقل أيضاً انّ الحاكم بأمر اللّٰه أمر في سنة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أن يتم بناء الجامع الذي كان الوزير يعقوب بن كأس بدأ في بنيانه عند باب الفتوح، فقدّر للنفقة عليه أربعون ألف دينار، فابتدأ بالعمل فيه و في صفر سنة إحدى و أربعمائة زيد في منارة جامع باب الفتوح و عمل لها أركاناً، طول كلّ ركن مائة ذراع</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أمر الحاكم بأمر اللّٰه بعمل تقدير ما يحتاج إليه جامع باب الفتوح من الحصر و القناديل و السلاسل، فكان تكسير ما ذرع للحصر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ذراع، فبلغت النفقة على ذلك خمسة آلاف دينار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تم بناء الجامع الجديد بباب الفتوح، و علّق على سائر أبوابه ستور ديبقية عملت له، و علّق فيه تنانير فضة عدّتها أربع و كثير من قناديل فضة، و فرش جميعه بالحصر التي عملت له، و نصب فيه المنبر، و تكامل فرشه و تعليقه، و أذن في ليلة الجمعة سادس شهر رمضان سنة ثلاث و أربعمائة لمن بات في الجامع الأزهر أن يمضوا إليه، فمضوا و صار الناس طول ليلتهم يمشون من كلّ واحد من الجامعين إلى الآخر بغير مانع لهم و لا اعتراض من أحد من عسس القصر، و لا أصحاب الطوف إلى الصبح، و صلّى فيه الحاكم بأمر اللّٰه بالناس صلاة الجمعة، و هي أوّل صلاة أُقيمت فيه بعد فراغه</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ما ذكرنا من محاسن أعماله قد أخفاها أعداؤه، و بدل ذلك فقد نالوا منه و أكثروا في ذمّه و ذكر مساوئ أعماله، حتى تجد انّ الذهبي قد بالغ في ذمّه و وصفه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العبيدي، المصري، الرافضي بل الإسماعيلي الزنديق المدّعي الربوبية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شيطاناً مريداً، جباراً عنيداً، كثير التلوّن، سفاكاً للدماء، خبيث النحلة، عظيم المكر، جواداً ممدحاً، له شأن عجيب و نبأ غريب، كان فرعون زمانه، يخترع كلّ وقت أحكاماً يلزم الرعية بها إلى آخر ما ذكر</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و على أيّ حال فهو من الشخصيات القلقة التي تجمع بين محاسن الأعمال و مساوئها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 انّ الحاكم كان من الشيعة لما وجد الذهبي السلفي في نفسه مبرراً لصب هذه التقريعات</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اكتفينا بذلك في ترجمته، لأنّ فيها أُموراً متناقضة و متضادة لا يمكن الإذعان بصحّة واحد منها</w:t>
      </w:r>
      <w:r>
        <w:rPr>
          <w:rFonts w:eastAsia="Amiri" w:cs="Amiri" w:ascii="Amiri" w:hAnsi="Amiri"/>
          <w:color w:val="111111"/>
          <w:sz w:val="28"/>
          <w:szCs w:val="28"/>
          <w:rtl w:val="true"/>
          <w:lang w:bidi="ar-SA"/>
        </w:rPr>
        <w:t xml:space="preserve">. </w:t>
      </w:r>
      <w:bookmarkStart w:id="188" w:name="pg11557_101301"/>
    </w:p>
    <w:p>
      <w:pPr>
        <w:pStyle w:val="Heading4"/>
        <w:numPr>
          <w:ilvl w:val="3"/>
          <w:numId w:val="1"/>
        </w:numPr>
        <w:rPr/>
      </w:pPr>
      <w:bookmarkStart w:id="189" w:name="__RefHeading___Toc4284161_73709187"/>
      <w:bookmarkStart w:id="190" w:name="_Toc64"/>
      <w:bookmarkEnd w:id="188"/>
      <w:bookmarkEnd w:id="189"/>
      <w:r>
        <w:rPr>
          <w:rtl w:val="true"/>
        </w:rPr>
        <w:t>انشقاق الإسماعيلية</w:t>
      </w:r>
      <w:bookmarkEnd w:id="190"/>
    </w:p>
    <w:p>
      <w:pPr>
        <w:pStyle w:val="BookText"/>
        <w:rPr/>
      </w:pPr>
      <w:r>
        <w:rPr>
          <w:rFonts w:ascii="Amiri" w:hAnsi="Amiri" w:eastAsia="Amiri" w:cs="Amiri"/>
          <w:color w:val="111111"/>
          <w:sz w:val="28"/>
          <w:sz w:val="28"/>
          <w:szCs w:val="28"/>
          <w:rtl w:val="true"/>
          <w:lang w:bidi="ar-SA"/>
        </w:rPr>
        <w:t>كانت الإسماعيلية فرقة واحدة، غير انّه طرأ عليهم الانشقاق، فقال قوم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بألوهية الحاكم و غيبته، و هم المعروفون اليوم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يقطنون لبنان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فالدروز إسماعيلية محرّفة، و سيوافيك البحث عن هذه الفرقة و عقائدها في باب خاصّ، و هي أكثر غموضاً من سابقتها، فهم يمسكون بكتبهم و وثائقهم عن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المؤرخ 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استدعى الحاكم كبير دعاته، و أحد المقربين إليه الموثوق بهم سيدنا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الحمزة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الفارسي الملقب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أمره أن يذهب إلى بلاد الشام ليتسلم رئاسة الدعوة الإسماعيلية فيها، و يجعل مقره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وادي التيم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الأخبار التي وردت إلى بيت الدعوة تفيد بأنّ إسماعيلية وادي التيم تسيطر عليهم التفرقة و الاختلافات الداخلية، حول تولّي رئاسة الدعوة هناك و لقبه الإمام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السند الهادي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تمكّن الدرزي في وقت قليل من السيطرة على الموقف في وادي التيم و إعادة الهدوء و السكينة في البلاد، و عمل جاهداً لتوسيع و انتشار الدعوة الإسماعيلية في تلك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لبث الدرزي رئيساً للدعوة الإسماعيلية و كبيراً لدعاتها في بلاد الشام حتى أُعلنت وفاة الإمام الحاكم و ولاية ابنه الطاهر</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يعترف الدرزي بوفاة الإمام الحاكم، مدّعياً بأنّ وفاته لم تكن سوى نوع من الغيبة لتخليص أنفس مريدي الإمام من الأدران، و بقي متمسكاً بإمامة الحاكم و منتظراً عودته من تلك الغيبة، و بذلك أعلن انفصاله عن الإسماعيلية التي لا تعتقد بالغيبة، و تقول بفناء الجسم و بقاء سر الإمامة بالروح، فينتقل بموجب النص إلى إمام آخر و هو المنصوص عليه من قبل الإمام المتوفىٰ، و سميت الفرقة </w:t>
      </w:r>
    </w:p>
    <w:p>
      <w:pPr>
        <w:pStyle w:val="BookText"/>
        <w:rPr/>
      </w:pPr>
      <w:r>
        <w:rPr>
          <w:rFonts w:ascii="Amiri" w:hAnsi="Amiri" w:eastAsia="Amiri" w:cs="Amiri"/>
          <w:color w:val="111111"/>
          <w:sz w:val="28"/>
          <w:sz w:val="28"/>
          <w:szCs w:val="28"/>
          <w:rtl w:val="true"/>
          <w:lang w:bidi="ar-SA"/>
        </w:rPr>
        <w:t>التي تبعت الدرزي بالدرزية 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يتبين للقارئ الكريم بأنّ الدرزية و الإسماعيلية عقيدتان من أصل واحد</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 xml:space="preserve">و أمّا عن مصير الحاكم فمجمل القول فيه انّه فُقد في سنة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لم يعلم مصيره، و حامت حول كيفية اغتياله أساطير لا تتلاءم مع الحاكم المقتدر</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ثمّ اليوم طائفة من طغام الإسماعيلية الذين يحلفون بغيبة الحاكم، و ما يعتقدون إلّا بأنّه باق، و انّه سيظهر</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 xml:space="preserve">. </w:t>
      </w:r>
      <w:bookmarkStart w:id="191" w:name="pg11557_101303"/>
    </w:p>
    <w:p>
      <w:pPr>
        <w:pStyle w:val="Heading3"/>
        <w:numPr>
          <w:ilvl w:val="2"/>
          <w:numId w:val="1"/>
        </w:numPr>
        <w:rPr/>
      </w:pPr>
      <w:bookmarkStart w:id="192" w:name="__RefHeading___Toc4284163_73709187"/>
      <w:bookmarkStart w:id="193" w:name="_Toc65"/>
      <w:bookmarkEnd w:id="191"/>
      <w:bookmarkEnd w:id="192"/>
      <w:r>
        <w:rPr>
          <w:rtl w:val="true"/>
        </w:rPr>
        <w:t>الإمام الثاني عشر</w:t>
      </w:r>
      <w:r>
        <w:rPr>
          <w:rtl w:val="true"/>
        </w:rPr>
        <w:t xml:space="preserve">: </w:t>
      </w:r>
      <w:r>
        <w:rPr>
          <w:rtl w:val="true"/>
        </w:rPr>
        <w:t xml:space="preserve">الظاهر لإعزاز دين اللّٰه علي بن منصور </w:t>
      </w:r>
      <w:r>
        <w:rPr>
          <w:rtl w:val="true"/>
        </w:rPr>
        <w:t>(</w:t>
      </w:r>
      <w:r>
        <w:rPr/>
        <w:t>395</w:t>
      </w:r>
      <w:r>
        <w:rPr>
          <w:rtl w:val="true"/>
        </w:rPr>
        <w:t>-</w:t>
      </w:r>
      <w:r>
        <w:rPr/>
        <w:t>427</w:t>
      </w:r>
      <w:r>
        <w:rPr>
          <w:rtl w:val="true"/>
        </w:rPr>
        <w:t xml:space="preserve"> </w:t>
      </w:r>
      <w:r>
        <w:rPr>
          <w:rtl w:val="true"/>
        </w:rPr>
        <w:t>ه</w:t>
      </w:r>
      <w:r>
        <w:rPr>
          <w:rtl w:val="true"/>
        </w:rPr>
        <w:t>)</w:t>
      </w:r>
      <w:bookmarkEnd w:id="193"/>
    </w:p>
    <w:p>
      <w:pPr>
        <w:pStyle w:val="BookText"/>
        <w:rPr/>
      </w:pPr>
      <w:r>
        <w:rPr>
          <w:rFonts w:ascii="Amiri" w:hAnsi="Amiri" w:eastAsia="Amiri" w:cs="Amiri"/>
          <w:color w:val="111111"/>
          <w:sz w:val="28"/>
          <w:sz w:val="28"/>
          <w:szCs w:val="28"/>
          <w:rtl w:val="true"/>
          <w:lang w:bidi="ar-SA"/>
        </w:rPr>
        <w:t>الإمام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لإعزاز دين اللّٰه علي بن منصور</w:t>
      </w:r>
      <w:r>
        <w:rPr>
          <w:rStyle w:val="FootnoteAnchor"/>
          <w:rtl w:val="true"/>
        </w:rPr>
        <w:footnoteReference w:id="224"/>
      </w:r>
      <w:r>
        <w:rPr>
          <w:rFonts w:eastAsia="IRNazanin" w:cs="IRNazanin"/>
          <w:color w:val="111111"/>
          <w:sz w:val="28"/>
          <w:szCs w:val="28"/>
          <w:rtl w:val="true"/>
          <w:lang w:bidi="fa-IR"/>
        </w:rPr>
        <w:t>(</w:t>
      </w:r>
      <w:r>
        <w:rPr>
          <w:rFonts w:eastAsia="IRNazanin" w:cs="IRNazanin"/>
          <w:color w:val="111111"/>
          <w:sz w:val="28"/>
          <w:szCs w:val="28"/>
          <w:lang w:bidi="fa-IR"/>
        </w:rPr>
        <w:t>395</w:t>
      </w:r>
      <w:r>
        <w:rPr>
          <w:rFonts w:eastAsia="IRNazanin" w:cs="IRNazanin"/>
          <w:color w:val="111111"/>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علي بن منصور، ولد ليلة الأربعاء من شهر رمضان سنة ثلاثمائة و خمس و تسعين، و بويع بالخلافة و عمره ستة عشر عاماً يقول 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ولايته بعد فقد أبيه بمدّة، لأنّ أباه فقد في السابع و العشرين من شوال سنة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كان الناس يرجون ظهورَه و يتبعون آثاره إلى أن تحقّقوا عدمه، فأقام ولده المذكور في يوم النحر من السنة المذكورة</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و قد أطنب المقريزي في سيرته و ذكر حوادث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المقريزي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الظاهر في النصف من شعبان سنة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عن اثنين و ثلاثين سنة إلّا أيّاماً، و كانت مدّة خلافته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 ثمانية أشهر</w:t>
      </w:r>
      <w:r>
        <w:rPr>
          <w:rFonts w:eastAsia="Amiri" w:cs="Amiri" w:ascii="Amiri" w:hAnsi="Amiri"/>
          <w:color w:val="111111"/>
          <w:sz w:val="28"/>
          <w:szCs w:val="28"/>
          <w:rtl w:val="true"/>
          <w:lang w:bidi="ar-SA"/>
        </w:rPr>
        <w:t>.</w:t>
      </w:r>
      <w:r>
        <w:rPr>
          <w:rStyle w:val="FootnoteAnchor"/>
          <w:rtl w:val="true"/>
        </w:rPr>
        <w:footnoteReference w:id="226"/>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 الذهبي فتنة القرامطة عام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فنقل عن محمد بن علي بن عبد الرحمن العلوي الكوفي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صليت الجمعة و الركب بعدُ بمنى، قام رجل، </w:t>
      </w:r>
    </w:p>
    <w:p>
      <w:pPr>
        <w:pStyle w:val="BookText"/>
        <w:rPr/>
      </w:pPr>
      <w:r>
        <w:rPr>
          <w:rFonts w:ascii="Amiri" w:hAnsi="Amiri" w:eastAsia="Amiri" w:cs="Amiri"/>
          <w:color w:val="111111"/>
          <w:sz w:val="28"/>
          <w:sz w:val="28"/>
          <w:szCs w:val="28"/>
          <w:rtl w:val="true"/>
          <w:lang w:bidi="ar-SA"/>
        </w:rPr>
        <w:t>فضرب الحجر الأسود بدبّوس ثلاثاً،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متى يُعبد الحجر فيمنعني محمد ممّا أفعله؟ فإنّي اليوم أهدم هذا البيت، فاتقاه الناس، و كاد يفلت، و كان أشقر، أحمر، جسيماً، تام القامة، و كان على باب المسجد عشرة فرسان على أن ينصروه، فاحتسب رجل، فوجأه بخنجر، و تكاثروا عليه، فأُحرق، و قتل جماعة من أصحابه و ثارت الفتنة، فقتل نحو العشرين و نهب المصريون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أربعة من أصحابه، فأقرّوا بأنّهم مائة تبايعوا علىٰ ذلك، فضربت أعناق الأربعة، و تهشّم وجه الحجر، و تساقط منه شظايا و خرج مُكْسَرُه أسمر إلى صفرة</w:t>
      </w:r>
      <w:r>
        <w:rPr>
          <w:rFonts w:eastAsia="Amiri" w:cs="Amiri" w:ascii="Amiri" w:hAnsi="Amiri"/>
          <w:color w:val="111111"/>
          <w:sz w:val="28"/>
          <w:szCs w:val="28"/>
          <w:rtl w:val="true"/>
          <w:lang w:bidi="ar-SA"/>
        </w:rPr>
        <w:t>.</w:t>
      </w:r>
      <w:r>
        <w:rPr>
          <w:rStyle w:val="FootnoteAnchor"/>
          <w:rtl w:val="true"/>
        </w:rPr>
        <w:footnoteReference w:id="227"/>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يقال انّ الظاهر شنّ على الدروز حرباً محاولاً إرجاعهم إلى العقيدة الفاطمية الأصيلة، مدة خلافته كانت ستة عشر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تنته هجمات الصليبيين عن الأراضي و الثغور العائدة للدولة الفاطمية، وقّع هدنة مع الروم</w:t>
      </w:r>
      <w:r>
        <w:rPr>
          <w:rFonts w:eastAsia="Amiri" w:cs="Amiri" w:ascii="Amiri" w:hAnsi="Amiri"/>
          <w:color w:val="111111"/>
          <w:sz w:val="28"/>
          <w:szCs w:val="28"/>
          <w:rtl w:val="true"/>
          <w:lang w:bidi="ar-SA"/>
        </w:rPr>
        <w:t>.</w:t>
      </w:r>
      <w:r>
        <w:rPr>
          <w:rStyle w:val="FootnoteAnchor"/>
          <w:rtl w:val="true"/>
        </w:rPr>
        <w:footnoteReference w:id="228"/>
      </w:r>
      <w:bookmarkStart w:id="194" w:name="pg11557_101305"/>
    </w:p>
    <w:p>
      <w:pPr>
        <w:pStyle w:val="Heading3"/>
        <w:numPr>
          <w:ilvl w:val="2"/>
          <w:numId w:val="1"/>
        </w:numPr>
        <w:rPr/>
      </w:pPr>
      <w:bookmarkStart w:id="195" w:name="__RefHeading___Toc4284165_73709187"/>
      <w:bookmarkStart w:id="196" w:name="_Toc66"/>
      <w:bookmarkEnd w:id="194"/>
      <w:bookmarkEnd w:id="195"/>
      <w:r>
        <w:rPr>
          <w:rtl w:val="true"/>
        </w:rPr>
        <w:t>الإمام الثالث عشر</w:t>
      </w:r>
      <w:r>
        <w:rPr>
          <w:rtl w:val="true"/>
        </w:rPr>
        <w:t xml:space="preserve">: </w:t>
      </w:r>
      <w:r>
        <w:rPr>
          <w:rtl w:val="true"/>
        </w:rPr>
        <w:t xml:space="preserve">المستنصر باللّٰه </w:t>
      </w:r>
      <w:r>
        <w:rPr>
          <w:rtl w:val="true"/>
        </w:rPr>
        <w:t>(</w:t>
      </w:r>
      <w:r>
        <w:rPr/>
        <w:t>420</w:t>
      </w:r>
      <w:r>
        <w:rPr>
          <w:rtl w:val="true"/>
        </w:rPr>
        <w:t>-</w:t>
      </w:r>
      <w:r>
        <w:rPr/>
        <w:t>487</w:t>
      </w:r>
      <w:r>
        <w:rPr>
          <w:rtl w:val="true"/>
        </w:rPr>
        <w:t xml:space="preserve"> </w:t>
      </w:r>
      <w:r>
        <w:rPr>
          <w:rtl w:val="true"/>
        </w:rPr>
        <w:t>ه</w:t>
      </w:r>
      <w:r>
        <w:rPr>
          <w:rtl w:val="true"/>
        </w:rPr>
        <w:t>)</w:t>
      </w:r>
      <w:bookmarkEnd w:id="196"/>
    </w:p>
    <w:p>
      <w:pPr>
        <w:pStyle w:val="BookText"/>
        <w:rPr/>
      </w:pPr>
      <w:r>
        <w:rPr>
          <w:rFonts w:ascii="IRNazanin" w:hAnsi="IRNazanin" w:eastAsia="IRNazanin"/>
          <w:color w:val="111111"/>
          <w:sz w:val="28"/>
          <w:sz w:val="28"/>
          <w:szCs w:val="28"/>
          <w:rtl w:val="true"/>
          <w:lang w:bidi="fa-IR"/>
        </w:rPr>
        <w:t>الإمام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المستنصر باللّٰه </w:t>
      </w:r>
      <w:r>
        <w:rPr>
          <w:rFonts w:eastAsia="IRNazanin" w:cs="IRNazanin"/>
          <w:color w:val="111111"/>
          <w:sz w:val="28"/>
          <w:szCs w:val="28"/>
          <w:rtl w:val="true"/>
          <w:lang w:bidi="fa-IR"/>
        </w:rPr>
        <w:t>(</w:t>
      </w:r>
      <w:r>
        <w:rPr>
          <w:rFonts w:eastAsia="IRNazanin" w:cs="IRNazanin"/>
          <w:color w:val="111111"/>
          <w:sz w:val="28"/>
          <w:szCs w:val="28"/>
          <w:lang w:bidi="fa-IR"/>
        </w:rPr>
        <w:t>420</w:t>
      </w:r>
      <w:r>
        <w:rPr>
          <w:rFonts w:eastAsia="IRNazanin" w:cs="IRNazanin"/>
          <w:color w:val="111111"/>
          <w:sz w:val="28"/>
          <w:szCs w:val="28"/>
          <w:rtl w:val="true"/>
          <w:lang w:bidi="fa-IR"/>
        </w:rPr>
        <w:t>-</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 xml:space="preserve">هو معد بن علي، ولد يوم الثلاثاء في الثالث عشر من شهر جمادى الآخر سنة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بويع بالخلافة يوم الأحد في منتصف شهر شعبان سنة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كان له من العمر سبعة أعوام، و قد ظل في الحكم ستين عاماً، و هي أطول مدّة في تاريخ الخلافة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جرى على أيامه ما لم يجر على أيام أحد من أهل بيته ممّن تقدّمه و لا تأخره،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قضية أبي الحارث أرسلان البساسيري، فإنّه لمّا عظم أمره و كبر شأنه ببغداد، قطع خطبة الإمام القائم و خطب للمستنصر المذكور، و ذلك في سنة خمسين و أربعمائة، و دعا له علىٰ منابرها مدّة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ثار في أيّامه علي بن محمد الصليحي و ملك بلاد اليمن، و دعا للمستنصر على منابرها بعد الخطبة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أقام في الأمر ستين سنة، و هذا أمر لم يبلغه أحد من أهل بيته و لا من بني العباس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ولي العهد و هو ابن سبع 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دعوتهم لم تزل قائمة بالمغرب منذ قام جدهم المهدي إلى أيام المعز، و لمّا توجه المعز إلى مصر و استخلف بلكين بن زيري كانت الخطبة في تلك النواحي جارية على عادتها لهذا البيت إلى أن قطعها المعز بن باديس في أيام المستنصر، و ذلك في سنة ثلاث و أربعين و أربعمائة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حدث في أيّامه الغلاء العظيم الذي ما عهد مثله منذ زمان يوسف عليه السّلام حتى قيل انّه بيع رغيف واحد بخمسين ديناراً، و كان المستنصر في هذه الشدة يركب وحده، و كلّ من معه من الخواص مترجّلون ليس لهم دواب يركبونها، و كانوا إذا مشوا تساقطوا في الطرقات من الجوع، و كان المستنصر يستعير من ابن هبة صاحب ديوان الانشاء بغلته ليركبها صاحب مظلته، و آخر الأمر توجهت أُم المستنصر و بناته إلى بغداد من فرط الجوع، و تفرّق أهل مصر في البلاد و تشتتوا</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و ذكر الذهبي تفاصيل حياته بحسب السنين التي مرت عليه</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و لقي المستنصر شدائد و أهوالاً، و انفتقت عليه الفتوق بديار مصر أخرج فيها أمواله و ذخائره إلى أن بقي لا يملك غير سجادته التي يجلس عليها، و هو مع هذا صابر غير خاشع</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و قد توفي في الثامن عشر من ذي الحجة، و دامت خلافته ستين سنة و أربعة أشهر</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هنا تمت ترجمة الأئمّة الثلاثة عشر الذين اتّفقت كلمة الإسماعيلية علىٰ إمامتهم و خلافتهم، و لم يشذ عنهم سوى الدروز الذين انشقوا عن الإسماعيلية </w:t>
      </w:r>
    </w:p>
    <w:p>
      <w:pPr>
        <w:pStyle w:val="BookText"/>
        <w:rPr/>
      </w:pPr>
      <w:r>
        <w:rPr>
          <w:rFonts w:ascii="Amiri" w:hAnsi="Amiri" w:eastAsia="Amiri" w:cs="Amiri"/>
          <w:color w:val="111111"/>
          <w:sz w:val="28"/>
          <w:sz w:val="28"/>
          <w:szCs w:val="28"/>
          <w:rtl w:val="true"/>
          <w:lang w:bidi="ar-SA"/>
        </w:rPr>
        <w:t>في عهد خلافة الحاكم بأمر اللّٰه، و صار وفاة المستنصر باللّٰه سبباً لانشقاق آخر و ظهور طائفتين من الإسماعيلية 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مستعلية تقول بإمامة أحمد المستعلي ابن المستنصر باللّٰه، و نزارية تقول بإمامة نزار ابن المستنصر</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فالمستعلية هم المعروفون في هذه الأيام بالبُهرة، و قد انقسموا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سليمانية و داودية؛ كما أنّ النزاريين هم القائلون بإمامة نزار ابن المستنصر، و انقسموا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مؤمنية و قاسمية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اتّفقت الطائفتان الأخيرتان في بعض الأئمة، و اختلفت في البعض الآخر، و سيوافيك تفصيل الجميع</w:t>
      </w:r>
      <w:r>
        <w:rPr>
          <w:rFonts w:eastAsia="Amiri" w:cs="Amiri" w:ascii="Amiri" w:hAnsi="Amiri"/>
          <w:color w:val="111111"/>
          <w:sz w:val="28"/>
          <w:szCs w:val="28"/>
          <w:rtl w:val="true"/>
          <w:lang w:bidi="ar-SA"/>
        </w:rPr>
        <w:t xml:space="preserve">. </w:t>
      </w:r>
      <w:bookmarkStart w:id="197" w:name="pg11557_101308"/>
    </w:p>
    <w:p>
      <w:pPr>
        <w:pStyle w:val="Heading2"/>
        <w:numPr>
          <w:ilvl w:val="1"/>
          <w:numId w:val="1"/>
        </w:numPr>
        <w:rPr/>
      </w:pPr>
      <w:bookmarkStart w:id="198" w:name="__RefHeading___Toc4284167_73709187"/>
      <w:bookmarkStart w:id="199" w:name="_Toc67"/>
      <w:bookmarkEnd w:id="197"/>
      <w:bookmarkEnd w:id="198"/>
      <w:r>
        <w:rPr>
          <w:rtl w:val="true"/>
        </w:rPr>
        <w:t>الفصل السابع</w:t>
      </w:r>
      <w:r>
        <w:rPr>
          <w:rtl w:val="true"/>
        </w:rPr>
        <w:t xml:space="preserve">: </w:t>
      </w:r>
      <w:r>
        <w:rPr>
          <w:rtl w:val="true"/>
        </w:rPr>
        <w:t>في أئمة المستعلية</w:t>
      </w:r>
      <w:bookmarkEnd w:id="199"/>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0" w:name="__RefHeading___Toc4284169_73709187"/>
      <w:bookmarkStart w:id="201" w:name="_Toc68"/>
      <w:bookmarkEnd w:id="200"/>
      <w:r>
        <w:rPr>
          <w:rtl w:val="true"/>
        </w:rPr>
        <w:t>اشارة</w:t>
      </w:r>
      <w:bookmarkEnd w:id="201"/>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2" w:name="pg11557_101310"/>
      <w:bookmarkStart w:id="203" w:name="pg11557_101310"/>
      <w:bookmarkEnd w:id="203"/>
    </w:p>
    <w:p>
      <w:pPr>
        <w:pStyle w:val="Heading3"/>
        <w:numPr>
          <w:ilvl w:val="2"/>
          <w:numId w:val="1"/>
        </w:numPr>
        <w:rPr/>
      </w:pPr>
      <w:bookmarkStart w:id="204" w:name="pg11557_101310"/>
      <w:bookmarkStart w:id="205" w:name="__RefHeading___Toc4284171_73709187"/>
      <w:bookmarkStart w:id="206" w:name="_Toc69"/>
      <w:bookmarkEnd w:id="204"/>
      <w:bookmarkEnd w:id="205"/>
      <w:r>
        <w:rPr>
          <w:rtl w:val="true"/>
        </w:rPr>
        <w:t>الإمام الأوّل</w:t>
      </w:r>
      <w:r>
        <w:rPr>
          <w:rtl w:val="true"/>
        </w:rPr>
        <w:t xml:space="preserve">: </w:t>
      </w:r>
      <w:r>
        <w:rPr>
          <w:rtl w:val="true"/>
        </w:rPr>
        <w:t xml:space="preserve">المستعلي باللّٰه </w:t>
      </w:r>
      <w:r>
        <w:rPr>
          <w:rtl w:val="true"/>
        </w:rPr>
        <w:t>(</w:t>
      </w:r>
      <w:r>
        <w:rPr/>
        <w:t>467</w:t>
      </w:r>
      <w:r>
        <w:rPr>
          <w:rtl w:val="true"/>
        </w:rPr>
        <w:t>-</w:t>
      </w:r>
      <w:r>
        <w:rPr/>
        <w:t>495</w:t>
      </w:r>
      <w:r>
        <w:rPr>
          <w:rtl w:val="true"/>
        </w:rPr>
        <w:t xml:space="preserve"> </w:t>
      </w:r>
      <w:r>
        <w:rPr>
          <w:rtl w:val="true"/>
        </w:rPr>
        <w:t>ه</w:t>
      </w:r>
      <w:r>
        <w:rPr>
          <w:rtl w:val="true"/>
        </w:rPr>
        <w:t>)</w:t>
      </w:r>
      <w:bookmarkEnd w:id="206"/>
    </w:p>
    <w:p>
      <w:pPr>
        <w:pStyle w:val="BookText"/>
        <w:rPr/>
      </w:pPr>
      <w:r>
        <w:rPr>
          <w:rFonts w:ascii="Amiri" w:hAnsi="Amiri" w:eastAsia="Amiri" w:cs="Amiri"/>
          <w:color w:val="111111"/>
          <w:sz w:val="28"/>
          <w:sz w:val="28"/>
          <w:szCs w:val="28"/>
          <w:rtl w:val="true"/>
          <w:lang w:bidi="ar-SA"/>
        </w:rPr>
        <w:t xml:space="preserve">قد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المستنصر قد عهد في حياته بالخلافة لابنه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بويع بعد وفاة أبيه، و لكن خلعه الأفضل و بايع المستعلي باللّٰه، و سبب خلعه أنّ الأفضل ركب مرّة أيّام المستنصر، و دخل دهليز القصر من باب الذهب راكباً،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و المجاز مظلم، فلم يره الأفضل، فصاح به نزار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يا أرمني، كلب، عن الفرس، ما أقلَّ أدبَك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فحقدها عليه، فلما مات المستنصر خلعه خوفاً منه علىٰ نفسه، و بايع المستعلي، فهرب نزار إلى الاسكندرية، و بها ناصر الدّولة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فبايعه أهل الاسكندرية، و سمّوه المصطفي لدين اللّٰه، فخطب بالناس، و لعن الأفضل، و أعانه أيضاً القاضي جلال الدّولة ابن عمار، قاضي الاسكندرية، فسار إليه الأفضل، و حاصره بالاسكندرية، و 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فقتله، و تسلّم المستعلي نزاراً فبنى عليه حائطاً فمات، و قتل القاضي جلال الدولة ابن عمار و من أعانه</w:t>
      </w:r>
      <w:r>
        <w:rPr>
          <w:rFonts w:eastAsia="Amiri" w:cs="Amiri" w:ascii="Amiri" w:hAnsi="Amiri"/>
          <w:color w:val="111111"/>
          <w:sz w:val="28"/>
          <w:szCs w:val="28"/>
          <w:rtl w:val="true"/>
          <w:lang w:bidi="ar-SA"/>
        </w:rPr>
        <w:t>.</w:t>
      </w:r>
      <w:r>
        <w:rPr>
          <w:rStyle w:val="FootnoteAnchor"/>
          <w:rtl w:val="true"/>
        </w:rPr>
        <w:footnoteReference w:id="233"/>
      </w:r>
      <w:r>
        <w:rPr>
          <w:rFonts w:ascii="Amiri" w:hAnsi="Amiri" w:eastAsia="Amiri" w:cs="Amiri"/>
          <w:color w:val="111111"/>
          <w:sz w:val="28"/>
          <w:sz w:val="28"/>
          <w:szCs w:val="28"/>
          <w:rtl w:val="true"/>
          <w:lang w:bidi="ar-SA"/>
        </w:rPr>
        <w:t>و حيث إنّه لم يتم الاتّفاق علىٰ إمامة هؤلاء فقد عقدنا لهم فصلاً مستقلاً</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ولادة المستعلي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لعشر ليال بقين من محرم سنة تسع و ستين و أربعمائة، بالقاهرة و بويع في يوم عيد غدير خم، و هو الثامن عشر من ذي الحجة سنة سبع و ثمانين و أربعمائة، و توفي بمصر يوم الثلاثاء </w:t>
      </w:r>
      <w:bookmarkStart w:id="207" w:name="pg11557_101311"/>
    </w:p>
    <w:p>
      <w:pPr>
        <w:pStyle w:val="BookText"/>
        <w:rPr/>
      </w:pPr>
      <w:bookmarkEnd w:id="207"/>
      <w:r>
        <w:rPr>
          <w:rFonts w:ascii="Amiri" w:hAnsi="Amiri" w:eastAsia="Amiri" w:cs="Amiri"/>
          <w:color w:val="111111"/>
          <w:sz w:val="28"/>
          <w:sz w:val="28"/>
          <w:szCs w:val="28"/>
          <w:rtl w:val="true"/>
          <w:lang w:bidi="ar-SA"/>
        </w:rPr>
        <w:t>لثلاث عشرة ليلة بقيت من صفر سنة خمس و تسعين و أربعمائة، و له من العمر ثمان و عشرون سنة و أيام</w:t>
      </w:r>
      <w:r>
        <w:rPr>
          <w:rStyle w:val="FootnoteAnchor"/>
          <w:rtl w:val="true"/>
        </w:rPr>
        <w:footnoteReference w:id="234"/>
      </w:r>
      <w:r>
        <w:rPr>
          <w:rFonts w:ascii="Amiri" w:hAnsi="Amiri" w:eastAsia="Amiri" w:cs="Amiri"/>
          <w:color w:val="111111"/>
          <w:sz w:val="28"/>
          <w:sz w:val="28"/>
          <w:szCs w:val="28"/>
          <w:rtl w:val="true"/>
          <w:lang w:bidi="ar-SA"/>
        </w:rPr>
        <w:t>، فكانت مدّة ولايته سبع سنين و كسراً، و تولّى بعده ولدُه أبو علي المنصور، الملقب بالآمر، و له من العمر خمس سنين و شهر و أربعة أيام، و لم يكن في من تسمىٰ بالخلافة قط أصغر منه، و من المستنصر، و كان المستنصر أكبر من هذا، و لم يقدر يركب وحده الفرس، و قام بتدبير دولته الأفضل ابن أمير الجيوش، أحسن قيام، إلى أن قتل</w:t>
      </w:r>
      <w:r>
        <w:rPr>
          <w:rFonts w:eastAsia="Amiri" w:cs="Amiri" w:ascii="Amiri" w:hAnsi="Amiri"/>
          <w:color w:val="111111"/>
          <w:sz w:val="28"/>
          <w:szCs w:val="28"/>
          <w:rtl w:val="true"/>
          <w:lang w:bidi="ar-SA"/>
        </w:rPr>
        <w:t>.</w:t>
      </w:r>
      <w:r>
        <w:rPr>
          <w:rStyle w:val="FootnoteAnchor"/>
          <w:rtl w:val="true"/>
        </w:rPr>
        <w:footnoteReference w:id="235"/>
      </w:r>
    </w:p>
    <w:p>
      <w:pPr>
        <w:pStyle w:val="Heading3"/>
        <w:numPr>
          <w:ilvl w:val="2"/>
          <w:numId w:val="1"/>
        </w:numPr>
        <w:rPr/>
      </w:pPr>
      <w:bookmarkStart w:id="208" w:name="__RefHeading___Toc4284173_73709187"/>
      <w:bookmarkStart w:id="209" w:name="_Toc70"/>
      <w:bookmarkEnd w:id="208"/>
      <w:r>
        <w:rPr>
          <w:rtl w:val="true"/>
        </w:rPr>
        <w:t>الإمام الثاني</w:t>
      </w:r>
      <w:r>
        <w:rPr>
          <w:rtl w:val="true"/>
        </w:rPr>
        <w:t xml:space="preserve">: </w:t>
      </w:r>
      <w:r>
        <w:rPr>
          <w:rtl w:val="true"/>
        </w:rPr>
        <w:t xml:space="preserve">الآمر بأحكام اللّٰه </w:t>
      </w:r>
      <w:r>
        <w:rPr>
          <w:rtl w:val="true"/>
        </w:rPr>
        <w:t>(</w:t>
      </w:r>
      <w:r>
        <w:rPr/>
        <w:t>490</w:t>
      </w:r>
      <w:r>
        <w:rPr>
          <w:rtl w:val="true"/>
        </w:rPr>
        <w:t>-</w:t>
      </w:r>
      <w:r>
        <w:rPr/>
        <w:t>524</w:t>
      </w:r>
      <w:r>
        <w:rPr>
          <w:rtl w:val="true"/>
        </w:rPr>
        <w:t xml:space="preserve"> </w:t>
      </w:r>
      <w:r>
        <w:rPr>
          <w:rtl w:val="true"/>
        </w:rPr>
        <w:t>ه</w:t>
      </w:r>
      <w:r>
        <w:rPr>
          <w:rtl w:val="true"/>
        </w:rPr>
        <w:t>)</w:t>
      </w:r>
      <w:bookmarkEnd w:id="209"/>
    </w:p>
    <w:p>
      <w:pPr>
        <w:pStyle w:val="BookText"/>
        <w:rPr/>
      </w:pPr>
      <w:r>
        <w:rPr>
          <w:rFonts w:ascii="Amiri" w:hAnsi="Amiri" w:eastAsia="Amiri" w:cs="Amiri"/>
          <w:color w:val="111111"/>
          <w:sz w:val="28"/>
          <w:sz w:val="28"/>
          <w:szCs w:val="28"/>
          <w:rtl w:val="true"/>
          <w:lang w:bidi="ar-SA"/>
        </w:rPr>
        <w:t xml:space="preserve">هو منصور بن أحمد، ولد في القاهرة في الثالث عشر من محرم، و بويع بالخلافة يوم وفاة والده في الثالث عشر من صفر سنة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كان له من العمر خمس سنوات، و في عهده سقطت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بأيدي الصليبيين، و ذلك بعد سقوط انطاكية و بيت المقدس و قيصارية وعكا و بانياس و طرابلس، و أكثرها كانت فاطميّة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آثاره العمرانية الجامع الأقمر في القاهرة، و تجديد قصر القرافة، و فتح مكتبة دار العلوم للمطالعة و التدريس، قتله النزاريون انتقاماً لإمامهم نزار، و كان في هودج يقوم بالنزهة بين الجزيرة و القاهرة، و قد حُمل إلى القصر، و لكنّه لم يلبث أن </w:t>
      </w:r>
    </w:p>
    <w:p>
      <w:pPr>
        <w:pStyle w:val="BookText"/>
        <w:rPr/>
      </w:pPr>
      <w:r>
        <w:rPr>
          <w:rFonts w:ascii="Amiri" w:hAnsi="Amiri" w:eastAsia="Amiri" w:cs="Amiri"/>
          <w:color w:val="111111"/>
          <w:sz w:val="28"/>
          <w:sz w:val="28"/>
          <w:szCs w:val="28"/>
          <w:rtl w:val="true"/>
          <w:lang w:bidi="ar-SA"/>
        </w:rPr>
        <w:t xml:space="preserve">فارق الحياة في الرابع عشر من ذي القعدة سنة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كان عمره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و تسعة أشهر و عشرين يوماً</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قال 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انقضت أيّامه، خرج من القاهرة صبيحة يوم الثلاثاء في الثالث من ذي القعدة سنة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نزل إلى مصر، و عدى على الجسر إلى الجزيرة التي قبالة مصر، فكمُن له قوم بالأسلحة و تواعدوا على قتله في السّكة التي يمر فيها، فلمّا مرّ بهم وثبوا عليه فلعبوا عليه بأسيافهم، و كان قد جاوز الجسر وحده مع عدّة قليلة من غلمانه و بطانته و خاصته و شيعته، فحُمل في النيل في زورق و لم يمت، و أُدخل القاهرة و هو حيٌّ، و جيء به إلى القصر من ليلته، فمات و لم يعقب، و هو العاشر من أولاد المهدي عبيد اللّٰه القائم بسجلماسة، إلى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ربعة، شديدَ الأدمة، جاحظ العينين، حسن الخط و المعرفة و العقل</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 xml:space="preserve">و مع هذا فيصفه بكونه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قبيح السيرة، ظلم الناس و أخذ أموالهم و سفك دماءهم، و ارتكب المحذورات و استحسن القبائح المحظورات، فابتهج الناس بقتله</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و لا يخفى وجود التضاد بين الوصفين، فلو كان حسن المعرفة و العقل لما قبحت سيرته و ما أخذ أموالَ الناس و لا أراق دماءهم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يطمع إلى عرش العباسيين في العراق، و لكنَّ الأحداث الداخليّة حالت بينه و بين أُمنيته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المقريزي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نفسه تحدّثه بالسفر و الغارة علىٰ بغداد، و من شعره في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دع اللوم عني لست مني بموثق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لي من صدمة المتحقق</w:t>
      </w:r>
    </w:p>
    <w:p>
      <w:pPr>
        <w:pStyle w:val="BookText"/>
        <w:rPr/>
      </w:pPr>
      <w:r>
        <w:rPr>
          <w:rFonts w:ascii="Amiri" w:hAnsi="Amiri" w:eastAsia="Amiri" w:cs="Amiri"/>
          <w:color w:val="111111"/>
          <w:sz w:val="28"/>
          <w:sz w:val="28"/>
          <w:szCs w:val="28"/>
          <w:rtl w:val="true"/>
          <w:lang w:bidi="ar-SA"/>
        </w:rPr>
        <w:t xml:space="preserve">و أسقى جيادي من فرات و دجلة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أجمع شمل الدين بعد التفرق</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و الذي حجّت إلى ركن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جراثيم ركبان مقلّدة شهبا</w:t>
      </w:r>
    </w:p>
    <w:p>
      <w:pPr>
        <w:pStyle w:val="BookText"/>
        <w:rPr/>
      </w:pPr>
      <w:r>
        <w:rPr>
          <w:rFonts w:ascii="Amiri" w:hAnsi="Amiri" w:eastAsia="Amiri" w:cs="Amiri"/>
          <w:color w:val="111111"/>
          <w:sz w:val="28"/>
          <w:sz w:val="28"/>
          <w:szCs w:val="28"/>
          <w:rtl w:val="true"/>
          <w:lang w:bidi="ar-SA"/>
        </w:rPr>
        <w:t xml:space="preserve">لاقتحمن الحرب حتى يقال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ملكت زمام الحرب فاعتزل الحربا</w:t>
      </w:r>
    </w:p>
    <w:p>
      <w:pPr>
        <w:pStyle w:val="BookText"/>
        <w:rPr/>
      </w:pPr>
      <w:r>
        <w:rPr>
          <w:rFonts w:ascii="Amiri" w:hAnsi="Amiri" w:eastAsia="Amiri" w:cs="Amiri"/>
          <w:color w:val="111111"/>
          <w:sz w:val="28"/>
          <w:sz w:val="28"/>
          <w:szCs w:val="28"/>
          <w:rtl w:val="true"/>
          <w:lang w:bidi="ar-SA"/>
        </w:rPr>
        <w:t xml:space="preserve">و ينزل روح اللّٰه عيسى ابن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فيرضى بنا صحباً و نرضى به صحبا</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و المهم في تاريخه، أنّه قتل الأفضل الذي مَهّدَ الطريقَ لأبيه المستعلي في زمانه، و يقال أنّه قتل بإشارة أو مؤامرة الآمر بأحكام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المقريزي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يوم الثلاثاء، السابع عشر من صفر، سنة خمس و تسعين، أحضره الأفضل بن أمير الجيوش، و بايع له و نصبه مكان أبيه، و نعته بالآمر بأحكام اللّٰه، و ركب الأفضل فرساً، و جعل في السّرج شيئاً، و أركبه عليه لينمو شخص الآمر، و صار ظهره في حجر الأفضل، فلم يَزلْ تحت حجره حتّى قتل الأفضل ليلة عيد الفطر سنة خمس عشرة و خمسمائة</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و قد مرّ آنفاً قول ابن خلكان بأنّ الآمر بأحكام اللّٰه مات و لم يعقب، و ربَّما يقال أنّ الآمر مات و امرأته حامل بالطّيب، و ربّما يقال بأنّ امرأته ولدت أُنثىٰ، فلأجل ذلك عهد الآمر بأحكام اللّٰه الخلافة إلى الحافظ، الظافر، الفائز، ثمّ إلى العاضد</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سنتطرق إلى حياة الأئمة الأربعة الذين لم يكونوا من صُلب الإمام السابق، بل كانوا من أبناء عمّه، و لأجل ذلك لا تصح تسميتهم بالأئمة، و إنّما </w:t>
      </w:r>
      <w:bookmarkStart w:id="210" w:name="pg11557_101314"/>
    </w:p>
    <w:p>
      <w:pPr>
        <w:pStyle w:val="BookText"/>
        <w:rPr/>
      </w:pPr>
      <w:bookmarkEnd w:id="210"/>
      <w:r>
        <w:rPr>
          <w:rFonts w:ascii="Amiri" w:hAnsi="Amiri" w:eastAsia="Amiri" w:cs="Amiri"/>
          <w:color w:val="111111"/>
          <w:sz w:val="28"/>
          <w:sz w:val="28"/>
          <w:szCs w:val="28"/>
          <w:rtl w:val="true"/>
          <w:lang w:bidi="ar-SA"/>
        </w:rPr>
        <w:t>هم دعاة، حيث لم يكن في الساحة إمام، و دخلت الدعوة المستعلية بعد اختفاء الطيِّب بالستر، و ما تزال تنتظر دعوته، و توقفت عن السير وراء الركب الإمامي، و اتبعت نظام الدعاة المطلقين</w:t>
      </w:r>
      <w:r>
        <w:rPr>
          <w:rFonts w:eastAsia="Amiri" w:cs="Amiri" w:ascii="Amiri" w:hAnsi="Amiri"/>
          <w:color w:val="111111"/>
          <w:sz w:val="28"/>
          <w:szCs w:val="28"/>
          <w:rtl w:val="true"/>
          <w:lang w:bidi="ar-SA"/>
        </w:rPr>
        <w:t>.</w:t>
      </w:r>
      <w:r>
        <w:rPr>
          <w:rStyle w:val="FootnoteAnchor"/>
          <w:rtl w:val="true"/>
        </w:rPr>
        <w:footnoteReference w:id="241"/>
      </w:r>
    </w:p>
    <w:p>
      <w:pPr>
        <w:pStyle w:val="Heading3"/>
        <w:numPr>
          <w:ilvl w:val="2"/>
          <w:numId w:val="1"/>
        </w:numPr>
        <w:rPr/>
      </w:pPr>
      <w:bookmarkStart w:id="211" w:name="__RefHeading___Toc4284175_73709187"/>
      <w:bookmarkStart w:id="212" w:name="_Toc71"/>
      <w:bookmarkEnd w:id="211"/>
      <w:r>
        <w:rPr>
          <w:rtl w:val="true"/>
        </w:rPr>
        <w:t>الإمام الثالث</w:t>
      </w:r>
      <w:r>
        <w:rPr>
          <w:rtl w:val="true"/>
        </w:rPr>
        <w:t xml:space="preserve">: </w:t>
      </w:r>
      <w:r>
        <w:rPr>
          <w:rtl w:val="true"/>
        </w:rPr>
        <w:t xml:space="preserve">الحافظ لدين اللّٰه </w:t>
      </w:r>
      <w:r>
        <w:rPr>
          <w:rtl w:val="true"/>
        </w:rPr>
        <w:t>(</w:t>
      </w:r>
      <w:r>
        <w:rPr/>
        <w:t>467</w:t>
      </w:r>
      <w:r>
        <w:rPr>
          <w:rtl w:val="true"/>
        </w:rPr>
        <w:t>-</w:t>
      </w:r>
      <w:r>
        <w:rPr/>
        <w:t>544</w:t>
      </w:r>
      <w:r>
        <w:rPr>
          <w:rtl w:val="true"/>
        </w:rPr>
        <w:t xml:space="preserve"> </w:t>
      </w:r>
      <w:r>
        <w:rPr>
          <w:rtl w:val="true"/>
        </w:rPr>
        <w:t>ه</w:t>
      </w:r>
      <w:r>
        <w:rPr>
          <w:rtl w:val="true"/>
        </w:rPr>
        <w:t>)</w:t>
      </w:r>
      <w:bookmarkEnd w:id="212"/>
    </w:p>
    <w:p>
      <w:pPr>
        <w:pStyle w:val="BookText"/>
        <w:rPr/>
      </w:pPr>
      <w:r>
        <w:rPr>
          <w:rFonts w:ascii="Amiri" w:hAnsi="Amiri" w:eastAsia="Amiri" w:cs="Amiri"/>
          <w:color w:val="111111"/>
          <w:sz w:val="28"/>
          <w:sz w:val="28"/>
          <w:szCs w:val="28"/>
          <w:rtl w:val="true"/>
          <w:lang w:bidi="ar-SA"/>
        </w:rPr>
        <w:t xml:space="preserve">ولد بعسقلان سنة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عند ما مات الآمر، و توفي في الخامس من جمادى الأُولى سنة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فدامت دولته عشرين سنة سوى خمسة أشهر، و عاش سبع و سبعين سنة، و قام بعده ولده الظاهر</w:t>
      </w:r>
      <w:r>
        <w:rPr>
          <w:rFonts w:eastAsia="Amiri" w:cs="Amiri" w:ascii="Amiri" w:hAnsi="Amiri"/>
          <w:color w:val="111111"/>
          <w:sz w:val="28"/>
          <w:szCs w:val="28"/>
          <w:rtl w:val="true"/>
          <w:lang w:bidi="ar-SA"/>
        </w:rPr>
        <w:t>.</w:t>
      </w:r>
      <w:r>
        <w:rPr>
          <w:rStyle w:val="FootnoteAnchor"/>
          <w:rtl w:val="true"/>
        </w:rPr>
        <w:footnoteReference w:id="242"/>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المجيد الملقب بالحافظ، ابن أبي القاسم محمد بن المستنصر، بويع بالقاهرة يوم مقتل ابن عمّه الآمر، بولاية العهد و تدبير المملكة، حتى يظهر الحمل المخلف عن الآمر، فغلب عليه أبو علي أحمد بن الأفضل، في صبيحة يوم مبايعته، و كان الآمر لمّا قتل الأفضل اعتقل جميع أولاده و فيهم أبو علي المذكور، فأخرجه الجند من الاعتقال لما قُتل الآمر، و بايعوه فسار إلى القصر، و قبض على الحافظ المذكور، و استقلّ بالأمر و قام به أحسن قيام، و ردّ على المصادرين أموالهم، و أظهر مذهب الإماميّة و تمسك بالأئمّة الاثني عشر، و رفض الحافظ و أهل بيته، و دعا على المنابر للقائم في آخر الزمان المعروف بالإمام المنتظر علىٰ زعمهم، و كتب اسمه على السّكة، و نهى أن يؤذن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أقام كذلك، إلى أن وثب عليه </w:t>
      </w:r>
      <w:bookmarkStart w:id="213" w:name="pg11557_101315"/>
    </w:p>
    <w:p>
      <w:pPr>
        <w:pStyle w:val="BookText"/>
        <w:rPr/>
      </w:pPr>
      <w:bookmarkEnd w:id="213"/>
      <w:r>
        <w:rPr>
          <w:rFonts w:ascii="Amiri" w:hAnsi="Amiri" w:eastAsia="Amiri" w:cs="Amiri"/>
          <w:color w:val="111111"/>
          <w:sz w:val="28"/>
          <w:sz w:val="28"/>
          <w:szCs w:val="28"/>
          <w:rtl w:val="true"/>
          <w:lang w:bidi="ar-SA"/>
        </w:rPr>
        <w:t>رجل من الخاصّة بالبستان الكبير بظاهر القاهرة، في النصف من المحرم سنة ست و عشرين و خمسمائة فقتله، و كان ذلك بتدبير الحافظ، فبادر الأجناد بإخراج الحافظ، و بايعوه و لقبوه الحافظ، و دعي له على المنابر</w:t>
      </w:r>
      <w:r>
        <w:rPr>
          <w:rFonts w:eastAsia="Amiri" w:cs="Amiri" w:ascii="Amiri" w:hAnsi="Amiri"/>
          <w:color w:val="111111"/>
          <w:sz w:val="28"/>
          <w:szCs w:val="28"/>
          <w:rtl w:val="true"/>
          <w:lang w:bidi="ar-SA"/>
        </w:rPr>
        <w:t>.</w:t>
      </w:r>
      <w:r>
        <w:rPr>
          <w:rStyle w:val="FootnoteAnchor"/>
          <w:rtl w:val="true"/>
        </w:rPr>
        <w:footnoteReference w:id="243"/>
      </w:r>
    </w:p>
    <w:p>
      <w:pPr>
        <w:pStyle w:val="Heading3"/>
        <w:numPr>
          <w:ilvl w:val="2"/>
          <w:numId w:val="1"/>
        </w:numPr>
        <w:rPr/>
      </w:pPr>
      <w:bookmarkStart w:id="214" w:name="__RefHeading___Toc4284177_73709187"/>
      <w:bookmarkStart w:id="215" w:name="_Toc72"/>
      <w:bookmarkEnd w:id="214"/>
      <w:r>
        <w:rPr>
          <w:rtl w:val="true"/>
        </w:rPr>
        <w:t>الإمام الرابع</w:t>
      </w:r>
      <w:r>
        <w:rPr>
          <w:rtl w:val="true"/>
        </w:rPr>
        <w:t xml:space="preserve">: </w:t>
      </w:r>
      <w:r>
        <w:rPr>
          <w:rtl w:val="true"/>
        </w:rPr>
        <w:t xml:space="preserve">الظافر بأمر اللّٰه </w:t>
      </w:r>
      <w:r>
        <w:rPr>
          <w:rtl w:val="true"/>
        </w:rPr>
        <w:t>(</w:t>
      </w:r>
      <w:r>
        <w:rPr/>
        <w:t>527</w:t>
      </w:r>
      <w:r>
        <w:rPr>
          <w:rtl w:val="true"/>
        </w:rPr>
        <w:t>-</w:t>
      </w:r>
      <w:r>
        <w:rPr/>
        <w:t>549</w:t>
      </w:r>
      <w:r>
        <w:rPr>
          <w:rtl w:val="true"/>
        </w:rPr>
        <w:t xml:space="preserve"> </w:t>
      </w:r>
      <w:r>
        <w:rPr>
          <w:rtl w:val="true"/>
        </w:rPr>
        <w:t>ه</w:t>
      </w:r>
      <w:r>
        <w:rPr>
          <w:rtl w:val="true"/>
        </w:rPr>
        <w:t>)</w:t>
      </w:r>
      <w:bookmarkEnd w:id="215"/>
    </w:p>
    <w:p>
      <w:pPr>
        <w:pStyle w:val="BookText"/>
        <w:rPr/>
      </w:pPr>
      <w:r>
        <w:rPr>
          <w:rFonts w:ascii="Amiri" w:hAnsi="Amiri" w:eastAsia="Amiri" w:cs="Amiri"/>
          <w:color w:val="111111"/>
          <w:sz w:val="28"/>
          <w:sz w:val="28"/>
          <w:szCs w:val="28"/>
          <w:rtl w:val="true"/>
          <w:lang w:bidi="ar-SA"/>
        </w:rPr>
        <w:t xml:space="preserve">هو إسماعيل بن عبد المجيد ولد في القاهرة يوم الأحد منتصف شهر ربيع الآخر سنة سبع و عشرين و خمسمائة، و اغتيل في منتصف محرم سنة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بويع الظافر يوم مات أبوه، بوصيّة أبيه، و كان أصغر أولاد أبيه سناً، ولي الأمر بعد أبيه و كان شاباً جميلاً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الذي انشأ الجامع المعروف بجامع الفاكهيين، قتله نصر بن عباس أحد أبناء وزرائه، و قد ذكر المؤرخون سبب قتله و تفصيله، فمن أراد فليراجع</w:t>
      </w:r>
      <w:r>
        <w:rPr>
          <w:rFonts w:eastAsia="Amiri" w:cs="Amiri" w:ascii="Amiri" w:hAnsi="Amiri"/>
          <w:color w:val="111111"/>
          <w:sz w:val="28"/>
          <w:szCs w:val="28"/>
          <w:rtl w:val="true"/>
          <w:lang w:bidi="ar-SA"/>
        </w:rPr>
        <w:t>.</w:t>
      </w:r>
      <w:r>
        <w:rPr>
          <w:rStyle w:val="FootnoteAnchor"/>
          <w:rtl w:val="true"/>
        </w:rPr>
        <w:footnoteReference w:id="244"/>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عاش الظافر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bookmarkStart w:id="216" w:name="pg11557_101316"/>
    </w:p>
    <w:p>
      <w:pPr>
        <w:pStyle w:val="Heading3"/>
        <w:numPr>
          <w:ilvl w:val="2"/>
          <w:numId w:val="1"/>
        </w:numPr>
        <w:rPr/>
      </w:pPr>
      <w:bookmarkStart w:id="217" w:name="__RefHeading___Toc4284179_73709187"/>
      <w:bookmarkStart w:id="218" w:name="_Toc73"/>
      <w:bookmarkEnd w:id="216"/>
      <w:bookmarkEnd w:id="217"/>
      <w:r>
        <w:rPr>
          <w:rtl w:val="true"/>
        </w:rPr>
        <w:t>الإمام الخامس</w:t>
      </w:r>
      <w:r>
        <w:rPr>
          <w:rtl w:val="true"/>
        </w:rPr>
        <w:t xml:space="preserve">: </w:t>
      </w:r>
      <w:r>
        <w:rPr>
          <w:rtl w:val="true"/>
        </w:rPr>
        <w:t xml:space="preserve">الفائز بنصر اللّٰه </w:t>
      </w:r>
      <w:r>
        <w:rPr>
          <w:rtl w:val="true"/>
        </w:rPr>
        <w:t>(</w:t>
      </w:r>
      <w:r>
        <w:rPr/>
        <w:t>544</w:t>
      </w:r>
      <w:r>
        <w:rPr>
          <w:rtl w:val="true"/>
        </w:rPr>
        <w:t>-</w:t>
      </w:r>
      <w:r>
        <w:rPr/>
        <w:t>555</w:t>
      </w:r>
      <w:r>
        <w:rPr>
          <w:rtl w:val="true"/>
        </w:rPr>
        <w:t xml:space="preserve"> </w:t>
      </w:r>
      <w:r>
        <w:rPr>
          <w:rtl w:val="true"/>
        </w:rPr>
        <w:t>ه</w:t>
      </w:r>
      <w:r>
        <w:rPr>
          <w:rtl w:val="true"/>
        </w:rPr>
        <w:t>)</w:t>
      </w:r>
      <w:bookmarkEnd w:id="218"/>
    </w:p>
    <w:p>
      <w:pPr>
        <w:pStyle w:val="BookText"/>
        <w:rPr/>
      </w:pPr>
      <w:r>
        <w:rPr>
          <w:rFonts w:ascii="Amiri" w:hAnsi="Amiri" w:eastAsia="Amiri" w:cs="Amiri"/>
          <w:color w:val="111111"/>
          <w:sz w:val="28"/>
          <w:sz w:val="28"/>
          <w:szCs w:val="28"/>
          <w:rtl w:val="true"/>
          <w:lang w:bidi="ar-SA"/>
        </w:rPr>
        <w:t xml:space="preserve">هو عيسى بن إسماعيل ولد عام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تسلّم الخلافة و له خمس سنين، و بقى على سدّة الخلافة ست سنين، و لَمّا اُغتيل أبوه، أقامه الوزير عباس مكان والده، تغطية لِما ارتكبه ابنُه من قتل الإمام الظافر، فلمّا قدم طلائع بن رزيك، والي الاشمونين بمجموعة إلى القاهرة، فرّ عباس، و استولى طلائع على الوزارة، و تلقّب بالصالح، و قام بأمر الدولة، إلى أن مات الفائز لثلاثة عشرة بقيت من رجب سنة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عن إحدىٰ عشرة سنة و ستة أشهر و يومين، منها في الخلافة ست سنين و خمسة أشهر و أيام</w:t>
      </w:r>
      <w:r>
        <w:rPr>
          <w:rFonts w:eastAsia="Amiri" w:cs="Amiri" w:ascii="Amiri" w:hAnsi="Amiri"/>
          <w:color w:val="111111"/>
          <w:sz w:val="28"/>
          <w:szCs w:val="28"/>
          <w:rtl w:val="true"/>
          <w:lang w:bidi="ar-SA"/>
        </w:rPr>
        <w:t>.</w:t>
      </w:r>
      <w:r>
        <w:rPr>
          <w:rStyle w:val="FootnoteAnchor"/>
          <w:rtl w:val="true"/>
        </w:rPr>
        <w:footnoteReference w:id="245"/>
      </w:r>
    </w:p>
    <w:p>
      <w:pPr>
        <w:pStyle w:val="Heading3"/>
        <w:numPr>
          <w:ilvl w:val="2"/>
          <w:numId w:val="1"/>
        </w:numPr>
        <w:rPr/>
      </w:pPr>
      <w:bookmarkStart w:id="219" w:name="__RefHeading___Toc4284181_73709187"/>
      <w:bookmarkStart w:id="220" w:name="_Toc74"/>
      <w:bookmarkEnd w:id="219"/>
      <w:r>
        <w:rPr>
          <w:rtl w:val="true"/>
        </w:rPr>
        <w:t>الإمام السادس</w:t>
      </w:r>
      <w:r>
        <w:rPr>
          <w:rtl w:val="true"/>
        </w:rPr>
        <w:t xml:space="preserve">: </w:t>
      </w:r>
      <w:r>
        <w:rPr>
          <w:rtl w:val="true"/>
        </w:rPr>
        <w:t xml:space="preserve">العاضد لدين اللّٰه </w:t>
      </w:r>
      <w:r>
        <w:rPr>
          <w:rtl w:val="true"/>
        </w:rPr>
        <w:t>(</w:t>
      </w:r>
      <w:r>
        <w:rPr/>
        <w:t>546</w:t>
      </w:r>
      <w:r>
        <w:rPr>
          <w:rtl w:val="true"/>
        </w:rPr>
        <w:t>-</w:t>
      </w:r>
      <w:r>
        <w:rPr/>
        <w:t>567</w:t>
      </w:r>
      <w:r>
        <w:rPr>
          <w:rtl w:val="true"/>
        </w:rPr>
        <w:t xml:space="preserve"> </w:t>
      </w:r>
      <w:r>
        <w:rPr>
          <w:rtl w:val="true"/>
        </w:rPr>
        <w:t>ه</w:t>
      </w:r>
      <w:r>
        <w:rPr>
          <w:rtl w:val="true"/>
        </w:rPr>
        <w:t>)</w:t>
      </w:r>
      <w:bookmarkEnd w:id="220"/>
    </w:p>
    <w:p>
      <w:pPr>
        <w:pStyle w:val="Heading4"/>
        <w:numPr>
          <w:ilvl w:val="3"/>
          <w:numId w:val="1"/>
        </w:numPr>
        <w:rPr/>
      </w:pPr>
      <w:bookmarkStart w:id="221" w:name="__RefHeading___Toc4284183_73709187"/>
      <w:bookmarkStart w:id="222" w:name="_Toc75"/>
      <w:bookmarkEnd w:id="221"/>
      <w:r>
        <w:rPr>
          <w:rtl w:val="true"/>
        </w:rPr>
        <w:t>اشارة</w:t>
      </w:r>
      <w:bookmarkEnd w:id="222"/>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عبد اللّٰه بن يوسف ولد عام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توفي عام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هو عبد اللّٰه ابن يوسف بن عبد المجيد بن محمد بن المنتصر، أقامه طلائع بن رزيك، بعد الفائز، ولي المملكة بعد وفاة ابن عمّه الفائز بنصر اللّٰه، و كان العاضد شديدَ التشيّع، بويع و عمره آنذاك إحدى عشرة سنة، و قام الصالح بن رزيك، أخو طلائع بن رزيك، بتدبير الأُمور، إلى أن قتل في رمضان سنة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فقام من بعده </w:t>
      </w:r>
    </w:p>
    <w:p>
      <w:pPr>
        <w:pStyle w:val="BookText"/>
        <w:rPr/>
      </w:pPr>
      <w:r>
        <w:rPr>
          <w:rFonts w:ascii="Amiri" w:hAnsi="Amiri" w:eastAsia="Amiri" w:cs="Amiri"/>
          <w:color w:val="111111"/>
          <w:sz w:val="28"/>
          <w:sz w:val="28"/>
          <w:szCs w:val="28"/>
          <w:rtl w:val="true"/>
          <w:lang w:bidi="ar-SA"/>
        </w:rPr>
        <w:t>ابنه رزيك بن طلائع، و حسنت سيرته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المقريزي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قوى تمكّن الافرنج في القاهرة عام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جاروا في حكمهم بها، و ركبوا المسلمين بأنواع الإهانة، فسار مري ملك الافرنج يريد أخذ القاهرة، و نزل علىٰ مدينة بلبيس و أخذها عنوة، فكتب العاضد إلى نور الدين محمود بن زنكي صاحب الشام يستصرخه و يحثّه على نجدة الإسلام و إنقاذ المسلمين من الافرنج، فجهّز أسد الدين شيركوه في عسكر كثير، و سيّرهم إلى مصر، فلما اطّلع الافرنج علىٰ قدوم شيركوه، رحلوا عن القاهرة في السابع من ربيع الآخر، و نزل شيركوه بالقاهرة، فخلع عليه العاضد و أكرمه، و تقلّد وزارة العاضد و قام بالدولة شهرين و خمسة أيّام، و مات في الثاني و العشرين من جمادى الآخرة، ففوض العاضد الوزارة لصلاح الدين يوسف بن أيوب، فساس الأُمور و دبّر لنفسه، فبذل الأموال و أضعف العاضد باستنفاد ما عنده من المال، فلم يزل أمرُهُ في ازدياد، و أمر العاضد في نقصان، و استبدَّ بالأُمور و منع العاضد من التصرّف حتىٰ تبيّن للناس ما يريده من إزالة الدولة، إلى أن كان من واقعة العبيد ما كان فأبادهم و أفناهم، و من حينئذٍ تلاشىٰ العاضد و انحل أمره و لم يبق له سوى إقامة ذكره في الخطبة، و تتبع صلاح الدين جُندَ العاضد، و أخذ دور الأُمراء، و إقطاعاتهم، فوهبها لأصحابه، و بعث إلىٰ أبيه و إخوته و أهله فقدموا من الشام عليه، و عزل قضاة مصر الشيعة، و اختفى مذهب الشيعة إلىٰ أن نسي من مصر، و قد زاد المضايقات على العاضد و أهل بيته، حتى مرض و مات، و عمره إحدىٰ و عشرون سنة إلّا عشرة أيّام، و كان كريماً ليّن الجانب مرّت به مخاوف و شدائد، و هو آخر الخلفاء الفاطميين بمصر، و كانت مدّتهم بالمغرب، و مصر، منذ قام عبيد اللّٰه المهدي إلى أن مات العاضد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منها بالقاهرة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سنين فسبحان الباقي</w:t>
      </w:r>
      <w:r>
        <w:rPr>
          <w:rFonts w:eastAsia="Amiri" w:cs="Amiri" w:ascii="Amiri" w:hAnsi="Amiri"/>
          <w:color w:val="111111"/>
          <w:sz w:val="28"/>
          <w:szCs w:val="28"/>
          <w:rtl w:val="true"/>
          <w:lang w:bidi="ar-SA"/>
        </w:rPr>
        <w:t>.</w:t>
      </w:r>
      <w:r>
        <w:rPr>
          <w:rStyle w:val="FootnoteAnchor"/>
          <w:rtl w:val="true"/>
        </w:rPr>
        <w:footnoteReference w:id="246"/>
      </w:r>
      <w:bookmarkStart w:id="223" w:name="pg11557_101318"/>
    </w:p>
    <w:p>
      <w:pPr>
        <w:pStyle w:val="Heading4"/>
        <w:numPr>
          <w:ilvl w:val="3"/>
          <w:numId w:val="1"/>
        </w:numPr>
        <w:rPr/>
      </w:pPr>
      <w:bookmarkStart w:id="224" w:name="__RefHeading___Toc4284185_73709187"/>
      <w:bookmarkStart w:id="225" w:name="_Toc76"/>
      <w:bookmarkEnd w:id="223"/>
      <w:bookmarkEnd w:id="224"/>
      <w:r>
        <w:rPr>
          <w:rtl w:val="true"/>
        </w:rPr>
        <w:t>جناية التاريخ على الفاطميين</w:t>
      </w:r>
      <w:bookmarkEnd w:id="225"/>
    </w:p>
    <w:p>
      <w:pPr>
        <w:pStyle w:val="BookText"/>
        <w:rPr/>
      </w:pPr>
      <w:r>
        <w:rPr>
          <w:rFonts w:ascii="Amiri" w:hAnsi="Amiri" w:eastAsia="Amiri" w:cs="Amiri"/>
          <w:color w:val="111111"/>
          <w:sz w:val="28"/>
          <w:sz w:val="28"/>
          <w:szCs w:val="28"/>
          <w:rtl w:val="true"/>
          <w:lang w:bidi="ar-SA"/>
        </w:rPr>
        <w:t>إنّ لكلّ دولة أجلاً مسمّى، كما أنّ لطلوعها و نشوئها عللاً، كذلك لزوالها و إبادتها أسباباً سنّة اللّٰه سبحانه الذي قد كتب على كلّ أُمّة أمرَ زوالها و فنائها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مَنْ عَلَيْهٰا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يَبْقىٰ وَجْهُ رَبِّكَ ذُو اَلْجَلاٰلِ وَ اَلْإِكْرٰامِ</w:t>
      </w:r>
      <w:r>
        <w:rPr>
          <w:rFonts w:eastAsia="Amiri" w:cs="Amiri" w:ascii="Amiri" w:hAnsi="Amiri"/>
          <w:color w:val="111111"/>
          <w:sz w:val="28"/>
          <w:szCs w:val="28"/>
          <w:rtl w:val="true"/>
          <w:lang w:bidi="ar-SA"/>
        </w:rPr>
        <w:t>»</w:t>
      </w:r>
      <w:r>
        <w:rPr>
          <w:rStyle w:val="FootnoteAnchor"/>
          <w:rtl w:val="true"/>
        </w:rPr>
        <w:footnoteReference w:id="247"/>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جَعَلْنٰا لِبَشَرٍ مِنْ قَبْلِكَ اَلْخُلْدَ أَ فَإِنْ مِتَّ فَهُمُ اَلْخٰالِدُونَ</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لا شكّ أنّ كلَّ دولة يرأسها غيرُ معصوم لا تخلو من أخطاء و هفوات، بل من جرائم و آثام، و ربّما تنتابها بين آونة و أُخرى حوادث و فتن، تضعضع كيانها و تشرفها على الانهيار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فالدولة الفاطميّة غير مستثناة عن هذا الخط السائد، فقد كانت لديهم زلّات و عثرات و مآثم و جرائم كسائر الدول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أنّهم قاموا بأعمال و مشاريع كبيرة لا تقوم بها إلّا الدولة المؤمنة باللّٰه سبحانه و شريعته، كالجامع الأزهر،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ظل عبر الدهور يُنير الدرب لأكثر من ألف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أنّهم أنشئوا جوامع كبيرة، و مدارس عظيمة مذكورة في تاريخهم، و بذلك رفعوا الثقافة الإسلامية إلى مرتبة عالية، و تلك الأعمال جعلت لهم في قلوب الناس مكانة 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يدلّ على أنّ حكمهم لم يكن حكماً استبدادياً، و لم تكن سيرتهم على سفك الدماء، أنّ البعضَ منهم تسلموا الخلافة و هم بين خمس سنين إلى عشر سنين، فلو كانت حكومتهم حكومة ظالمة و مالكة للرقاب بالتعسف و الظلم، لانهار ملكهم منذ أوائل خلافتهم، و لم يدم ثلاثة قرون، وسط عدوّين شرسين، الخلافة العباسيّة من جانب، و الافرنج من جانب آخر</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أنّا نرى أنّ أكثر المؤرّخين يصوّرونهم كالفراعنة، و أنّهم فراعنة الأعصار </w:t>
      </w:r>
    </w:p>
    <w:p>
      <w:pPr>
        <w:pStyle w:val="BookText"/>
        <w:rPr/>
      </w:pPr>
      <w:r>
        <w:rPr>
          <w:rFonts w:ascii="Amiri" w:hAnsi="Amiri" w:eastAsia="Amiri" w:cs="Amiri"/>
          <w:color w:val="111111"/>
          <w:sz w:val="28"/>
          <w:sz w:val="28"/>
          <w:szCs w:val="28"/>
          <w:rtl w:val="true"/>
          <w:lang w:bidi="ar-SA"/>
        </w:rPr>
        <w:t>الإسلامية، كالقبطيين الذي كانوا فراعنة أعصارهم، لا لم يكونوا بهذه المثابة، كما لم يكونوا نزيهين عن الآثام، خلطوا المحاسن بالمساوئ، شأن كلّ ملك يحكم، و إن كانت محاسنهم أكثر من مساوئهم، فأظن أنّ ما كتبته أقلام السير و التاريخ كلّها حدسيّات و تخمينات أخذوها من رماة القول على عواهنه، فيجب على القارئ دراسة سيرة الفاطميين من رأس و أخذها من معين صاف غير مشوب بالعداء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يدل على ذلك أنّ الفقيه عمارة اليمني كتب إلى صلاح الدين قصيدة متضمنة شرح حاله و ضرورته و 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شكاية المتظلم و نكاية المتألم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بديعة و رثى أصحاب القصر عند زوال ملكهم، بقصيدة لاميّة أجاد فيها</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و على كلّ تقدير، فبعد وفاة الطيّب بن الآمر و خلافة الأئمّة الأربعة المتأخرة، الحافظ، الظافر، الفائز ثمّ العاضد، دخلت الدعوة المستعلية بالستر و توقفت عن السير وراء الركب الإمامي و اتبعت نظام الدعاة مكان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 بيان أئمة المستعلية، التي افترقت بعد المستنصر باللّٰه، و صارت فرقة عظيمة معروفة بالبهرة، و لهم اليوم في الهند نشاطات، و مدارس و دعايات، و هم يمسكون بكتبهم عن الغير و يبخلون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الإسماعيلية المستعلية انقسمت سنة </w:t>
      </w:r>
      <w:r>
        <w:rPr>
          <w:rFonts w:eastAsia="Amiri" w:cs="Amiri" w:ascii="Amiri" w:hAnsi="Amiri"/>
          <w:color w:val="111111"/>
          <w:sz w:val="28"/>
          <w:szCs w:val="28"/>
          <w:lang w:bidi="ar-SA"/>
        </w:rPr>
        <w:t>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إلىٰ فرقتين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داودية، و سليمانية، و ذلك بعد وفاة الداعي المطلق، داود بن عجب شاه، انتخبت مستعلية كجرات داود بن قطب شاه خلفاً له، و لكن اليمانيين عارضوا ذلك و انتخبوا داعياً آخراً، يدعىٰ سليمان بن الحسن،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داود قد أوصىٰ له بموجب وثيقة ما تزال محفوظة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الداعي المطلق، للفرقة الإسماعيلية المستعلية الداودية اليوم، هو طاهر سيف الدين، و يقيم في بومباي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الداعي المطلق للفرقة المستعلية السليمانية، فهو علي بن الحسين، و يقيم في مقاطعة نجران بالحجاز</w:t>
      </w:r>
      <w:r>
        <w:rPr>
          <w:rFonts w:eastAsia="Amiri" w:cs="Amiri" w:ascii="Amiri" w:hAnsi="Amiri"/>
          <w:color w:val="111111"/>
          <w:sz w:val="28"/>
          <w:szCs w:val="28"/>
          <w:rtl w:val="true"/>
          <w:lang w:bidi="ar-SA"/>
        </w:rPr>
        <w:t>.</w:t>
      </w:r>
      <w:r>
        <w:rPr>
          <w:rStyle w:val="FootnoteAnchor"/>
          <w:rtl w:val="true"/>
        </w:rPr>
        <w:footnoteReference w:id="250"/>
      </w:r>
      <w:bookmarkStart w:id="226" w:name="pg11557_101320"/>
    </w:p>
    <w:p>
      <w:pPr>
        <w:pStyle w:val="Heading2"/>
        <w:numPr>
          <w:ilvl w:val="1"/>
          <w:numId w:val="1"/>
        </w:numPr>
        <w:rPr/>
      </w:pPr>
      <w:bookmarkStart w:id="227" w:name="__RefHeading___Toc4284187_73709187"/>
      <w:bookmarkStart w:id="228" w:name="_Toc77"/>
      <w:bookmarkEnd w:id="226"/>
      <w:bookmarkEnd w:id="227"/>
      <w:r>
        <w:rPr>
          <w:rtl w:val="true"/>
        </w:rPr>
        <w:t>الفصل الثامن</w:t>
      </w:r>
      <w:r>
        <w:rPr>
          <w:rtl w:val="true"/>
        </w:rPr>
        <w:t xml:space="preserve">: </w:t>
      </w:r>
      <w:r>
        <w:rPr>
          <w:rtl w:val="true"/>
        </w:rPr>
        <w:t>في أئمة النزارية المؤمنية و الآغاخانية</w:t>
      </w:r>
      <w:bookmarkEnd w:id="228"/>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9" w:name="__RefHeading___Toc4284189_73709187"/>
      <w:bookmarkStart w:id="230" w:name="_Toc78"/>
      <w:bookmarkEnd w:id="229"/>
      <w:r>
        <w:rPr>
          <w:rtl w:val="true"/>
        </w:rPr>
        <w:t>اشارة</w:t>
      </w:r>
      <w:bookmarkEnd w:id="230"/>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قد عرفت أنّ الإسماعيلية افترقت فرقتين، بين مستعلية تأتم بعد المستنصر باللّٰه، بأحمد المستعلي، ثمّ الآمر بأحكام اللّٰه؛ و نزارية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بإمامة نزار بن معد بعد المستنصر، و لا تأتم بالمستعلي أبداً، و قد تعرّفت علىٰ أئمّة المستعلية، و هذا بيان لأئمّة النزارية المشتركة بين الفرقتين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الآغاخانية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الفرقتين تتفقان على إمامة الأئمة الخمسة التالية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المصطفى باللّٰه نزار بن معد المستنصر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جلال الدين حسن بن أعلى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علاء الدين بن الإمام جلال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ركن الدين خورشاه بن الإمام علاء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شمس الدين بن ركن الدين</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اتّفقت الفرقتان على إمامة الأئمّة الخمسة في مسلسل أئمّتهما، و اختلفتا في غيرهم، فإليك قائمة بأسماء أئمّة النزارية المؤمنية أوّلاً، ثمّ قائمة بأسماء أئمّة النزارية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الآغاخانية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 و ترى أسماء الأئمّة المتفق عليهم في كلتا القائمتين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قائمة الأئمّة النزارية المؤمنية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نزار بن معد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بن نزار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علاء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محمود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ركن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محمود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الدين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 بن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مؤمن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رضي الدين بن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طاهر بن رضي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رضي الدين الثاني بن طاهر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طاهر بن رضي الدين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حيدر بن طاهر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صدر الدين بن حيدر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معين الدين بن صدر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عطية اللّٰه بن معين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عزيز بن عطية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معين الدين الثاني بن عزيز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معين الدين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حيدر بن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حيدر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 الباقر</w:t>
      </w:r>
      <w:r>
        <w:rPr>
          <w:rFonts w:eastAsia="Amiri" w:cs="Amiri" w:ascii="Amiri" w:hAnsi="Amiri"/>
          <w:color w:val="111111"/>
          <w:sz w:val="28"/>
          <w:szCs w:val="28"/>
          <w:rtl w:val="true"/>
          <w:lang w:bidi="ar-SA"/>
        </w:rPr>
        <w:t>).</w:t>
      </w:r>
      <w:r>
        <w:rPr>
          <w:rStyle w:val="FootnoteAnchor"/>
          <w:rtl w:val="true"/>
        </w:rPr>
        <w:footnoteReference w:id="251"/>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هذا الإمام الأخير في أورنك آباد عام </w:t>
      </w:r>
      <w:r>
        <w:rPr>
          <w:rFonts w:eastAsia="Amiri" w:cs="Amiri" w:ascii="Amiri" w:hAnsi="Amiri"/>
          <w:color w:val="111111"/>
          <w:sz w:val="28"/>
          <w:szCs w:val="28"/>
          <w:lang w:bidi="ar-SA"/>
        </w:rPr>
        <w:t>1179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لقبه 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توفي سنة </w:t>
      </w:r>
      <w:r>
        <w:rPr>
          <w:rFonts w:eastAsia="Amiri" w:cs="Amiri" w:ascii="Amiri" w:hAnsi="Amiri"/>
          <w:color w:val="111111"/>
          <w:sz w:val="28"/>
          <w:szCs w:val="28"/>
          <w:lang w:bidi="ar-SA"/>
        </w:rPr>
        <w:t>1210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 ما عرف عنه حتى الآن، هو أنّه آخر إمام من أسرة مؤمن، يحتفظ الإسماعيليون في سوريا بفرمان مرسل منه، من بلدة أورنك آباد بالهند، إلى الإسماعيليين في سوريا، و في عهده توقف الفرع المؤمني النزاري عن الركب الإمامي، و لم يبق بين فرق الإسماعيليين سوى القاسمية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الآغاخانية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سائرة على المنهج دون توقف</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 xml:space="preserve">قائمة الأئمّة النزارية القاسمية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الآغاخانية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نزار بن معد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مهتدي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على ذكره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أعلىٰ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جلال الدين 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علاء الدين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ركن الدين خورشاه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شمس الدين محمد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قاسم شاه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شاه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المستنصر باللّٰه الثاني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غريب ميرزا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الذر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مراد ميرزا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ذو الفقار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نور الدين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خليل اللّٰه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نزار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قاسم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الحسن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خليل اللّٰه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شاه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سلطان محمد شاه</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كريم خان</w:t>
      </w:r>
      <w:r>
        <w:rPr>
          <w:rFonts w:eastAsia="Amiri" w:cs="Amiri" w:ascii="Amiri" w:hAnsi="Amiri"/>
          <w:color w:val="111111"/>
          <w:sz w:val="28"/>
          <w:szCs w:val="28"/>
          <w:rtl w:val="true"/>
          <w:lang w:bidi="ar-SA"/>
        </w:rPr>
        <w:t>.</w:t>
      </w:r>
      <w:r>
        <w:rPr>
          <w:rStyle w:val="FootnoteAnchor"/>
          <w:rtl w:val="true"/>
        </w:rPr>
        <w:footnoteReference w:id="253"/>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فعدد الأئمّة عند النزارية المؤمنية بعد المستنصر يبلغ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إماماً، و عند الآغاخانية يبلغ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الاختلاف بدأ يدب بعد الإمام نزار ابن المستنصر، ففي الشجرة المؤمنية نرى إمامين بعد نزار،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و محمد، ثمّ حسن جلال الدين، و في الشجرة القاسميّة نرى خمسة أئمّة بعد نزار،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هادي، و مهتدي، و قاهر، و حسن على ذكره السلام، و أعلى محمد، ثمّ يأتي جلال الدين حسن، هذا و يلاحظ أنّه بعد هذا الالتقاء عند حسن جلال الدين، تعود الشجرتان إلى السير جنباً إلى جنب حتى محمد شمس الدّين، فبعد وفاة هذا الأخير ظهر اختلاف من نوع جديد، فالمعلوم أنّه كان للإمام محمد شمس الدين ثلاثة أولاد،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شاه، و قاسم شاه، و كياشاه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فالمؤمنيّة اعترفت بإمامة مؤمن شاه، و سارت وراءه، و وراء ولده من بعده حتى آخرهم أمير محمد باقر سنة </w:t>
      </w:r>
      <w:r>
        <w:rPr>
          <w:rFonts w:eastAsia="Amiri" w:cs="Amiri" w:ascii="Amiri" w:hAnsi="Amiri"/>
          <w:color w:val="111111"/>
          <w:sz w:val="28"/>
          <w:szCs w:val="28"/>
          <w:lang w:bidi="ar-SA"/>
        </w:rPr>
        <w:t>1210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القاسميّة سارت وراء قاسم شاه، و ولده الذين هم أسرة آغاخان</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 xml:space="preserve">ثمّ إنّ بسط الكلام في ترجمة هؤلاء الأئمّة يحوجنا إلى تأليف كتاب مفرد، و لنقتصر علىٰ ترجمة الأئمّة الذين حكموا قلعة ألموت من قلاع قزوين، التي دمّرها هولاكو سنة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آخر الأئمّة في تلك القلاع الإمام ركن الدين، الذي ولد عام </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أُسر بيد جيوش التتر، و قتل سنة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عند ما كانت الجيوش التترية تعبر نهر جيحون لتسليم الإمام و الأسرى إلى هولاكو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الباقي فسنترك ذكر سيرتهم، و من أراد المزيد فليرجع إلى المصادر التالية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الإمامة في الإسلام تأليف عارف تامر،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الدعوة الإسماعيلية لمصطفى غالب</w:t>
      </w:r>
      <w:r>
        <w:rPr>
          <w:rFonts w:eastAsia="Amiri" w:cs="Amiri" w:ascii="Amiri" w:hAnsi="Amiri"/>
          <w:color w:val="111111"/>
          <w:sz w:val="28"/>
          <w:szCs w:val="28"/>
          <w:rtl w:val="true"/>
          <w:lang w:bidi="ar-SA"/>
        </w:rPr>
        <w:t xml:space="preserve">. </w:t>
      </w:r>
      <w:bookmarkStart w:id="231" w:name="pg11557_101326"/>
    </w:p>
    <w:p>
      <w:pPr>
        <w:pStyle w:val="Heading3"/>
        <w:numPr>
          <w:ilvl w:val="2"/>
          <w:numId w:val="1"/>
        </w:numPr>
        <w:rPr/>
      </w:pPr>
      <w:bookmarkStart w:id="232" w:name="__RefHeading___Toc4284191_73709187"/>
      <w:bookmarkStart w:id="233" w:name="_Toc79"/>
      <w:bookmarkEnd w:id="231"/>
      <w:bookmarkEnd w:id="232"/>
      <w:r>
        <w:rPr>
          <w:rtl w:val="true"/>
        </w:rPr>
        <w:t>الإمام الأوّل</w:t>
      </w:r>
      <w:r>
        <w:rPr>
          <w:rtl w:val="true"/>
        </w:rPr>
        <w:t xml:space="preserve">: </w:t>
      </w:r>
      <w:r>
        <w:rPr>
          <w:rtl w:val="true"/>
        </w:rPr>
        <w:t xml:space="preserve">المصطفى باللّٰه نزار بن معد المستنصر </w:t>
      </w:r>
      <w:r>
        <w:rPr>
          <w:rtl w:val="true"/>
        </w:rPr>
        <w:t>(</w:t>
      </w:r>
      <w:r>
        <w:rPr/>
        <w:t>437</w:t>
      </w:r>
      <w:r>
        <w:rPr>
          <w:rtl w:val="true"/>
        </w:rPr>
        <w:t>-</w:t>
      </w:r>
      <w:r>
        <w:rPr/>
        <w:t>490</w:t>
      </w:r>
      <w:r>
        <w:rPr>
          <w:rtl w:val="true"/>
        </w:rPr>
        <w:t xml:space="preserve"> </w:t>
      </w:r>
      <w:r>
        <w:rPr>
          <w:rtl w:val="true"/>
        </w:rPr>
        <w:t>ه</w:t>
      </w:r>
      <w:r>
        <w:rPr>
          <w:rtl w:val="true"/>
        </w:rPr>
        <w:t>)</w:t>
      </w:r>
      <w:bookmarkEnd w:id="233"/>
    </w:p>
    <w:p>
      <w:pPr>
        <w:pStyle w:val="BookText"/>
        <w:rPr/>
      </w:pPr>
      <w:r>
        <w:rPr>
          <w:rFonts w:ascii="Amiri" w:hAnsi="Amiri" w:eastAsia="Amiri" w:cs="Amiri"/>
          <w:color w:val="111111"/>
          <w:sz w:val="28"/>
          <w:sz w:val="28"/>
          <w:szCs w:val="28"/>
          <w:rtl w:val="true"/>
          <w:lang w:bidi="ar-SA"/>
        </w:rPr>
        <w:t xml:space="preserve">قد تعرفت على أنّ المستنصر عهد بالولاية لابنه نزار إلّا أنّ الأفضل رئيس الوزراء، سعى لخلعه، و بايع أخاه الأصغر أحمد المستعلي، و قد ذكرنا سبب هذا الخلاف، فغادر الإمام نزار القاهرة بصحبة عدّة من رجال دعوته، و نزل الاسكندرية بدعوة من حاكمها، فسار إليه الأفضل علىٰ رأس جيش و حاصر الاسكندرية، و عند ما اشتدَّ الحصار عليها غادرها الإمام نزار مع أهل بيته متخفّياً بزي التجار،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سجلماسة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مكث عند عمّته هناك بضعة أشهر، حتى عادت إليه الرسل التي أوفدها لإبلاغ الحسن بن الصباح عن محل إقامته، فسار إلى جبال الطالقان مع أهل بيته و من بقي معه من دعاته و خدمه، حيث استقر بقلعة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رجال دعوته المخلصين، و عمل مع الحسن بن الصباح علىٰ تأسيس الدولة النزارية، و بعد أن تمّ له ذلك أصابه مرض شديدٌ استدعى علىٰ أثره دعاته و نص على إمامة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سنة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توفي في اليوم الثاني و دفن في قلعة الموت</w:t>
      </w:r>
      <w:r>
        <w:rPr>
          <w:rFonts w:eastAsia="Amiri" w:cs="Amiri" w:ascii="Amiri" w:hAnsi="Amiri"/>
          <w:color w:val="111111"/>
          <w:sz w:val="28"/>
          <w:szCs w:val="28"/>
          <w:rtl w:val="true"/>
          <w:lang w:bidi="ar-SA"/>
        </w:rPr>
        <w:t>.</w:t>
      </w:r>
      <w:r>
        <w:rPr>
          <w:rStyle w:val="FootnoteAnchor"/>
          <w:rtl w:val="true"/>
        </w:rPr>
        <w:footnoteReference w:id="255"/>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يذكره ذلك المؤرخ، و لكنَّ غيره من المؤرخين يذكرون شيئاً آخر، و هو أنّ الأفضل لحق به و نشبت بينهم معارك ضارية انتهت بمقتل نزار، و قد انتقم </w:t>
      </w:r>
    </w:p>
    <w:p>
      <w:pPr>
        <w:pStyle w:val="BookText"/>
        <w:rPr/>
      </w:pPr>
      <w:r>
        <w:rPr>
          <w:rFonts w:ascii="Amiri" w:hAnsi="Amiri" w:eastAsia="Amiri" w:cs="Amiri"/>
          <w:color w:val="111111"/>
          <w:sz w:val="28"/>
          <w:sz w:val="28"/>
          <w:szCs w:val="28"/>
          <w:rtl w:val="true"/>
          <w:lang w:bidi="ar-SA"/>
        </w:rPr>
        <w:t>النزاريون بمقتله فيما بعد بأن قتلوا الخليفة الفاطمي الآمر بن المستعلي، و رئيس الوزراء الأفضل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كلّ تقدير فقد توفي عام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إمّا في الاسكندرية مقتولاً، أو في قلعة ألموت</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 xml:space="preserve">و تجدر الإشارة إلى أنّ الحسن بن الصباح شيخ الجبل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المؤسس الواقعي للإمامة النزارية، و لو لا بيعته لابن المستنصر لما كان للنزارية 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ابن الصباح قصد المستنصر باللّٰه في زياراته و اجتمع به، و خاطبه في إقامة الدعوة له فأجاب الدعوة له في بلاد العجم، فعاد و دعا الناس إليه سراً، ثمّ أظهرها و ملك قلاع ألموت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الحسن بن الصباح رجلاً شهماً، كافياً، عالماً بالهندسة، و الحساب، و النجوم و السحر و غير ذلك؛ و كان رئيس الري إنسان يقال له أبو مسلم، و هو صهر نظام الملك، فاتهم الحسن بن الصباح بدخول جماعة من دعاة المصريين عليه، فخافه ابن الصباح، و كان نظام الملك يكرمه، و قال له يوماً من طريق الفراسة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قريب يضل هذا الرجل ضعفاء العوام، فلمّا هرب الحسن من أبي مسلم طلبه فلم يدركه، فطاف البلاد، و وصل إلى مصر و دخل على المستنصر صاحبها فأكرمه و أعطاه مالاً، و أمره أن يدعو الناس إلى إمامته، فقال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الإمام بعدك؟ فأشار إلى ابنه نزار، و عاد من مصر إلى موطنه، فلمّا رأى قلعة ألموت و اختبر أهل تلك النواحي، أقام عندهم و طمع في إغوائهم و دعاهم في السر، و أظهر الزهد، و لبس المسح، فتبعه أكثرهم، و العلوي صاحب القلعة حسن الظن فيه، يجلس إليه يتبرك به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أحكم الحسن أمره، دخل يوماً على العلوي بالقلعة، فقال له ابن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من هذه القلعة، فتبسم العلوي و ظنّه يمزح، فأمر ابن الصباح </w:t>
      </w:r>
    </w:p>
    <w:p>
      <w:pPr>
        <w:pStyle w:val="BookText"/>
        <w:rPr/>
      </w:pPr>
      <w:r>
        <w:rPr>
          <w:rFonts w:ascii="Amiri" w:hAnsi="Amiri" w:eastAsia="Amiri" w:cs="Amiri"/>
          <w:color w:val="111111"/>
          <w:sz w:val="28"/>
          <w:sz w:val="28"/>
          <w:szCs w:val="28"/>
          <w:rtl w:val="true"/>
          <w:lang w:bidi="ar-SA"/>
        </w:rPr>
        <w:t>بعض أصحابه بإخراج العلوي، فأخرجوه إلى دامغان و أعطاه ماله و ملك القلعة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بلغ الخبر إلى نظام الملك بعث عسكراً إلى قلعة ألموت، فحصروه فيها، و أخذوا عليه الطرق، فضاق ذرعه بالحصر، فأرسل من قتل نظام الملك، فلمّا قتل رجع العسكر عنها</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و 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الصباح الملقب بالكيا صاحب الدعوة النزارية و جدّ أصحاب قلعة ألموت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 كبار الزنادقة و من دهاة العالم، و له أخبار يطول شرحها،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أصله من مرو، و قد أكثر التطواف ما بين مصر إلى بلد كاشغر، يغوي الخلق و يضل الجهلة، إلى أن صار منه ما صار، و كان قوي المشاركة في الفلسفة و الهندسة و كثير المكر و الحيل، بعيد الغور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حامد الغزالي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شاهدت قصة الحسن بن الصباح لما تزهد تحت حصون ألموت، فكان أهل الحصن يتمنّون صعوده إليهم و يمتنع،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ترون المنكر كيف فشا و فسد الناس؟ فتبعه خلق، ثمّ خرج أمير الحصن يتصيد فنهض أصحابه و ملكوا الحصن، ثمّ كثرت قلاعهم</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 xml:space="preserve">و استعرض حسن الأمين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دائرة المعارف الشيعية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الإسماعيلية، و الانشقاق الذي طرأ على الخلافة الفاطمية بعد وفاة الخليفة الفاطمي المستنصر، و انقسامها إلى فرقتين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المستعلية و النزارية و موقف الحسن بن الصباح منهما، حيث قال</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الحسن بن الصباح من أشد الناس إنكاراً لخلافة أحمد المستعلي و أكثرهم تحمّساً لنزار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يضيف قائلاً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ثمة من يقول من النزاريين إنّ الحسن بن الصباح كان في مصر حين وقوع الخلاف على ولاية العهد، فلم يقر ما جرى، و كان ممّن يرون أنّ المستنصر كان مكرهاً على تولية ولده أحمد، و أنّ الأمر هو لنزار لا لأحمد، ففر الحسن بن الصباح من مصر داعياً لنزار، ثمّ أرسل بعض فدائييه، فأحضروا ابناً لنزار إلى قلعة ألموت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يخرج من مصر حتى أخرج معه ابناً لنزار، و اسمه في سلسلة الأئمة النزاريين علي و لقبه الهادي، فأخفاه الحسن و ستره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مهما يكن من أمر فقد أصبح الحسن بن الصباح الرجل الأوّل و الموجه الفعلي للدعوة النزارية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ذلك استعرض حسن الأمين الانحراف الخطير الذي طرأ على الدعوة النزارية و تخلّيها عن الإسلام كعقيدة و عمل،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الحسن بن الصباح سنة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فخلفه من خلفه في قيادة الدعوة النزارية دون أن يعلن هو أو غيره ممّن خلفه عن عقيدة جديدة، حتى انتهى الأمر إلى الحسن الثاني بن محمد بن بزرك أُميد سنة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فإذا به يعلن التخلّي عن الإسلام كعقيدة و عمل و الأخذ بمفهوم جديد للدين يتعارض كل التعارض مع مفهوم الإسلام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يصف المؤرخ علاء الدين عطاء الملك الجويني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الأمر و تفاصيله و يوم حدوثه، ثمّ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فأعلن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الحسن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رسالة قد جاءته من الإمام المستتر مع دليل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إمام وقتنا قد بعث إليكم صلواته و رحمته و دعاكم عباده المختارين، و لقد أعفاكم من أعباء تكاليف الشريعة و آل بكم إلى البعث</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يقول الجويني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أكد حسن بالتصريح بأنّه كما في عصر الشريعة إذا لم </w:t>
      </w:r>
    </w:p>
    <w:p>
      <w:pPr>
        <w:pStyle w:val="BookText"/>
        <w:rPr/>
      </w:pPr>
      <w:r>
        <w:rPr>
          <w:rFonts w:ascii="Amiri" w:hAnsi="Amiri" w:eastAsia="Amiri" w:cs="Amiri"/>
          <w:color w:val="111111"/>
          <w:sz w:val="28"/>
          <w:sz w:val="28"/>
          <w:szCs w:val="28"/>
          <w:rtl w:val="true"/>
          <w:lang w:bidi="ar-SA"/>
        </w:rPr>
        <w:t>يطع إنسان و لم يعبد بل تبع حكم القيامة بحجة أنّ الطاعة و العبادة هما أمران روحيان كان ينكل به و يرجم و يقتل، كذلك الآن في عصر القيامة إذا تقيد إنسان بحرفية الشريعة و واظب على العبادة الجسدية و الشعائر فانّ ذلك تعصب ينكل به و يرجم و يقتل من 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أكمل حسن كلامه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أُعفي الناس من تكاليف الشريعة، لأنّ عليهم في فترة القيامة هذه أن يتوجّهوا بكلّ جوارحهم نحو اللّٰه، و يهجروا كل الشعائر الدينية و جميع العبادات القائمة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وضع في الشريعة بأنّ على الناس عبادة اللّٰه خمس مرات في اليوم و أن يكونوا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التكليف كان ظاهرياً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الآن في أيام القيامة عليهم أن يكونوا دائماً مع اللّٰه في قلوبهم، و أن يبقوا نفوسهم متوجهة دائماً نحو الحضرة الإلهية، فإنّها الصلاة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أثّر كلامه في الجموع المحتشدة تحت منبره يقول المؤرخ الجويني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ذلك اليوم الذي اقترفت فيه هذه القبائح و أُفشيت فيه تلك المساوئ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مأمون 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 الكفر، لعب الجميع على الجنك و الرباب، و شربوا الخمر بشكل مكشوف على نفس درجات ذلك المنبر و في مكان جلوس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كان بين المؤمنين بالمذهب من أنكر عليهم ذلك، فنرى أنّ يوم الأحد السادس من ربيع الأوّل سنة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قام شقيق زوجة الحسن بطعنه في قلعة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فمضى المفتري من هذه الدنيا إلى نار اللّٰه الموقدة، و لكن الانحراف لم ينته باغتيال أصله، بل بقي مستمراً على عهد خليفته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علاء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تولّى بعد أبيه و هو في التاسعة عشرة من عمره و توفي سنة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كما كانت المعارضة الشديدة مستمرة، و إذا كان قد تزعمها في عهد حسن، شقيق زوجته، فقد تزعمها الآن حفيد حسن و سميه جلال الدين حسن، إذ كان على خلاف أبيه و جدّه في العقيدة متشدداً في خلافه لهما كلّ التشدد</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قام بإصلاحات كبيرة، فقد اتصل بحكام الأقطار الإسلامية يعلنهم </w:t>
      </w:r>
    </w:p>
    <w:p>
      <w:pPr>
        <w:pStyle w:val="BookText"/>
        <w:rPr/>
      </w:pPr>
      <w:r>
        <w:rPr>
          <w:rFonts w:ascii="Amiri" w:hAnsi="Amiri" w:eastAsia="Amiri" w:cs="Amiri"/>
          <w:color w:val="111111"/>
          <w:sz w:val="28"/>
          <w:sz w:val="28"/>
          <w:szCs w:val="28"/>
          <w:rtl w:val="true"/>
          <w:lang w:bidi="ar-SA"/>
        </w:rPr>
        <w:t xml:space="preserve">العودة إلى الإسلام ليوثق الصلات بهم و بجمهور المسلمين بعد الذي شاع عن انحراف جدّه و ما أعلنه من خروج على الشريعة، فراسل الخليفة في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الناصر لدين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من الملوك و الأُمراء، كما أرسل والدته و زوجته إلى الحجّ و أمر ببناء المساجد و قرّب إليه الفقهاء و القرّاء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البديهي أن لا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 الدين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استطاع استئصال جذور الانحراف، و أن يظل للانحراف أتباعه الآخذون به شأن جميع الدعوات في كلّ زمان و مكان</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أمر دولة هؤلاء النزاريين لم يطل كثيراً بعد جلال الدين، فقد انتهى ملكهم على يد هولاكو سنة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لكن مَن أخذوا بأقوال الحسن الثاني بن محمد و انحرافه لم ينتهوا، بل ظل للدعوة من يحملها من جيل إلى جيل حتى هذا الجيل و هم اليوم أتباع آغاخان و ظلوا هم وحدهم منفردين باسم الإسماعيليين بعد أن تبرأ من هذا الاسم أصحابه الحقيقيين و تسمّوا باسم البهرة</w:t>
      </w:r>
      <w:r>
        <w:rPr>
          <w:rFonts w:eastAsia="Amiri" w:cs="Amiri" w:ascii="Amiri" w:hAnsi="Amiri"/>
          <w:color w:val="111111"/>
          <w:sz w:val="28"/>
          <w:szCs w:val="28"/>
          <w:rtl w:val="true"/>
          <w:lang w:bidi="ar-SA"/>
        </w:rPr>
        <w:t>.</w:t>
      </w:r>
      <w:r>
        <w:rPr>
          <w:rStyle w:val="FootnoteAnchor"/>
          <w:rtl w:val="true"/>
        </w:rPr>
        <w:footnoteReference w:id="259"/>
      </w:r>
      <w:bookmarkStart w:id="234" w:name="pg11557_101332"/>
    </w:p>
    <w:p>
      <w:pPr>
        <w:pStyle w:val="Heading3"/>
        <w:numPr>
          <w:ilvl w:val="2"/>
          <w:numId w:val="1"/>
        </w:numPr>
        <w:rPr/>
      </w:pPr>
      <w:bookmarkStart w:id="235" w:name="__RefHeading___Toc4284193_73709187"/>
      <w:bookmarkStart w:id="236" w:name="_Toc80"/>
      <w:bookmarkEnd w:id="234"/>
      <w:bookmarkEnd w:id="235"/>
      <w:r>
        <w:rPr>
          <w:rtl w:val="true"/>
        </w:rPr>
        <w:t>الإمام الثاني</w:t>
      </w:r>
      <w:r>
        <w:rPr>
          <w:rtl w:val="true"/>
        </w:rPr>
        <w:t xml:space="preserve">: </w:t>
      </w:r>
      <w:r>
        <w:rPr>
          <w:rtl w:val="true"/>
        </w:rPr>
        <w:t xml:space="preserve">علي الهادي بن الإمام نزار </w:t>
      </w:r>
      <w:r>
        <w:rPr>
          <w:rtl w:val="true"/>
        </w:rPr>
        <w:t>(</w:t>
      </w:r>
      <w:r>
        <w:rPr/>
        <w:t>470</w:t>
      </w:r>
      <w:r>
        <w:rPr>
          <w:rtl w:val="true"/>
        </w:rPr>
        <w:t>-</w:t>
      </w:r>
      <w:r>
        <w:rPr/>
        <w:t>530</w:t>
      </w:r>
      <w:r>
        <w:rPr>
          <w:rtl w:val="true"/>
        </w:rPr>
        <w:t xml:space="preserve"> </w:t>
      </w:r>
      <w:r>
        <w:rPr>
          <w:rtl w:val="true"/>
        </w:rPr>
        <w:t>ه</w:t>
      </w:r>
      <w:r>
        <w:rPr>
          <w:rtl w:val="true"/>
        </w:rPr>
        <w:t>)</w:t>
      </w:r>
      <w:bookmarkEnd w:id="236"/>
    </w:p>
    <w:p>
      <w:pPr>
        <w:pStyle w:val="BookText"/>
        <w:rPr/>
      </w:pPr>
      <w:r>
        <w:rPr>
          <w:rFonts w:ascii="Amiri" w:hAnsi="Amiri" w:eastAsia="Amiri" w:cs="Amiri"/>
          <w:color w:val="111111"/>
          <w:sz w:val="28"/>
          <w:sz w:val="28"/>
          <w:szCs w:val="28"/>
          <w:rtl w:val="true"/>
          <w:lang w:bidi="ar-SA"/>
        </w:rPr>
        <w:t xml:space="preserve">ولد الإمام علي الهادي بن الإمام نزار سنة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ارتحل مع والده الإمام نزار إلىٰ قلعة ألموت، و لما توفي أبوه عام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أصبح إماماً للإسماعيليّة و لم يتجاوز عمره عن 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انتشر المذهب الإسماعيلي في عهده علىٰ يد داعيته الحسن بن الصباح، شيخ الجبل، المعروف بالمقدرة و البطش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عمد الإمام إلى تأليف جيش قويّ من الإسماعيليّة، قسّمه إلى فرقتين، الفرقة الأُولى أسماها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الفدائية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المكلّفة ببذل التضحيات السريعة المستعجلة، و تنفيذ الأوامر السرية الهامة، و لقد تدرّب أفراد تلك الفرقة أعظم تدريب على استعمال كافة أنواع الأسلحة، و على الفروسية، كما لُقّنوا مختلف العلوم الفلسفية، و أتقنوا أغلب لُغات أهالي تلك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الفرقة الثانية سميت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المكلَّفون بنشر الدعوة الإسماعيليّة بأُسلوبهم الخاص في مختلف الأقطار و الأقاليم، و هم المدافعون عن مذهبهم بالعلم و الفلسفة، و على الغالب كانوا يتولون الوظائف الإدارية في البلاد التي يوفدون إليها لنشر الدعوة</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توفي الإمام علي الهادي، بعد أن مكث في الإمامة أربعين عاماً، و دفن في قلعة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نصَّ علىٰ إمامة ولده محمد المهتدي</w:t>
      </w:r>
      <w:r>
        <w:rPr>
          <w:rFonts w:eastAsia="Amiri" w:cs="Amiri" w:ascii="Amiri" w:hAnsi="Amiri"/>
          <w:color w:val="111111"/>
          <w:sz w:val="28"/>
          <w:szCs w:val="28"/>
          <w:rtl w:val="true"/>
          <w:lang w:bidi="ar-SA"/>
        </w:rPr>
        <w:t>.</w:t>
      </w:r>
      <w:r>
        <w:rPr>
          <w:rStyle w:val="FootnoteAnchor"/>
          <w:rtl w:val="true"/>
        </w:rPr>
        <w:footnoteReference w:id="260"/>
      </w:r>
      <w:bookmarkStart w:id="237" w:name="pg11557_101333"/>
    </w:p>
    <w:p>
      <w:pPr>
        <w:pStyle w:val="Heading3"/>
        <w:numPr>
          <w:ilvl w:val="2"/>
          <w:numId w:val="1"/>
        </w:numPr>
        <w:rPr/>
      </w:pPr>
      <w:bookmarkStart w:id="238" w:name="__RefHeading___Toc4284195_73709187"/>
      <w:bookmarkStart w:id="239" w:name="_Toc81"/>
      <w:bookmarkEnd w:id="237"/>
      <w:bookmarkEnd w:id="238"/>
      <w:r>
        <w:rPr>
          <w:rtl w:val="true"/>
        </w:rPr>
        <w:t>الإمام الثالث</w:t>
      </w:r>
      <w:r>
        <w:rPr>
          <w:rtl w:val="true"/>
        </w:rPr>
        <w:t xml:space="preserve">: </w:t>
      </w:r>
      <w:r>
        <w:rPr>
          <w:rtl w:val="true"/>
        </w:rPr>
        <w:t xml:space="preserve">محمد المهتدي بن الإمام علي </w:t>
      </w:r>
      <w:r>
        <w:rPr>
          <w:rtl w:val="true"/>
        </w:rPr>
        <w:t>(</w:t>
      </w:r>
      <w:r>
        <w:rPr/>
        <w:t>500</w:t>
      </w:r>
      <w:r>
        <w:rPr>
          <w:rtl w:val="true"/>
        </w:rPr>
        <w:t>-</w:t>
      </w:r>
      <w:r>
        <w:rPr/>
        <w:t>552</w:t>
      </w:r>
      <w:r>
        <w:rPr>
          <w:rtl w:val="true"/>
        </w:rPr>
        <w:t xml:space="preserve"> </w:t>
      </w:r>
      <w:r>
        <w:rPr>
          <w:rtl w:val="true"/>
        </w:rPr>
        <w:t>ه</w:t>
      </w:r>
      <w:r>
        <w:rPr>
          <w:rtl w:val="true"/>
        </w:rPr>
        <w:t>)</w:t>
      </w:r>
      <w:bookmarkEnd w:id="239"/>
    </w:p>
    <w:p>
      <w:pPr>
        <w:pStyle w:val="BookText"/>
        <w:rPr/>
      </w:pPr>
      <w:r>
        <w:rPr>
          <w:rFonts w:ascii="Amiri" w:hAnsi="Amiri" w:eastAsia="Amiri" w:cs="Amiri"/>
          <w:color w:val="111111"/>
          <w:sz w:val="28"/>
          <w:sz w:val="28"/>
          <w:szCs w:val="28"/>
          <w:rtl w:val="true"/>
          <w:lang w:bidi="ar-SA"/>
        </w:rPr>
        <w:t xml:space="preserve">ولد الإمام محمد بن علي بن الإمام نزار الملقب بالمهتدي سنة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قلعة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لامستر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أصبح إماماً للإسماعيلية بعد وفاة أبيه الإمام علي الهادي سنة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أوّل عمل قام به أن نقل مقرّه إلىٰ قلعة ألموت، و وجه اهتمامه لبعث الجيش الإسماعيلي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الفدائية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جديد، و تدريبه تدريباً كاملاً ليستطيع الدفاع عن القلاع و الحصون الإسماعيلية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وجه عنايته أيضاً لتنظيم الدعاة، و تلقينهم أُصول العقائد الإسماعيلية، و تدريبهم على المباحثة و المناقشة في الفلسفة، و الفقه الإسلامي و العقائد الإسلامية، كما أوجد بينهم نظام الشيفرة ليستعملوه في اتصالاتهم الداخلية و الخارجية فاستعملوا الأعداد للدلالة على الأحرف الأبجدية، و تعرضت الإسماعيليّة أيضاً لكثير من الهجمات الداخلية و الغزوات الخارجيّة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توفي الإمام المهتدي و دفن في قلعة ألموت بعد أن نصَّ علىٰ إمامة ولده حسن</w:t>
      </w:r>
      <w:r>
        <w:rPr>
          <w:rFonts w:eastAsia="Amiri" w:cs="Amiri" w:ascii="Amiri" w:hAnsi="Amiri"/>
          <w:color w:val="111111"/>
          <w:sz w:val="28"/>
          <w:szCs w:val="28"/>
          <w:rtl w:val="true"/>
          <w:lang w:bidi="ar-SA"/>
        </w:rPr>
        <w:t>.</w:t>
      </w:r>
      <w:r>
        <w:rPr>
          <w:rStyle w:val="FootnoteAnchor"/>
          <w:rtl w:val="true"/>
        </w:rPr>
        <w:footnoteReference w:id="261"/>
      </w:r>
      <w:bookmarkStart w:id="240" w:name="pg11557_101334"/>
    </w:p>
    <w:p>
      <w:pPr>
        <w:pStyle w:val="Heading3"/>
        <w:numPr>
          <w:ilvl w:val="2"/>
          <w:numId w:val="1"/>
        </w:numPr>
        <w:rPr/>
      </w:pPr>
      <w:bookmarkStart w:id="241" w:name="__RefHeading___Toc4284197_73709187"/>
      <w:bookmarkStart w:id="242" w:name="_Toc82"/>
      <w:bookmarkEnd w:id="240"/>
      <w:bookmarkEnd w:id="241"/>
      <w:r>
        <w:rPr>
          <w:rtl w:val="true"/>
        </w:rPr>
        <w:t>الإمام الرابع</w:t>
      </w:r>
      <w:r>
        <w:rPr>
          <w:rtl w:val="true"/>
        </w:rPr>
        <w:t xml:space="preserve">: </w:t>
      </w:r>
      <w:r>
        <w:rPr>
          <w:rtl w:val="true"/>
        </w:rPr>
        <w:t xml:space="preserve">القاهر بقوة اللّٰه حسن بن محمد بن علي بن نزار </w:t>
      </w:r>
      <w:r>
        <w:rPr>
          <w:rtl w:val="true"/>
        </w:rPr>
        <w:t>(</w:t>
      </w:r>
      <w:r>
        <w:rPr/>
        <w:t>520</w:t>
      </w:r>
      <w:r>
        <w:rPr>
          <w:rtl w:val="true"/>
        </w:rPr>
        <w:t>-</w:t>
      </w:r>
      <w:r>
        <w:rPr/>
        <w:t>557</w:t>
      </w:r>
      <w:r>
        <w:rPr>
          <w:rtl w:val="true"/>
        </w:rPr>
        <w:t xml:space="preserve"> </w:t>
      </w:r>
      <w:r>
        <w:rPr>
          <w:rtl w:val="true"/>
        </w:rPr>
        <w:t>ه</w:t>
      </w:r>
      <w:r>
        <w:rPr>
          <w:rtl w:val="true"/>
        </w:rPr>
        <w:t>)</w:t>
      </w:r>
      <w:bookmarkEnd w:id="242"/>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قلعة ألموت، و أصبح بعد وفاة أبيه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إماماً بموجب النص، و كان عمره آنذاك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 عين الداعي محمد كيابزرك آميد نائباً عنه و كبيراً لدعاته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عمل الداعي بكل إخلاص و وزع الدعاة الأكفاء علىٰ جميع المناطق، و وجّه عناية خاصة للفرقة الفدائية، التي كانت تحتل المكان الأوّل في الجيش الإسماعيلي، و أنشأ مدرسة خاصّةً لتثقيف الفدائية و تدريبهم التدريب الكامل على استعمال الأسلحة، و تلقينهم أغلب اللغات المستعملة في ذلك الوقت</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دفن في قلعة ألموت بعد أن نصَّ علىٰ إمامة ولده الحسن علي</w:t>
      </w:r>
      <w:r>
        <w:rPr>
          <w:rFonts w:eastAsia="Amiri" w:cs="Amiri" w:ascii="Amiri" w:hAnsi="Amiri"/>
          <w:color w:val="111111"/>
          <w:sz w:val="28"/>
          <w:szCs w:val="28"/>
          <w:rtl w:val="true"/>
          <w:lang w:bidi="ar-SA"/>
        </w:rPr>
        <w:t>.</w:t>
      </w:r>
      <w:r>
        <w:rPr>
          <w:rStyle w:val="FootnoteAnchor"/>
          <w:rtl w:val="true"/>
        </w:rPr>
        <w:footnoteReference w:id="262"/>
      </w:r>
      <w:bookmarkStart w:id="243" w:name="pg11557_101335"/>
    </w:p>
    <w:p>
      <w:pPr>
        <w:pStyle w:val="Heading3"/>
        <w:numPr>
          <w:ilvl w:val="2"/>
          <w:numId w:val="1"/>
        </w:numPr>
        <w:rPr/>
      </w:pPr>
      <w:bookmarkStart w:id="244" w:name="__RefHeading___Toc4284199_73709187"/>
      <w:bookmarkStart w:id="245" w:name="_Toc83"/>
      <w:bookmarkEnd w:id="243"/>
      <w:bookmarkEnd w:id="244"/>
      <w:r>
        <w:rPr>
          <w:rtl w:val="true"/>
        </w:rPr>
        <w:t>الإمام الخامس</w:t>
      </w:r>
      <w:r>
        <w:rPr>
          <w:rtl w:val="true"/>
        </w:rPr>
        <w:t xml:space="preserve">: </w:t>
      </w:r>
      <w:r>
        <w:rPr>
          <w:rtl w:val="true"/>
        </w:rPr>
        <w:t xml:space="preserve">الإمام الحسن علي بن الإمام حسن القاهر </w:t>
      </w:r>
      <w:r>
        <w:rPr>
          <w:rtl w:val="true"/>
        </w:rPr>
        <w:t>(</w:t>
      </w:r>
      <w:r>
        <w:rPr/>
        <w:t>539</w:t>
      </w:r>
      <w:r>
        <w:rPr>
          <w:rtl w:val="true"/>
        </w:rPr>
        <w:t>-</w:t>
      </w:r>
      <w:r>
        <w:rPr/>
        <w:t>561</w:t>
      </w:r>
      <w:r>
        <w:rPr>
          <w:rtl w:val="true"/>
        </w:rPr>
        <w:t xml:space="preserve"> </w:t>
      </w:r>
      <w:r>
        <w:rPr>
          <w:rtl w:val="true"/>
        </w:rPr>
        <w:t>ه</w:t>
      </w:r>
      <w:r>
        <w:rPr>
          <w:rtl w:val="true"/>
        </w:rPr>
        <w:t>)</w:t>
      </w:r>
      <w:bookmarkEnd w:id="245"/>
    </w:p>
    <w:p>
      <w:pPr>
        <w:pStyle w:val="BookText"/>
        <w:rPr/>
      </w:pPr>
      <w:r>
        <w:rPr>
          <w:rFonts w:ascii="Amiri" w:hAnsi="Amiri" w:eastAsia="Amiri" w:cs="Amiri"/>
          <w:color w:val="111111"/>
          <w:sz w:val="28"/>
          <w:sz w:val="28"/>
          <w:szCs w:val="28"/>
          <w:rtl w:val="true"/>
          <w:lang w:bidi="ar-SA"/>
        </w:rPr>
        <w:t xml:space="preserve">ولد الإمام حسن علي بن الحسن بن محمد بن علي بن نزار سنة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قلعة ألموت، و تولّى الإمامة بعد وفاة أبيه سنة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قام بتنظيم الدعوة الإسماعيليّة فوزّع الدعاة الأكفّاء على الأقاليم الخاضعة للنفوذ الإسماعيلي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في السادس من ربيع الأوّل سنة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دفن في قلعة ألموت</w:t>
      </w:r>
      <w:r>
        <w:rPr>
          <w:rFonts w:eastAsia="Amiri" w:cs="Amiri" w:ascii="Amiri" w:hAnsi="Amiri"/>
          <w:color w:val="111111"/>
          <w:sz w:val="28"/>
          <w:szCs w:val="28"/>
          <w:rtl w:val="true"/>
          <w:lang w:bidi="ar-SA"/>
        </w:rPr>
        <w:t>.</w:t>
      </w:r>
      <w:r>
        <w:rPr>
          <w:rStyle w:val="FootnoteAnchor"/>
          <w:rtl w:val="true"/>
        </w:rPr>
        <w:footnoteReference w:id="263"/>
      </w:r>
    </w:p>
    <w:p>
      <w:pPr>
        <w:pStyle w:val="Heading3"/>
        <w:numPr>
          <w:ilvl w:val="2"/>
          <w:numId w:val="1"/>
        </w:numPr>
        <w:rPr/>
      </w:pPr>
      <w:bookmarkStart w:id="246" w:name="__RefHeading___Toc4284201_73709187"/>
      <w:bookmarkStart w:id="247" w:name="_Toc84"/>
      <w:bookmarkEnd w:id="246"/>
      <w:r>
        <w:rPr>
          <w:rtl w:val="true"/>
        </w:rPr>
        <w:t>الإمام السادس</w:t>
      </w:r>
      <w:r>
        <w:rPr>
          <w:rtl w:val="true"/>
        </w:rPr>
        <w:t xml:space="preserve">: </w:t>
      </w:r>
      <w:r>
        <w:rPr>
          <w:rtl w:val="true"/>
        </w:rPr>
        <w:t xml:space="preserve">الإمام أعلىٰ محمد بن الإمام الحسن علي </w:t>
      </w:r>
      <w:r>
        <w:rPr>
          <w:rtl w:val="true"/>
        </w:rPr>
        <w:t>(</w:t>
      </w:r>
      <w:r>
        <w:rPr/>
        <w:t>553</w:t>
      </w:r>
      <w:r>
        <w:rPr>
          <w:rtl w:val="true"/>
        </w:rPr>
        <w:t>-</w:t>
      </w:r>
      <w:r>
        <w:rPr/>
        <w:t>607</w:t>
      </w:r>
      <w:r>
        <w:rPr>
          <w:rtl w:val="true"/>
        </w:rPr>
        <w:t xml:space="preserve"> </w:t>
      </w:r>
      <w:r>
        <w:rPr>
          <w:rtl w:val="true"/>
        </w:rPr>
        <w:t>ه</w:t>
      </w:r>
      <w:r>
        <w:rPr>
          <w:rtl w:val="true"/>
        </w:rPr>
        <w:t>)</w:t>
      </w:r>
      <w:bookmarkEnd w:id="247"/>
    </w:p>
    <w:p>
      <w:pPr>
        <w:pStyle w:val="BookText"/>
        <w:rPr/>
      </w:pPr>
      <w:r>
        <w:rPr>
          <w:rFonts w:ascii="Amiri" w:hAnsi="Amiri" w:eastAsia="Amiri" w:cs="Amiri"/>
          <w:color w:val="111111"/>
          <w:sz w:val="28"/>
          <w:sz w:val="28"/>
          <w:szCs w:val="28"/>
          <w:rtl w:val="true"/>
          <w:lang w:bidi="ar-SA"/>
        </w:rPr>
        <w:t xml:space="preserve">ولد الإمام أعلى محمد سنة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قلعة ألموت، و تولّى الإمامة بعد وفاة أبيه سنة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هو في الثامنة من عمره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وجّه عناية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للمناظرات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فخصّص يوماً واحداً من كلّ أُسبوع لإجراء المناظرات الفلسفية، و الفقهية بين الدعاة، يحضرها بنفسه ليحكم بين المتناظرين فيعلّيهم و يرقّيهم في مراتب الدعوة، حسب ما يظهروه من كفاءة </w:t>
      </w:r>
      <w:bookmarkStart w:id="248" w:name="pg11557_101336"/>
    </w:p>
    <w:p>
      <w:pPr>
        <w:pStyle w:val="BookText"/>
        <w:rPr/>
      </w:pPr>
      <w:bookmarkEnd w:id="248"/>
      <w:r>
        <w:rPr>
          <w:rFonts w:ascii="Amiri" w:hAnsi="Amiri" w:eastAsia="Amiri" w:cs="Amiri"/>
          <w:color w:val="111111"/>
          <w:sz w:val="28"/>
          <w:sz w:val="28"/>
          <w:szCs w:val="28"/>
          <w:rtl w:val="true"/>
          <w:lang w:bidi="ar-SA"/>
        </w:rPr>
        <w:t>علميّة، و هذا ما ساعد الدعاة علىٰ تفهّم أُصول المذهب الإسماعيلي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الإمام أعلى محمد سنة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دفن في قلعة ألموت بعد أن نصَّ على ولاية ابنه جلال الدين، و استمرت إمامته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Style w:val="FootnoteAnchor"/>
          <w:rtl w:val="true"/>
        </w:rPr>
        <w:footnoteReference w:id="264"/>
      </w:r>
    </w:p>
    <w:p>
      <w:pPr>
        <w:pStyle w:val="Heading3"/>
        <w:numPr>
          <w:ilvl w:val="2"/>
          <w:numId w:val="1"/>
        </w:numPr>
        <w:rPr/>
      </w:pPr>
      <w:bookmarkStart w:id="249" w:name="__RefHeading___Toc4284203_73709187"/>
      <w:bookmarkStart w:id="250" w:name="_Toc85"/>
      <w:bookmarkEnd w:id="249"/>
      <w:r>
        <w:rPr>
          <w:rtl w:val="true"/>
        </w:rPr>
        <w:t>الإمام السابع</w:t>
      </w:r>
      <w:r>
        <w:rPr>
          <w:rtl w:val="true"/>
        </w:rPr>
        <w:t xml:space="preserve">: </w:t>
      </w:r>
      <w:r>
        <w:rPr>
          <w:rtl w:val="true"/>
        </w:rPr>
        <w:t xml:space="preserve">الإمام جلال الدين حسن بن أعلىٰ محمد </w:t>
      </w:r>
      <w:r>
        <w:rPr>
          <w:rtl w:val="true"/>
        </w:rPr>
        <w:t>(</w:t>
      </w:r>
      <w:r>
        <w:rPr/>
        <w:t>582</w:t>
      </w:r>
      <w:r>
        <w:rPr>
          <w:rtl w:val="true"/>
        </w:rPr>
        <w:t>-</w:t>
      </w:r>
      <w:r>
        <w:rPr/>
        <w:t>618</w:t>
      </w:r>
      <w:r>
        <w:rPr>
          <w:rtl w:val="true"/>
        </w:rPr>
        <w:t xml:space="preserve"> </w:t>
      </w:r>
      <w:r>
        <w:rPr>
          <w:rtl w:val="true"/>
        </w:rPr>
        <w:t>ه</w:t>
      </w:r>
      <w:r>
        <w:rPr>
          <w:rtl w:val="true"/>
        </w:rPr>
        <w:t>)</w:t>
      </w:r>
      <w:bookmarkEnd w:id="250"/>
    </w:p>
    <w:p>
      <w:pPr>
        <w:pStyle w:val="BookText"/>
        <w:rPr/>
      </w:pPr>
      <w:r>
        <w:rPr>
          <w:rFonts w:ascii="Amiri" w:hAnsi="Amiri" w:eastAsia="Amiri" w:cs="Amiri"/>
          <w:color w:val="111111"/>
          <w:sz w:val="28"/>
          <w:sz w:val="28"/>
          <w:szCs w:val="28"/>
          <w:rtl w:val="true"/>
          <w:lang w:bidi="ar-SA"/>
        </w:rPr>
        <w:t xml:space="preserve">ولد الإمام حسن بن أعلىٰ، الملقب بجلال الدين سنة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قلعة ألموت، و أصبح إماماً بعد وفاة أبيه سنة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عمل على توثيق عُرى الصداقة بين الإسماعيلية و العالم الإسلامي، و لهذا لقّبوه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علاقاته بالعباسيين زادت وثوقاً، و خاصّةً مع الخليفة الناصر لدين اللّٰه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تنقل كثيراً في سوريا و العراق و آذربيجان، و أدّى فريضة الحج مع عائلته مرتين، تحالف مع جلال الدين خوارزمشاه، عند ما غزا چنگيزخان إيران، و ذلك انقاذ لمعاقله و لأتباعه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بمؤامرة من النساء بالسّم سنة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خلّف ولداً هو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 الدين</w:t>
      </w:r>
      <w:r>
        <w:rPr>
          <w:rFonts w:eastAsia="IRNazanin" w:cs="IRNazanin"/>
          <w:color w:val="111111"/>
          <w:sz w:val="28"/>
          <w:szCs w:val="28"/>
          <w:rtl w:val="true"/>
          <w:lang w:bidi="fa-IR"/>
        </w:rPr>
        <w:t>».</w:t>
      </w:r>
      <w:r>
        <w:rPr>
          <w:rStyle w:val="FootnoteAnchor"/>
          <w:rtl w:val="true"/>
        </w:rPr>
        <w:footnoteReference w:id="265"/>
      </w:r>
      <w:bookmarkStart w:id="251" w:name="pg11557_101337"/>
    </w:p>
    <w:p>
      <w:pPr>
        <w:pStyle w:val="Heading3"/>
        <w:numPr>
          <w:ilvl w:val="2"/>
          <w:numId w:val="1"/>
        </w:numPr>
        <w:rPr/>
      </w:pPr>
      <w:bookmarkStart w:id="252" w:name="__RefHeading___Toc4284205_73709187"/>
      <w:bookmarkStart w:id="253" w:name="_Toc86"/>
      <w:bookmarkEnd w:id="251"/>
      <w:bookmarkEnd w:id="252"/>
      <w:r>
        <w:rPr>
          <w:rtl w:val="true"/>
        </w:rPr>
        <w:t>الإمام الثامن</w:t>
      </w:r>
      <w:r>
        <w:rPr>
          <w:rtl w:val="true"/>
        </w:rPr>
        <w:t xml:space="preserve">: </w:t>
      </w:r>
      <w:r>
        <w:rPr>
          <w:rtl w:val="true"/>
        </w:rPr>
        <w:t xml:space="preserve">علاء الدين محمد بن الحسن </w:t>
      </w:r>
      <w:r>
        <w:rPr>
          <w:rtl w:val="true"/>
        </w:rPr>
        <w:t>(</w:t>
      </w:r>
      <w:r>
        <w:rPr/>
        <w:t>608</w:t>
      </w:r>
      <w:r>
        <w:rPr>
          <w:rtl w:val="true"/>
        </w:rPr>
        <w:t>-</w:t>
      </w:r>
      <w:r>
        <w:rPr/>
        <w:t>653</w:t>
      </w:r>
      <w:r>
        <w:rPr>
          <w:rtl w:val="true"/>
        </w:rPr>
        <w:t xml:space="preserve"> </w:t>
      </w:r>
      <w:r>
        <w:rPr>
          <w:rtl w:val="true"/>
        </w:rPr>
        <w:t>ه</w:t>
      </w:r>
      <w:r>
        <w:rPr>
          <w:rtl w:val="true"/>
        </w:rPr>
        <w:t>)</w:t>
      </w:r>
      <w:bookmarkEnd w:id="253"/>
    </w:p>
    <w:p>
      <w:pPr>
        <w:pStyle w:val="BookText"/>
        <w:rPr/>
      </w:pPr>
      <w:r>
        <w:rPr>
          <w:rFonts w:ascii="Amiri" w:hAnsi="Amiri" w:eastAsia="Amiri" w:cs="Amiri"/>
          <w:color w:val="111111"/>
          <w:sz w:val="28"/>
          <w:sz w:val="28"/>
          <w:szCs w:val="28"/>
          <w:rtl w:val="true"/>
          <w:lang w:bidi="ar-SA"/>
        </w:rPr>
        <w:t xml:space="preserve">ولد الإمام علاء الدين محمد بن الإمام جلال الدين سنة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قلعة ألموت، و جلس علىٰ أريكة الإمامة الإسماعيليّة سنة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هو في العاشرة من عمره، و دامت إمامته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العجب أنّ المؤرّخ المعاصر مصطفى غالب ذكر سقوط مدينة بغداد في عصر هذا الإمام مع أنّ سقوط بغداد تم بعد تدمير قلاع الإسماعيليّة، لأنّ مسير التتر كان من قزوين ثمّ همدان ثمّ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توفي عام </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دفن في ألموت</w:t>
      </w:r>
      <w:r>
        <w:rPr>
          <w:rFonts w:eastAsia="Amiri" w:cs="Amiri" w:ascii="Amiri" w:hAnsi="Amiri"/>
          <w:color w:val="111111"/>
          <w:sz w:val="28"/>
          <w:szCs w:val="28"/>
          <w:rtl w:val="true"/>
          <w:lang w:bidi="ar-SA"/>
        </w:rPr>
        <w:t>.</w:t>
      </w:r>
      <w:r>
        <w:rPr>
          <w:rStyle w:val="FootnoteAnchor"/>
          <w:rtl w:val="true"/>
        </w:rPr>
        <w:footnoteReference w:id="266"/>
      </w:r>
    </w:p>
    <w:p>
      <w:pPr>
        <w:pStyle w:val="Heading3"/>
        <w:numPr>
          <w:ilvl w:val="2"/>
          <w:numId w:val="1"/>
        </w:numPr>
        <w:rPr/>
      </w:pPr>
      <w:bookmarkStart w:id="254" w:name="__RefHeading___Toc4284207_73709187"/>
      <w:bookmarkStart w:id="255" w:name="_Toc87"/>
      <w:bookmarkEnd w:id="254"/>
      <w:r>
        <w:rPr>
          <w:rtl w:val="true"/>
        </w:rPr>
        <w:t>الإمام التاسع</w:t>
      </w:r>
      <w:r>
        <w:rPr>
          <w:rtl w:val="true"/>
        </w:rPr>
        <w:t xml:space="preserve">: </w:t>
      </w:r>
      <w:r>
        <w:rPr>
          <w:rtl w:val="true"/>
        </w:rPr>
        <w:t xml:space="preserve">ركن الدين خورشاه بن الإمام علاء الدين </w:t>
      </w:r>
      <w:r>
        <w:rPr>
          <w:rtl w:val="true"/>
        </w:rPr>
        <w:t>(</w:t>
      </w:r>
      <w:r>
        <w:rPr/>
        <w:t>629</w:t>
      </w:r>
      <w:r>
        <w:rPr>
          <w:rtl w:val="true"/>
        </w:rPr>
        <w:t>-</w:t>
      </w:r>
      <w:r>
        <w:rPr/>
        <w:t>654</w:t>
      </w:r>
      <w:r>
        <w:rPr>
          <w:rtl w:val="true"/>
        </w:rPr>
        <w:t xml:space="preserve"> </w:t>
      </w:r>
      <w:r>
        <w:rPr>
          <w:rtl w:val="true"/>
        </w:rPr>
        <w:t>ه</w:t>
      </w:r>
      <w:r>
        <w:rPr>
          <w:rtl w:val="true"/>
        </w:rPr>
        <w:t>)</w:t>
      </w:r>
      <w:bookmarkEnd w:id="255"/>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الإمام ركن الدين خورشاه بن الإمام علاء الدين محمد سنة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قلعة ألموت، و أصبح إماماً بعد وفاة أبيه سنة </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أرسل هولاكو التتري جيشاً بقيادة بوكيان التتري لأطراف كوهستان لمحاربة الأمير ناصر الدين أمير </w:t>
      </w:r>
    </w:p>
    <w:p>
      <w:pPr>
        <w:pStyle w:val="BookText"/>
        <w:rPr/>
      </w:pPr>
      <w:r>
        <w:rPr>
          <w:rFonts w:ascii="Amiri" w:hAnsi="Amiri" w:eastAsia="Amiri" w:cs="Amiri"/>
          <w:color w:val="111111"/>
          <w:sz w:val="28"/>
          <w:sz w:val="28"/>
          <w:szCs w:val="28"/>
          <w:rtl w:val="true"/>
          <w:lang w:bidi="ar-SA"/>
        </w:rPr>
        <w:t xml:space="preserve">تلك المقاطعة الذي كان يقيم في قلعة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سرخوست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أرسل جيشاً آخر لحصار بقية القلاع الإسماعيليّة، و لقد استمر ذلك الحصار مدّة ستة أشهر، نفدت بعدها مئونة الإسماعيليين، ففتحوا أبواب قلاعهم و اشتبكوا مع التتر في معارك قويّة طاحنة، قتل فيها اثنا عشر ألف إسماعيلي و ثلاثون ألف تترى، و احتلت الجيوش الغازية جميع القلاع الإسماعيليّة و دمّرتها عن بكرة أبيها فجعلتها قاعاً صفصفاً، و أُلقي القبض على الإمام ركن الدين خورشاه مع ولده الأصغر مظفر الدين، و ابن أخيه سيف الدين، و بعض دعاته، و أخذوهم إلى الخليفة في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طريق العودة بينما كانت الجيوش التترية تعبر نهر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الإمام ركن الدين خورشاه و كانت وفاته سنة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دفن على ضفة ذلك النهر اليمني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بقية الأسرىٰ فسلّموا لهولاكو الذي أمر بإعدامهم جميعاً، و التمثيل بجثثهم، و لم تستمر إمامة ركن الدين سوى عاماً واحداً، قضاه في الحروب و الحصار، و بانتهاء عهده ودّعت الأئمة الإسماعيلية بلادآلموت لتستقر في آذربيجان بعد أن دام حكمهم فيها ما يقارب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إلىٰ هنا وقفت علىٰ أئمّة النزارية، من الإسماعيليّة و أمّا غيرهم من الأئمّة الباقية الذين تسلموا مسند الإمامة بعد تدمير قلاع ألموت فيحتاج إلى تأليف مفرد</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الكتب الإسماعيليّة التاريخية المخطوطة و المصادر الصوريّة القديمة، منذ عام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حتى سنة </w:t>
      </w:r>
      <w:r>
        <w:rPr>
          <w:rFonts w:eastAsia="Amiri" w:cs="Amiri" w:ascii="Amiri" w:hAnsi="Amiri"/>
          <w:color w:val="111111"/>
          <w:sz w:val="28"/>
          <w:szCs w:val="28"/>
          <w:lang w:bidi="ar-SA"/>
        </w:rPr>
        <w:t>1210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جاءت حافلة بذكر أُسرة مؤمن شاه وحدها، </w:t>
      </w:r>
    </w:p>
    <w:p>
      <w:pPr>
        <w:pStyle w:val="BookText"/>
        <w:rPr/>
      </w:pPr>
      <w:r>
        <w:rPr>
          <w:rFonts w:ascii="Amiri" w:hAnsi="Amiri" w:eastAsia="Amiri" w:cs="Amiri"/>
          <w:color w:val="111111"/>
          <w:sz w:val="28"/>
          <w:sz w:val="28"/>
          <w:szCs w:val="28"/>
          <w:rtl w:val="true"/>
          <w:lang w:bidi="ar-SA"/>
        </w:rPr>
        <w:t xml:space="preserve">و بعد سنة </w:t>
      </w:r>
      <w:r>
        <w:rPr>
          <w:rFonts w:eastAsia="Amiri" w:cs="Amiri" w:ascii="Amiri" w:hAnsi="Amiri"/>
          <w:color w:val="111111"/>
          <w:sz w:val="28"/>
          <w:szCs w:val="28"/>
          <w:lang w:bidi="ar-SA"/>
        </w:rPr>
        <w:t>1210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انطفأ و خبا كلُّ نشاط علمىٍّ من جانب هذه الفرقة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قامت الاُسرة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تحتل مركزها و تبرز على مسرح الإسماعيلية النزارية و بما أنّ الأُسرة الآغاخانية تزعّمت الإسماعيلية النزارية ما يربو عن القرنين، فلذلك خصصنا الفصل التالي لبيان حياة تلك الأُسرة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الفرقة الإسماعيلية النزارية المؤمنية تقطن في عهدنا الحاضر في بلدتي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مصياف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السوريتين و في بعض قرى سلمية و في سلمية نفسها، و أمّا الفرقة القاسمية النزارية الآغاخانية فتقطن في سلمية، و ما يتبعها من القرىٰ، و في نهر الخوابي قرب طرطوس، كما تقطن في إيران، و الهند، و باكستان، و بورما، و الصين، و إفريقية الشرقية، و الكونغو و مدغشقر و زنجبار و غيرها</w:t>
      </w:r>
      <w:r>
        <w:rPr>
          <w:rFonts w:eastAsia="Amiri" w:cs="Amiri" w:ascii="Amiri" w:hAnsi="Amiri"/>
          <w:color w:val="111111"/>
          <w:sz w:val="28"/>
          <w:szCs w:val="28"/>
          <w:rtl w:val="true"/>
          <w:lang w:bidi="ar-SA"/>
        </w:rPr>
        <w:t>.</w:t>
      </w:r>
      <w:r>
        <w:rPr>
          <w:rStyle w:val="FootnoteAnchor"/>
          <w:rtl w:val="true"/>
        </w:rPr>
        <w:footnoteReference w:id="268"/>
      </w:r>
      <w:bookmarkStart w:id="256" w:name="pg11557_101340"/>
    </w:p>
    <w:p>
      <w:pPr>
        <w:pStyle w:val="Heading2"/>
        <w:numPr>
          <w:ilvl w:val="1"/>
          <w:numId w:val="1"/>
        </w:numPr>
        <w:rPr/>
      </w:pPr>
      <w:bookmarkStart w:id="257" w:name="__RefHeading___Toc4284209_73709187"/>
      <w:bookmarkStart w:id="258" w:name="_Toc88"/>
      <w:bookmarkEnd w:id="256"/>
      <w:bookmarkEnd w:id="257"/>
      <w:r>
        <w:rPr>
          <w:rtl w:val="true"/>
        </w:rPr>
        <w:t>الفصل التاسع</w:t>
      </w:r>
      <w:r>
        <w:rPr>
          <w:rtl w:val="true"/>
        </w:rPr>
        <w:t xml:space="preserve">: </w:t>
      </w:r>
      <w:r>
        <w:rPr>
          <w:rtl w:val="true"/>
        </w:rPr>
        <w:t>في الأسرة الآغاخانية</w:t>
      </w:r>
      <w:bookmarkEnd w:id="258"/>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9" w:name="__RefHeading___Toc4284211_73709187"/>
      <w:bookmarkStart w:id="260" w:name="_Toc89"/>
      <w:bookmarkEnd w:id="259"/>
      <w:r>
        <w:rPr>
          <w:rtl w:val="true"/>
        </w:rPr>
        <w:t>اشارة</w:t>
      </w:r>
      <w:bookmarkEnd w:id="260"/>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1" w:name="pg11557_101342"/>
      <w:bookmarkStart w:id="262" w:name="pg11557_101342"/>
      <w:bookmarkEnd w:id="262"/>
    </w:p>
    <w:p>
      <w:pPr>
        <w:pStyle w:val="BookText"/>
        <w:rPr/>
      </w:pPr>
      <w:bookmarkStart w:id="263" w:name="pg11557_101342"/>
      <w:bookmarkEnd w:id="263"/>
      <w:r>
        <w:rPr>
          <w:rFonts w:ascii="Amiri" w:hAnsi="Amiri" w:eastAsia="Amiri" w:cs="Amiri"/>
          <w:color w:val="111111"/>
          <w:sz w:val="28"/>
          <w:sz w:val="28"/>
          <w:szCs w:val="28"/>
          <w:rtl w:val="true"/>
          <w:lang w:bidi="ar-SA"/>
        </w:rPr>
        <w:t>قد عرفت أنّ النزاريّة انقسمت إلىٰ طائفتين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يطلق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الآونة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الآغاخانية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اشتهروا في هذه الأعصار باللقب الأخير و أئمة هذه الأُسرة 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علي شاه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شاه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سلطان محمد شاه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كريم خان</w:t>
      </w:r>
      <w:r>
        <w:rPr>
          <w:rFonts w:eastAsia="Amiri" w:cs="Amiri" w:ascii="Amiri" w:hAnsi="Amiri"/>
          <w:color w:val="111111"/>
          <w:sz w:val="28"/>
          <w:szCs w:val="28"/>
          <w:rtl w:val="true"/>
          <w:lang w:bidi="ar-SA"/>
        </w:rPr>
        <w:t>.</w:t>
      </w:r>
    </w:p>
    <w:p>
      <w:pPr>
        <w:pStyle w:val="Heading3"/>
        <w:numPr>
          <w:ilvl w:val="2"/>
          <w:numId w:val="1"/>
        </w:numPr>
        <w:rPr/>
      </w:pPr>
      <w:bookmarkStart w:id="264" w:name="__RefHeading___Toc4284213_73709187"/>
      <w:bookmarkStart w:id="265" w:name="_Toc90"/>
      <w:bookmarkEnd w:id="264"/>
      <w:r>
        <w:rPr/>
        <w:t>1</w:t>
      </w:r>
      <w:r>
        <w:rPr>
          <w:rtl w:val="true"/>
        </w:rPr>
        <w:t xml:space="preserve"> - </w:t>
      </w:r>
      <w:r>
        <w:rPr>
          <w:rtl w:val="true"/>
        </w:rPr>
        <w:t>حسن علي شاه</w:t>
      </w:r>
      <w:r>
        <w:rPr>
          <w:rtl w:val="true"/>
        </w:rPr>
        <w:t>: (</w:t>
      </w:r>
      <w:r>
        <w:rPr/>
        <w:t>1219</w:t>
      </w:r>
      <w:r>
        <w:rPr>
          <w:rtl w:val="true"/>
        </w:rPr>
        <w:t>-</w:t>
      </w:r>
      <w:r>
        <w:rPr/>
        <w:t>1298</w:t>
      </w:r>
      <w:r>
        <w:rPr>
          <w:rtl w:val="true"/>
        </w:rPr>
        <w:t xml:space="preserve"> </w:t>
      </w:r>
      <w:r>
        <w:rPr>
          <w:rtl w:val="true"/>
        </w:rPr>
        <w:t>ه</w:t>
      </w:r>
      <w:r>
        <w:rPr>
          <w:rtl w:val="true"/>
        </w:rPr>
        <w:t>)</w:t>
      </w:r>
      <w:bookmarkEnd w:id="265"/>
    </w:p>
    <w:p>
      <w:pPr>
        <w:pStyle w:val="BookText"/>
        <w:rPr/>
      </w:pPr>
      <w:r>
        <w:rPr>
          <w:rFonts w:ascii="Amiri" w:hAnsi="Amiri" w:eastAsia="Amiri" w:cs="Amiri"/>
          <w:color w:val="111111"/>
          <w:sz w:val="28"/>
          <w:sz w:val="28"/>
          <w:szCs w:val="28"/>
          <w:rtl w:val="true"/>
          <w:lang w:bidi="ar-SA"/>
        </w:rPr>
        <w:t xml:space="preserve">ولد في بلدة محلاّت سنة </w:t>
      </w:r>
      <w:r>
        <w:rPr>
          <w:rFonts w:eastAsia="Amiri" w:cs="Amiri" w:ascii="Amiri" w:hAnsi="Amiri"/>
          <w:color w:val="111111"/>
          <w:sz w:val="28"/>
          <w:szCs w:val="28"/>
          <w:lang w:bidi="ar-SA"/>
        </w:rPr>
        <w:t>1219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هو أوّل من لُقّب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آغا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معاصراً للشاه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القاجاري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عهده قُتل الشاه القاجاري و جلس مكانه فتح علي شاه، و قد عامل الإسماعيليين معاملة طيبة، و زوّج حسن علي شاه من كريمته، و لكنَّ حياته لم تطل فمات، و استلم مكانه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محمد شاه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فلاحظ أنّ مركز الإمام حسن علي شاه قد أصبح قويّاً و خطيراً، فاعتبره خطراً علىٰ شئون المملكة، و أمر بإبعاده عن إيران، فذهب إلى السند، و استقر بين أتباعه الكثيرين في كراتشي يُنظّم أُمورهم و يصلح أحوالهم، و يقرّب و جهات النظر بين ملوك السند و البريطانيين، و أخيراً انتقل إلى الهند</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توفي سنة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دفن في محلة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مجكائون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أربعة أولاد،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 علي شاه، و آغا جهانگير شاه، و آغا جنگي شاه، و آغا جلال شاه، </w:t>
      </w:r>
      <w:bookmarkStart w:id="266" w:name="pg11557_101343"/>
    </w:p>
    <w:p>
      <w:pPr>
        <w:pStyle w:val="BookText"/>
        <w:rPr/>
      </w:pPr>
      <w:bookmarkEnd w:id="266"/>
      <w:r>
        <w:rPr>
          <w:rFonts w:ascii="Amiri" w:hAnsi="Amiri" w:eastAsia="Amiri" w:cs="Amiri"/>
          <w:color w:val="111111"/>
          <w:sz w:val="28"/>
          <w:sz w:val="28"/>
          <w:szCs w:val="28"/>
          <w:rtl w:val="true"/>
          <w:lang w:bidi="ar-SA"/>
        </w:rPr>
        <w:t>و كان عليُّ هو وصيّه و وريث الإمامة</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يقول المؤرّخ المعاصر مصطفى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الإمام حسن علي شاه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بومباي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اسْتقبِل من قبل حاكم تلك المدينة و رجال السلك السياسي و ممثلي الدول و مختلف طبقات الشعب، و منحته المملكة البريطانية لقب صاحب السمو، و أرفع وسام للسلام في المملكة</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و لعلّ مغادرته لإيران و إقامته في بومباي هيّأت له أرضية الاتصال بالبلاط البريطاني، و توثقت عُرى الصداقة بينهما عبر العصور، فلم تزل أئمة الطائفة بعده متهمين بالعمالة للبريطانيين</w:t>
      </w:r>
      <w:r>
        <w:rPr>
          <w:rFonts w:eastAsia="Amiri" w:cs="Amiri" w:ascii="Amiri" w:hAnsi="Amiri"/>
          <w:color w:val="111111"/>
          <w:sz w:val="28"/>
          <w:szCs w:val="28"/>
          <w:rtl w:val="true"/>
          <w:lang w:bidi="ar-SA"/>
        </w:rPr>
        <w:t>.</w:t>
      </w:r>
    </w:p>
    <w:p>
      <w:pPr>
        <w:pStyle w:val="Heading3"/>
        <w:numPr>
          <w:ilvl w:val="2"/>
          <w:numId w:val="1"/>
        </w:numPr>
        <w:rPr/>
      </w:pPr>
      <w:bookmarkStart w:id="267" w:name="__RefHeading___Toc4284215_73709187"/>
      <w:bookmarkStart w:id="268" w:name="_Toc91"/>
      <w:bookmarkEnd w:id="267"/>
      <w:r>
        <w:rPr/>
        <w:t>2</w:t>
      </w:r>
      <w:r>
        <w:rPr>
          <w:rtl w:val="true"/>
        </w:rPr>
        <w:t xml:space="preserve"> - </w:t>
      </w:r>
      <w:r>
        <w:rPr>
          <w:rtl w:val="true"/>
        </w:rPr>
        <w:t>علي شاه</w:t>
      </w:r>
      <w:r>
        <w:rPr>
          <w:rtl w:val="true"/>
        </w:rPr>
        <w:t>: (</w:t>
      </w:r>
      <w:r>
        <w:rPr/>
        <w:t>1246</w:t>
      </w:r>
      <w:r>
        <w:rPr>
          <w:rtl w:val="true"/>
        </w:rPr>
        <w:t>-</w:t>
      </w:r>
      <w:r>
        <w:rPr/>
        <w:t>1302</w:t>
      </w:r>
      <w:r>
        <w:rPr>
          <w:rtl w:val="true"/>
        </w:rPr>
        <w:t xml:space="preserve"> </w:t>
      </w:r>
      <w:r>
        <w:rPr>
          <w:rtl w:val="true"/>
        </w:rPr>
        <w:t>ه</w:t>
      </w:r>
      <w:r>
        <w:rPr>
          <w:rtl w:val="true"/>
        </w:rPr>
        <w:t>)</w:t>
      </w:r>
      <w:bookmarkEnd w:id="268"/>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بلدة محلاّت، و جلس علىٰ مسند الإمامة بعد وفاة أبيه سنة </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اشتهر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آغا خان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والدته هي كريمة فتح علي شاه القاجاري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يذكر أنّه كان مولعاً بصيد الأُسود و الرماية، و قوة الساعد و الرجولة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شمس الملوك ابنة ميرزا علي خان الإيرانية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أنجب ثلاثة أولاد،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سلطان محمد شاه، و شهاب الدين شاه، و نور شاه، و وليُّ عهده هو السلطان محمد شاه آغا خان الثالث</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احتفال مهيب ضم آلاف الإسماعيليّة الذين قدموا لتقديم الزكاة و الخمس للإمام، أعلن الإمام علي شاه بأنّ نجله الأكبر سلطان محمد شاه قد أصبح وليّاً للعهد، و سيكون إماماً من بعده</w:t>
      </w:r>
      <w:r>
        <w:rPr>
          <w:rFonts w:eastAsia="Amiri" w:cs="Amiri" w:ascii="Amiri" w:hAnsi="Amiri"/>
          <w:color w:val="111111"/>
          <w:sz w:val="28"/>
          <w:szCs w:val="28"/>
          <w:rtl w:val="true"/>
          <w:lang w:bidi="ar-SA"/>
        </w:rPr>
        <w:t xml:space="preserve">. </w:t>
      </w:r>
      <w:bookmarkStart w:id="269" w:name="pg11557_101344"/>
    </w:p>
    <w:p>
      <w:pPr>
        <w:pStyle w:val="BookText"/>
        <w:rPr/>
      </w:pPr>
      <w:bookmarkEnd w:id="269"/>
      <w:r>
        <w:rPr>
          <w:rFonts w:ascii="Amiri" w:hAnsi="Amiri" w:eastAsia="Amiri" w:cs="Amiri"/>
          <w:color w:val="111111"/>
          <w:sz w:val="28"/>
          <w:sz w:val="28"/>
          <w:szCs w:val="28"/>
          <w:rtl w:val="true"/>
          <w:lang w:bidi="ar-SA"/>
        </w:rPr>
        <w:t xml:space="preserve">قدم إليه وفد من إسماعيليّة سوريا، و طلبوا من الإمام رفع مشاكلهم و أن يدفع إليهم السلطان العثماني مكاناً يقطنون فيه بعد أن ضاقت بهم معاقلهم، فقام الإمام بتنفيذ طلبهم و اتصل بالسلطان العثماني إلى أن أصدر السلطان أمره إلى والي دمشق ليسمح للإسماعيليّة بأن يختاروا مكاناً ليشيدوا فيه مساكن لهم، شريطة أن يعفوا من الضرائب و الجندية، تجمّع الإسماعيليون بزعامة الأمير إسماعيل، و ذهبوا باتجاه المنطقة الشرقيّة حتى وصلوا إلى سهول السلمية فقرروا أن يعيدوا تأسيس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التاريخية، بعد أن دمّرتها الحروب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الإمام علي شاه سنة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نقل جسده إلى مدينة كربلاء و دفن هناك</w:t>
      </w:r>
      <w:r>
        <w:rPr>
          <w:rFonts w:eastAsia="Amiri" w:cs="Amiri" w:ascii="Amiri" w:hAnsi="Amiri"/>
          <w:color w:val="111111"/>
          <w:sz w:val="28"/>
          <w:szCs w:val="28"/>
          <w:rtl w:val="true"/>
          <w:lang w:bidi="ar-SA"/>
        </w:rPr>
        <w:t>.</w:t>
      </w:r>
      <w:r>
        <w:rPr>
          <w:rStyle w:val="FootnoteAnchor"/>
          <w:rtl w:val="true"/>
        </w:rPr>
        <w:footnoteReference w:id="271"/>
      </w:r>
    </w:p>
    <w:p>
      <w:pPr>
        <w:pStyle w:val="Heading3"/>
        <w:numPr>
          <w:ilvl w:val="2"/>
          <w:numId w:val="1"/>
        </w:numPr>
        <w:rPr/>
      </w:pPr>
      <w:bookmarkStart w:id="270" w:name="__RefHeading___Toc4284217_73709187"/>
      <w:bookmarkStart w:id="271" w:name="_Toc92"/>
      <w:bookmarkEnd w:id="270"/>
      <w:r>
        <w:rPr/>
        <w:t>3</w:t>
      </w:r>
      <w:r>
        <w:rPr>
          <w:rtl w:val="true"/>
        </w:rPr>
        <w:t xml:space="preserve"> - </w:t>
      </w:r>
      <w:r>
        <w:rPr>
          <w:rtl w:val="true"/>
        </w:rPr>
        <w:t xml:space="preserve">سلطان محمد شاه </w:t>
      </w:r>
      <w:r>
        <w:rPr>
          <w:rtl w:val="true"/>
        </w:rPr>
        <w:t>«</w:t>
      </w:r>
      <w:r>
        <w:rPr>
          <w:rtl w:val="true"/>
        </w:rPr>
        <w:t>آغا خان الثالث</w:t>
      </w:r>
      <w:r>
        <w:rPr>
          <w:rtl w:val="true"/>
        </w:rPr>
        <w:t>»: (</w:t>
      </w:r>
      <w:r>
        <w:rPr/>
        <w:t>1294</w:t>
      </w:r>
      <w:r>
        <w:rPr>
          <w:rtl w:val="true"/>
        </w:rPr>
        <w:t>-</w:t>
      </w:r>
      <w:r>
        <w:rPr/>
        <w:t>1380</w:t>
      </w:r>
      <w:r>
        <w:rPr>
          <w:rtl w:val="true"/>
        </w:rPr>
        <w:t xml:space="preserve"> </w:t>
      </w:r>
      <w:r>
        <w:rPr>
          <w:rtl w:val="true"/>
        </w:rPr>
        <w:t>ه</w:t>
      </w:r>
      <w:r>
        <w:rPr>
          <w:rtl w:val="true"/>
        </w:rPr>
        <w:t>)</w:t>
      </w:r>
      <w:bookmarkEnd w:id="271"/>
    </w:p>
    <w:p>
      <w:pPr>
        <w:pStyle w:val="Heading4"/>
        <w:numPr>
          <w:ilvl w:val="3"/>
          <w:numId w:val="1"/>
        </w:numPr>
        <w:rPr/>
      </w:pPr>
      <w:bookmarkStart w:id="272" w:name="__RefHeading___Toc4284219_73709187"/>
      <w:bookmarkStart w:id="273" w:name="_Toc93"/>
      <w:bookmarkEnd w:id="272"/>
      <w:r>
        <w:rPr>
          <w:rtl w:val="true"/>
        </w:rPr>
        <w:t>اشارة</w:t>
      </w:r>
      <w:bookmarkEnd w:id="273"/>
    </w:p>
    <w:p>
      <w:pPr>
        <w:pStyle w:val="BookText"/>
        <w:rPr/>
      </w:pP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سلطان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بآغا خان الثالث عام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محلة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العسل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بكراتشي، و في الثامنة من عمره اجتمع به رجال الدعوة الإسماعيليّة في الهند و سلّموه شئون الإمامة باحتفال مهيب، و تزوّج في سن العشرين ابنة 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 زاده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زار الغرب لأوّل مرّة واصلاً إلى لندن، فمنح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كوماندور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للامبراطورية الهندية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زار ألمانيا و فرنسا و إيران و تركيا و مناطق عديدة من العالم، و تزوّج عدّة مرّات، و ساهم بإنشاء جامعة عليكرة، و بإرسال بعثة إسلامية لتدريس الدين الإسلامي في اليابان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حياته نقاط جديرة بالمطالعة، منها</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 عارف تامر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رأيته في القاهرة سنة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يقول لأتباعه الذين جاءوا لزيارته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علّموا أولادكم العلوم العمليّة، و أبعدوهم عن العلوم النظرية، </w:t>
      </w:r>
    </w:p>
    <w:p>
      <w:pPr>
        <w:pStyle w:val="BookText"/>
        <w:rPr/>
      </w:pPr>
      <w:r>
        <w:rPr>
          <w:rFonts w:ascii="Amiri" w:hAnsi="Amiri" w:eastAsia="Amiri" w:cs="Amiri"/>
          <w:color w:val="111111"/>
          <w:sz w:val="28"/>
          <w:sz w:val="28"/>
          <w:szCs w:val="28"/>
          <w:rtl w:val="true"/>
          <w:lang w:bidi="ar-SA"/>
        </w:rPr>
        <w:t>فالعالم قادم على انقلاب خطير و تطور سريع في ميدان الاستنباط و الاختراع</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يقصد من العلوم النظرية؟ و هل تختص بالعلوم الدينية،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و التفسير و الفقه، أو تشمل سائر العلوم الإنسانية الأُخرى كمعرفة النفس و علم الاجتماع و القانون؟ و علىٰ أيّة حال فإرشاداته لا اعتبار بها، و كان الأفضل أن يرشدهم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علّموا أولادكم الصناعات الحديثة و العلوم العمليّة إلى جانب سائر العلوم،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اَلَّذِينَ أُوتُوا اَلْعِلْمَ وَ اَلْإِيمٰانَ</w:t>
      </w:r>
      <w:r>
        <w:rPr>
          <w:rFonts w:eastAsia="Amiri" w:cs="Amiri" w:ascii="Amiri" w:hAnsi="Amiri"/>
          <w:color w:val="111111"/>
          <w:sz w:val="28"/>
          <w:szCs w:val="28"/>
          <w:rtl w:val="true"/>
          <w:lang w:bidi="ar-SA"/>
        </w:rPr>
        <w:t>»</w:t>
      </w:r>
      <w:r>
        <w:rPr>
          <w:rStyle w:val="FootnoteAnchor"/>
          <w:rtl w:val="true"/>
        </w:rPr>
        <w:footnoteReference w:id="273"/>
      </w:r>
      <w:r>
        <w:rPr>
          <w:rFonts w:ascii="Amiri" w:hAnsi="Amiri" w:eastAsia="Amiri" w:cs="Amiri"/>
          <w:color w:val="111111"/>
          <w:sz w:val="28"/>
          <w:sz w:val="28"/>
          <w:szCs w:val="28"/>
          <w:rtl w:val="true"/>
          <w:lang w:bidi="ar-SA"/>
        </w:rPr>
        <w:t>فإنّ تزويد البشر بالصناعات الحديثة دون الإيمان كتزويد المجنون بالسلاح، و الذي يكبح جماح البشر عن استخدامه لتلك الصناعات الحديثة من سبيل الشر، هو الإيمان باللّٰه، و الاعتقاد بالمبدإ و المعاد، التي تتكفل العلوم النظرية بيانه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للوفد الإسلامي الذي جاء يطالبه بالمساهمة ببناء كلية إسلامية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منباسا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لا أُساهم إلّا بإنشاء مدرسة صناعية كبرى لتعليم الصناعات المختلفة، و المهن الحرّة، فقد كفانا نوماً و ركضاً وراء الخيالات و الأحلام</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يريد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كفانا نوماً و ركضاً وراء الخيالات و الأحلام؟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مقصوده أنّ العلوم الدينيّة هي منبع للخيالات و الأحلام؟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ستكون قيادته مبنيّة على الأوهام و الخيالات، فما أشبه كلامه بفعل من تسلّق الشجرة و أخذ يقطع ما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كلامه هذا تفريغ واضح و صريح لحالة القداسة الدينية التي طالما حاول أن يظهر بها أمام المسلمين عامة و أتباعه بصورة خاصة</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 المؤرّخ المعاصر مصطفى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سمو آغا خان يملك قصوراً كثيرة في جميع أنحاء العالم، و طائرات حديثة من أفخر طراز، و عدداً كبيراً من </w:t>
      </w:r>
    </w:p>
    <w:p>
      <w:pPr>
        <w:pStyle w:val="BookText"/>
        <w:rPr/>
      </w:pPr>
      <w:r>
        <w:rPr>
          <w:rFonts w:ascii="Amiri" w:hAnsi="Amiri" w:eastAsia="Amiri" w:cs="Amiri"/>
          <w:color w:val="111111"/>
          <w:sz w:val="28"/>
          <w:sz w:val="28"/>
          <w:szCs w:val="28"/>
          <w:rtl w:val="true"/>
          <w:lang w:bidi="ar-SA"/>
        </w:rPr>
        <w:t xml:space="preserve">أحدث اصطبلات الجياد في العالم، و يحتفظ بفصيلة جياد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تملكها أُسرته منذ زمن بعيد، و منها ينتج أحسن خيول السباق المعروفة، و قد ربحت هذه الخيول أكبر الجوائز العالمية لسباق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الإمام آغا خان يُعد من أغنىٰ أغنياء العالم، إذ يُقدّر إيراده السنوي بمبلغ يتراوح بين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ملايين دولار، و قد قُدّرت مجموعة الجواهر التي يملكها بمبلغ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دولار</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لا شكّ أنّ حياة البذخ التي عاشها الإمام آغا خان ليست نتيجة كد عمله و محصول جهده إنّما هي أموال شرعية باسم الزكاة و الخمس قدمتها إليه الطائفة الإسماعيليّة المتشكلة من الفلاحين و العمال و أصحاب المكاسب الحرّة، لا أنّها أموال شخصيّة للإمام، بل ملك لمنصب الإمامة يصرفها في المشاريع الخيرية، فأين حياة البذخ هذه ممّا كان عليه الإمام أمير المؤمنين ذلك الأُسوة الحسنة لعامة البشر و المسلمين خاصة حيث يكتب إلى عامله بالبصرة عثمان بن حنيف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 إنّ لكلّ مأموم إماماً يقتدي به و يستضئ بنور علمه، ألا و إنّ إمامكم قد اكتفىٰ من دنياه بطمريه، و من طعمه بقرصيه، إلى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بالحجاز و اليمامة من لا طمع له بالقرص، و لا عهد له بالشبع، أو أبيت مبطاناً و حولي بطون غرثى، و أكباد حرّى، أو أكون كما قال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حسبك داء أن تبيت ببطنةٍ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حولك أكباد تحن إلى القد</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أقنع من نفسي بأن يقال هذا أمير المؤمنين، و لا أُشاركهم في مكاره الدهر، أو أكون أُسوة لهم في جشوبة العيش، فما خُلقت ليشغلني أكل الطيبات، كالبهيمة المربوطة همّها علفها، أو المرسلة شغلها تقمّمها</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أن لا يغرب عن بالكم، بأنّ هذه المشاريع لا يمكن أن تتحقق، و لا يكتب النجاح لهذه النهضة الإصلاحية إلّا إذا دفعت ضريبة العشر، و العشر هذا تضحية جزئية واجبة علىٰ كلّ إسماعيلي يعتقد ولايتنا و يخلص لنا</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و 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الفريضة مختلفة في الزكاة، و ليست مبعضة بالعشر كما هو واضح، لمن له أدنىٰ إلمام بالفقه الإسلامي من سنة و شيعة، كما أنّ الواجب في المعادن، و الركائز، و أرباح المكاسب، هو الخمس، لا العشر، فالتركيز على العشر، و حذف المعايير الأُخر إبطال للشريعة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نصائحه لأتباعه أنّه أمرهم بالزهد،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تسرفوا شيئاً على طقوس الأموات و الزواج، و ازهدوا في لذائذ الحياة الدنيا، و ادّخروا شيئاً من نفقاتكم الشهريّة، و ابتاعوا بها سندات شركات التأمين و أوراق الدولة المالية</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إنّ هذه النصيحة ممزوجة بالحقّ و الباطل، فهو يأمرُ أتباعه بالزهد، بينما يعيش هو حياة البذخ و الإسراف، أ تقولون ما لا تفعلون؟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لزوجته الفرنسية في صباح اليوم الذي قرّر أن تتم به حفلة زواجهما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ابنتي العزيزة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لا تجهلين و لا ريب بأنّي أميرٌ شرقي كبيرٌ و أعتقد بأنّك تجهلين بأنّ آلافاً و آلافاً من البشر يعتقدون بأنّ الإله متجسم فيَّ تقريباً</w:t>
      </w:r>
      <w:r>
        <w:rPr>
          <w:rFonts w:eastAsia="Amiri" w:cs="Amiri" w:ascii="Amiri" w:hAnsi="Amiri"/>
          <w:color w:val="111111"/>
          <w:sz w:val="28"/>
          <w:szCs w:val="28"/>
          <w:rtl w:val="true"/>
          <w:lang w:bidi="ar-SA"/>
        </w:rPr>
        <w:t>.</w:t>
      </w:r>
      <w:r>
        <w:rPr>
          <w:rStyle w:val="FootnoteAnchor"/>
          <w:rtl w:val="true"/>
        </w:rPr>
        <w:footnoteReference w:id="279"/>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بأنّه إمّا يصحح عقيدة أتباعه في حقّه، أو يخطّئهم، فعلى الوجه الأوّل هو إله متجسِّم حسب عقيدته، و على الوجه الثاني مقصّر في إضفاء الشرعية علىٰ عقيدة قومه، و عدم تخطئتهم، و إرشادهم إلى الحقّ</w:t>
      </w:r>
      <w:r>
        <w:rPr>
          <w:rFonts w:eastAsia="Amiri" w:cs="Amiri" w:ascii="Amiri" w:hAnsi="Amiri"/>
          <w:color w:val="111111"/>
          <w:sz w:val="28"/>
          <w:szCs w:val="28"/>
          <w:rtl w:val="true"/>
          <w:lang w:bidi="ar-SA"/>
        </w:rPr>
        <w:t xml:space="preserve">. </w:t>
      </w:r>
      <w:bookmarkStart w:id="274" w:name="pg11557_101348"/>
    </w:p>
    <w:p>
      <w:pPr>
        <w:pStyle w:val="Heading4"/>
        <w:numPr>
          <w:ilvl w:val="3"/>
          <w:numId w:val="1"/>
        </w:numPr>
        <w:rPr/>
      </w:pPr>
      <w:bookmarkStart w:id="275" w:name="__RefHeading___Toc4284221_73709187"/>
      <w:bookmarkStart w:id="276" w:name="_Toc94"/>
      <w:bookmarkEnd w:id="274"/>
      <w:bookmarkEnd w:id="275"/>
      <w:r>
        <w:rPr>
          <w:rtl w:val="true"/>
        </w:rPr>
        <w:t>الإمام يتعلّم على يد مأمومه</w:t>
      </w:r>
      <w:bookmarkEnd w:id="276"/>
    </w:p>
    <w:p>
      <w:pPr>
        <w:pStyle w:val="BookText"/>
        <w:rPr/>
      </w:pPr>
      <w:r>
        <w:rPr>
          <w:rFonts w:ascii="Amiri" w:hAnsi="Amiri" w:eastAsia="Amiri" w:cs="Amiri"/>
          <w:color w:val="111111"/>
          <w:sz w:val="28"/>
          <w:sz w:val="28"/>
          <w:szCs w:val="28"/>
          <w:rtl w:val="true"/>
          <w:lang w:bidi="ar-SA"/>
        </w:rPr>
        <w:t>قال المؤرّخ الإسماعيلي المعاصر مصطفى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سموّه يجيد اللغات الشرقية و الغربية من الهندية و الفارسية و العربية و التركية، و الانكليزية و الفرنسية و الإيطالية و الألمانية، و غيرها من اللغات العديدة، كلُّ هذا بدون أن يدخل أيَّ مدرسة أو يتلقّىٰ علومه في أيّ معهد، و قد تلقّىٰ تعليمه الأوّل علىٰ أيدي والدته التي علّمته تعليماً صحيحاً، فجعلته يتقن اللغات الأُوروبية و العربية و الفارسية</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و قال عارف تامر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توفي والده علي شاه، و هو في الثامنة من عمره، فاجتمع به رجال الدعوة الإسماعيليّة في الهند، و سلّموه شئون الإمامة باحتفال مهيب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هذا من الأسباب التي حفّزت والدته علىٰ مضاعفة السهر على حياته، و إحضار المربّين الاختصاصين، و الأساتذة الماهرين، عملوا على تدريسه اللغات الأجنبية و الفارسية و العربية</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و هنا نقطة جديرة بالإمعان و هي أنّ الثابت في عقيدتهم أنّ الإمام منصوص لا يتلقّى العلم إلّا عن الغيب فعلمه لدني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أدري ما هذا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يتلقّىٰ العلم عن مأمومه، و هل الإمام ذو العلم اللدني بحاجة إلى دخول المدارس البشرية، و تعلّم اللغات و العلوم و غير ذلك</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يوم الخميس الساعة الثانية ظهراً الحادي عشر من تموز سنة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الموافق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الآغا خان في قصره بسويسرا، و نقل جثمانه جوّاً إلى أسوان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دفن في المقبرة التي شرع بتشييدها على رأس ربوة الجبل الأصفر غرب مدينة أسوان في مصر</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 xml:space="preserve">و لما توفي آغا خان الثالث في سويسرا توجه زعماء الإسماعيلية من مختلف أنحاء العالم إلى مقر الآغا خان في قصر بركان، حيث حضروا فتح وصيّة الإمام الراحل التي كانت مودعة في بنك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لويدز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بريطانيا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استناداً إلى هذه الوصية فقد تم إعلان إمامة كريم بن علي شاه الحسيني، و لُقّب بآغا خان الرابع</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و من الطريف بالذكر هو أنّ الإمام آغا خان الثالث قد عهد بالإمامة لابنه الأمير على خان في حياته، يقول مصطفى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 الأمير علي خان وليّاً لعهد الإمامة الإسماعيليّة في التاسع و العشرين من تشرين الثاني عام </w:t>
      </w:r>
      <w:r>
        <w:rPr>
          <w:rFonts w:eastAsia="Amiri" w:cs="Amiri" w:ascii="Amiri" w:hAnsi="Amiri"/>
          <w:color w:val="111111"/>
          <w:sz w:val="28"/>
          <w:szCs w:val="28"/>
          <w:lang w:bidi="ar-SA"/>
        </w:rPr>
        <w:t>1927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ميلادية و جرت احتفالات عظيمة بهذه المناسبة، عمّت جميع البلدان الإسماعيليّة</w:t>
      </w:r>
      <w:r>
        <w:rPr>
          <w:rFonts w:eastAsia="Amiri" w:cs="Amiri" w:ascii="Amiri" w:hAnsi="Amiri"/>
          <w:color w:val="111111"/>
          <w:sz w:val="28"/>
          <w:szCs w:val="28"/>
          <w:rtl w:val="true"/>
          <w:lang w:bidi="ar-SA"/>
        </w:rPr>
        <w:t>.</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 xml:space="preserve">و قد خاب أمل الأمير علي خان لما فُتحت وصيّة والده التي كانت مُودعة في بنك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لويدز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بريطانيا و التي تنصُّ علىٰ إمامة حفيده كريم بن علي شاه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آغا خان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أجد تفسيراً لها إلّا بنشوب الخلافات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جاء في وصيته التي أبطل بها إمامة ابنه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نظراً إلى الظروف التي تغيّرت تغيّراً أساسياً في العالم في السنوات الأخيرة، و نظراً للتغيّرات الكبرىٰ التي وقعت، و من بينها اكتشاف العلوم الذرية، فإنّي علىٰ يقين أنّ مصلحة الطائفة الإسماعيليّة تقتضي أن يخلفني شاب نشأ و ترعرع في السنوات الأخيرة وسط هذا العصر الحديث، و أن تكون له نظرةٌ جديدة للحياة عند تولّي زعامة الطائفة الإسماعيليّة، لذلك أختار حفيدي كريم خان، ليكون خليفة لي و زعيماً للطائفة من بعدي</w:t>
      </w:r>
      <w:r>
        <w:rPr>
          <w:rFonts w:eastAsia="Amiri" w:cs="Amiri" w:ascii="Amiri" w:hAnsi="Amiri"/>
          <w:color w:val="111111"/>
          <w:sz w:val="28"/>
          <w:szCs w:val="28"/>
          <w:rtl w:val="true"/>
          <w:lang w:bidi="ar-SA"/>
        </w:rPr>
        <w:t>.</w:t>
      </w:r>
      <w:r>
        <w:rPr>
          <w:rStyle w:val="FootnoteAnchor"/>
          <w:rtl w:val="true"/>
        </w:rPr>
        <w:footnoteReference w:id="285"/>
      </w:r>
      <w:bookmarkStart w:id="277" w:name="pg11557_101350"/>
    </w:p>
    <w:p>
      <w:pPr>
        <w:pStyle w:val="BookText"/>
        <w:rPr/>
      </w:pPr>
      <w:bookmarkEnd w:id="277"/>
      <w:r>
        <w:rPr>
          <w:rFonts w:ascii="Amiri" w:hAnsi="Amiri" w:eastAsia="Amiri" w:cs="Amiri"/>
          <w:color w:val="111111"/>
          <w:sz w:val="28"/>
          <w:sz w:val="28"/>
          <w:szCs w:val="28"/>
          <w:rtl w:val="true"/>
          <w:lang w:bidi="ar-SA"/>
        </w:rPr>
        <w:t xml:space="preserve">و قد توفي ولده علي خان المعزول في الخامس عشر من ذي القعدة سنة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بحادث اصطدام سيارته التي كان يقودها بنفسه، و دفن جثمانه موقتاً في قصره الخاص في نويللي بفرنسا، ريثما يتم نقله إلى مقرّه الأخير في سلَمية سوريا تنفيذاً لوصيته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فالإمام الحاضر للإسماعيليّة هو كريم حفيد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آغا خان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ولده</w:t>
      </w:r>
      <w:r>
        <w:rPr>
          <w:rFonts w:eastAsia="Amiri" w:cs="Amiri" w:ascii="Amiri" w:hAnsi="Amiri"/>
          <w:color w:val="111111"/>
          <w:sz w:val="28"/>
          <w:szCs w:val="28"/>
          <w:rtl w:val="true"/>
          <w:lang w:bidi="ar-SA"/>
        </w:rPr>
        <w:t>.</w:t>
      </w:r>
    </w:p>
    <w:p>
      <w:pPr>
        <w:pStyle w:val="Heading4"/>
        <w:numPr>
          <w:ilvl w:val="3"/>
          <w:numId w:val="1"/>
        </w:numPr>
        <w:rPr/>
      </w:pPr>
      <w:bookmarkStart w:id="278" w:name="__RefHeading___Toc4284223_73709187"/>
      <w:bookmarkStart w:id="279" w:name="_Toc95"/>
      <w:bookmarkEnd w:id="278"/>
      <w:r>
        <w:rPr>
          <w:rtl w:val="true"/>
        </w:rPr>
        <w:t>كريم بن علي بن محمد آغا خان الرابع</w:t>
      </w:r>
      <w:bookmarkEnd w:id="279"/>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في مدينة جنيف بسويسرا، والده هو الأمير علي خان الذي أُقصي عن مركز الإمامة بموجب وصية والده سلطان محمد شاه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آغا خان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أُمّه هي الأميرة البريطانية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 بربارايولد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ابنة اللورد تشارستون، تلقّىٰ علومه الأوّلية في مدارس سويسرا، فأتقن الانكليزية و الفرنسية و الإسبانية، كما درس اللغة العربية، و بعد أن أكمل تحصيله في سويسرا انتسب إلىٰ جامعة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هارفرد الأميركية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كثير التنقل و الأسفار، يمارس الرياضة الصعبة، و قد نجا مرتين من حادثتي اصطدام مروعتين، و يولي الشئون الاقتصادية و المالية اهتمامه، و يتجنّب الخوض ببحر 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 يقوم بزيارة لإفريقية و سوريا و لبنان و إيران في العام، لتفقد شئون أتباعه و معالجة قضاياهم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لا يزال حيّاً يرزق</w:t>
      </w:r>
      <w:r>
        <w:rPr>
          <w:rFonts w:eastAsia="Amiri" w:cs="Amiri" w:ascii="Amiri" w:hAnsi="Amiri"/>
          <w:color w:val="111111"/>
          <w:sz w:val="28"/>
          <w:szCs w:val="28"/>
          <w:rtl w:val="true"/>
          <w:lang w:bidi="ar-SA"/>
        </w:rPr>
        <w:t>.</w:t>
      </w:r>
      <w:r>
        <w:rPr>
          <w:rStyle w:val="FootnoteAnchor"/>
          <w:rtl w:val="true"/>
        </w:rPr>
        <w:footnoteReference w:id="286"/>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هؤلاء أئمّة النزاريّة القاسمية الآغاخانية، و هم الفرقة المنحصرة باستمرار الإمامة في أولاد إسماعيل، وفق المذهب الإسماعيلي، فاللّٰه سبحانه يعلم هل تستمر الإمامة بعد رحيله أو تدخل في كهف الغيبة</w:t>
      </w:r>
      <w:r>
        <w:rPr>
          <w:rFonts w:eastAsia="Amiri" w:cs="Amiri" w:ascii="Amiri" w:hAnsi="Amiri"/>
          <w:color w:val="111111"/>
          <w:sz w:val="28"/>
          <w:szCs w:val="28"/>
          <w:rtl w:val="true"/>
          <w:lang w:bidi="ar-SA"/>
        </w:rPr>
        <w:t xml:space="preserve">.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0" w:name="pg11557_101352"/>
      <w:bookmarkStart w:id="281" w:name="pg11557_101352"/>
      <w:bookmarkEnd w:id="281"/>
    </w:p>
    <w:p>
      <w:pPr>
        <w:pStyle w:val="Heading2"/>
        <w:numPr>
          <w:ilvl w:val="1"/>
          <w:numId w:val="1"/>
        </w:numPr>
        <w:rPr/>
      </w:pPr>
      <w:bookmarkStart w:id="282" w:name="pg11557_101352"/>
      <w:bookmarkStart w:id="283" w:name="__RefHeading___Toc4284225_73709187"/>
      <w:bookmarkStart w:id="284" w:name="_Toc96"/>
      <w:bookmarkEnd w:id="282"/>
      <w:bookmarkEnd w:id="283"/>
      <w:r>
        <w:rPr>
          <w:rtl w:val="true"/>
        </w:rPr>
        <w:t>الفصل العاشر</w:t>
      </w:r>
      <w:r>
        <w:rPr>
          <w:rtl w:val="true"/>
        </w:rPr>
        <w:t xml:space="preserve">: </w:t>
      </w:r>
      <w:r>
        <w:rPr>
          <w:rtl w:val="true"/>
        </w:rPr>
        <w:t>في الإسماعيلية و الأصول الخمسة</w:t>
      </w:r>
      <w:bookmarkEnd w:id="284"/>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5" w:name="__RefHeading___Toc4284227_73709187"/>
      <w:bookmarkStart w:id="286" w:name="_Toc97"/>
      <w:bookmarkEnd w:id="285"/>
      <w:r>
        <w:rPr>
          <w:rtl w:val="true"/>
        </w:rPr>
        <w:t>اشارة</w:t>
      </w:r>
      <w:bookmarkEnd w:id="286"/>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الإسلام عقيدة و شريعة، و الإسماعيليّة كغيرها من المذاهب الإسلاميّة لها أُصول، و فروع، أمّا الفروع فلا يختلفون مع المسلمين في أُمهاتها، و كفى في الوقوف عليها ما كتبه القاضي أبو حنيفة النعمان بن محمد التميمي المغربي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انفردوا في الاعتقاد بأنّ لكلِّ حكم فرعي ظاهراً و باطناً، و لهم مؤلفات خاصّة في تأويل الظواهر الفرعيّة، و قد ألّف القاضي المذكور كتاباً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 الدعائم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سيمر عليك بعض تأويلاتهم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عقائدهم و أُصولهم التي بنوا مذهبهم عليها، و العثور عليها أمر مشكل جدّاً و ذلك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الظنّة بكتبهم و التستر عليها و إخفائها و عدم جعلها تحت متناول أيدي الآخرين، و أن فرض عليهم الوضع الراهن كسر طوق التكتم، و إزاحة الستار عن بعض الكتب، و الفضل يعود إلى غيرهم، فلو كان الأمر بيد دعاتهم و علمائهم لما سمحوا بذلك، و لَما وصلت بأيدينا تلك الكتب</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اتخاذ الفلسفة اليونانية عماداً و سنداً للمذهب، فأدخلوا فيه أشياء كثيرةً ممّا لا صلة لها بباب العقائد و الأُصول، و لا يضر الاعتقاد بها أو بعدمها، و لا يضرّه جهلها فالقول بالعقول العشرة، و الأفلاك التسعة و نفوسها، و أنّ الصادر الأوّل هو العقل إلى أن ينتهي الصدور إلى العقل العاشر، فروض فلسفيّة طُرحت لحل مشكلة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امتناع صدور الكثير عن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هذه المباحث على فرض صحتها تختص بذوي المواهب الكبيرة في مجال الفكر، فإدخالها في المذهب و الدعوة إليها، إلزام بلا ملزم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المذهب الإسماعيلي، لم يكن في بدء ظهوره مذهباً منسقاً، و إنّما تكامل حسب مرّ السنين، نتيجة احتكاك الدعاة مع أصحاب الفلسفة اليونانية، و حسب أذواقهم في مجال التأويل، و هذا أمر مسلّم بينهم، يقول الكاتب الإسماعيلي مصطفى 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العقائد الإسماعيلية لا يمكن دراستها و بحثها علىٰ أنّها عقائد ثابتة لفرقة موحّدة، و ذلك أنّها عقائد تطورت حسب البيئات و الأزمان، و اختلفت باختلافها، و تشعّبت آراؤها و نظرياتها، حتى أصبح من الصعب أن تبلور هذه العقائد، أو أن تُصهر في بوتقة واحدة</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و قد اعتمدنا من بين كتبهم العقائديّة على كتابين 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راحة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الداعي في عهد الحاكم،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الدين أحمد ابن عبد اللّٰه الكرماني، الملقّب بحجة العراقين، و كبير دعاة الإسماعيليّة في جزيرة العراق، و صاحب المؤلّفات العديدة في المذهب الإسماعيلي، ألّفه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عاصر الفيلسوف الإسلامي الكبير ابن سينا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 هذا العصر و ما قبله عصر ازدهار الفلسفة اليونانية، فقد قام المسلمون و غيرهم بترجمة تلك الفلسفة و شرحها و تحقيقها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وضع الداعي كتابه هذا على غرار ما أُثر من الفلسفة، و أدخل فيه شيئاً ممّا لا يمت إلى المذهب بصلة، فإنّ أكثر مباحثه مسائل فلسفية بحتة، أو طبيعية، لا ارتباط لها بصميم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يتجلّى ذلك بوضوح حينما يقوم الداعي الكرماني في ترسيم عوالم الخلقة</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الكتاب لا ينقسم إلى أبواب أو مقالات، و لا تشتمل أبوابه أو مقالاته على فصول على نحو ما جرت به العادة في تقسيم الكتب، و إنّما ينقسم إلى أسوار، </w:t>
      </w:r>
    </w:p>
    <w:p>
      <w:pPr>
        <w:pStyle w:val="BookText"/>
        <w:rPr/>
      </w:pPr>
      <w:r>
        <w:rPr>
          <w:rFonts w:ascii="Amiri" w:hAnsi="Amiri" w:eastAsia="Amiri" w:cs="Amiri"/>
          <w:color w:val="111111"/>
          <w:sz w:val="28"/>
          <w:sz w:val="28"/>
          <w:szCs w:val="28"/>
          <w:rtl w:val="true"/>
          <w:lang w:bidi="ar-SA"/>
        </w:rPr>
        <w:t>و يندرج تحت كلّ سور عدّة مشارع، هي من السور بمنزلة الأجزاء من البلد الذي يحيط به السور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راحة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كمثل المدينة، و السور بمنزلة الأبواب، و المشارع بمنزلة الفصول، و لكن عدد الأسوار، التي يشتمل عليها الكتاب سبعة، يدخل في نطاق كلّ منها سبعة مشارع، فتكون عدد المشارع تسعة و أربعين مشرعاً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تتمة لما ينطوي عليه منهجه في تقسيم الكتاب من معاني التأويل و المتقابلات قد زاد على هذه المشارع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التسعة و 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مشارع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كانت الأسوار سبعة مقابلة بينها و بين السيارات السبع،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زحل، و المشتري، و المريخ، و الشمس، و الزهرة، و عطارد، و 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فجعلنا أسواره سبعة بإزاء السيارات منها المؤثرة في المواليد الجسمانية القائمة في الدين تأويلاً، حيال بيوت أنوار اللّٰه أصحاب الأدوار السبعة المؤثّرين في المواليد النفسانية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مشارع أسواره تسعة و أربعين مشرعاً، بإزاء محيط الأفلاك صغاراً و كباراً المحركة لما دونها من الأجسام</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 xml:space="preserve">و قد طبع لأوّل مرّة بالقاهرة بتحقيق الدكتور محمد كامل حسين و الدكتور محمد مصطفى حلمي، و نشرته دار الفكر العربي بالقاهرة عام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أُعيد طبعه ثانياً بتحقيق مصطفى غالب الذي هو من كتّاب الإسماعيلية نشره عام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تاج العقائد و معدن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تأليف الداعي الإسماعيلي اليمني المطلق، علي بن محمد الوليد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حقّقه عارف تامر، و نشرته دار المشرق بيروت، و هذا الكتاب أسهل فهماً و أحسن تعبيراً في بيان عقائد الإسماعيلية</w:t>
      </w:r>
      <w:r>
        <w:rPr>
          <w:rFonts w:eastAsia="Amiri" w:cs="Amiri" w:ascii="Amiri" w:hAnsi="Amiri"/>
          <w:color w:val="111111"/>
          <w:sz w:val="28"/>
          <w:szCs w:val="28"/>
          <w:rtl w:val="true"/>
          <w:lang w:bidi="ar-SA"/>
        </w:rPr>
        <w:t xml:space="preserve">.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نحن نعتمد على هذين الكتابين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البون الشاسع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الفوارق الموجودة بينهم و بين سائر الفرق، دون أن نذكر المشتركات، فانّ دراسة الجميع تؤدي إلى أن يطول بنا الكلام، و الهدف تسليط الضوء على عقائدهم عن كثب، و ربّما نعتمد على غير هذين الكتابين عند اقتضاء الحال</w:t>
      </w:r>
      <w:r>
        <w:rPr>
          <w:rFonts w:eastAsia="Amiri" w:cs="Amiri" w:ascii="Amiri" w:hAnsi="Amiri"/>
          <w:color w:val="111111"/>
          <w:sz w:val="28"/>
          <w:szCs w:val="28"/>
          <w:rtl w:val="true"/>
          <w:lang w:bidi="ar-SA"/>
        </w:rPr>
        <w:t xml:space="preserve">. </w:t>
      </w:r>
      <w:bookmarkStart w:id="287" w:name="pg11557_101358"/>
    </w:p>
    <w:p>
      <w:pPr>
        <w:pStyle w:val="BookText"/>
        <w:rPr/>
      </w:pPr>
      <w:bookmarkEnd w:id="287"/>
      <w:r>
        <w:rPr>
          <w:rFonts w:ascii="Amiri" w:hAnsi="Amiri" w:eastAsia="Amiri" w:cs="Amiri"/>
          <w:color w:val="111111"/>
          <w:sz w:val="28"/>
          <w:sz w:val="28"/>
          <w:szCs w:val="28"/>
          <w:rtl w:val="true"/>
          <w:lang w:bidi="ar-SA"/>
        </w:rPr>
        <w:t>الإسماعيلية و الأُصول الخمسة</w:t>
      </w:r>
      <w:r>
        <w:rPr>
          <w:rFonts w:eastAsia="Amiri" w:cs="Amiri" w:ascii="Amiri" w:hAnsi="Amiri"/>
          <w:color w:val="111111"/>
          <w:sz w:val="28"/>
          <w:szCs w:val="28"/>
          <w:rtl w:val="true"/>
          <w:lang w:bidi="ar-SA"/>
        </w:rPr>
        <w:t>:</w:t>
      </w:r>
    </w:p>
    <w:p>
      <w:pPr>
        <w:pStyle w:val="Heading3"/>
        <w:numPr>
          <w:ilvl w:val="2"/>
          <w:numId w:val="1"/>
        </w:numPr>
        <w:rPr/>
      </w:pPr>
      <w:bookmarkStart w:id="288" w:name="__RefHeading___Toc4284229_73709187"/>
      <w:bookmarkStart w:id="289" w:name="_Toc98"/>
      <w:bookmarkEnd w:id="288"/>
      <w:r>
        <w:rPr>
          <w:rtl w:val="true"/>
        </w:rPr>
        <w:t>(</w:t>
      </w:r>
      <w:r>
        <w:rPr/>
        <w:t>1</w:t>
      </w:r>
      <w:r>
        <w:rPr>
          <w:rtl w:val="true"/>
        </w:rPr>
        <w:t xml:space="preserve">) </w:t>
      </w:r>
      <w:r>
        <w:rPr>
          <w:rtl w:val="true"/>
        </w:rPr>
        <w:t>عقيدتهم في التوحيد</w:t>
      </w:r>
      <w:bookmarkEnd w:id="289"/>
    </w:p>
    <w:p>
      <w:pPr>
        <w:pStyle w:val="Heading4"/>
        <w:numPr>
          <w:ilvl w:val="3"/>
          <w:numId w:val="1"/>
        </w:numPr>
        <w:rPr/>
      </w:pPr>
      <w:bookmarkStart w:id="290" w:name="__RefHeading___Toc4284231_73709187"/>
      <w:bookmarkStart w:id="291" w:name="_Toc99"/>
      <w:bookmarkEnd w:id="290"/>
      <w:r>
        <w:rPr/>
        <w:t>1</w:t>
      </w:r>
      <w:r>
        <w:rPr>
          <w:rtl w:val="true"/>
        </w:rPr>
        <w:t xml:space="preserve"> - </w:t>
      </w:r>
      <w:r>
        <w:rPr>
          <w:rtl w:val="true"/>
        </w:rPr>
        <w:t>عقيدتهم في توحيده سبحانه، أنّه واحد لا مثل له و لا ضد</w:t>
      </w:r>
      <w:r>
        <w:rPr>
          <w:rtl w:val="true"/>
        </w:rPr>
        <w:t>:</w:t>
      </w:r>
      <w:bookmarkEnd w:id="291"/>
    </w:p>
    <w:p>
      <w:pPr>
        <w:pStyle w:val="BookText"/>
        <w:rPr/>
      </w:pPr>
      <w:r>
        <w:rPr>
          <w:rFonts w:ascii="Amiri" w:hAnsi="Amiri" w:eastAsia="Amiri" w:cs="Amiri"/>
          <w:color w:val="111111"/>
          <w:sz w:val="28"/>
          <w:sz w:val="28"/>
          <w:szCs w:val="28"/>
          <w:rtl w:val="true"/>
          <w:lang w:bidi="ar-SA"/>
        </w:rPr>
        <w:t>يقول الكرماني في المشرع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لا ضد له و لا مثل</w:t>
      </w:r>
      <w:r>
        <w:rPr>
          <w:rStyle w:val="FootnoteAnchor"/>
          <w:rtl w:val="true"/>
        </w:rPr>
        <w:footnoteReference w:id="289"/>
      </w:r>
      <w:r>
        <w:rPr>
          <w:rFonts w:ascii="Amiri" w:hAnsi="Amiri" w:eastAsia="Amiri" w:cs="Amiri"/>
          <w:color w:val="111111"/>
          <w:sz w:val="28"/>
          <w:sz w:val="28"/>
          <w:szCs w:val="28"/>
          <w:rtl w:val="true"/>
          <w:lang w:bidi="ar-SA"/>
        </w:rPr>
        <w:t>، ثمّ يستدل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يقول علي بن محمد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الداعي الإسماعيلي اليمني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واحد لا من عدد، و لا يُعتقد فيه كثرة، أو ازدواج أشكال المخلوقات، و اختلاف البسائط و المركبات</w:t>
      </w:r>
      <w:r>
        <w:rPr>
          <w:rStyle w:val="FootnoteAnchor"/>
          <w:rtl w:val="true"/>
        </w:rPr>
        <w:footnoteReference w:id="290"/>
      </w:r>
      <w:r>
        <w:rPr>
          <w:rFonts w:ascii="Amiri" w:hAnsi="Amiri" w:eastAsia="Amiri" w:cs="Amiri"/>
          <w:color w:val="111111"/>
          <w:sz w:val="28"/>
          <w:sz w:val="28"/>
          <w:szCs w:val="28"/>
          <w:rtl w:val="true"/>
          <w:lang w:bidi="ar-SA"/>
        </w:rPr>
        <w:t>ثمّ يستدل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أحد الدعاة الإسماعيلية في قصيدة له في العقائد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القديم الأزلي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المبدع العالي معلِّ العلل</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باري البرايا الدائم الفرد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الجاعل الواحد أصلاً للعدد</w:t>
      </w:r>
      <w:r>
        <w:rPr>
          <w:rStyle w:val="FootnoteAnchor"/>
          <w:rtl w:val="true"/>
        </w:rPr>
        <w:footnoteReference w:id="291"/>
      </w:r>
      <w:bookmarkStart w:id="292" w:name="pg11557_101359"/>
    </w:p>
    <w:p>
      <w:pPr>
        <w:pStyle w:val="Heading4"/>
        <w:numPr>
          <w:ilvl w:val="3"/>
          <w:numId w:val="1"/>
        </w:numPr>
        <w:rPr/>
      </w:pPr>
      <w:bookmarkStart w:id="293" w:name="__RefHeading___Toc4284233_73709187"/>
      <w:bookmarkStart w:id="294" w:name="_Toc100"/>
      <w:bookmarkEnd w:id="292"/>
      <w:bookmarkEnd w:id="293"/>
      <w:r>
        <w:rPr/>
        <w:t>2</w:t>
      </w:r>
      <w:r>
        <w:rPr>
          <w:rtl w:val="true"/>
        </w:rPr>
        <w:t xml:space="preserve"> - </w:t>
      </w:r>
      <w:r>
        <w:rPr>
          <w:rtl w:val="true"/>
        </w:rPr>
        <w:t>انّه سبحانه ليس أيسا</w:t>
      </w:r>
      <w:r>
        <w:rPr>
          <w:rtl w:val="true"/>
        </w:rPr>
        <w:t>:</w:t>
      </w:r>
      <w:bookmarkEnd w:id="294"/>
    </w:p>
    <w:p>
      <w:pPr>
        <w:pStyle w:val="BookText"/>
        <w:rPr/>
      </w:pPr>
      <w:r>
        <w:rPr>
          <w:rFonts w:ascii="Amiri" w:hAnsi="Amiri" w:eastAsia="Amiri" w:cs="Amiri"/>
          <w:color w:val="111111"/>
          <w:sz w:val="28"/>
          <w:sz w:val="28"/>
          <w:szCs w:val="28"/>
          <w:rtl w:val="true"/>
          <w:lang w:bidi="ar-SA"/>
        </w:rPr>
        <w:t>إنّ الأيس بمعنى الوجود، و لعلّ أوّل من استعمله هو الفيلسوف الكندي، و قد اشتهر في الفلسفة الإسلاميّة أنّ الممكن من ذاته أن يكون ليس، و من علّته أن يكون أيس، و إن كانت هذه الكلمة في التعبير عن مكانة الممكن تعبيراً غير دقيق، لأنّ معناه، أنّ الممكن من ذاته يقتضي العدمَ، و هذه علامة الممتنع لا الممكن، فالممكن لا يقتضي من صميم ذاته أحدَ الشيئين، الأيس و الليس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تقدير فهؤلاء يستنكرون وصفه سبحانه بالأيس، المرادف للوجود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 عليه الداعي الكرماني بوجه مبسّط نأخذ منه ماله صلة بصميم الموضوع، و حاصل ما ذكره يرجع إلى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الأيس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كونه آيساً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محتاجاً إلى ما يستند إليه في الوجود، و كان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كبرياؤه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متعالياً عن الحاجة فيما هو هو إلى غير، به يتعلق، ما به هو هو، كان من ذلك الحكم، بأنّه تعالى خارج عن أن يكون آيساً، لتعلّق كون الأيس آيساً بالذي يتأوّل عليه الذي جعله آيساً، و استحالة الأمر في أن يكون هو تعالى آيساً، و لا هو يحتاج فيما هو هو إلى غير به هو هو، فيستند إليه، تكبّر عن ذلك و تعزّز و تعالى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هو عزّ و علا غير محتاج فيما هو هو إلى غير، به يتعلّق، ما به هو هو، فمحال كونه أيسا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هذا الوجه مع تعقيده في التعبير، يرجع إلى أمر واضح، و هو أنّه لو كان موصوفاً بالوجود، فبما أنّ الصفة غير الموصوف، يحتاج في وصفه به إلى الغير، و هو تعالى غني عمّا سواه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كان ما جاء به الكرماني مذهباً للإسماعيليّة فهو يُعرب عن عدم نضوج الفلسفة اليونانية في أوساطهم، فهؤلاء يتصوّرون أنّ الوجود أمر عارض على </w:t>
      </w:r>
    </w:p>
    <w:p>
      <w:pPr>
        <w:pStyle w:val="BookText"/>
        <w:rPr/>
      </w:pPr>
      <w:r>
        <w:rPr>
          <w:rFonts w:ascii="Amiri" w:hAnsi="Amiri" w:eastAsia="Amiri" w:cs="Amiri"/>
          <w:color w:val="111111"/>
          <w:sz w:val="28"/>
          <w:sz w:val="28"/>
          <w:szCs w:val="28"/>
          <w:rtl w:val="true"/>
          <w:lang w:bidi="ar-SA"/>
        </w:rPr>
        <w:t>الواجب، فيبحثون عن مسبب العروض، مع أنّه إذا كان ماهيته انيّته، و كان تقدّست أسماؤه عين الوجود، فالاستدلال ساقط من رأسه، و المسألة مطروحة في الفلسفة الإسلامية على وجه مبسط، و في ذلك الصدد يقول الحكيم السبزواري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الحقّ ماهيّته إنِّيَّته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مقتضى العروض معلوليّته</w:t>
      </w:r>
    </w:p>
    <w:p>
      <w:pPr>
        <w:pStyle w:val="BookText"/>
        <w:rPr/>
      </w:pPr>
      <w:r>
        <w:rPr>
          <w:rFonts w:ascii="Amiri" w:hAnsi="Amiri" w:eastAsia="Amiri" w:cs="Amiri"/>
          <w:color w:val="111111"/>
          <w:sz w:val="28"/>
          <w:sz w:val="28"/>
          <w:szCs w:val="28"/>
          <w:rtl w:val="true"/>
          <w:lang w:bidi="ar-SA"/>
        </w:rPr>
        <w:t>فمن أراد التفصيل فليرجع إلى المصدرين في الهامش</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إن كان آيساً، فلا يخلو أن يكون إمّا جوهراً، و إمّا عرضاً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جوهراً، فلا يخلو أن يكون إمّا جسماً أو لا جسماً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جسماً، فانقسام ذاته إلى ما به وجودها، يقتضي وجود ما يتقدم عليه بكون كلّ متكثر مسبوقاً متأوّلاً عليه، و هو يتعالى بسبحانيّته عن أن يتأوّل عليه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لا جسماً، فلا يخلو أن يكون إمّا قائماً بالقوة مثل الأنفس، أو قائماً بالفعل مثل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قائماً بالقوّة، فحاجته إلى ما به يخرج إلى الفعل تقتضي ما يتقدّم عليه، و هو يتعالى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قائماً بالفعل، فلا يخلو من أن يكون إمّا فاعلاً في ذاته من غير حاجة إلى غيرٍ به يتم فعله، أو فاعلاً في غيرٍ به يتم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فاعلاً في غير به يتم فعله، فلنقصانه في فعله و حاجته إلى ما يتم به فعله، تقتضي ما يتأوّل عليه، و هو يتعالى عن ذلك</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كان فاعلاً في ذاته، من غير حاجة إلى غيرٍ به يتم فعله، فلاستيعاب ذاته النسب المختلفة بكثرة المعاني المتغايرة، بكونه في ذاته فاعلاً و مفعولاً بذاته، </w:t>
      </w:r>
    </w:p>
    <w:p>
      <w:pPr>
        <w:pStyle w:val="BookText"/>
        <w:rPr/>
      </w:pPr>
      <w:r>
        <w:rPr>
          <w:rFonts w:ascii="Amiri" w:hAnsi="Amiri" w:eastAsia="Amiri" w:cs="Amiri"/>
          <w:color w:val="111111"/>
          <w:sz w:val="28"/>
          <w:sz w:val="28"/>
          <w:szCs w:val="28"/>
          <w:rtl w:val="true"/>
          <w:lang w:bidi="ar-SA"/>
        </w:rPr>
        <w:t>يقتضي ما عنه وجوده الذي لا تكون فيه كثرة و لا قلّة بهذه النسب، و هو يتعالى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عَرضاً، و كان وجودُ العرض مستنداً إلى وجود ما يتقدم عليه من الجوهر، الذي به وجوده، و هو يتعالى و يتكبر عن أن تتعلّق هويته بما يتأوّل عليه، بطل أن يكون عرضاً</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و حاصل هذا الوجه أنّ كونه سبحانه موصوفاً بالأيس، لا يخلو من صور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جوهراً جسمانياً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جوهراً مجرداً، قائماً بالقوّة، مثل الأنفس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جوهراً مجرداً قائماً بالفعل، مثل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تستلزم أن يكون مؤلّفاً من أجزاء، و الأجزاء متقدّمة على الكُلّ، فيكون محتاجاً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مثلها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لحاجة العرض إلى وجود موضوع متقدم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مثلها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إذا كان قائماً بالقوّة، فيحتاج إلى من يخرجه إلى الفعل، و أن يكون المخرج متقدّماً عليه، و هو سبحانه 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فصّل فيها الكلام و لها شقان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فاعلاً في ذاته، من غير حاجة إلى غير به يتم فعله، فهذا يستلزم اجتماع النسب المختلفة في ذاته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فاعلاً في غيرٍ به يتم فعله، فهو يستلزم حاجته إلى ما يتمُّ به فعله، و هو غني على الإطلاق</w:t>
      </w:r>
      <w:r>
        <w:rPr>
          <w:rFonts w:eastAsia="Amiri" w:cs="Amiri" w:ascii="Amiri" w:hAnsi="Amiri"/>
          <w:color w:val="111111"/>
          <w:sz w:val="28"/>
          <w:szCs w:val="28"/>
          <w:rtl w:val="true"/>
          <w:lang w:bidi="ar-SA"/>
        </w:rPr>
        <w:t xml:space="preserve">. </w:t>
      </w:r>
      <w:bookmarkStart w:id="295" w:name="pg11557_101362"/>
    </w:p>
    <w:p>
      <w:pPr>
        <w:pStyle w:val="BookText"/>
        <w:rPr/>
      </w:pPr>
      <w:bookmarkEnd w:id="295"/>
      <w:r>
        <w:rPr>
          <w:rFonts w:ascii="Amiri" w:hAnsi="Amiri" w:eastAsia="Amiri" w:cs="Amiri"/>
          <w:color w:val="111111"/>
          <w:sz w:val="28"/>
          <w:sz w:val="28"/>
          <w:szCs w:val="28"/>
          <w:rtl w:val="true"/>
          <w:lang w:bidi="ar-SA"/>
        </w:rPr>
        <w:t>و الاستدلال مبني على أنّه صوّر للواجب ماهيّة بين كونها جوهراً أو عرضاً، و الجوهر جسماني أو نفساني، أو عقلائي، و الفروض كلّها باطلة، لأنّ القائل بكونه وجوداً، و أيسا،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 الوجود متساويان؛ 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يذهب عليك أنّ الفرض الرابع، و هو كونه موجوداً بالفعل مردداً بين كونه فاعلاً في ذاته، أو فاعلاً في غير، لا يخلو عن تعقيد و غموض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الداعي ذكرَ وجهاً ثالثاً لعدم كونه سبحانه آيساً، ليس له قيمة تذكر، فمن أراد فليرجع إليه</w:t>
      </w:r>
      <w:r>
        <w:rPr>
          <w:rFonts w:eastAsia="Amiri" w:cs="Amiri" w:ascii="Amiri" w:hAnsi="Amiri"/>
          <w:color w:val="111111"/>
          <w:sz w:val="28"/>
          <w:szCs w:val="28"/>
          <w:rtl w:val="true"/>
          <w:lang w:bidi="ar-SA"/>
        </w:rPr>
        <w:t>.</w:t>
      </w:r>
      <w:r>
        <w:rPr>
          <w:rStyle w:val="FootnoteAnchor"/>
          <w:rtl w:val="true"/>
        </w:rPr>
        <w:footnoteReference w:id="294"/>
      </w:r>
    </w:p>
    <w:p>
      <w:pPr>
        <w:pStyle w:val="Heading4"/>
        <w:numPr>
          <w:ilvl w:val="3"/>
          <w:numId w:val="1"/>
        </w:numPr>
        <w:rPr/>
      </w:pPr>
      <w:bookmarkStart w:id="296" w:name="__RefHeading___Toc4284235_73709187"/>
      <w:bookmarkStart w:id="297" w:name="_Toc101"/>
      <w:bookmarkEnd w:id="296"/>
      <w:r>
        <w:rPr/>
        <w:t>3</w:t>
      </w:r>
      <w:r>
        <w:rPr>
          <w:rtl w:val="true"/>
        </w:rPr>
        <w:t xml:space="preserve"> - </w:t>
      </w:r>
      <w:r>
        <w:rPr>
          <w:rtl w:val="true"/>
        </w:rPr>
        <w:t>في نفي التسمية عنه</w:t>
      </w:r>
      <w:r>
        <w:rPr>
          <w:rtl w:val="true"/>
        </w:rPr>
        <w:t>:</w:t>
      </w:r>
      <w:bookmarkEnd w:id="297"/>
    </w:p>
    <w:p>
      <w:pPr>
        <w:pStyle w:val="BookText"/>
        <w:rPr/>
      </w:pPr>
      <w:r>
        <w:rPr>
          <w:rFonts w:ascii="Amiri" w:hAnsi="Amiri" w:eastAsia="Amiri" w:cs="Amiri"/>
          <w:color w:val="111111"/>
          <w:sz w:val="28"/>
          <w:sz w:val="28"/>
          <w:szCs w:val="28"/>
          <w:rtl w:val="true"/>
          <w:lang w:bidi="ar-SA"/>
        </w:rPr>
        <w:t>يقول الداعي الإسماعيلي علي بن محمد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وضع التسمية عليه محال، إذ كانت التسمية إنَّما جعلت وسماً يوسم بها المخلوقات، ليكون الخلق بها فصولاً فصولاً، يتميّز بها كلّ صورة عن الصورة الأُخرى، حتى ينحفظ كلّ صنف منها، و يمكن للعقل الحكاية عنها إذا دعت الحاجة إليها، فيكون بذلك ظهور أشكال العالم في أيّ تسمية وسم بها، و هو متعال، ليس له صورة نفسانية، و لا عقلية، و لا طبيعيّة، و لا صناعيّة، بل يتعالى بعظيم شأنه، و قوّة سلطانه عن أن يوسم بما يوسم به أسباب خلقته، و فنون بريته، و قد اتفقت فحول العلماء على أنّه تعالى لم يزل و لا شيء معه، لا جوهراً و لا عرضاً</w:t>
      </w:r>
      <w:r>
        <w:rPr>
          <w:rFonts w:eastAsia="Amiri" w:cs="Amiri" w:ascii="Amiri" w:hAnsi="Amiri"/>
          <w:color w:val="111111"/>
          <w:sz w:val="28"/>
          <w:szCs w:val="28"/>
          <w:rtl w:val="true"/>
          <w:lang w:bidi="ar-SA"/>
        </w:rPr>
        <w:t>.</w:t>
      </w:r>
      <w:r>
        <w:rPr>
          <w:rStyle w:val="FootnoteAnchor"/>
          <w:rtl w:val="true"/>
        </w:rPr>
        <w:footnoteReference w:id="295"/>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يذهب عليك، أنّ عنوان البحث غير منطبق على ما جاء فيه، فلو كان العنوان من جانب المؤلّف، و إلّا فالعنوان يهدف إلى شيء، و ما ورد فيه إلى شيء آخر، فإنّ تسمية اللّٰه سبحانه أمر اتّفق عليه كافّة أهل التوحيد، و مراده هو نفي </w:t>
      </w:r>
      <w:bookmarkStart w:id="298" w:name="pg11557_101363"/>
    </w:p>
    <w:p>
      <w:pPr>
        <w:pStyle w:val="BookText"/>
        <w:rPr/>
      </w:pPr>
      <w:bookmarkEnd w:id="298"/>
      <w:r>
        <w:rPr>
          <w:rFonts w:ascii="Amiri" w:hAnsi="Amiri" w:eastAsia="Amiri" w:cs="Amiri"/>
          <w:color w:val="111111"/>
          <w:sz w:val="28"/>
          <w:sz w:val="28"/>
          <w:szCs w:val="28"/>
          <w:rtl w:val="true"/>
          <w:lang w:bidi="ar-SA"/>
        </w:rPr>
        <w:t>الماهيّة، كالجوهرية و العرضية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مراده في بحث آخر في الكتاب،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نفي الحدّ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نفي كونه متناهياً</w:t>
      </w:r>
      <w:r>
        <w:rPr>
          <w:rFonts w:eastAsia="Amiri" w:cs="Amiri" w:ascii="Amiri" w:hAnsi="Amiri"/>
          <w:color w:val="111111"/>
          <w:sz w:val="28"/>
          <w:szCs w:val="28"/>
          <w:rtl w:val="true"/>
          <w:lang w:bidi="ar-SA"/>
        </w:rPr>
        <w:t>.</w:t>
      </w:r>
    </w:p>
    <w:p>
      <w:pPr>
        <w:pStyle w:val="Heading4"/>
        <w:numPr>
          <w:ilvl w:val="3"/>
          <w:numId w:val="1"/>
        </w:numPr>
        <w:rPr/>
      </w:pPr>
      <w:bookmarkStart w:id="299" w:name="__RefHeading___Toc4284237_73709187"/>
      <w:bookmarkStart w:id="300" w:name="_Toc102"/>
      <w:bookmarkEnd w:id="299"/>
      <w:r>
        <w:rPr/>
        <w:t>4</w:t>
      </w:r>
      <w:r>
        <w:rPr>
          <w:rtl w:val="true"/>
        </w:rPr>
        <w:t xml:space="preserve"> - </w:t>
      </w:r>
      <w:r>
        <w:rPr>
          <w:rtl w:val="true"/>
        </w:rPr>
        <w:t>نفي الصفات عنه</w:t>
      </w:r>
      <w:r>
        <w:rPr>
          <w:rtl w:val="true"/>
        </w:rPr>
        <w:t>:</w:t>
      </w:r>
      <w:bookmarkEnd w:id="300"/>
    </w:p>
    <w:p>
      <w:pPr>
        <w:pStyle w:val="BookText"/>
        <w:rPr/>
      </w:pPr>
      <w:r>
        <w:rPr>
          <w:rFonts w:ascii="Amiri" w:hAnsi="Amiri" w:eastAsia="Amiri" w:cs="Amiri"/>
          <w:color w:val="111111"/>
          <w:sz w:val="28"/>
          <w:sz w:val="28"/>
          <w:szCs w:val="28"/>
          <w:rtl w:val="true"/>
          <w:lang w:bidi="ar-SA"/>
        </w:rPr>
        <w:t>إنّ نفي الصفات عنه سبحانه، مما اشتهر عن الإمام أمير المؤمنين عليه السّلام في خطبه، و عنه أخذت المعتزلة،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الدين معرفته، و كمال معرفته التصديق به، و كمال التصديق به توحيده، و كمال توحيده الإخلاص له، و كمال الإخلاص له نفي الصفات عنه، بشهادة كلّ صفة أنّها غير الموصوف، و شهادة كلِّ موصوف أنّه غير الصفة، فمن وصف اللّٰه سبحانه فقد قرنه، و من قرنه فقد ثنّاه، و من ثنّاه فقد جزّأه، و من جزّأه فقد جهله، و من جهله فقد أشار إليه، و من أشار إليه فقد حدّه، و من حدّه فقد عده، و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ضمّنه، و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أخلى منه</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و قد ذهبت الإماميّة، و قسم من المعتزلة، تبعاً للأدلة العقليّة، التي أشار إليها الإمام في كلامه، بأنّ المرادَ نفي الصفات الزائدة عليه، لا نفي الصفات على الإطلاق، فاللّٰه سبحانه علمٌ كلّه، قدرة كلّه، حياة كلّه، و هكذا، لا أنّه شيء، و علمه شيء آخر؛ خلافاً للأشاعرة، فقد ذهبوا إلىٰ زيادة الصفات على الذات مع كونها قديمة، فأورد عليهم باستلزامه القول بالقدماء الثمانية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الإسماعيليّة ذهبت إلى نفي الصفات عنه على الإطلاق، و اكتفت في مقام معرفته سبحانه بالقول بهويته و ذاته دون وصفه بصفات، حتى الصفات الجماليّة و الكماليّة، و لهذا نرى أنّ الداعي الكرماني يعترض على المعتزلة الذين قالوا </w:t>
      </w:r>
    </w:p>
    <w:p>
      <w:pPr>
        <w:pStyle w:val="BookText"/>
        <w:rPr/>
      </w:pPr>
      <w:r>
        <w:rPr>
          <w:rFonts w:ascii="Amiri" w:hAnsi="Amiri" w:eastAsia="Amiri" w:cs="Amiri"/>
          <w:color w:val="111111"/>
          <w:sz w:val="28"/>
          <w:sz w:val="28"/>
          <w:szCs w:val="28"/>
          <w:rtl w:val="true"/>
          <w:lang w:bidi="ar-SA"/>
        </w:rPr>
        <w:t>بنفي الصفات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المتأمّل المنصف، إذا فحص عن ذلك بفكره، علم أنّ كلاً من المخالفين قد زيّن مذهبه، بأن عمد في توحيده لمعبوده ما عمدناه، و قصد ما قصدناه، في استعمال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نفي</w:t>
      </w:r>
      <w:r>
        <w:rPr>
          <w:rStyle w:val="FootnoteAnchor"/>
          <w:rtl w:val="true"/>
        </w:rPr>
        <w:footnoteReference w:id="297"/>
      </w:r>
      <w:r>
        <w:rPr>
          <w:rFonts w:ascii="Amiri" w:hAnsi="Amiri" w:eastAsia="Amiri" w:cs="Amiri"/>
          <w:color w:val="111111"/>
          <w:sz w:val="28"/>
          <w:sz w:val="28"/>
          <w:szCs w:val="28"/>
          <w:rtl w:val="true"/>
          <w:lang w:bidi="ar-SA"/>
        </w:rPr>
        <w:t>ما يستحق الغير عن اللّٰه تعالى، خاصّة المعتزلة الذين صدّروا كتبهم، و زيّنوها بقولهم في أُصول مذهبهم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اللّٰه تعالى لا يوصف بصفات المخلوقين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قولهم، هو أصل مذهبنا، و عليه قاعدة دعوتنا، بأنّنا لا نقول على اللّٰه تعالى، ما يقال على المخلوقين، و هو المعتمد في توحيد معبودنا، و المقصود في أنحاء كلامنا، لكن المعتزلة قالوا بأفواههم قول الموحدين، و اعتقدوا بأفئدتهم اعتقاد الملحدين، بنقضهم قولهم أوّلاً بأنّ اللّٰه لا يوصف بصفات المخلوقين، بإطلاقهم على اللّٰه سبحانه و تعالى ما يستحقه غير اللّٰه تعالى، من الصفات من القول بأنّه حيٌّ قادرٌ، عالمٌ، و سائر الصفات، نعوذ باللّٰه</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و يقول علي بن محمد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نفي الصفات عنه معتقد صحيح، لا يسوغ تركه، لأنّ الصفات تلحق الجوهر، إمّا في الأجسام و إمّا في النفوس، و يكون في الأجسام كيفيات من خارجها، كالأقدار، و الألوان، و ما يجري مجراها، و في النفوس كيفيات من داخلها، كالعلم، و الجهل، و ما يجري هذا المجرى، و هو يتعالى عن أن يكون له داخل أو خارج</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تقرر عند كل ذي عقل أنّ الصفات تلحق الموصوف من غيره، لا من ذاته، أ لا ترى أنّ صفات الأجسام التي هي لها، تأتي من خارجها كالأقدار و الألوان، و ما يجري مجراها، و في النفوس كيفيات من داخلها، كالعلم، و الجهل و ما يجري هذا المجرى، و هو يتعالى أن يكون له داخلاً أو خارجاً، و مما تقرر عند كلّ ذي عقل أنّ الصفات تلحق الموصوف من غيره لا من ذاته</w:t>
      </w:r>
      <w:r>
        <w:rPr>
          <w:rFonts w:eastAsia="Amiri" w:cs="Amiri" w:ascii="Amiri" w:hAnsi="Amiri"/>
          <w:color w:val="111111"/>
          <w:sz w:val="28"/>
          <w:szCs w:val="28"/>
          <w:rtl w:val="true"/>
          <w:lang w:bidi="ar-SA"/>
        </w:rPr>
        <w:t>.</w:t>
      </w:r>
      <w:r>
        <w:rPr>
          <w:rStyle w:val="FootnoteAnchor"/>
          <w:rtl w:val="true"/>
        </w:rPr>
        <w:footnoteReference w:id="299"/>
      </w:r>
      <w:bookmarkStart w:id="301" w:name="pg11557_101365"/>
    </w:p>
    <w:p>
      <w:pPr>
        <w:pStyle w:val="Heading4"/>
        <w:numPr>
          <w:ilvl w:val="3"/>
          <w:numId w:val="1"/>
        </w:numPr>
        <w:rPr/>
      </w:pPr>
      <w:bookmarkStart w:id="302" w:name="__RefHeading___Toc4284239_73709187"/>
      <w:bookmarkStart w:id="303" w:name="_Toc103"/>
      <w:bookmarkEnd w:id="301"/>
      <w:bookmarkEnd w:id="302"/>
      <w:r>
        <w:rPr/>
        <w:t>5</w:t>
      </w:r>
      <w:r>
        <w:rPr>
          <w:rtl w:val="true"/>
        </w:rPr>
        <w:t xml:space="preserve"> - </w:t>
      </w:r>
      <w:r>
        <w:rPr>
          <w:rtl w:val="true"/>
        </w:rPr>
        <w:t>الصّادر الأوّل هو الموصوف بالصفات العليا</w:t>
      </w:r>
      <w:r>
        <w:rPr>
          <w:rtl w:val="true"/>
        </w:rPr>
        <w:t>:</w:t>
      </w:r>
      <w:bookmarkEnd w:id="303"/>
    </w:p>
    <w:p>
      <w:pPr>
        <w:pStyle w:val="BookText"/>
        <w:rPr/>
      </w:pPr>
      <w:r>
        <w:rPr>
          <w:rFonts w:ascii="Amiri" w:hAnsi="Amiri" w:eastAsia="Amiri" w:cs="Amiri"/>
          <w:color w:val="111111"/>
          <w:sz w:val="28"/>
          <w:sz w:val="28"/>
          <w:szCs w:val="28"/>
          <w:rtl w:val="true"/>
          <w:lang w:bidi="ar-SA"/>
        </w:rPr>
        <w:t>لمّا ذهبت الإسماعيليّة إلى نفي الصفات عنه سبحانه، مع أنّ الكتاب و السنّة مليئان بهما، لم يكن لهم بُد من إرجاع تلك الصفات إلى المبدع الأوّل، الذي هو الموجود الأوّل، و إليه تنتهي الموجودات، و هو الصادر عنه سبحانه بالإبداع، لا بالفيض و الإشراق، كما عليه إخوان الصفا</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قال الداعي علي بن محمد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الباري تعالى و تقدّس لمّا تعاظم عن أن يُنال بصفة توجد في الموجودات، لقصور الموجودات عن وصفه بما تستحقه الإلهيّة، جعل موجوداً أوّلاً تتعلّق الصفات به، عطفاً و رحمةً و منّة على عقول عباده أن تهلك و تضل، إذا لم تستند إلى ما تقف عنده، فتوقع الصفات عليه، فجعل للعالم مبدأ مبدعاً، و هو الأوّل في الوجود من مراتب الموجودات، و كان المبدع حق لوجوده عن المتعالى سبحانه، غاية تنتهي إليها الموجودات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أفاض الكلام في صفاته، و عرّفه بكونه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موجوداً حقاً واحداً، تامّاً، باقياً، عاقلاً، عالماً، قادراً، حيّاً، فاعلاً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الحياة ذات جامعة لهذه الأُمور و بها هي فاعلة</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و قال الداعي الكرماني في هذا الصدد</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فالإبداع هو الحقّ و الحقيقة، و هو الوجود الأوّل، و هو الموجود الأوّل، و هو الوحدة، و هو الواحد، و هو الأزل، و هو الأزلي، و هو العقل الأوّل، و هو المعقول الأوّل، و هو العلم، و هو العالم الأوّل، و هو القدرة، و هو القادر الأوّل، و هو الحياة، و هو الحيّ الأوّل، ذات واحدة، تلحقها هذه الصفات، يستحق بعضها لذاته، و بعضها بإضافةٍ إلى غيره، من غير أن تكون هناك كثرة بالذات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الأُمور وجودها له ضروري، لكونه أوّلاً في الوجود الواجب، احتوائه على أشرف الكمالات و أشرف الموجودات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جوهر هذا الإبداع جوهر الحياة، و عينه عين الحياة، و الحياة متقدمة على سائر هذه الصفات، و لذلك قدَّم اللّٰه تعالى عند وصفه سمة الحياة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لاٰ إِلٰهَ إِلاّٰ هُوَ اَلْحَيُّ اَلْقَيُّومُ</w:t>
      </w:r>
      <w:r>
        <w:rPr>
          <w:rFonts w:eastAsia="Amiri" w:cs="Amiri" w:ascii="Amiri" w:hAnsi="Amiri"/>
          <w:color w:val="111111"/>
          <w:sz w:val="28"/>
          <w:szCs w:val="28"/>
          <w:rtl w:val="true"/>
          <w:lang w:bidi="ar-SA"/>
        </w:rPr>
        <w:t>»</w:t>
      </w:r>
      <w:r>
        <w:rPr>
          <w:rStyle w:val="FootnoteAnchor"/>
          <w:rtl w:val="true"/>
        </w:rPr>
        <w:footnoteReference w:id="302"/>
      </w:r>
      <w:r>
        <w:rPr>
          <w:rFonts w:ascii="Amiri" w:hAnsi="Amiri" w:eastAsia="Amiri" w:cs="Amiri"/>
          <w:color w:val="111111"/>
          <w:sz w:val="28"/>
          <w:sz w:val="28"/>
          <w:szCs w:val="28"/>
          <w:rtl w:val="true"/>
          <w:lang w:bidi="ar-SA"/>
        </w:rPr>
        <w:t>فهو متوحّد من جهة كونه إبداعاً و شيئاً واحداً، و متكثّر من جهة الموجود فيه من الصفات، على ما بيّناه</w:t>
      </w:r>
      <w:r>
        <w:rPr>
          <w:rFonts w:eastAsia="Amiri" w:cs="Amiri" w:ascii="Amiri" w:hAnsi="Amiri"/>
          <w:color w:val="111111"/>
          <w:sz w:val="28"/>
          <w:szCs w:val="28"/>
          <w:rtl w:val="true"/>
          <w:lang w:bidi="ar-SA"/>
        </w:rPr>
        <w:t>.</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المبدع الأوّل حسب ما يذكرونه هو الإله الثاني، غير أنّه يفارقه بأنّه المبدَع بإبداعه سبحانه، و بذلك يفترق عن إله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أعجب منه أنّ الكرماني يصفه بأنّه أزليٌّ، و لعلَّ المراد أنّه قديم زماناً و حادثاً ذاتاً</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هذا الكلام باطلٌ من أصله، 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لإمكان وصفه سبحانه بالأوصاف الجماليّة، و الكماليّة، من دون أن يطرأ على ذاته وصمة النقص، و ذلك بحذف المبادئ، و الأخذ بالغايات، فهو سبحانه علم، لا بما أنّه كيف، بل بما هو وجود بحت، و أنّ الوصف ربَّما يكون له من الكمال على حدٍّ يكون قائماً بذاته لا طارئاً على الذات، و ما يلاحظ من المباينة بين الوصف و الموصوف، فإنّما هو من خصوصيات المورد أيْ الممكنات، و لا يجب أن يكون كلّ وصف كذلك</w:t>
      </w:r>
      <w:r>
        <w:rPr>
          <w:rFonts w:eastAsia="Amiri" w:cs="Amiri" w:ascii="Amiri" w:hAnsi="Amiri"/>
          <w:color w:val="111111"/>
          <w:sz w:val="28"/>
          <w:szCs w:val="28"/>
          <w:rtl w:val="true"/>
          <w:lang w:bidi="ar-SA"/>
        </w:rPr>
        <w:t xml:space="preserve">. </w:t>
      </w:r>
      <w:bookmarkStart w:id="304" w:name="pg11557_101367"/>
    </w:p>
    <w:p>
      <w:pPr>
        <w:pStyle w:val="BookText"/>
        <w:rPr/>
      </w:pPr>
      <w:bookmarkEnd w:id="304"/>
      <w:r>
        <w:rPr>
          <w:rFonts w:ascii="Amiri" w:hAnsi="Amiri" w:eastAsia="Amiri" w:cs="Amiri"/>
          <w:color w:val="111111"/>
          <w:sz w:val="28"/>
          <w:sz w:val="28"/>
          <w:szCs w:val="28"/>
          <w:rtl w:val="true"/>
          <w:lang w:bidi="ar-SA"/>
        </w:rPr>
        <w:t>الإسماعيلية و الأُصول الخمسة</w:t>
      </w:r>
    </w:p>
    <w:p>
      <w:pPr>
        <w:pStyle w:val="Heading3"/>
        <w:numPr>
          <w:ilvl w:val="2"/>
          <w:numId w:val="1"/>
        </w:numPr>
        <w:rPr/>
      </w:pPr>
      <w:bookmarkStart w:id="305" w:name="__RefHeading___Toc4284241_73709187"/>
      <w:bookmarkStart w:id="306" w:name="_Toc104"/>
      <w:bookmarkEnd w:id="305"/>
      <w:r>
        <w:rPr>
          <w:rtl w:val="true"/>
        </w:rPr>
        <w:t>(</w:t>
      </w:r>
      <w:r>
        <w:rPr/>
        <w:t>2</w:t>
      </w:r>
      <w:r>
        <w:rPr>
          <w:rtl w:val="true"/>
        </w:rPr>
        <w:t xml:space="preserve">) </w:t>
      </w:r>
      <w:r>
        <w:rPr>
          <w:rtl w:val="true"/>
        </w:rPr>
        <w:t>عقيدتهم في العدل</w:t>
      </w:r>
      <w:bookmarkEnd w:id="306"/>
    </w:p>
    <w:p>
      <w:pPr>
        <w:pStyle w:val="Heading4"/>
        <w:numPr>
          <w:ilvl w:val="3"/>
          <w:numId w:val="1"/>
        </w:numPr>
        <w:rPr/>
      </w:pPr>
      <w:bookmarkStart w:id="307" w:name="__RefHeading___Toc4284243_73709187"/>
      <w:bookmarkStart w:id="308" w:name="_Toc105"/>
      <w:bookmarkEnd w:id="307"/>
      <w:r>
        <w:rPr>
          <w:rtl w:val="true"/>
        </w:rPr>
        <w:t>اشارة</w:t>
      </w:r>
      <w:bookmarkEnd w:id="308"/>
    </w:p>
    <w:p>
      <w:pPr>
        <w:pStyle w:val="BookText"/>
        <w:rPr/>
      </w:pPr>
      <w:r>
        <w:rPr>
          <w:rFonts w:ascii="Amiri" w:hAnsi="Amiri" w:eastAsia="Amiri" w:cs="Amiri"/>
          <w:color w:val="111111"/>
          <w:sz w:val="28"/>
          <w:sz w:val="28"/>
          <w:szCs w:val="28"/>
          <w:rtl w:val="true"/>
          <w:lang w:bidi="ar-SA"/>
        </w:rPr>
        <w:t>قد تعرّفت في البحث السابق على أنّهم لا يصفونه سبحانه بوصف، و يعتقدون أنّه فوق الوصف، و أنّ غاية التوحيد نفي الوصف، و إثبات الهوية، و لهذا لا تجد عنواناً لهذا الفصل في كتبهم حسب ما وصل بأيدينا، و لكن يمكن استكشاف عقيدتهم في عدله سبحانه من خلال دراستهم لفعل الإنسان، و هل هو إنسان مسيّر أو مخيّر؟</w:t>
      </w:r>
    </w:p>
    <w:p>
      <w:pPr>
        <w:pStyle w:val="Heading4"/>
        <w:numPr>
          <w:ilvl w:val="3"/>
          <w:numId w:val="1"/>
        </w:numPr>
        <w:rPr/>
      </w:pPr>
      <w:bookmarkStart w:id="309" w:name="__RefHeading___Toc4284245_73709187"/>
      <w:bookmarkStart w:id="310" w:name="_Toc106"/>
      <w:bookmarkEnd w:id="309"/>
      <w:r>
        <w:rPr/>
        <w:t>1</w:t>
      </w:r>
      <w:r>
        <w:rPr>
          <w:rtl w:val="true"/>
        </w:rPr>
        <w:t xml:space="preserve"> - </w:t>
      </w:r>
      <w:r>
        <w:rPr>
          <w:rtl w:val="true"/>
        </w:rPr>
        <w:t>الإنسان مخيّر لا مسيّر</w:t>
      </w:r>
      <w:bookmarkEnd w:id="310"/>
    </w:p>
    <w:p>
      <w:pPr>
        <w:pStyle w:val="BookText"/>
        <w:rPr/>
      </w:pPr>
      <w:r>
        <w:rPr>
          <w:rFonts w:ascii="Amiri" w:hAnsi="Amiri" w:eastAsia="Amiri" w:cs="Amiri"/>
          <w:color w:val="111111"/>
          <w:sz w:val="28"/>
          <w:sz w:val="28"/>
          <w:szCs w:val="28"/>
          <w:rtl w:val="true"/>
          <w:lang w:bidi="ar-SA"/>
        </w:rPr>
        <w:t>يقول الداعي علي بن محمد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مجبور في حال تركيبه، و رزقه، و مدّته، و حركات طبائعه، و الكيان بنشوئه، و ما يحدث عليه مقهور عليه مغيّب عن إدراكه و عيانه، ليكون مفتقراً بالدعاء و التضرّع إلى خالقه، إذ لو كشف له لفسد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مخيّر غير مجبور فيما يعتقد لنفسه، من علومه، و صناعته، و مذاهبه، و معتقداته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ذلك لما كانت لها منفعة بإرسال الرسل، و قبول العلم، و تلقي الفوائد و الانصياع لأوامر اللّٰه تعالى، إذ لو كانت مجبورة لاستغنت عن كلّ شيء تستفيده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استدلّ بآيات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 لَيْسَ لِلْإِنْسٰانِ إِلاّٰ مٰا 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سَعْيَهُ سَوْفَ يُرىٰ</w:t>
      </w:r>
      <w:r>
        <w:rPr>
          <w:rFonts w:eastAsia="Amiri" w:cs="Amiri" w:ascii="Amiri" w:hAnsi="Amiri"/>
          <w:color w:val="111111"/>
          <w:sz w:val="28"/>
          <w:szCs w:val="28"/>
          <w:rtl w:val="true"/>
          <w:lang w:bidi="ar-SA"/>
        </w:rPr>
        <w:t>»</w:t>
      </w:r>
      <w:r>
        <w:rPr>
          <w:rStyle w:val="FootnoteAnchor"/>
          <w:rtl w:val="true"/>
        </w:rPr>
        <w:footnoteReference w:id="304"/>
      </w:r>
      <w:r>
        <w:rPr>
          <w:rFonts w:ascii="Amiri" w:hAnsi="Amiri" w:eastAsia="Amiri" w:cs="Amiri"/>
          <w:color w:val="111111"/>
          <w:sz w:val="28"/>
          <w:sz w:val="28"/>
          <w:szCs w:val="28"/>
          <w:rtl w:val="true"/>
          <w:lang w:bidi="ar-SA"/>
        </w:rPr>
        <w:t>إلى غير ذلك من الآيات</w:t>
      </w:r>
      <w:r>
        <w:rPr>
          <w:rFonts w:eastAsia="Amiri" w:cs="Amiri" w:ascii="Amiri" w:hAnsi="Amiri"/>
          <w:color w:val="111111"/>
          <w:sz w:val="28"/>
          <w:szCs w:val="28"/>
          <w:rtl w:val="true"/>
          <w:lang w:bidi="ar-SA"/>
        </w:rPr>
        <w:t>.</w:t>
      </w:r>
      <w:r>
        <w:rPr>
          <w:rStyle w:val="FootnoteAnchor"/>
          <w:rtl w:val="true"/>
        </w:rPr>
        <w:footnoteReference w:id="305"/>
      </w:r>
      <w:bookmarkStart w:id="311" w:name="pg11557_101368"/>
    </w:p>
    <w:p>
      <w:pPr>
        <w:pStyle w:val="Heading4"/>
        <w:numPr>
          <w:ilvl w:val="3"/>
          <w:numId w:val="1"/>
        </w:numPr>
        <w:rPr/>
      </w:pPr>
      <w:bookmarkStart w:id="312" w:name="__RefHeading___Toc4284247_73709187"/>
      <w:bookmarkStart w:id="313" w:name="_Toc107"/>
      <w:bookmarkEnd w:id="311"/>
      <w:bookmarkEnd w:id="312"/>
      <w:r>
        <w:rPr/>
        <w:t>2</w:t>
      </w:r>
      <w:r>
        <w:rPr>
          <w:rtl w:val="true"/>
        </w:rPr>
        <w:t xml:space="preserve"> - </w:t>
      </w:r>
      <w:r>
        <w:rPr>
          <w:rtl w:val="true"/>
        </w:rPr>
        <w:t>القضاء و القدر لا يسلبان الاختيار</w:t>
      </w:r>
      <w:bookmarkEnd w:id="313"/>
    </w:p>
    <w:p>
      <w:pPr>
        <w:pStyle w:val="BookText"/>
        <w:rPr/>
      </w:pPr>
      <w:r>
        <w:rPr>
          <w:rFonts w:ascii="Amiri" w:hAnsi="Amiri" w:eastAsia="Amiri" w:cs="Amiri"/>
          <w:color w:val="111111"/>
          <w:sz w:val="28"/>
          <w:sz w:val="28"/>
          <w:szCs w:val="28"/>
          <w:rtl w:val="true"/>
          <w:lang w:bidi="ar-SA"/>
        </w:rPr>
        <w:t>إنّ القضاء و القدر من العقائد الإسلاميّة التي لا محيص لمسلم عن الاعتقاد بهما، غير أنّ البحث فيهما ينصّب على نكتة مهمة و هي هل أنّهما يسلبان الاختيار أو لا؟</w:t>
      </w:r>
    </w:p>
    <w:p>
      <w:pPr>
        <w:pStyle w:val="BookText"/>
        <w:rPr/>
      </w:pPr>
      <w:r>
        <w:rPr>
          <w:rFonts w:ascii="Amiri" w:hAnsi="Amiri" w:eastAsia="Amiri" w:cs="Amiri"/>
          <w:color w:val="111111"/>
          <w:sz w:val="28"/>
          <w:sz w:val="28"/>
          <w:szCs w:val="28"/>
          <w:rtl w:val="true"/>
          <w:lang w:bidi="ar-SA"/>
        </w:rPr>
        <w:t>فالظاهر من أهل السنّة، إلّا مَنْ شذَّ، تفسيرهما على وجه يسلبان الاختيار، على خلاف ما ذهبت إليه العدليّة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الإسماعيليّة تُثبت القضاء و القدر حقيقةً لا مجازاً، و لكنها تنفي كونهما سالبين للاختيار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الداعي علي بن محمد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و القدر حقيقة لا مجاز، و لهما في الخلق أحوال على ما رتب الفاعل سبحانه، من غير جبر يلزم النفوس الآدمية الدخول إلى النار أو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كان كذلك لذهبت النبوات و الأوامر المسطورات في الكتب المنزّلة، في ذم قوم على ما اقترفوه، و مدح قوم على ما فعلوه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فسّر القضاء بمعنى الفراغ، و الأمر، و الخبر، و الفعل، و الوصيّة، و أرجع الجميع إلى معنى 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فسّره بأنّه من المقدار، و التقدير، و الترتيب، ثمّ جعل له تفاسير ثمانية، و من أراد فليرجع إليه</w:t>
      </w:r>
      <w:r>
        <w:rPr>
          <w:rFonts w:eastAsia="Amiri" w:cs="Amiri" w:ascii="Amiri" w:hAnsi="Amiri"/>
          <w:color w:val="111111"/>
          <w:sz w:val="28"/>
          <w:szCs w:val="28"/>
          <w:rtl w:val="true"/>
          <w:lang w:bidi="ar-SA"/>
        </w:rPr>
        <w:t>.</w:t>
      </w:r>
      <w:r>
        <w:rPr>
          <w:rStyle w:val="FootnoteAnchor"/>
          <w:rtl w:val="true"/>
        </w:rPr>
        <w:footnoteReference w:id="306"/>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نقل في آخر الفصل رسالة الحسن البصري إلى الحسين بن علي عليهما السّلام يسأله عن القضاء و القدر، كما نقل جواب الإمام إليه، و قد جاءت هذه الرسالة أيضاً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للحلبي الحراني مع اختلاف يسير</w:t>
      </w:r>
      <w:r>
        <w:rPr>
          <w:rFonts w:eastAsia="Amiri" w:cs="Amiri" w:ascii="Amiri" w:hAnsi="Amiri"/>
          <w:color w:val="111111"/>
          <w:sz w:val="28"/>
          <w:szCs w:val="28"/>
          <w:rtl w:val="true"/>
          <w:lang w:bidi="ar-SA"/>
        </w:rPr>
        <w:t xml:space="preserve">. </w:t>
      </w:r>
      <w:bookmarkStart w:id="314" w:name="pg11557_101369"/>
    </w:p>
    <w:p>
      <w:pPr>
        <w:pStyle w:val="BookText"/>
        <w:rPr/>
      </w:pPr>
      <w:bookmarkEnd w:id="314"/>
      <w:r>
        <w:rPr>
          <w:rFonts w:ascii="Amiri" w:hAnsi="Amiri" w:eastAsia="Amiri" w:cs="Amiri"/>
          <w:color w:val="111111"/>
          <w:sz w:val="28"/>
          <w:sz w:val="28"/>
          <w:szCs w:val="28"/>
          <w:rtl w:val="true"/>
          <w:lang w:bidi="ar-SA"/>
        </w:rPr>
        <w:t>الإسماعيلية و الأُصول الخمسة</w:t>
      </w:r>
    </w:p>
    <w:p>
      <w:pPr>
        <w:pStyle w:val="Heading3"/>
        <w:numPr>
          <w:ilvl w:val="2"/>
          <w:numId w:val="1"/>
        </w:numPr>
        <w:rPr/>
      </w:pPr>
      <w:bookmarkStart w:id="315" w:name="__RefHeading___Toc4284249_73709187"/>
      <w:bookmarkStart w:id="316" w:name="_Toc108"/>
      <w:bookmarkEnd w:id="315"/>
      <w:r>
        <w:rPr>
          <w:rtl w:val="true"/>
        </w:rPr>
        <w:t>(</w:t>
      </w:r>
      <w:r>
        <w:rPr/>
        <w:t>3</w:t>
      </w:r>
      <w:r>
        <w:rPr>
          <w:rtl w:val="true"/>
        </w:rPr>
        <w:t xml:space="preserve">) </w:t>
      </w:r>
      <w:r>
        <w:rPr>
          <w:rtl w:val="true"/>
        </w:rPr>
        <w:t>عقيدتهم في النبوة</w:t>
      </w:r>
      <w:r>
        <w:rPr>
          <w:rtl w:val="true"/>
        </w:rPr>
        <w:t>:</w:t>
      </w:r>
      <w:bookmarkEnd w:id="316"/>
    </w:p>
    <w:p>
      <w:pPr>
        <w:pStyle w:val="Heading4"/>
        <w:numPr>
          <w:ilvl w:val="3"/>
          <w:numId w:val="1"/>
        </w:numPr>
        <w:rPr/>
      </w:pPr>
      <w:bookmarkStart w:id="317" w:name="__RefHeading___Toc4284251_73709187"/>
      <w:bookmarkStart w:id="318" w:name="_Toc109"/>
      <w:bookmarkEnd w:id="317"/>
      <w:r>
        <w:rPr/>
        <w:t>1</w:t>
      </w:r>
      <w:r>
        <w:rPr>
          <w:rtl w:val="true"/>
        </w:rPr>
        <w:t xml:space="preserve"> - </w:t>
      </w:r>
      <w:r>
        <w:rPr>
          <w:rtl w:val="true"/>
        </w:rPr>
        <w:t>النبوّة أعلى درجات البشر</w:t>
      </w:r>
      <w:bookmarkEnd w:id="318"/>
    </w:p>
    <w:p>
      <w:pPr>
        <w:pStyle w:val="BookText"/>
        <w:rPr/>
      </w:pPr>
      <w:r>
        <w:rPr>
          <w:rFonts w:ascii="Amiri" w:hAnsi="Amiri" w:eastAsia="Amiri" w:cs="Amiri"/>
          <w:color w:val="111111"/>
          <w:sz w:val="28"/>
          <w:sz w:val="28"/>
          <w:szCs w:val="28"/>
          <w:rtl w:val="true"/>
          <w:lang w:bidi="ar-SA"/>
        </w:rPr>
        <w:t>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ارتقاء النفس إلى مرتبة تصلح لأن يتحمل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الداعي علي بن محمد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الرسول الحائز لرتبة الرسالة، لا ينبغي أن يكون كمالاً يفوق كماله و لا علماً يخرج عن علمه، و أنّه الذي به تكون سعادة أهل الدور من أوّله إلى آخره، و أنّ السعادة الفلكيّة، و الأشخاص العاليّة، و المؤثرات، خدم له في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الوجود مكشوف له، و بين يديه، فنظره ثاقب، و إحاطته كلّية، و حدود أوضاعه مبرّأة من النقص، و جميع ما يأتي به محرر، لا يحتاج إلى زيادة، و أقواله لا تردّ، و لا يوجد فيما ينطق به خلل، و جوهره المقدّس نهاية في الشرف، و أنّ القوة الملكية عليه أغلب و حواسه خادمة لنفسه، و عقله لا ينظر إلّا إلى أوامر اللّٰه تعالى خالقه، و أنّه في نهاية من المنازل من مولودات العالم في حسنه</w:t>
      </w:r>
      <w:r>
        <w:rPr>
          <w:rFonts w:eastAsia="Amiri" w:cs="Amiri" w:ascii="Amiri" w:hAnsi="Amiri"/>
          <w:color w:val="111111"/>
          <w:sz w:val="28"/>
          <w:szCs w:val="28"/>
          <w:rtl w:val="true"/>
          <w:lang w:bidi="ar-SA"/>
        </w:rPr>
        <w:t>.</w:t>
      </w:r>
      <w:r>
        <w:rPr>
          <w:rStyle w:val="FootnoteAnchor"/>
          <w:rtl w:val="true"/>
        </w:rPr>
        <w:footnoteReference w:id="307"/>
      </w:r>
    </w:p>
    <w:p>
      <w:pPr>
        <w:pStyle w:val="Heading4"/>
        <w:numPr>
          <w:ilvl w:val="3"/>
          <w:numId w:val="1"/>
        </w:numPr>
        <w:rPr/>
      </w:pPr>
      <w:bookmarkStart w:id="319" w:name="__RefHeading___Toc4284253_73709187"/>
      <w:bookmarkStart w:id="320" w:name="_Toc110"/>
      <w:bookmarkEnd w:id="319"/>
      <w:r>
        <w:rPr/>
        <w:t>2</w:t>
      </w:r>
      <w:r>
        <w:rPr>
          <w:rtl w:val="true"/>
        </w:rPr>
        <w:t xml:space="preserve"> - </w:t>
      </w:r>
      <w:r>
        <w:rPr>
          <w:rtl w:val="true"/>
        </w:rPr>
        <w:t>الرسالة الخاصة و العامة</w:t>
      </w:r>
      <w:bookmarkEnd w:id="320"/>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الرسالة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و عامّة</w:t>
      </w:r>
      <w:r>
        <w:rPr>
          <w:rFonts w:eastAsia="Amiri" w:cs="Amiri" w:ascii="Amiri" w:hAnsi="Amiri"/>
          <w:color w:val="111111"/>
          <w:sz w:val="28"/>
          <w:szCs w:val="28"/>
          <w:rtl w:val="true"/>
          <w:lang w:bidi="ar-SA"/>
        </w:rPr>
        <w:t xml:space="preserve">. </w:t>
      </w:r>
      <w:bookmarkStart w:id="321" w:name="pg11557_101370"/>
    </w:p>
    <w:p>
      <w:pPr>
        <w:pStyle w:val="BookText"/>
        <w:rPr/>
      </w:pPr>
      <w:bookmarkEnd w:id="321"/>
      <w:r>
        <w:rPr>
          <w:rFonts w:ascii="Amiri" w:hAnsi="Amiri" w:eastAsia="Amiri" w:cs="Amiri"/>
          <w:color w:val="111111"/>
          <w:sz w:val="28"/>
          <w:sz w:val="28"/>
          <w:szCs w:val="28"/>
          <w:rtl w:val="true"/>
          <w:lang w:bidi="ar-SA"/>
        </w:rPr>
        <w:t>فالرسالة العامّة شاملة طبعاً، و عقلاً، و لو لا الرسالة الأُولى العامّة، لن تُقبل الرسالة الخاصّة، و ذلك لأنّه تعالى خلق الصورة الآدميّة، و أكمل منافعها، و سوّاها على أحسنِ هيئة، و وضع فيها العقل الغريزي، الذي إليه ترجع أحوال الصورة لنيل منافعها، فهو الرسول الأوّل المُعدُّ لقبول أمر الرسول الثاني، الخاص لمنافع النفس في الآخرة، مثلما كان الأوّل لمنافع الدنيا، و على الأوّل يعول في الاغتذاء، و طلب المصالح بغير ثواب و لا عقاب، إذ هو أمرٌ بديهي لمنافع الصورة، و على الثاني يكون الحساب و العقاب، إذ هو أمرٌ ربّانيّ، يدعو إلى دار غير دار الطبيعة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أظهر الرسول الرسالة، كانت الفضيلة على المستضيء المنتفع بها، و ذلك القادح هو الرسول صلّى اللّٰه عليه و آله و سلّم إلى الخلق و حجّته على أهل زمانه، و هو لسانه فيهم، و ترجمانه في العالم السفلي بأسره، و المتبحّر أبداً في الحكمة</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تسمية العقل الإنسانيّ بالرسول لا يخلو من شيء، و الأولى تسميته بالحُجّة الباطنة، في مقابل الحجّة الظاهرة، الذي هو النبي</w:t>
      </w:r>
      <w:r>
        <w:rPr>
          <w:rFonts w:eastAsia="Amiri" w:cs="Amiri" w:ascii="Amiri" w:hAnsi="Amiri"/>
          <w:color w:val="111111"/>
          <w:sz w:val="28"/>
          <w:szCs w:val="28"/>
          <w:rtl w:val="true"/>
          <w:lang w:bidi="ar-SA"/>
        </w:rPr>
        <w:t>.</w:t>
      </w:r>
    </w:p>
    <w:p>
      <w:pPr>
        <w:pStyle w:val="Heading4"/>
        <w:numPr>
          <w:ilvl w:val="3"/>
          <w:numId w:val="1"/>
        </w:numPr>
        <w:rPr/>
      </w:pPr>
      <w:bookmarkStart w:id="322" w:name="__RefHeading___Toc4284255_73709187"/>
      <w:bookmarkStart w:id="323" w:name="_Toc111"/>
      <w:bookmarkEnd w:id="322"/>
      <w:r>
        <w:rPr/>
        <w:t>3</w:t>
      </w:r>
      <w:r>
        <w:rPr>
          <w:rtl w:val="true"/>
        </w:rPr>
        <w:t xml:space="preserve"> - </w:t>
      </w:r>
      <w:r>
        <w:rPr>
          <w:rtl w:val="true"/>
        </w:rPr>
        <w:t>الوحي</w:t>
      </w:r>
      <w:bookmarkEnd w:id="323"/>
    </w:p>
    <w:p>
      <w:pPr>
        <w:pStyle w:val="BookText"/>
        <w:rPr/>
      </w:pPr>
      <w:r>
        <w:rPr>
          <w:rFonts w:ascii="Amiri" w:hAnsi="Amiri" w:eastAsia="Amiri" w:cs="Amiri"/>
          <w:color w:val="111111"/>
          <w:sz w:val="28"/>
          <w:sz w:val="28"/>
          <w:szCs w:val="28"/>
          <w:rtl w:val="true"/>
          <w:lang w:bidi="ar-SA"/>
        </w:rPr>
        <w:t>إنّ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إلهام خاص بالأنبياء و المرسلين، إذا كانت لغاية التشريع، و تبيين الوظائف لمن بعثوا إليهم، و له طرق ثلاثة، جاء في الذكر الحكيم، قال سبحانه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لِبَشَرٍ أَنْ يُكَلِّمَهُ اَللّٰهُ إِلاّٰ وَحْياً أَوْ مِنْ وَرٰاءِ حِجٰابٍ أَوْ يُرْسِلَ رَسُولاً فَيُوحِيَ بِإِذْنِهِ مٰا يَشٰاءُ إِنَّهُ عَلِيٌّ حَكِيمٌ</w:t>
      </w:r>
      <w:r>
        <w:rPr>
          <w:rFonts w:eastAsia="Amiri" w:cs="Amiri" w:ascii="Amiri" w:hAnsi="Amiri"/>
          <w:color w:val="111111"/>
          <w:sz w:val="28"/>
          <w:szCs w:val="28"/>
          <w:rtl w:val="true"/>
          <w:lang w:bidi="ar-SA"/>
        </w:rPr>
        <w:t>».</w:t>
      </w:r>
      <w:r>
        <w:rPr>
          <w:rStyle w:val="FootnoteAnchor"/>
          <w:rtl w:val="true"/>
        </w:rPr>
        <w:footnoteReference w:id="309"/>
      </w:r>
      <w:bookmarkStart w:id="324" w:name="pg11557_101371"/>
    </w:p>
    <w:p>
      <w:pPr>
        <w:pStyle w:val="BookText"/>
        <w:rPr/>
      </w:pPr>
      <w:bookmarkEnd w:id="324"/>
      <w:r>
        <w:rPr>
          <w:rFonts w:ascii="Amiri" w:hAnsi="Amiri" w:eastAsia="Amiri" w:cs="Amiri"/>
          <w:color w:val="111111"/>
          <w:sz w:val="28"/>
          <w:sz w:val="28"/>
          <w:szCs w:val="28"/>
          <w:rtl w:val="true"/>
          <w:lang w:bidi="ar-SA"/>
        </w:rPr>
        <w:t>و أمّا الوحي عند الإسماعيليّة، فيقول الداعي علي بن محمد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قبلته نفس الرسول من العقل، و قبله العقل من أمر باريه، و لم يخالفه علم تألفه النفس الناطقة، بقواها، ثمّ تتأمّل منه النفس ما ليس لها استنباطاً بذاتها، و لا تستخرجه بفكرها، و تكون فيه غاية لسداد قصدها، و مصلحة لجميع أمرها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 الوحي و غيره من سائر العلوم، أنّ الوحيَ يرد على من يوحىٰ إليه مفروغاً منه، قد استغنى عن الزيادة فيه و النقصان منه، كما يقع الصحيح للمستمع من المتكلم، وصفه و معناه خارجين عن قدرة من جاء به، و ليس كذلك العلوم، لأنّها تكون بالمقايسة، و كثرة الذّوبِ فيها، و إعمال الفكر و الرّويّة و التأليف و التحرير</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ثمّ للداعي الكرماني كلام مفصّلٌ في الوحي لا يخلو من تعقيد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أعرضنا عن نقله</w:t>
      </w:r>
      <w:r>
        <w:rPr>
          <w:rFonts w:eastAsia="Amiri" w:cs="Amiri" w:ascii="Amiri" w:hAnsi="Amiri"/>
          <w:color w:val="111111"/>
          <w:sz w:val="28"/>
          <w:szCs w:val="28"/>
          <w:rtl w:val="true"/>
          <w:lang w:bidi="ar-SA"/>
        </w:rPr>
        <w:t>.</w:t>
      </w:r>
      <w:r>
        <w:rPr>
          <w:rStyle w:val="FootnoteAnchor"/>
          <w:rtl w:val="true"/>
        </w:rPr>
        <w:footnoteReference w:id="311"/>
      </w:r>
    </w:p>
    <w:p>
      <w:pPr>
        <w:pStyle w:val="Heading4"/>
        <w:numPr>
          <w:ilvl w:val="3"/>
          <w:numId w:val="1"/>
        </w:numPr>
        <w:rPr/>
      </w:pPr>
      <w:bookmarkStart w:id="325" w:name="__RefHeading___Toc4284257_73709187"/>
      <w:bookmarkStart w:id="326" w:name="_Toc112"/>
      <w:bookmarkEnd w:id="325"/>
      <w:r>
        <w:rPr/>
        <w:t>4</w:t>
      </w:r>
      <w:r>
        <w:rPr>
          <w:rtl w:val="true"/>
        </w:rPr>
        <w:t xml:space="preserve"> - </w:t>
      </w:r>
      <w:r>
        <w:rPr>
          <w:rtl w:val="true"/>
        </w:rPr>
        <w:t>في أنّ الأنبياء لا يولدون من سِفاح</w:t>
      </w:r>
      <w:bookmarkEnd w:id="326"/>
    </w:p>
    <w:p>
      <w:pPr>
        <w:pStyle w:val="BookText"/>
        <w:rPr/>
      </w:pPr>
      <w:r>
        <w:rPr>
          <w:rFonts w:ascii="Amiri" w:hAnsi="Amiri" w:eastAsia="Amiri" w:cs="Amiri"/>
          <w:color w:val="111111"/>
          <w:sz w:val="28"/>
          <w:sz w:val="28"/>
          <w:szCs w:val="28"/>
          <w:rtl w:val="true"/>
          <w:lang w:bidi="ar-SA"/>
        </w:rPr>
        <w:t>يقول علي بن محمد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الأنبياء و الأئمّة عليهم السّلام لا يلدهم الكفّار، و لا يولدون من سِفاح، ثمّ استدلَّ ببعض الآيات، و ما جاء في التاريخ في حقّ عبد المطلب و أبي طالب</w:t>
      </w:r>
      <w:r>
        <w:rPr>
          <w:rFonts w:eastAsia="Amiri" w:cs="Amiri" w:ascii="Amiri" w:hAnsi="Amiri"/>
          <w:color w:val="111111"/>
          <w:sz w:val="28"/>
          <w:szCs w:val="28"/>
          <w:rtl w:val="true"/>
          <w:lang w:bidi="ar-SA"/>
        </w:rPr>
        <w:t>.</w:t>
      </w:r>
      <w:r>
        <w:rPr>
          <w:rStyle w:val="FootnoteAnchor"/>
          <w:rtl w:val="true"/>
        </w:rPr>
        <w:footnoteReference w:id="312"/>
      </w:r>
    </w:p>
    <w:p>
      <w:pPr>
        <w:pStyle w:val="Heading4"/>
        <w:numPr>
          <w:ilvl w:val="3"/>
          <w:numId w:val="1"/>
        </w:numPr>
        <w:rPr/>
      </w:pPr>
      <w:bookmarkStart w:id="327" w:name="__RefHeading___Toc4284259_73709187"/>
      <w:bookmarkStart w:id="328" w:name="_Toc113"/>
      <w:bookmarkEnd w:id="327"/>
      <w:r>
        <w:rPr/>
        <w:t>5</w:t>
      </w:r>
      <w:r>
        <w:rPr>
          <w:rtl w:val="true"/>
        </w:rPr>
        <w:t xml:space="preserve"> - </w:t>
      </w:r>
      <w:r>
        <w:rPr>
          <w:rtl w:val="true"/>
        </w:rPr>
        <w:t>في صفات الأنبياء</w:t>
      </w:r>
      <w:bookmarkEnd w:id="328"/>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الداعي الكرماني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المؤيد المبعوث مجمع الفضائل الطبيعيّة، التي هي </w:t>
      </w:r>
      <w:bookmarkStart w:id="329" w:name="pg11557_101372"/>
    </w:p>
    <w:p>
      <w:pPr>
        <w:pStyle w:val="BookText"/>
        <w:rPr/>
      </w:pPr>
      <w:bookmarkEnd w:id="329"/>
      <w:r>
        <w:rPr>
          <w:rFonts w:ascii="Amiri" w:hAnsi="Amiri" w:eastAsia="Amiri" w:cs="Amiri"/>
          <w:color w:val="111111"/>
          <w:sz w:val="28"/>
          <w:sz w:val="28"/>
          <w:szCs w:val="28"/>
          <w:rtl w:val="true"/>
          <w:lang w:bidi="ar-SA"/>
        </w:rPr>
        <w:t xml:space="preserve">أسبابٌ في نيل السعادة الأبديّة، و هو فيها على أمر يكون به على النهاية في جميعها، من جودة الفهم و التصوّر لما يشار إليه و يومأ، و من جَودة الحفظ لما يراه الخاطر و العين على تباينه، و يدركه السمع من الصوت على اختلافه، و من جودة الفِطنة و الذكاء و التوقّد فيهما، و من جودة الذكر، و من جودة الأعضاء و سلامتها، و القدرة على التأنّي بمعاناة أُمور الحرب و مباشرتها و الصبر عليها، و من جودة الفطرة و الطبع، و من جودة النحيزة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السلامة و الانقياد لكلّ خير، فيكون خالياً من الرذائل، التي هي الشره و الطمع و الرغبة في المأكول و المشروب و المنكوح زيادة على الحاجة، و اللعب و اللهو، و عاطلاً في الجملة، من الأُمور التي تعوق على النفس سعادتها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يكون عظيم النفس كريماً، محبّاً للعدل، مبغضاً للظلم و الجور، مؤثراً لما يعود على النفس منفعته من العبادة، مقداماً في الأُمور، جسوراً عليها، لا يروعه أمر في جنب ما يراه صواباً بجوهره</w:t>
      </w:r>
      <w:r>
        <w:rPr>
          <w:rFonts w:eastAsia="Amiri" w:cs="Amiri" w:ascii="Amiri" w:hAnsi="Amiri"/>
          <w:color w:val="111111"/>
          <w:sz w:val="28"/>
          <w:szCs w:val="28"/>
          <w:rtl w:val="true"/>
          <w:lang w:bidi="ar-SA"/>
        </w:rPr>
        <w:t>.</w:t>
      </w:r>
      <w:r>
        <w:rPr>
          <w:rStyle w:val="FootnoteAnchor"/>
          <w:rtl w:val="true"/>
        </w:rPr>
        <w:footnoteReference w:id="313"/>
      </w:r>
    </w:p>
    <w:p>
      <w:pPr>
        <w:pStyle w:val="Heading4"/>
        <w:numPr>
          <w:ilvl w:val="3"/>
          <w:numId w:val="1"/>
        </w:numPr>
        <w:rPr/>
      </w:pPr>
      <w:bookmarkStart w:id="330" w:name="__RefHeading___Toc4284261_73709187"/>
      <w:bookmarkStart w:id="331" w:name="_Toc114"/>
      <w:bookmarkEnd w:id="330"/>
      <w:r>
        <w:rPr/>
        <w:t>6</w:t>
      </w:r>
      <w:r>
        <w:rPr>
          <w:rtl w:val="true"/>
        </w:rPr>
        <w:t xml:space="preserve"> - </w:t>
      </w:r>
      <w:r>
        <w:rPr>
          <w:rtl w:val="true"/>
        </w:rPr>
        <w:t>الرسول الناطق</w:t>
      </w:r>
      <w:bookmarkEnd w:id="331"/>
    </w:p>
    <w:p>
      <w:pPr>
        <w:pStyle w:val="BookText"/>
        <w:rPr/>
      </w:pPr>
      <w:r>
        <w:rPr>
          <w:rFonts w:ascii="Amiri" w:hAnsi="Amiri" w:eastAsia="Amiri" w:cs="Amiri"/>
          <w:color w:val="111111"/>
          <w:sz w:val="28"/>
          <w:sz w:val="28"/>
          <w:szCs w:val="28"/>
          <w:rtl w:val="true"/>
          <w:lang w:bidi="ar-SA"/>
        </w:rPr>
        <w:t>الرسول الناطق، هو الأصل الذي يصدر عنه الدين بما فيه من علم و عمل، و بمن فيه من أئمة يدعون إلى التحقّق بكمال العلم عن طريق العبادة الظاهرة</w:t>
      </w:r>
      <w:r>
        <w:rPr>
          <w:rFonts w:eastAsia="Amiri" w:cs="Amiri" w:ascii="Amiri" w:hAnsi="Amiri"/>
          <w:color w:val="111111"/>
          <w:sz w:val="28"/>
          <w:szCs w:val="28"/>
          <w:rtl w:val="true"/>
          <w:lang w:bidi="ar-SA"/>
        </w:rPr>
        <w:t>.</w:t>
      </w:r>
      <w:r>
        <w:rPr>
          <w:rStyle w:val="FootnoteAnchor"/>
          <w:rtl w:val="true"/>
        </w:rPr>
        <w:footnoteReference w:id="314"/>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الحقيقة، الرسولُ الناطق عندهم، عبارة عن أُولي العزم من الرُّسل، غير أنّهم يعدون آدم منهم، و المشهور عند سائر المسلمين أنّه ليس منهم، و يضيفون إليهم محمد بن إسماعيل باسم القائم؛ و إليك أسماءهم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نوح، إبراهيم، موسى، عيسى، محمد، القائم</w:t>
      </w:r>
      <w:r>
        <w:rPr>
          <w:rFonts w:eastAsia="Amiri" w:cs="Amiri" w:ascii="Amiri" w:hAnsi="Amiri"/>
          <w:color w:val="111111"/>
          <w:sz w:val="28"/>
          <w:szCs w:val="28"/>
          <w:rtl w:val="true"/>
          <w:lang w:bidi="ar-SA"/>
        </w:rPr>
        <w:t xml:space="preserve">. </w:t>
      </w:r>
      <w:bookmarkStart w:id="332" w:name="pg11557_101373"/>
    </w:p>
    <w:p>
      <w:pPr>
        <w:pStyle w:val="BookText"/>
        <w:rPr/>
      </w:pPr>
      <w:bookmarkEnd w:id="332"/>
      <w:r>
        <w:rPr>
          <w:rFonts w:ascii="Amiri" w:hAnsi="Amiri" w:eastAsia="Amiri" w:cs="Amiri"/>
          <w:color w:val="111111"/>
          <w:sz w:val="28"/>
          <w:sz w:val="28"/>
          <w:szCs w:val="28"/>
          <w:rtl w:val="true"/>
          <w:lang w:bidi="ar-SA"/>
        </w:rPr>
        <w:t xml:space="preserve">و كلّ واحد منهم رسول ناطق، يتقدّمه إمام مقيم و يتلوه الأئمة الأساس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المستودع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يتعاملون مع القائم الذي يبتدأ به الدور،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معاملة الرسول الناطق، و لا يشترط أن يكون في كلّ دور إمامٌ مستودعٌ، فإنّه إنّما يتسلّم شئون الإمامة في الظروف الاستثنائية، و كأنّه ينوب عن الإمام المستقر كما سيتضح معنى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في صميم العقائد الإسماعيليّة تناقضاً و تعارضاً، فمن جانب نراهم يصرّحون بخاتميّة النبوة و الرسالة، و أنّ القرآن حجّة خالدةً إلى يوم القيامة، و أنّه لا ينسخ القرآن إلّا بالقرآن</w:t>
      </w:r>
      <w:r>
        <w:rPr>
          <w:rFonts w:eastAsia="Amiri" w:cs="Amiri" w:ascii="Amiri" w:hAnsi="Amiri"/>
          <w:color w:val="111111"/>
          <w:sz w:val="28"/>
          <w:szCs w:val="28"/>
          <w:rtl w:val="true"/>
          <w:lang w:bidi="ar-SA"/>
        </w:rPr>
        <w:t>.</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و مع ذلك فمحمد بن إسماعيل، المعبّر عنه بالقائم عندهم من النطقاء</w:t>
      </w:r>
      <w:r>
        <w:rPr>
          <w:rStyle w:val="FootnoteAnchor"/>
          <w:rtl w:val="true"/>
        </w:rPr>
        <w:footnoteReference w:id="316"/>
      </w:r>
      <w:r>
        <w:rPr>
          <w:rFonts w:ascii="Amiri" w:hAnsi="Amiri" w:eastAsia="Amiri" w:cs="Amiri"/>
          <w:color w:val="111111"/>
          <w:sz w:val="28"/>
          <w:sz w:val="28"/>
          <w:szCs w:val="28"/>
          <w:rtl w:val="true"/>
          <w:lang w:bidi="ar-SA"/>
        </w:rPr>
        <w:t>، و لأجل إيضاح ذلك سوف نبحث عن عقيدتهم في الإمامة إن شاء اللّٰه</w:t>
      </w:r>
      <w:r>
        <w:rPr>
          <w:rFonts w:eastAsia="Amiri" w:cs="Amiri" w:ascii="Amiri" w:hAnsi="Amiri"/>
          <w:color w:val="111111"/>
          <w:sz w:val="28"/>
          <w:szCs w:val="28"/>
          <w:rtl w:val="true"/>
          <w:lang w:bidi="ar-SA"/>
        </w:rPr>
        <w:t>.</w:t>
      </w:r>
    </w:p>
    <w:p>
      <w:pPr>
        <w:pStyle w:val="Heading4"/>
        <w:numPr>
          <w:ilvl w:val="3"/>
          <w:numId w:val="1"/>
        </w:numPr>
        <w:rPr/>
      </w:pPr>
      <w:bookmarkStart w:id="333" w:name="__RefHeading___Toc4284263_73709187"/>
      <w:bookmarkStart w:id="334" w:name="_Toc115"/>
      <w:bookmarkEnd w:id="333"/>
      <w:r>
        <w:rPr/>
        <w:t>7</w:t>
      </w:r>
      <w:r>
        <w:rPr>
          <w:rtl w:val="true"/>
        </w:rPr>
        <w:t xml:space="preserve"> - </w:t>
      </w:r>
      <w:r>
        <w:rPr>
          <w:rtl w:val="true"/>
        </w:rPr>
        <w:t>في المعجزات التي يأتي بها الرسل</w:t>
      </w:r>
      <w:bookmarkEnd w:id="334"/>
    </w:p>
    <w:p>
      <w:pPr>
        <w:pStyle w:val="BookText"/>
        <w:rPr/>
      </w:pPr>
      <w:r>
        <w:rPr>
          <w:rFonts w:ascii="Amiri" w:hAnsi="Amiri" w:eastAsia="Amiri" w:cs="Amiri"/>
          <w:color w:val="111111"/>
          <w:sz w:val="28"/>
          <w:sz w:val="28"/>
          <w:szCs w:val="28"/>
          <w:rtl w:val="true"/>
          <w:lang w:bidi="ar-SA"/>
        </w:rPr>
        <w:t>قال علي بن محمد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المعجزات التي ترد وقت إظهار الشرائع من الرسول حقيقية، و إنّها على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 العادة في تكوين العالم بظهور ما يعجز العقل عن وجوده من الأُمور الطبيعية، من ردّ ما في الطبيعة عن قانونه المعهود لقهر العقول، و دخولها تحت أمر المعقولات، و من أجله يعلم أنّه متصل بالفاعل، الذي لا يتعذّر عليه متى أراد، إذ كلّما في العالم لا يتحرك إلّا بمادته و تدبيره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يأتي به الشخص المبعوث من النطق المنسوب إلى من أظهر له المعجزات، و أعجز كافّة أهل الدور عن الإتيان بمثله</w:t>
      </w:r>
      <w:r>
        <w:rPr>
          <w:rFonts w:eastAsia="Amiri" w:cs="Amiri" w:ascii="Amiri" w:hAnsi="Amiri"/>
          <w:color w:val="111111"/>
          <w:sz w:val="28"/>
          <w:szCs w:val="28"/>
          <w:rtl w:val="true"/>
          <w:lang w:bidi="ar-SA"/>
        </w:rPr>
        <w:t xml:space="preserve">. </w:t>
      </w:r>
      <w:bookmarkStart w:id="335" w:name="pg11557_101374"/>
    </w:p>
    <w:p>
      <w:pPr>
        <w:pStyle w:val="BookText"/>
        <w:rPr/>
      </w:pPr>
      <w:bookmarkEnd w:id="335"/>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الفضائل الموجودة في أشخاص العالم فيه حتى لا يوجد فوق كماله كمال في وقته</w:t>
      </w:r>
      <w:r>
        <w:rPr>
          <w:rFonts w:eastAsia="Amiri" w:cs="Amiri" w:ascii="Amiri" w:hAnsi="Amiri"/>
          <w:color w:val="111111"/>
          <w:sz w:val="28"/>
          <w:szCs w:val="28"/>
          <w:rtl w:val="true"/>
          <w:lang w:bidi="ar-SA"/>
        </w:rPr>
        <w:t>.</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القسم الثاني الذي يريد به القرآن الكريم داخل تحت القسم الأوّل، فلا وجه لعدّه قسماً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كمالات النبي، و لا تعدّ معجزة</w:t>
      </w:r>
      <w:r>
        <w:rPr>
          <w:rFonts w:eastAsia="Amiri" w:cs="Amiri" w:ascii="Amiri" w:hAnsi="Amiri"/>
          <w:color w:val="111111"/>
          <w:sz w:val="28"/>
          <w:szCs w:val="28"/>
          <w:rtl w:val="true"/>
          <w:lang w:bidi="ar-SA"/>
        </w:rPr>
        <w:t>.</w:t>
      </w:r>
    </w:p>
    <w:p>
      <w:pPr>
        <w:pStyle w:val="Heading4"/>
        <w:numPr>
          <w:ilvl w:val="3"/>
          <w:numId w:val="1"/>
        </w:numPr>
        <w:rPr/>
      </w:pPr>
      <w:bookmarkStart w:id="336" w:name="__RefHeading___Toc4284265_73709187"/>
      <w:bookmarkStart w:id="337" w:name="_Toc116"/>
      <w:bookmarkEnd w:id="336"/>
      <w:r>
        <w:rPr/>
        <w:t>8</w:t>
      </w:r>
      <w:r>
        <w:rPr>
          <w:rtl w:val="true"/>
        </w:rPr>
        <w:t xml:space="preserve"> - </w:t>
      </w:r>
      <w:r>
        <w:rPr>
          <w:rtl w:val="true"/>
        </w:rPr>
        <w:t>في أنّ الرسول الخاتم أفضل الرّسل</w:t>
      </w:r>
      <w:bookmarkEnd w:id="337"/>
    </w:p>
    <w:p>
      <w:pPr>
        <w:pStyle w:val="BookText"/>
        <w:rPr/>
      </w:pPr>
      <w:r>
        <w:rPr>
          <w:rFonts w:ascii="Amiri" w:hAnsi="Amiri" w:eastAsia="Amiri" w:cs="Amiri"/>
          <w:color w:val="111111"/>
          <w:sz w:val="28"/>
          <w:sz w:val="28"/>
          <w:szCs w:val="28"/>
          <w:rtl w:val="true"/>
          <w:lang w:bidi="ar-SA"/>
        </w:rPr>
        <w:t>يُفضَّلُ رسول اللّٰه على سائر الرسل و الأنبياء من وجوه، أفضلها الوجوه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سبحانه جعل شريعته مؤيّدة لا تُنسخ أبداً، و جعل الإمامة في ذريّته إلى قيام السّاعة، و لم يُقدَّر ذلك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عزّ و جلّ أعطاه الشفاعة في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يعطها إلى نبي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الأنبياء قبله بطلت معجزاتهم من بعدهم، و معجزة محمّد صلّى اللّٰه عليه و آله و سلّم 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ثابتة مؤيّدة لا تفنى أبداً إلى حين زوال أحكام الدنيا</w:t>
      </w:r>
      <w:r>
        <w:rPr>
          <w:rFonts w:eastAsia="Amiri" w:cs="Amiri" w:ascii="Amiri" w:hAnsi="Amiri"/>
          <w:color w:val="111111"/>
          <w:sz w:val="28"/>
          <w:szCs w:val="28"/>
          <w:rtl w:val="true"/>
          <w:lang w:bidi="ar-SA"/>
        </w:rPr>
        <w:t>.</w:t>
      </w:r>
      <w:r>
        <w:rPr>
          <w:rStyle w:val="FootnoteAnchor"/>
          <w:rtl w:val="true"/>
        </w:rPr>
        <w:footnoteReference w:id="318"/>
      </w:r>
    </w:p>
    <w:p>
      <w:pPr>
        <w:pStyle w:val="Heading4"/>
        <w:numPr>
          <w:ilvl w:val="3"/>
          <w:numId w:val="1"/>
        </w:numPr>
        <w:rPr/>
      </w:pPr>
      <w:bookmarkStart w:id="338" w:name="__RefHeading___Toc4284267_73709187"/>
      <w:bookmarkStart w:id="339" w:name="_Toc117"/>
      <w:bookmarkEnd w:id="338"/>
      <w:r>
        <w:rPr/>
        <w:t>9</w:t>
      </w:r>
      <w:r>
        <w:rPr>
          <w:rtl w:val="true"/>
        </w:rPr>
        <w:t xml:space="preserve"> - </w:t>
      </w:r>
      <w:r>
        <w:rPr>
          <w:rtl w:val="true"/>
        </w:rPr>
        <w:t>في أنّ الشريعة موافقة للحكمة</w:t>
      </w:r>
      <w:bookmarkEnd w:id="339"/>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الحكمة و الفلسفة العقليّة، هي و الحكمة الشرعيّة سواء، لأنّ اللّٰه سبحانه خلق في عباده حكماء، و عقلاء، و محال أن يشرع لهم شرعاً غير محكم و غير معقول، و لا يبعث برسالته و شرعه إلّا حكيماً عاقلاً مدركاً مبيّناً لِما تحتاجه العقول، و يكلّف لها بما يسعدها و يقوّي نورها و يعظّم خطرها</w:t>
      </w:r>
      <w:r>
        <w:rPr>
          <w:rFonts w:eastAsia="Amiri" w:cs="Amiri" w:ascii="Amiri" w:hAnsi="Amiri"/>
          <w:color w:val="111111"/>
          <w:sz w:val="28"/>
          <w:szCs w:val="28"/>
          <w:rtl w:val="true"/>
          <w:lang w:bidi="ar-SA"/>
        </w:rPr>
        <w:t>.</w:t>
      </w:r>
      <w:r>
        <w:rPr>
          <w:rStyle w:val="FootnoteAnchor"/>
          <w:rtl w:val="true"/>
        </w:rPr>
        <w:footnoteReference w:id="319"/>
      </w:r>
      <w:bookmarkStart w:id="340" w:name="pg11557_101375"/>
    </w:p>
    <w:p>
      <w:pPr>
        <w:pStyle w:val="Heading4"/>
        <w:numPr>
          <w:ilvl w:val="3"/>
          <w:numId w:val="1"/>
        </w:numPr>
        <w:rPr/>
      </w:pPr>
      <w:bookmarkStart w:id="341" w:name="__RefHeading___Toc4284269_73709187"/>
      <w:bookmarkStart w:id="342" w:name="_Toc118"/>
      <w:bookmarkEnd w:id="340"/>
      <w:bookmarkEnd w:id="341"/>
      <w:r>
        <w:rPr/>
        <w:t>10</w:t>
      </w:r>
      <w:r>
        <w:rPr>
          <w:rtl w:val="true"/>
        </w:rPr>
        <w:t xml:space="preserve"> - </w:t>
      </w:r>
      <w:r>
        <w:rPr>
          <w:rtl w:val="true"/>
        </w:rPr>
        <w:t>في أنّ الشريعة لها ظاهر و باطن</w:t>
      </w:r>
      <w:bookmarkEnd w:id="342"/>
    </w:p>
    <w:p>
      <w:pPr>
        <w:pStyle w:val="BookText"/>
        <w:rPr/>
      </w:pPr>
      <w:r>
        <w:rPr>
          <w:rFonts w:ascii="Amiri" w:hAnsi="Amiri" w:eastAsia="Amiri" w:cs="Amiri"/>
          <w:color w:val="111111"/>
          <w:sz w:val="28"/>
          <w:sz w:val="28"/>
          <w:szCs w:val="28"/>
          <w:rtl w:val="true"/>
          <w:lang w:bidi="ar-SA"/>
        </w:rPr>
        <w:t>يقول علي بن محمد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الشارع قد وضع أحكام شريعته و عباداتها من الطهارة و الصلاة و الزكاة و الصيام و الحجّ و غير ذلك، مضمّنة للأُمور العقليّة و الأحكام و المعاني الإلهيّة، و ما يتخصص منها من الأُمور الظاهرة المشاكلة لظاهر الجسم، و الأُمور الباطنة المشاكلة للعقل، و النفس، و كلُّ من حقق ذلك كانت معتقداته سالمة</w:t>
      </w:r>
      <w:r>
        <w:rPr>
          <w:rFonts w:eastAsia="Amiri" w:cs="Amiri" w:ascii="Amiri" w:hAnsi="Amiri"/>
          <w:color w:val="111111"/>
          <w:sz w:val="28"/>
          <w:szCs w:val="28"/>
          <w:rtl w:val="true"/>
          <w:lang w:bidi="ar-SA"/>
        </w:rPr>
        <w:t>.</w:t>
      </w:r>
      <w:r>
        <w:rPr>
          <w:rStyle w:val="FootnoteAnchor"/>
          <w:rtl w:val="true"/>
        </w:rPr>
        <w:footnoteReference w:id="320"/>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المقام هو المزلقة الكبرى للإسماعيلية المؤوّلة، إذ كلُّ إمام و داعٍ، يسرح بخياله فيضع لكل ظاهر باطناً و لكلّ واجب حقيقةً، يسمي أحدهما بالشريعة الظاهرية و الآخر بالباطنية من دون أن يدلّ عليه بدليل من عقل أو نقل، فكلُّ ما يذكرونه من البواطن للشريعة ذوقيات، أشبه بذوقيات العرفاء في تأويل الأسماء و الصفات و غير ذلك، و كأنّ الجميع فروع من شجرة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ستوافيك نظرية المثل و الممثول في فصل خاص، و تقف على تأويلاتهم</w:t>
      </w:r>
      <w:r>
        <w:rPr>
          <w:rFonts w:eastAsia="Amiri" w:cs="Amiri" w:ascii="Amiri" w:hAnsi="Amiri"/>
          <w:color w:val="111111"/>
          <w:sz w:val="28"/>
          <w:szCs w:val="28"/>
          <w:rtl w:val="true"/>
          <w:lang w:bidi="ar-SA"/>
        </w:rPr>
        <w:t xml:space="preserve">. </w:t>
      </w:r>
      <w:bookmarkStart w:id="343" w:name="pg11557_101376"/>
    </w:p>
    <w:p>
      <w:pPr>
        <w:pStyle w:val="BookText"/>
        <w:rPr/>
      </w:pPr>
      <w:bookmarkEnd w:id="343"/>
      <w:r>
        <w:rPr>
          <w:rFonts w:ascii="Amiri" w:hAnsi="Amiri" w:eastAsia="Amiri" w:cs="Amiri"/>
          <w:color w:val="111111"/>
          <w:sz w:val="28"/>
          <w:sz w:val="28"/>
          <w:szCs w:val="28"/>
          <w:rtl w:val="true"/>
          <w:lang w:bidi="ar-SA"/>
        </w:rPr>
        <w:t>الإسماعيلية و الأُصول الخمسة</w:t>
      </w:r>
    </w:p>
    <w:p>
      <w:pPr>
        <w:pStyle w:val="Heading3"/>
        <w:numPr>
          <w:ilvl w:val="2"/>
          <w:numId w:val="1"/>
        </w:numPr>
        <w:rPr/>
      </w:pPr>
      <w:bookmarkStart w:id="344" w:name="__RefHeading___Toc4284271_73709187"/>
      <w:bookmarkStart w:id="345" w:name="_Toc119"/>
      <w:bookmarkEnd w:id="344"/>
      <w:r>
        <w:rPr>
          <w:rtl w:val="true"/>
        </w:rPr>
        <w:t>(</w:t>
      </w:r>
      <w:r>
        <w:rPr/>
        <w:t>4</w:t>
      </w:r>
      <w:r>
        <w:rPr>
          <w:rtl w:val="true"/>
        </w:rPr>
        <w:t xml:space="preserve">) </w:t>
      </w:r>
      <w:r>
        <w:rPr>
          <w:rtl w:val="true"/>
        </w:rPr>
        <w:t>عقيدتهم في الإمامة</w:t>
      </w:r>
      <w:bookmarkEnd w:id="345"/>
    </w:p>
    <w:p>
      <w:pPr>
        <w:pStyle w:val="Heading4"/>
        <w:numPr>
          <w:ilvl w:val="3"/>
          <w:numId w:val="1"/>
        </w:numPr>
        <w:rPr/>
      </w:pPr>
      <w:bookmarkStart w:id="346" w:name="__RefHeading___Toc4284273_73709187"/>
      <w:bookmarkStart w:id="347" w:name="_Toc120"/>
      <w:bookmarkEnd w:id="346"/>
      <w:r>
        <w:rPr>
          <w:rtl w:val="true"/>
        </w:rPr>
        <w:t>اشارة</w:t>
      </w:r>
      <w:bookmarkEnd w:id="347"/>
    </w:p>
    <w:p>
      <w:pPr>
        <w:pStyle w:val="BookText"/>
        <w:rPr/>
      </w:pPr>
      <w:r>
        <w:rPr>
          <w:rFonts w:ascii="Amiri" w:hAnsi="Amiri" w:eastAsia="Amiri" w:cs="Amiri"/>
          <w:color w:val="111111"/>
          <w:sz w:val="28"/>
          <w:sz w:val="28"/>
          <w:szCs w:val="28"/>
          <w:rtl w:val="true"/>
          <w:lang w:bidi="ar-SA"/>
        </w:rPr>
        <w:t>تحتل الإمامة عند الإسماعيلية مركزاً مرموقاً حيث جعلوها على درجات و مقامات و زودوا الأئمة بصلاحيات و اختصاصات، و لتسليط الضوء على عقيدتهم فيها نبحث في مقامين</w:t>
      </w:r>
      <w:r>
        <w:rPr>
          <w:rFonts w:eastAsia="Amiri" w:cs="Amiri" w:ascii="Amiri" w:hAnsi="Amiri"/>
          <w:color w:val="111111"/>
          <w:sz w:val="28"/>
          <w:szCs w:val="28"/>
          <w:rtl w:val="true"/>
          <w:lang w:bidi="ar-SA"/>
        </w:rPr>
        <w:t>:</w:t>
      </w:r>
    </w:p>
    <w:p>
      <w:pPr>
        <w:pStyle w:val="Heading4"/>
        <w:numPr>
          <w:ilvl w:val="3"/>
          <w:numId w:val="1"/>
        </w:numPr>
        <w:rPr/>
      </w:pPr>
      <w:bookmarkStart w:id="348" w:name="__RefHeading___Toc4284275_73709187"/>
      <w:bookmarkStart w:id="349" w:name="_Toc121"/>
      <w:bookmarkEnd w:id="348"/>
      <w:r>
        <w:rPr>
          <w:rtl w:val="true"/>
        </w:rPr>
        <w:t>المقام الأوّل</w:t>
      </w:r>
      <w:r>
        <w:rPr>
          <w:rtl w:val="true"/>
        </w:rPr>
        <w:t xml:space="preserve">: </w:t>
      </w:r>
      <w:r>
        <w:rPr>
          <w:rtl w:val="true"/>
        </w:rPr>
        <w:t>الإمامة المطلقة</w:t>
      </w:r>
      <w:bookmarkEnd w:id="349"/>
    </w:p>
    <w:p>
      <w:pPr>
        <w:pStyle w:val="Heading5"/>
        <w:numPr>
          <w:ilvl w:val="4"/>
          <w:numId w:val="1"/>
        </w:numPr>
        <w:rPr/>
      </w:pPr>
      <w:bookmarkStart w:id="350" w:name="__RefHeading___Toc4284277_73709187"/>
      <w:bookmarkStart w:id="351" w:name="_Toc122"/>
      <w:bookmarkEnd w:id="350"/>
      <w:r>
        <w:rPr>
          <w:rtl w:val="true"/>
        </w:rPr>
        <w:t>اشارة</w:t>
      </w:r>
      <w:bookmarkEnd w:id="351"/>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درجات الأئمّة و رتبهم لا تتجاوز عن الخمسة من دون أن تختص بالشريعة الإسلامية، بل تعم الشرائع السماوية كلّها، و بما أنّ مذهب الإسماعيلية أُحيط بهالة من الغموض عبر القرون لم يكن من الممكن أن يقف أحداً عليها إلّا طبقة خاصة من علمائهم، و كانوا يبخلون بآرائهم و كتبهم على الغير، غير أنّ الأحوال الحاضرة رفعت الستر عن كتبهم و منشوراتهم، فقام المستشرقون و في مقدّمتهم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ايفانوف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الروسي و تبعه عدد آخر من المحقّقين بنشر آثارهم، و عند ذلك تجلّت الحقيقة بوجهها الناصع، كما قام الكاتبان الإسماعيليان عارف تامر و مصطفى غالب ببذل الجهود الحثيثة في نشر آثار تلك الطائفة، فكشفا النقاب عن وجه العقيدة الإسماعيلية و بيّناها بوجه واضح خالياً من الغموض و التعقيد الموجودين في عامة كتب الإسماعيلية و إن كان بين الكاتبين اختلاف في بعض </w:t>
      </w:r>
      <w:bookmarkStart w:id="352" w:name="pg11557_101377"/>
    </w:p>
    <w:p>
      <w:pPr>
        <w:pStyle w:val="BookText"/>
        <w:rPr/>
      </w:pPr>
      <w:bookmarkEnd w:id="352"/>
      <w:r>
        <w:rPr>
          <w:rFonts w:ascii="Amiri" w:hAnsi="Amiri" w:eastAsia="Amiri" w:cs="Amiri"/>
          <w:color w:val="111111"/>
          <w:sz w:val="28"/>
          <w:sz w:val="28"/>
          <w:szCs w:val="28"/>
          <w:rtl w:val="true"/>
          <w:lang w:bidi="ar-SA"/>
        </w:rPr>
        <w:t xml:space="preserve">الموارد، و نحن نعتمد في تفسير درجات الإمامة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للكاتب عارف تامر، و إليك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درجات الإمامة خمس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المقيم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الأساس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المتم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المستقر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المستودع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ربما يضاف إليها رتبتان الإمام القائم بالقوة، و الإمام القائم بالفعل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فالمهم هو الوقوف على هذه الدرجات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يعتقد عارف تامر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الدرجات ظلّت حقبة طويلة من الزمن مجهولة لدى الباحثين إلّا طبقة خاصة من العلماء، أو لا أقلّ في التقية و الاستتار و الكتمان</w:t>
      </w:r>
      <w:r>
        <w:rPr>
          <w:rFonts w:eastAsia="Amiri" w:cs="Amiri" w:ascii="Amiri" w:hAnsi="Amiri"/>
          <w:color w:val="111111"/>
          <w:sz w:val="28"/>
          <w:szCs w:val="28"/>
          <w:rtl w:val="true"/>
          <w:lang w:bidi="ar-SA"/>
        </w:rPr>
        <w:t>.</w:t>
      </w:r>
    </w:p>
    <w:p>
      <w:pPr>
        <w:pStyle w:val="Heading5"/>
        <w:numPr>
          <w:ilvl w:val="4"/>
          <w:numId w:val="1"/>
        </w:numPr>
        <w:rPr/>
      </w:pPr>
      <w:bookmarkStart w:id="353" w:name="__RefHeading___Toc4284279_73709187"/>
      <w:bookmarkStart w:id="354" w:name="_Toc123"/>
      <w:bookmarkEnd w:id="353"/>
      <w:r>
        <w:rPr/>
        <w:t>1</w:t>
      </w:r>
      <w:r>
        <w:rPr>
          <w:rtl w:val="true"/>
        </w:rPr>
        <w:t xml:space="preserve"> - </w:t>
      </w:r>
      <w:r>
        <w:rPr>
          <w:rtl w:val="true"/>
        </w:rPr>
        <w:t>الإمام المقيم</w:t>
      </w:r>
      <w:bookmarkEnd w:id="354"/>
    </w:p>
    <w:p>
      <w:pPr>
        <w:pStyle w:val="BookText"/>
        <w:rPr/>
      </w:pPr>
      <w:r>
        <w:rPr>
          <w:rFonts w:ascii="Amiri" w:hAnsi="Amiri" w:eastAsia="Amiri" w:cs="Amiri"/>
          <w:color w:val="111111"/>
          <w:sz w:val="28"/>
          <w:sz w:val="28"/>
          <w:szCs w:val="28"/>
          <w:rtl w:val="true"/>
          <w:lang w:bidi="ar-SA"/>
        </w:rPr>
        <w:t xml:space="preserve">هو الذي يقيم الرسول الناطق و يعلّمه و يربّيه و يدرجه في مراتب رسالة النطق، و ينعم عليه بالإمدادات و أحياناً يطلقون عليه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تعتبر هذه الرتبة أعلى مراتب الإمامة و أرفعها و أكثرها دقة و سرية</w:t>
      </w:r>
      <w:r>
        <w:rPr>
          <w:rFonts w:eastAsia="Amiri" w:cs="Amiri" w:ascii="Amiri" w:hAnsi="Amiri"/>
          <w:color w:val="111111"/>
          <w:sz w:val="28"/>
          <w:szCs w:val="28"/>
          <w:rtl w:val="true"/>
          <w:lang w:bidi="ar-SA"/>
        </w:rPr>
        <w:t>.</w:t>
      </w:r>
    </w:p>
    <w:p>
      <w:pPr>
        <w:pStyle w:val="Heading5"/>
        <w:numPr>
          <w:ilvl w:val="4"/>
          <w:numId w:val="1"/>
        </w:numPr>
        <w:rPr/>
      </w:pPr>
      <w:bookmarkStart w:id="355" w:name="__RefHeading___Toc4284281_73709187"/>
      <w:bookmarkStart w:id="356" w:name="_Toc124"/>
      <w:bookmarkEnd w:id="355"/>
      <w:r>
        <w:rPr/>
        <w:t>2</w:t>
      </w:r>
      <w:r>
        <w:rPr>
          <w:rtl w:val="true"/>
        </w:rPr>
        <w:t xml:space="preserve"> - </w:t>
      </w:r>
      <w:r>
        <w:rPr>
          <w:rtl w:val="true"/>
        </w:rPr>
        <w:t>الإمام الأساس</w:t>
      </w:r>
      <w:bookmarkEnd w:id="356"/>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الذي يرافق الناطق في كافة مراحل حياته، و يكون ساعده الأيمن، </w:t>
      </w:r>
      <w:bookmarkStart w:id="357" w:name="pg11557_101378"/>
    </w:p>
    <w:p>
      <w:pPr>
        <w:pStyle w:val="BookText"/>
        <w:rPr/>
      </w:pPr>
      <w:bookmarkEnd w:id="357"/>
      <w:r>
        <w:rPr>
          <w:rFonts w:ascii="Amiri" w:hAnsi="Amiri" w:eastAsia="Amiri" w:cs="Amiri"/>
          <w:color w:val="111111"/>
          <w:sz w:val="28"/>
          <w:sz w:val="28"/>
          <w:szCs w:val="28"/>
          <w:rtl w:val="true"/>
          <w:lang w:bidi="ar-SA"/>
        </w:rPr>
        <w:t xml:space="preserve">و أمين سره، و القائم بأعمال الرسالة الكبرى، و المنفذ للأوامر العليا، فمنه تتسلسل الأئمة المستقرون في الأدوار الزمنية، و هو المسئول عن شئون الدعوة الباطنية القائمة على الطبقة الخاصة ممن عرفوا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وصلوا إلى العلوم الإلهية العليا</w:t>
      </w:r>
      <w:r>
        <w:rPr>
          <w:rFonts w:eastAsia="Amiri" w:cs="Amiri" w:ascii="Amiri" w:hAnsi="Amiri"/>
          <w:color w:val="111111"/>
          <w:sz w:val="28"/>
          <w:szCs w:val="28"/>
          <w:rtl w:val="true"/>
          <w:lang w:bidi="ar-SA"/>
        </w:rPr>
        <w:t>.</w:t>
      </w:r>
    </w:p>
    <w:p>
      <w:pPr>
        <w:pStyle w:val="Heading5"/>
        <w:numPr>
          <w:ilvl w:val="4"/>
          <w:numId w:val="1"/>
        </w:numPr>
        <w:rPr/>
      </w:pPr>
      <w:bookmarkStart w:id="358" w:name="__RefHeading___Toc4284283_73709187"/>
      <w:bookmarkStart w:id="359" w:name="_Toc125"/>
      <w:bookmarkEnd w:id="358"/>
      <w:r>
        <w:rPr/>
        <w:t>3</w:t>
      </w:r>
      <w:r>
        <w:rPr>
          <w:rtl w:val="true"/>
        </w:rPr>
        <w:t xml:space="preserve"> - </w:t>
      </w:r>
      <w:r>
        <w:rPr>
          <w:rtl w:val="true"/>
        </w:rPr>
        <w:t>الإمام المتم</w:t>
      </w:r>
      <w:bookmarkEnd w:id="359"/>
    </w:p>
    <w:p>
      <w:pPr>
        <w:pStyle w:val="BookText"/>
        <w:rPr/>
      </w:pPr>
      <w:r>
        <w:rPr>
          <w:rFonts w:ascii="Amiri" w:hAnsi="Amiri" w:eastAsia="Amiri" w:cs="Amiri"/>
          <w:color w:val="111111"/>
          <w:sz w:val="28"/>
          <w:sz w:val="28"/>
          <w:szCs w:val="28"/>
          <w:rtl w:val="true"/>
          <w:lang w:bidi="ar-SA"/>
        </w:rPr>
        <w:t>هو الذي يتم أداء الرسالة في نهاية الدور، و الدور كما هو معروف أصلاً يقوم به سبعة من الأئمة، فالإمام المتم يكون سابعاً و متماً لرسالة الدور، و انّ قوته تكون معادلة لقوة الأئمّة الستة الذين سبقوه في الدور نفسه بمجموعهم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جهة ثانية يطلق عليه اسم ناطق الدور أيضاً، أي انّ وجوده يشبه وجود الناطق بالنسبة للأدوار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الإمام الذي يأتي بعده فيكون قائماً بدور جديد، و مؤسساً لبنيان حديث</w:t>
      </w:r>
      <w:r>
        <w:rPr>
          <w:rFonts w:eastAsia="Amiri" w:cs="Amiri" w:ascii="Amiri" w:hAnsi="Amiri"/>
          <w:color w:val="111111"/>
          <w:sz w:val="28"/>
          <w:szCs w:val="28"/>
          <w:rtl w:val="true"/>
          <w:lang w:bidi="ar-SA"/>
        </w:rPr>
        <w:t>.</w:t>
      </w:r>
    </w:p>
    <w:p>
      <w:pPr>
        <w:pStyle w:val="Heading5"/>
        <w:numPr>
          <w:ilvl w:val="4"/>
          <w:numId w:val="1"/>
        </w:numPr>
        <w:rPr/>
      </w:pPr>
      <w:bookmarkStart w:id="360" w:name="__RefHeading___Toc4284285_73709187"/>
      <w:bookmarkStart w:id="361" w:name="_Toc126"/>
      <w:bookmarkEnd w:id="360"/>
      <w:r>
        <w:rPr/>
        <w:t>4</w:t>
      </w:r>
      <w:r>
        <w:rPr>
          <w:rtl w:val="true"/>
        </w:rPr>
        <w:t xml:space="preserve"> - </w:t>
      </w:r>
      <w:r>
        <w:rPr>
          <w:rtl w:val="true"/>
        </w:rPr>
        <w:t>الإمام المستقر</w:t>
      </w:r>
      <w:bookmarkEnd w:id="361"/>
    </w:p>
    <w:p>
      <w:pPr>
        <w:pStyle w:val="BookText"/>
        <w:rPr/>
      </w:pPr>
      <w:r>
        <w:rPr>
          <w:rFonts w:ascii="Amiri" w:hAnsi="Amiri" w:eastAsia="Amiri" w:cs="Amiri"/>
          <w:color w:val="111111"/>
          <w:sz w:val="28"/>
          <w:sz w:val="28"/>
          <w:szCs w:val="28"/>
          <w:rtl w:val="true"/>
          <w:lang w:bidi="ar-SA"/>
        </w:rPr>
        <w:t>هو الذي يملك صلاحية توريث الإمامة لولده، كما أنّه صاحب النص على الإمام الذي يأتي بعده، و يسمّونه أيضاً الإمام بجوهر و المتسلم شئون الإمامة بعد الناطق مباشرة، و القائم بأعباء الإمامة أصالة</w:t>
      </w:r>
      <w:r>
        <w:rPr>
          <w:rFonts w:eastAsia="Amiri" w:cs="Amiri" w:ascii="Amiri" w:hAnsi="Amiri"/>
          <w:color w:val="111111"/>
          <w:sz w:val="28"/>
          <w:szCs w:val="28"/>
          <w:rtl w:val="true"/>
          <w:lang w:bidi="ar-SA"/>
        </w:rPr>
        <w:t>.</w:t>
      </w:r>
    </w:p>
    <w:p>
      <w:pPr>
        <w:pStyle w:val="Heading5"/>
        <w:numPr>
          <w:ilvl w:val="4"/>
          <w:numId w:val="1"/>
        </w:numPr>
        <w:rPr/>
      </w:pPr>
      <w:bookmarkStart w:id="362" w:name="__RefHeading___Toc4284287_73709187"/>
      <w:bookmarkStart w:id="363" w:name="_Toc127"/>
      <w:bookmarkEnd w:id="362"/>
      <w:r>
        <w:rPr/>
        <w:t>5</w:t>
      </w:r>
      <w:r>
        <w:rPr>
          <w:rtl w:val="true"/>
        </w:rPr>
        <w:t xml:space="preserve"> - </w:t>
      </w:r>
      <w:r>
        <w:rPr>
          <w:rtl w:val="true"/>
        </w:rPr>
        <w:t>الإمام المستودع</w:t>
      </w:r>
      <w:bookmarkEnd w:id="363"/>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الذي يتسلّم شئون الإمامة في الظروف و الأدوار الاستثنائية، و هو الذي يقوم بمهماتها نيابة عن الإمام المستقر بنفس الصلاحيات المستقرة للإمام المستقر، و من الواضح أنّه لا يستطيع أن يورث الإمامة لأحد من ولده، كما أنّهم يطلقون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نائب غيبة</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و العجب انّهم عند ما بحثوا موضوع الإمامة لم يجعلوا تسلسلها من إسماعيل ابن جعفر الصادق فحسب، بل ذهبوا إلى أبعد من ذلك، و حجتهم انّ الإمامة إذا كانت قد بدأت من هذا العهد المبكر فتكون محدثة و لا يقوم وجودها على أساس</w:t>
      </w:r>
      <w:r>
        <w:rPr>
          <w:rStyle w:val="FootnoteAnchor"/>
          <w:rtl w:val="true"/>
        </w:rPr>
        <w:footnoteReference w:id="322"/>
      </w:r>
      <w:r>
        <w:rPr>
          <w:rFonts w:ascii="Amiri" w:hAnsi="Amiri" w:eastAsia="Amiri" w:cs="Amiri"/>
          <w:color w:val="111111"/>
          <w:sz w:val="28"/>
          <w:sz w:val="28"/>
          <w:szCs w:val="28"/>
          <w:rtl w:val="true"/>
          <w:lang w:bidi="ar-SA"/>
        </w:rPr>
        <w:t>، فذهبوا إلى عهد بدء الخليقة المعروف بعهد آدم و سلسلة الإمامة من عصر آدم إلى يومنا هذا، ثمّ أضافوا إلى ذلك قولهم بالأدوار و الأكوار، فقد جعلوا كل دور يتألف من إمام مقيم و رسول ناطق أو أساس له، و من سبعة أئمة يكون سابعهم متم الدور، و يمكن أن يزيد عدد الأئمّة عن سبعة في ظروف أُخرى و في فترات استثنائية، و هذه الزيادة تحصل في عداد الأئمّة المستودعين دون الأئمّة المستقرين، أمّا الدور فيكون عادة صغيراً و كبيراً، فالدور الصغير هو الفترة التي تقع بين كلّ ناطق و ناطق يقوم فيها سبعة 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الدور الكبير فيبتدئ من عهد آدم إلى القائم المنتظر الذي يسمّى دوره الدور السابع، و يكون بالوقت ذاته متماً لعدد النطقاء الستة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فلأجل عرض صورة عن عقائدهم في مجال تسلسل الإمامة من عصر أبينا آدم إلى يومنا هذا سوف نأتي بالجداول التي استخرجها، عارف تامر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مصطفى غالب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الدعوة الإسماعيلية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عارف تامر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الموضوع من أدق المواضيع و أصعبها، بل هو بالحقيقة من الدعائم المتينة في عقائد الإسماعيلية، و قد يبدو لكل باحث فيها انّ دعاتها حافظوا على سريته التامة طيلة العصور الماضية و جعلوا معرفته مقتصرة على طبقة خاصة من العلماء و الدعاة</w:t>
      </w:r>
      <w:r>
        <w:rPr>
          <w:rFonts w:eastAsia="Amiri" w:cs="Amiri" w:ascii="Amiri" w:hAnsi="Amiri"/>
          <w:color w:val="111111"/>
          <w:sz w:val="28"/>
          <w:szCs w:val="28"/>
          <w:rtl w:val="true"/>
          <w:lang w:bidi="ar-SA"/>
        </w:rPr>
        <w:t>.</w:t>
      </w:r>
      <w:r>
        <w:rPr>
          <w:rStyle w:val="FootnoteAnchor"/>
          <w:rtl w:val="true"/>
        </w:rPr>
        <w:footnoteReference w:id="323"/>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سوف توافيك تلك الجداول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شجرة الإمامة الإسماعيلية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الفصل الحادي عشر فانتظر</w:t>
      </w:r>
      <w:r>
        <w:rPr>
          <w:rFonts w:eastAsia="Amiri" w:cs="Amiri" w:ascii="Amiri" w:hAnsi="Amiri"/>
          <w:color w:val="111111"/>
          <w:sz w:val="28"/>
          <w:szCs w:val="28"/>
          <w:rtl w:val="true"/>
          <w:lang w:bidi="ar-SA"/>
        </w:rPr>
        <w:t xml:space="preserve">. </w:t>
      </w:r>
      <w:bookmarkStart w:id="364" w:name="pg11557_101380"/>
    </w:p>
    <w:p>
      <w:pPr>
        <w:pStyle w:val="Heading4"/>
        <w:numPr>
          <w:ilvl w:val="3"/>
          <w:numId w:val="1"/>
        </w:numPr>
        <w:rPr/>
      </w:pPr>
      <w:bookmarkStart w:id="365" w:name="__RefHeading___Toc4284289_73709187"/>
      <w:bookmarkStart w:id="366" w:name="_Toc128"/>
      <w:bookmarkEnd w:id="364"/>
      <w:bookmarkEnd w:id="365"/>
      <w:r>
        <w:rPr>
          <w:rtl w:val="true"/>
        </w:rPr>
        <w:t>المقام الثاني</w:t>
      </w:r>
      <w:r>
        <w:rPr>
          <w:rtl w:val="true"/>
        </w:rPr>
        <w:t xml:space="preserve">: </w:t>
      </w:r>
      <w:r>
        <w:rPr>
          <w:rtl w:val="true"/>
        </w:rPr>
        <w:t>في الإمامة الخاصة</w:t>
      </w:r>
      <w:bookmarkEnd w:id="366"/>
    </w:p>
    <w:p>
      <w:pPr>
        <w:pStyle w:val="Heading5"/>
        <w:numPr>
          <w:ilvl w:val="4"/>
          <w:numId w:val="1"/>
        </w:numPr>
        <w:rPr/>
      </w:pPr>
      <w:bookmarkStart w:id="367" w:name="__RefHeading___Toc4284291_73709187"/>
      <w:bookmarkStart w:id="368" w:name="_Toc129"/>
      <w:bookmarkEnd w:id="367"/>
      <w:r>
        <w:rPr>
          <w:rtl w:val="true"/>
        </w:rPr>
        <w:t>اشارة</w:t>
      </w:r>
      <w:bookmarkEnd w:id="368"/>
    </w:p>
    <w:p>
      <w:pPr>
        <w:pStyle w:val="BookText"/>
        <w:rPr/>
      </w:pPr>
      <w:r>
        <w:rPr>
          <w:rFonts w:ascii="Amiri" w:hAnsi="Amiri" w:eastAsia="Amiri" w:cs="Amiri"/>
          <w:color w:val="111111"/>
          <w:sz w:val="28"/>
          <w:sz w:val="28"/>
          <w:szCs w:val="28"/>
          <w:rtl w:val="true"/>
          <w:lang w:bidi="ar-SA"/>
        </w:rPr>
        <w:t xml:space="preserve">قد تعرفت على نظام الإمامة في مذهب الإسماعيلية و لكن المهم هو الوقوف على ملامح الإمامة عندهم بصورة عامة، و قد تصدّى لذكرها الداعي اليمني علي ابن محمد الوليد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ننقل منه ما يبيّن عقيدتهم في ذلك</w:t>
      </w:r>
      <w:r>
        <w:rPr>
          <w:rFonts w:eastAsia="Amiri" w:cs="Amiri" w:ascii="Amiri" w:hAnsi="Amiri"/>
          <w:color w:val="111111"/>
          <w:sz w:val="28"/>
          <w:szCs w:val="28"/>
          <w:rtl w:val="true"/>
          <w:lang w:bidi="ar-SA"/>
        </w:rPr>
        <w:t>:</w:t>
      </w:r>
    </w:p>
    <w:p>
      <w:pPr>
        <w:pStyle w:val="Heading5"/>
        <w:numPr>
          <w:ilvl w:val="4"/>
          <w:numId w:val="1"/>
        </w:numPr>
        <w:rPr/>
      </w:pPr>
      <w:bookmarkStart w:id="369" w:name="__RefHeading___Toc4284293_73709187"/>
      <w:bookmarkStart w:id="370" w:name="_Toc130"/>
      <w:bookmarkEnd w:id="369"/>
      <w:r>
        <w:rPr/>
        <w:t>1</w:t>
      </w:r>
      <w:r>
        <w:rPr>
          <w:rtl w:val="true"/>
        </w:rPr>
        <w:t xml:space="preserve"> - </w:t>
      </w:r>
      <w:r>
        <w:rPr>
          <w:rtl w:val="true"/>
        </w:rPr>
        <w:t>صاحب الوصية أفضل العالم بعد النبي في الدور</w:t>
      </w:r>
      <w:bookmarkEnd w:id="370"/>
    </w:p>
    <w:p>
      <w:pPr>
        <w:pStyle w:val="BookText"/>
        <w:rPr/>
      </w:pPr>
      <w:r>
        <w:rPr>
          <w:rFonts w:ascii="Amiri" w:hAnsi="Amiri" w:eastAsia="Amiri" w:cs="Amiri"/>
          <w:color w:val="111111"/>
          <w:sz w:val="28"/>
          <w:sz w:val="28"/>
          <w:szCs w:val="28"/>
          <w:rtl w:val="true"/>
          <w:lang w:bidi="ar-SA"/>
        </w:rPr>
        <w:t>إنّ صاحب الوصية هو الذي جوهره لاحق بجوهره، و كماله مشتق من كماله، و إنّ معاني أقواله و رموز شريعته و أسرار ملته و حقائق دينه توجد عنده، و لا تتعداه، و لا تؤخذ إلّا منه، و انّه المبرهن عن أغراضه، و المفصح لأقواله، المبين لأفعاله، القائم بالهداية بعده لمن قصد المعرفة لما جاء به، و الحافظ لشريعته من الآراء المختلفة، و بذلك كان وصياً، و لا يوجد في الأصحاب من يقوم مقامه، و لا يسد مسده في حفظ معاني تكليفه الذي أخذه عن باريه مع ما يوجد فيه من الطهارة، و صدق القول، و زكاة النفس، و الاحتواء على العلوم، و القربة منه في الطبع، و الجوهر، و السابقة، و الصحبة، و الأصل</w:t>
      </w:r>
      <w:r>
        <w:rPr>
          <w:rFonts w:eastAsia="Amiri" w:cs="Amiri" w:ascii="Amiri" w:hAnsi="Amiri"/>
          <w:color w:val="111111"/>
          <w:sz w:val="28"/>
          <w:szCs w:val="28"/>
          <w:rtl w:val="true"/>
          <w:lang w:bidi="ar-SA"/>
        </w:rPr>
        <w:t>.</w:t>
      </w:r>
      <w:r>
        <w:rPr>
          <w:rStyle w:val="FootnoteAnchor"/>
          <w:rtl w:val="true"/>
        </w:rPr>
        <w:footnoteReference w:id="324"/>
      </w:r>
    </w:p>
    <w:p>
      <w:pPr>
        <w:pStyle w:val="Heading5"/>
        <w:numPr>
          <w:ilvl w:val="4"/>
          <w:numId w:val="1"/>
        </w:numPr>
        <w:rPr/>
      </w:pPr>
      <w:bookmarkStart w:id="371" w:name="__RefHeading___Toc4284295_73709187"/>
      <w:bookmarkStart w:id="372" w:name="_Toc131"/>
      <w:bookmarkEnd w:id="371"/>
      <w:r>
        <w:rPr/>
        <w:t>2</w:t>
      </w:r>
      <w:r>
        <w:rPr>
          <w:rtl w:val="true"/>
        </w:rPr>
        <w:t xml:space="preserve"> - </w:t>
      </w:r>
      <w:r>
        <w:rPr>
          <w:rtl w:val="true"/>
        </w:rPr>
        <w:t>في أنّ الإمامة في آل بيت رسول اللّٰه صلّى اللّٰه عليه و آله و سلّم</w:t>
      </w:r>
      <w:bookmarkEnd w:id="372"/>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يُعْتقد انّ الإمامة في آل بيت رسول اللّٰه صلّى اللّٰه عليه و آله و سلّم من نسل علي و فاطمة فرض من اللّٰه سبحانه أكمل به الدين فلا يتم الدين إلّا به، و لا يصحّ الإيمان باللّٰه و الرسول إلّا بالإيمان بالإمام و الحجّة، و يدل على فرض الإمامة إجماع الأُمّة على أنّ الدين و الشريعة لا يقومان و لا يصانان إلّا بالإمام، و هذا حقّ لأنّه سبحانه لا يترك الخلق </w:t>
      </w:r>
      <w:bookmarkStart w:id="373" w:name="pg11557_101381"/>
    </w:p>
    <w:p>
      <w:pPr>
        <w:pStyle w:val="BookText"/>
        <w:rPr/>
      </w:pPr>
      <w:bookmarkEnd w:id="373"/>
      <w:r>
        <w:rPr>
          <w:rFonts w:ascii="Amiri" w:hAnsi="Amiri" w:eastAsia="Amiri" w:cs="Amiri"/>
          <w:color w:val="111111"/>
          <w:sz w:val="28"/>
          <w:sz w:val="28"/>
          <w:szCs w:val="28"/>
          <w:rtl w:val="true"/>
          <w:lang w:bidi="ar-SA"/>
        </w:rPr>
        <w:t>سدى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يمنعهم هذه الفريضة التي لا تسوغ الهداية إلّا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الرسول نص على ذلك نصاً تشهد به الأُمة كافة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و الحسين إمامان إن قاما و إن قعدا، و أبوهما خير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يحوج الأُمّة إلى اختيارها في تنصيب الإمام، بل نص عليها بهذا لأنّ بالإمامة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أنّ الرسول تركها حتى تكون الأُمة هي التي تفعلها و يتم بما فعلوه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اللّٰه بقولهم انّ الرسول لم ينص على الوصية و لا استخلف أحداً لخرجت الإمامة عن أن تكون فرضاً على الأُمة، و كان سبيلها سبيل الولاة في كلّ زمان، القائمين بأُمور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اعترف المخالفون انّ إمامة الثلاثة ليست بنص، لأنّهم قد جحدوا النص و الوصية و فيما جرى في السقيفة من الأُصول ما يجب للعاقل أن يفكر فيه و غير معيوب على المتخلّف عن بيعتهم و الخلاف لهم فيها إذ كان الحال فيما تقرّر مشهوراً غير مستور، و العودة إلى الحقائق أولى لمن يعتمد عليها إذا كان طالباً للهداية مع ترك التعصب</w:t>
      </w:r>
      <w:r>
        <w:rPr>
          <w:rFonts w:eastAsia="Amiri" w:cs="Amiri" w:ascii="Amiri" w:hAnsi="Amiri"/>
          <w:color w:val="111111"/>
          <w:sz w:val="28"/>
          <w:szCs w:val="28"/>
          <w:rtl w:val="true"/>
          <w:lang w:bidi="ar-SA"/>
        </w:rPr>
        <w:t>.</w:t>
      </w:r>
      <w:r>
        <w:rPr>
          <w:rStyle w:val="FootnoteAnchor"/>
          <w:rtl w:val="true"/>
        </w:rPr>
        <w:footnoteReference w:id="325"/>
      </w:r>
    </w:p>
    <w:p>
      <w:pPr>
        <w:pStyle w:val="Heading5"/>
        <w:numPr>
          <w:ilvl w:val="4"/>
          <w:numId w:val="1"/>
        </w:numPr>
        <w:rPr/>
      </w:pPr>
      <w:bookmarkStart w:id="374" w:name="__RefHeading___Toc4284297_73709187"/>
      <w:bookmarkStart w:id="375" w:name="_Toc132"/>
      <w:bookmarkEnd w:id="374"/>
      <w:r>
        <w:rPr/>
        <w:t>3</w:t>
      </w:r>
      <w:r>
        <w:rPr>
          <w:rtl w:val="true"/>
        </w:rPr>
        <w:t xml:space="preserve"> - </w:t>
      </w:r>
      <w:r>
        <w:rPr>
          <w:rtl w:val="true"/>
        </w:rPr>
        <w:t>في أنّ الإمامة وارثة النبوة و الوصاية</w:t>
      </w:r>
      <w:bookmarkEnd w:id="375"/>
    </w:p>
    <w:p>
      <w:pPr>
        <w:pStyle w:val="BookText"/>
        <w:rPr/>
      </w:pPr>
      <w:r>
        <w:rPr>
          <w:rFonts w:ascii="Amiri" w:hAnsi="Amiri" w:eastAsia="Amiri" w:cs="Amiri"/>
          <w:color w:val="111111"/>
          <w:sz w:val="28"/>
          <w:sz w:val="28"/>
          <w:szCs w:val="28"/>
          <w:rtl w:val="true"/>
          <w:lang w:bidi="ar-SA"/>
        </w:rPr>
        <w:t>الإمام يرث من النبوة الظواهر و الأحكام و جري الأُمور على ما علمه من النظام</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يرث من صاحب الوصاية المعاني التي ورثها عن النبوة، ليكون الكمال موجوداً لقاصده، و مسلماً في شريعته التي جعلها عصمة لمن التجأ إليها، و طهارة لمن التزم قوانينها و سار على محجَّتها، فتسلم له دنياه و يفوز في عقباه بالتجائه إلى من عنده علم النجاة و حقيقة الشريعة السالمة من كلّ تغيير و تمويه مع سلامة </w:t>
      </w:r>
      <w:bookmarkStart w:id="376" w:name="pg11557_101382"/>
    </w:p>
    <w:p>
      <w:pPr>
        <w:pStyle w:val="BookText"/>
        <w:rPr/>
      </w:pPr>
      <w:bookmarkEnd w:id="376"/>
      <w:r>
        <w:rPr>
          <w:rFonts w:ascii="Amiri" w:hAnsi="Amiri" w:eastAsia="Amiri" w:cs="Amiri"/>
          <w:color w:val="111111"/>
          <w:sz w:val="28"/>
          <w:sz w:val="28"/>
          <w:szCs w:val="28"/>
          <w:rtl w:val="true"/>
          <w:lang w:bidi="ar-SA"/>
        </w:rPr>
        <w:t>توحيده لباريه</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يذهب عليك أنّ الإمام على هذا أفضل من النبي كما هو أفضل من الوصي، لأنّ الإمام جامع للمنقبتين ظاهر الشريعة و باطنها، إلّا إذا كان النبي رسولاً فهو جامع أيضاً للمنقبتين، و لا أدري من أين لهم هذه الضوابط و القواعد، و ما هو الدليل على هذا التقسيم؟</w:t>
      </w:r>
      <w:r>
        <w:rPr>
          <w:rFonts w:eastAsia="Amiri" w:cs="Amiri" w:ascii="Amiri" w:hAnsi="Amiri"/>
          <w:color w:val="111111"/>
          <w:sz w:val="28"/>
          <w:szCs w:val="28"/>
          <w:rtl w:val="true"/>
          <w:lang w:bidi="ar-SA"/>
        </w:rPr>
        <w:t>!</w:t>
      </w:r>
    </w:p>
    <w:p>
      <w:pPr>
        <w:pStyle w:val="Heading5"/>
        <w:numPr>
          <w:ilvl w:val="4"/>
          <w:numId w:val="1"/>
        </w:numPr>
        <w:rPr/>
      </w:pPr>
      <w:bookmarkStart w:id="377" w:name="__RefHeading___Toc4284299_73709187"/>
      <w:bookmarkStart w:id="378" w:name="_Toc133"/>
      <w:bookmarkEnd w:id="377"/>
      <w:r>
        <w:rPr/>
        <w:t>4</w:t>
      </w:r>
      <w:r>
        <w:rPr>
          <w:rtl w:val="true"/>
        </w:rPr>
        <w:t xml:space="preserve"> - </w:t>
      </w:r>
      <w:r>
        <w:rPr>
          <w:rtl w:val="true"/>
        </w:rPr>
        <w:t>في انقطاع الوصاية بعد ذهاب الوصي</w:t>
      </w:r>
      <w:bookmarkEnd w:id="378"/>
    </w:p>
    <w:p>
      <w:pPr>
        <w:pStyle w:val="BookText"/>
        <w:rPr/>
      </w:pPr>
      <w:r>
        <w:rPr>
          <w:rFonts w:ascii="Amiri" w:hAnsi="Amiri" w:eastAsia="Amiri" w:cs="Amiri"/>
          <w:color w:val="111111"/>
          <w:sz w:val="28"/>
          <w:sz w:val="28"/>
          <w:szCs w:val="28"/>
          <w:rtl w:val="true"/>
          <w:lang w:bidi="ar-SA"/>
        </w:rPr>
        <w:t>يُعْتقد أنّ الوصي إنّما يوصيه الرسول على معالم شريعته، و أسرار ملّته، و عيون هدايته، و حقيقة أقواله، و حفظ أسراره، فإذا قام بها و مضى إلى دار كرامته استحال قيام وصي ثان بعده، لأنّ الشريعة لم تتغير، و لا ذهبت فتأتي أوامر جديدة تحتاج إلى من يوصّى بحفظها و القيام بمعانيها و ضبط أحوالها، فلهذا كان انقطاع الوصية بعد مضي الوصي الذي خلّفه الرسول في العالم</w:t>
      </w:r>
      <w:r>
        <w:rPr>
          <w:rFonts w:eastAsia="Amiri" w:cs="Amiri" w:ascii="Amiri" w:hAnsi="Amiri"/>
          <w:color w:val="111111"/>
          <w:sz w:val="28"/>
          <w:szCs w:val="28"/>
          <w:rtl w:val="true"/>
          <w:lang w:bidi="ar-SA"/>
        </w:rPr>
        <w:t>.</w:t>
      </w:r>
      <w:r>
        <w:rPr>
          <w:rStyle w:val="FootnoteAnchor"/>
          <w:rtl w:val="true"/>
        </w:rPr>
        <w:footnoteReference w:id="327"/>
      </w:r>
    </w:p>
    <w:p>
      <w:pPr>
        <w:pStyle w:val="Heading5"/>
        <w:numPr>
          <w:ilvl w:val="4"/>
          <w:numId w:val="1"/>
        </w:numPr>
        <w:rPr/>
      </w:pPr>
      <w:bookmarkStart w:id="379" w:name="__RefHeading___Toc4284301_73709187"/>
      <w:bookmarkStart w:id="380" w:name="_Toc134"/>
      <w:bookmarkEnd w:id="379"/>
      <w:r>
        <w:rPr/>
        <w:t>5</w:t>
      </w:r>
      <w:r>
        <w:rPr>
          <w:rtl w:val="true"/>
        </w:rPr>
        <w:t xml:space="preserve"> - </w:t>
      </w:r>
      <w:r>
        <w:rPr>
          <w:rtl w:val="true"/>
        </w:rPr>
        <w:t>في استمرار الإمامة في العالم دون النبوة و الوصاية</w:t>
      </w:r>
      <w:bookmarkEnd w:id="380"/>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الإمامة مستمرة الوجود في الأدوار جميعها، من أوّلها إلى آخرها، لأنّ الإمام هو الوارث لما جاء به النبي صلّى اللّٰه عليه و آله و سلّم من الشرع و الوصي على البيان، لكونه حافظاً في الأُمة على الهداية التي ورثها منهما، و لمّا كان أمر الرسول و الوصي جارياً على أهل الدور من أوّله إلى آخره، كان من ذلك حفظ درجة الإمامة على الدور بالاستمرار، و التوالي، إذ لم يبق زيادة تستجد فتحتاج إلى منزلة مستجدة، فكانت هداية موروثة منسوبة إلى أصل الدور، و معلم الشريعة و البيان، فلا تزال هذه </w:t>
      </w:r>
    </w:p>
    <w:p>
      <w:pPr>
        <w:pStyle w:val="BookText"/>
        <w:rPr/>
      </w:pPr>
      <w:r>
        <w:rPr>
          <w:rFonts w:ascii="Amiri" w:hAnsi="Amiri" w:eastAsia="Amiri" w:cs="Amiri"/>
          <w:color w:val="111111"/>
          <w:sz w:val="28"/>
          <w:sz w:val="28"/>
          <w:szCs w:val="28"/>
          <w:rtl w:val="true"/>
          <w:lang w:bidi="ar-SA"/>
        </w:rPr>
        <w:t>الحالة مستمرة إلى حين تأذن الحكمة الإلهية بتجديد شريعة ثانية، و أمر يحتاج العالم إليه لحفظ نظامه، و لمّا كانت هذه الشريعة، أي شريعة محمد، لا تنسخ، و لا يفقد حكمها حتى قيام الساعة، بقيت الإمامة فيها موجودة، و محفوظة إلى حين قيام الأشهاد، و يوم التناد، فلهذا استمرت الإمامة في العالم دون النبوة، و الوصاية</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و على هذا فكلّ إمام غائب أو حاضر بعد الإمام الصادق يساوي في الفضل و العلم و الكمال الإمام المنصوص في يوم الدار و يوم الغدير، فالإمام الحاضر، أعني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 آغا خان، تساوي كفته في معالي الأُمور كفّة الإمام علي بن أبي طالب عليه السّلام فيقوم بنفس ما يقوم به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ترَى ما هذا الجور في القضاء و الاعتساف في الحكم، فكيف يكون الإمام المذكور إماماً عالماً محيطاً بالشريعة و واقفاً على أسرارها مع أنّه تلقى علومه الأوّلية في مدارس سويسرا فأتقن الانكليزية و الفرنسية و الإسبانية كما درس اللغة العربية و بعد أن أكمل تحصيله في سويسرا انتسب إلى جامعة هارفرد الأمريكية؟</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و الإمام الذي يتلقّى العلوم الظاهرية في المدارس و الجامعات كيف يكون واسطة في الفيض، واقفاً على الأسرار، و إماماً يعادل في التقى و العصمة و العلم و الفضل الأئمّة المعصومين المنصوبين من قبل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كأنّي بابن المعرة يقول</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فيا موت زر إنّ الحياة ذميمة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جد جدي ان سعيك هازل </w:t>
      </w:r>
      <w:bookmarkStart w:id="381" w:name="pg11557_101384"/>
    </w:p>
    <w:p>
      <w:pPr>
        <w:pStyle w:val="Heading5"/>
        <w:numPr>
          <w:ilvl w:val="4"/>
          <w:numId w:val="1"/>
        </w:numPr>
        <w:rPr/>
      </w:pPr>
      <w:bookmarkStart w:id="382" w:name="__RefHeading___Toc4284303_73709187"/>
      <w:bookmarkStart w:id="383" w:name="_Toc135"/>
      <w:bookmarkEnd w:id="381"/>
      <w:bookmarkEnd w:id="382"/>
      <w:r>
        <w:rPr/>
        <w:t>6</w:t>
      </w:r>
      <w:r>
        <w:rPr>
          <w:rtl w:val="true"/>
        </w:rPr>
        <w:t xml:space="preserve"> - </w:t>
      </w:r>
      <w:r>
        <w:rPr>
          <w:rtl w:val="true"/>
        </w:rPr>
        <w:t>في أنّ الإمام لا تجوز غيبته من الأرض</w:t>
      </w:r>
      <w:bookmarkEnd w:id="383"/>
    </w:p>
    <w:p>
      <w:pPr>
        <w:pStyle w:val="BookText"/>
        <w:rPr/>
      </w:pPr>
      <w:r>
        <w:rPr>
          <w:rFonts w:ascii="Amiri" w:hAnsi="Amiri" w:eastAsia="Amiri" w:cs="Amiri"/>
          <w:color w:val="111111"/>
          <w:sz w:val="28"/>
          <w:sz w:val="28"/>
          <w:szCs w:val="28"/>
          <w:rtl w:val="true"/>
          <w:lang w:bidi="ar-SA"/>
        </w:rPr>
        <w:t>إنّ الإمام لا تجوز غيبته عن الأُمة بوجه، و لا بسبب، و إن حدثت فترة فتكون خواص شيعته على اتصال به و يعرفون مقامه، و يدلّون من خلصت نيته إلى مقره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الغيبة لا تخلو من ثلاث خصال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تكون غيبته من قبل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تكون من قبل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تكون من قبل الناس و خيفة من أعدائه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فباطل أن تكون الغيبة من قبل اللّٰه، لأنّ ذلك لا يليق بالحكيم العادل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رجعنا إلى نفسه فلا نجدها من قبلها، لأنّه معصوم من الخطايا و فرض ولايته يوجب حضوره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من قبل الناس، فقد شكّ في دين اللّٰه، لأنّ اللّٰه نصبه و تكفل إيصال الهداية إلى الأُمة به، و عرّفه أنّه لا يخرج من العالم حتى يورث مقامه هادياً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فليس لخوفه من الناس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الإمام هو الحاكم بين عباد اللّٰه، الموهوب له الحكم من الحكيم الخبير و النائب في خلافته على الخلق، الوارث الأرض، و المتصرف بأحكامها و لا يجب زواله و لا عدمه بوجه من الوجوه</w:t>
      </w:r>
      <w:r>
        <w:rPr>
          <w:rFonts w:eastAsia="Amiri" w:cs="Amiri" w:ascii="Amiri" w:hAnsi="Amiri"/>
          <w:color w:val="111111"/>
          <w:sz w:val="28"/>
          <w:szCs w:val="28"/>
          <w:rtl w:val="true"/>
          <w:lang w:bidi="ar-SA"/>
        </w:rPr>
        <w:t>.</w:t>
      </w:r>
      <w:r>
        <w:rPr>
          <w:rStyle w:val="FootnoteAnchor"/>
          <w:rtl w:val="true"/>
        </w:rPr>
        <w:footnoteReference w:id="330"/>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الغيبة ليس هو الغيبة عن عالم الوجود كما تصوّره ذلك الكاتب، بل المراد من الغيبة هو الغيبة عن أعين الناس، فهو يبعث بين الناس فيعرفهم و لا يعرفونه، لا أنّه يخرج من الدنيا و يعيش في عالم آخر يباين ذلك العالم، </w:t>
      </w:r>
    </w:p>
    <w:p>
      <w:pPr>
        <w:pStyle w:val="BookText"/>
        <w:rPr/>
      </w:pPr>
      <w:r>
        <w:rPr>
          <w:rFonts w:ascii="Amiri" w:hAnsi="Amiri" w:eastAsia="Amiri" w:cs="Amiri"/>
          <w:color w:val="111111"/>
          <w:sz w:val="28"/>
          <w:sz w:val="28"/>
          <w:szCs w:val="28"/>
          <w:rtl w:val="true"/>
          <w:lang w:bidi="ar-SA"/>
        </w:rPr>
        <w:t>و هذا يعرب عن أنّ الداعي لم يرجع إلى كتب الإمامية الاثني عشرية، و هو مع ذلك يتصرف في الأُمور حسب مصالح الناس و إن كان الناس لا يعرفونه، و يتشرف بحضوره و يتمتع بلقائه من هو أهل لذلك و إن كان يكتمه و لا يظهره إلّا للخاصة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القرآن الكريم يعرّف لنا ولياً من أوليائه سبحانه، كان يعيش بين الناس و يركب سفينتهم و يتصرف فيها أمام أعينهم و هم لا يعرفونه و يتصرف في أُمور أشد من ذلك يقتل غلاماً معصوماً بإذن من اللّٰه و لا يُلاحَق، و يبني جداراً في حال الانقضاض تحته كنز ليتيمين لغاية الستر عليه حتى يستخرجا كنزهما رحمة من ربه يقول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اَلسَّفِينَةُ فَكٰانَتْ لِمَسٰاكِينَ يَعْمَلُونَ فِي اَلْبَحْرِ فَأَرَدْتُ أَنْ أَعِيبَهٰا وَ كٰانَ وَرٰاءَهُمْ مَلِكٌ يَأْخُذُ كُلَّ سَفِينَةٍ غَصْباً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اَلْغُلاٰمُ فَكٰانَ أَبَوٰاهُ مُؤْمِنَيْنِ فَخَشِينٰا أَنْ يُرْهِقَهُمٰا طُغْيٰاناً وَ كُفْراً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فَأَرَدْنٰا أَنْ يُبْدِلَهُمٰا رَبُّهُمٰا خَيْراً مِنْهُ زَكٰاةً وَ أَقْرَبَ رُحْماً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اَلْجِدٰارُ فَكٰانَ لِغُلاٰمَيْنِ يَتِيمَيْنِ فِي اَلْمَدِينَةِ وَ كٰانَ تَحْتَهُ كَنْزٌ لَهُمٰا وَ كٰانَ أَبُوهُمٰا صٰالِحاً فَأَرٰادَ رَبُّكَ أَنْ يَبْلُغٰا أَشُدَّهُمٰا وَ يَسْتَخْرِجٰا كَنزَهُمٰا رَحْمَةً مِنْ رَبِّكَ</w:t>
      </w:r>
      <w:r>
        <w:rPr>
          <w:rFonts w:eastAsia="Amiri" w:cs="Amiri" w:ascii="Amiri" w:hAnsi="Amiri"/>
          <w:color w:val="111111"/>
          <w:sz w:val="28"/>
          <w:szCs w:val="28"/>
          <w:rtl w:val="true"/>
          <w:lang w:bidi="ar-SA"/>
        </w:rPr>
        <w:t>».</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و قد غاب عن أعين الناس على وجه لم يكن الرسول موسى عليه السّلام عارفاً به، و إنّما عرفه بتعريف من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ذا لا تكون غيبة الإمام بهذه الصورة، أي يكون غائباً عن أعين الناس و لكن متصرفاً في مصالحهم و يلتقي مع خيار أُمته؟</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انّ لأصحابنا كتباً و رسالات حول غيبة الإمام الثاني عشر كشفوا فيها علل الغيبة و مصالحها و فوائدها، فمن أراد فليرجع إليها</w:t>
      </w:r>
      <w:r>
        <w:rPr>
          <w:rFonts w:eastAsia="Amiri" w:cs="Amiri" w:ascii="Amiri" w:hAnsi="Amiri"/>
          <w:color w:val="111111"/>
          <w:sz w:val="28"/>
          <w:szCs w:val="28"/>
          <w:rtl w:val="true"/>
          <w:lang w:bidi="ar-SA"/>
        </w:rPr>
        <w:t>.</w:t>
      </w:r>
      <w:r>
        <w:rPr>
          <w:rStyle w:val="FootnoteAnchor"/>
          <w:rtl w:val="true"/>
        </w:rPr>
        <w:footnoteReference w:id="332"/>
      </w:r>
      <w:bookmarkStart w:id="384" w:name="pg11557_101386"/>
    </w:p>
    <w:p>
      <w:pPr>
        <w:pStyle w:val="Heading5"/>
        <w:numPr>
          <w:ilvl w:val="4"/>
          <w:numId w:val="1"/>
        </w:numPr>
        <w:rPr/>
      </w:pPr>
      <w:bookmarkStart w:id="385" w:name="__RefHeading___Toc4284305_73709187"/>
      <w:bookmarkStart w:id="386" w:name="_Toc136"/>
      <w:bookmarkEnd w:id="384"/>
      <w:bookmarkEnd w:id="385"/>
      <w:r>
        <w:rPr/>
        <w:t>7</w:t>
      </w:r>
      <w:r>
        <w:rPr>
          <w:rtl w:val="true"/>
        </w:rPr>
        <w:t xml:space="preserve"> - </w:t>
      </w:r>
      <w:r>
        <w:rPr>
          <w:rtl w:val="true"/>
        </w:rPr>
        <w:t>في الوصية بعد الرسول صلّى اللّٰه عليه و آله و سلّم إلى الوصي</w:t>
      </w:r>
      <w:bookmarkEnd w:id="386"/>
    </w:p>
    <w:p>
      <w:pPr>
        <w:pStyle w:val="BookText"/>
        <w:rPr/>
      </w:pPr>
      <w:r>
        <w:rPr>
          <w:rFonts w:ascii="Amiri" w:hAnsi="Amiri" w:eastAsia="Amiri" w:cs="Amiri"/>
          <w:color w:val="111111"/>
          <w:sz w:val="28"/>
          <w:sz w:val="28"/>
          <w:szCs w:val="28"/>
          <w:rtl w:val="true"/>
          <w:lang w:bidi="ar-SA"/>
        </w:rPr>
        <w:t>يعتقد بوصية الرسول إلى علي بن أبي طالب عليه السّلام من اثني عشر وجهاً،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لامرئ مسلم أن يبيت ليلتين إلّا و وصيته مكتوبة عند رأسه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إجماعنا على أنّ الرسول استخلف علي في المدينة في غزوة تبوك مقتدياً باستخلاف موسى لأخيه هارون عند مضيه لميقات ربه، و في هذا الاستخلاف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أنت مني بمنزلة هارون من موسى إلّا أنّه لا نبي بعدي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الدار و الإنذار و قد ذكره المفسرون في تفسير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العجب انّه لم يذكر حديث الغدير الذي اتفقت الأُمّة علىٰ نقله</w:t>
      </w:r>
      <w:r>
        <w:rPr>
          <w:rFonts w:eastAsia="Amiri" w:cs="Amiri" w:ascii="Amiri" w:hAnsi="Amiri"/>
          <w:color w:val="111111"/>
          <w:sz w:val="28"/>
          <w:szCs w:val="28"/>
          <w:rtl w:val="true"/>
          <w:lang w:bidi="ar-SA"/>
        </w:rPr>
        <w:t>!!</w:t>
      </w:r>
    </w:p>
    <w:p>
      <w:pPr>
        <w:pStyle w:val="Heading5"/>
        <w:numPr>
          <w:ilvl w:val="4"/>
          <w:numId w:val="1"/>
        </w:numPr>
        <w:rPr/>
      </w:pPr>
      <w:bookmarkStart w:id="387" w:name="__RefHeading___Toc4284307_73709187"/>
      <w:bookmarkStart w:id="388" w:name="_Toc137"/>
      <w:bookmarkEnd w:id="387"/>
      <w:r>
        <w:rPr/>
        <w:t>8</w:t>
      </w:r>
      <w:r>
        <w:rPr>
          <w:rtl w:val="true"/>
        </w:rPr>
        <w:t xml:space="preserve"> - </w:t>
      </w:r>
      <w:r>
        <w:rPr>
          <w:rtl w:val="true"/>
        </w:rPr>
        <w:t>في قعود علي عن الخلافة</w:t>
      </w:r>
      <w:bookmarkEnd w:id="388"/>
    </w:p>
    <w:p>
      <w:pPr>
        <w:pStyle w:val="BookText"/>
        <w:rPr/>
      </w:pPr>
      <w:r>
        <w:rPr>
          <w:rFonts w:ascii="Amiri" w:hAnsi="Amiri" w:eastAsia="Amiri" w:cs="Amiri"/>
          <w:color w:val="111111"/>
          <w:sz w:val="28"/>
          <w:sz w:val="28"/>
          <w:szCs w:val="28"/>
          <w:rtl w:val="true"/>
          <w:lang w:bidi="ar-SA"/>
        </w:rPr>
        <w:t>و يعتقد انّ قعود الوصي بعد الوصية لم يكن عن عجز، و لا تفريط، و ذلك لأنّ الرسول صلّى اللّٰه عليه و آله و سلّم قد أعلمه عن دولة المتغلبين، و عقوبة اللّٰه عزّ و جلّ لهم في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 يا علي في أُمّتي من بعدي أمر، فإن ولّوك في عافية، و أجمعوا عليك في رضى، فقم بأُمورهم، و إن اختلفوا و اتبعوا غيرك، فدعهم و ما هم فيه، فإنّ اللّٰه سيجعل لك مخرجاً</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قام أمير المؤمنين في يوم الجمل و صفين و النهروان قام في الوصية أيضاً لقول الرسول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تقاتل بعدي الناكثين و المارقين و القاسطين</w:t>
      </w:r>
      <w:r>
        <w:rPr>
          <w:rFonts w:eastAsia="Amiri" w:cs="Amiri" w:ascii="Amiri" w:hAnsi="Amiri"/>
          <w:color w:val="111111"/>
          <w:sz w:val="28"/>
          <w:szCs w:val="28"/>
          <w:rtl w:val="true"/>
          <w:lang w:bidi="ar-SA"/>
        </w:rPr>
        <w:t xml:space="preserve">». </w:t>
      </w:r>
      <w:bookmarkStart w:id="389" w:name="pg11557_101387"/>
    </w:p>
    <w:p>
      <w:pPr>
        <w:pStyle w:val="BookText"/>
        <w:rPr/>
      </w:pPr>
      <w:bookmarkEnd w:id="389"/>
      <w:r>
        <w:rPr>
          <w:rFonts w:ascii="Amiri" w:hAnsi="Amiri" w:eastAsia="Amiri" w:cs="Amiri"/>
          <w:color w:val="111111"/>
          <w:sz w:val="28"/>
          <w:sz w:val="28"/>
          <w:szCs w:val="28"/>
          <w:rtl w:val="true"/>
          <w:lang w:bidi="ar-SA"/>
        </w:rPr>
        <w:t>فليت شعري من هؤلاء الذين نكثوا و مرقوا و قسطوا حتى قاتلهم، هل هم غير أُمّة محمد الذين نكثوا بيعة وصيّه و مرقوا عن أمره، و قسطوا و أظهروا الأحقاد الكامنة له و لأهل بيته بالرغم من أوامر الرسول إليهم</w:t>
      </w:r>
      <w:r>
        <w:rPr>
          <w:rFonts w:eastAsia="Amiri" w:cs="Amiri" w:ascii="Amiri" w:hAnsi="Amiri"/>
          <w:color w:val="111111"/>
          <w:sz w:val="28"/>
          <w:szCs w:val="28"/>
          <w:rtl w:val="true"/>
          <w:lang w:bidi="ar-SA"/>
        </w:rPr>
        <w:t>.</w:t>
      </w:r>
      <w:r>
        <w:rPr>
          <w:rStyle w:val="FootnoteAnchor"/>
          <w:rtl w:val="true"/>
        </w:rPr>
        <w:footnoteReference w:id="335"/>
      </w:r>
    </w:p>
    <w:p>
      <w:pPr>
        <w:pStyle w:val="Heading5"/>
        <w:numPr>
          <w:ilvl w:val="4"/>
          <w:numId w:val="1"/>
        </w:numPr>
        <w:rPr/>
      </w:pPr>
      <w:bookmarkStart w:id="390" w:name="__RefHeading___Toc4284309_73709187"/>
      <w:bookmarkStart w:id="391" w:name="_Toc138"/>
      <w:bookmarkEnd w:id="390"/>
      <w:r>
        <w:rPr/>
        <w:t>9</w:t>
      </w:r>
      <w:r>
        <w:rPr>
          <w:rtl w:val="true"/>
        </w:rPr>
        <w:t xml:space="preserve"> - </w:t>
      </w:r>
      <w:r>
        <w:rPr>
          <w:rtl w:val="true"/>
        </w:rPr>
        <w:t>في فساد إمامة المفضول</w:t>
      </w:r>
      <w:bookmarkEnd w:id="391"/>
    </w:p>
    <w:p>
      <w:pPr>
        <w:pStyle w:val="BookText"/>
        <w:rPr/>
      </w:pPr>
      <w:r>
        <w:rPr>
          <w:rFonts w:ascii="Amiri" w:hAnsi="Amiri" w:eastAsia="Amiri" w:cs="Amiri"/>
          <w:color w:val="111111"/>
          <w:sz w:val="28"/>
          <w:sz w:val="28"/>
          <w:szCs w:val="28"/>
          <w:rtl w:val="true"/>
          <w:lang w:bidi="ar-SA"/>
        </w:rPr>
        <w:t>يعتقد فساد إمامة المفضول و إبطال إمامة المشرك الناقض لقوله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اِبْتَلىٰ إِبْرٰاهِيمَ رَبُّهُ بِكَلِمٰاتٍ فَأَتَمَّهُنَّ قٰالَ إِنِّي جٰاعِلُكَ لِلنّٰاسِ إِمٰاماً قٰالَ وَ مِنْ ذُرِّيَّتِي قٰالَ لاٰ يَنٰالُ عَهْدِي اَلظّٰالِمِينَ</w:t>
      </w:r>
      <w:r>
        <w:rPr>
          <w:rFonts w:eastAsia="Amiri" w:cs="Amiri" w:ascii="Amiri" w:hAnsi="Amiri"/>
          <w:color w:val="111111"/>
          <w:sz w:val="28"/>
          <w:szCs w:val="28"/>
          <w:rtl w:val="true"/>
          <w:lang w:bidi="ar-SA"/>
        </w:rPr>
        <w:t>».</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فجلّ ثناؤه و تقدّست أسماؤه بيّن أنّ عهد الإمامة و خلافة اللّٰه تعالى لا تلحق من أشرك باللّٰه طرفة عين، و إنّما يكون ميراثها في الطاهرين المصطفين العلماء،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اَلْكِتٰابَ اَلَّذِينَ اِصْطَفَيْنٰا مِنْ عِبٰادِنٰا فَمِنْهُمْ ظٰالِمٌ لِنَفْسِهِ وَ مِنْهُمْ مُقْتَصِدٌ وَ مِنْهُمْ سٰابِقٌ بِالْخَيْرٰاتِ بِإِذْنِ اَللّٰهِ ذٰلِكَ هُوَ اَلْفَضْلُ اَلْكَبِيرُ</w:t>
      </w:r>
      <w:r>
        <w:rPr>
          <w:rFonts w:eastAsia="Amiri" w:cs="Amiri" w:ascii="Amiri" w:hAnsi="Amiri"/>
          <w:color w:val="111111"/>
          <w:sz w:val="28"/>
          <w:szCs w:val="28"/>
          <w:rtl w:val="true"/>
          <w:lang w:bidi="ar-SA"/>
        </w:rPr>
        <w:t>».</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يَهْدِي إِلَى اَلْحَقِّ أَحَقُّ أَنْ يُتَّبَعَ أَمَّنْ لاٰ يَهِدِّي إِلاّٰ أَنْ يُهْدىٰ فَمٰا لَكُمْ كَيْفَ تَحْكُمُونَ</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و قد ثبت انّ كلّ من دخل في الإسلام من الجاهلية فقد عبد الأصنام و تدنس بالشرك مع ما كانوا يفعلون برسول اللّٰه أيام حياته ممّا هو مشهور غير خفي</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توقف كلّ واحد منهم بعده و حاجتهم إلى علم علي مع طهارته و اصطفائه عليهم في حالتي العلم و الجسم، و كونه لم يسجد لصنم، و لا توقف عن أمر محمد صلّى اللّٰه عليه و آله و سلّم و لا كانت له سابقة في الجاهلية، و لا أشرك في اللّٰه طرفة عين، و لا </w:t>
      </w:r>
      <w:bookmarkStart w:id="392" w:name="pg11557_101388"/>
    </w:p>
    <w:p>
      <w:pPr>
        <w:pStyle w:val="BookText"/>
        <w:rPr/>
      </w:pPr>
      <w:bookmarkEnd w:id="392"/>
      <w:r>
        <w:rPr>
          <w:rFonts w:ascii="Amiri" w:hAnsi="Amiri" w:eastAsia="Amiri" w:cs="Amiri"/>
          <w:color w:val="111111"/>
          <w:sz w:val="28"/>
          <w:sz w:val="28"/>
          <w:szCs w:val="28"/>
          <w:rtl w:val="true"/>
          <w:lang w:bidi="ar-SA"/>
        </w:rPr>
        <w:t>تحمّل، و لا كذب، و لا داهن، و لا مال إلى مفضول، بالرغم من ميل الغير عنه إلى كل مفضول، مع إقرار المفضول على نفسه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ولّيت عليكم و لست بخيركم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غلطت فردّوني، و إن اعوججت فقوّموني، فإنّ لي شيطاناً يغريني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فليت شعري على أي شيء اعتمدوا بتقديم من قدّموه دون نص، أو وصية</w:t>
      </w:r>
      <w:r>
        <w:rPr>
          <w:rFonts w:eastAsia="Amiri" w:cs="Amiri" w:ascii="Amiri" w:hAnsi="Amiri"/>
          <w:color w:val="111111"/>
          <w:sz w:val="28"/>
          <w:szCs w:val="28"/>
          <w:rtl w:val="true"/>
          <w:lang w:bidi="ar-SA"/>
        </w:rPr>
        <w:t>».</w:t>
      </w:r>
      <w:r>
        <w:rPr>
          <w:rStyle w:val="FootnoteAnchor"/>
          <w:rtl w:val="true"/>
        </w:rPr>
        <w:footnoteReference w:id="339"/>
      </w:r>
    </w:p>
    <w:p>
      <w:pPr>
        <w:pStyle w:val="Heading5"/>
        <w:numPr>
          <w:ilvl w:val="4"/>
          <w:numId w:val="1"/>
        </w:numPr>
        <w:rPr/>
      </w:pPr>
      <w:bookmarkStart w:id="393" w:name="__RefHeading___Toc4284311_73709187"/>
      <w:bookmarkStart w:id="394" w:name="_Toc139"/>
      <w:bookmarkEnd w:id="393"/>
      <w:r>
        <w:rPr/>
        <w:t>10</w:t>
      </w:r>
      <w:r>
        <w:rPr>
          <w:rtl w:val="true"/>
        </w:rPr>
        <w:t xml:space="preserve"> - </w:t>
      </w:r>
      <w:r>
        <w:rPr>
          <w:rtl w:val="true"/>
        </w:rPr>
        <w:t>في إبطال اختيار الأُمّة للإمام</w:t>
      </w:r>
      <w:bookmarkEnd w:id="394"/>
    </w:p>
    <w:p>
      <w:pPr>
        <w:pStyle w:val="BookText"/>
        <w:rPr/>
      </w:pPr>
      <w:r>
        <w:rPr>
          <w:rFonts w:ascii="Amiri" w:hAnsi="Amiri" w:eastAsia="Amiri" w:cs="Amiri"/>
          <w:color w:val="111111"/>
          <w:sz w:val="28"/>
          <w:sz w:val="28"/>
          <w:szCs w:val="28"/>
          <w:rtl w:val="true"/>
          <w:lang w:bidi="ar-SA"/>
        </w:rPr>
        <w:t>و يعتقد انّ اختيار الأُمّة لنفسها الإمام غير جائز، لأنّ إقامة الحدود على الأُمّة هي للإمام، ففيها بعض رسوم الشريعة المبسوطة إلى الإمام، من دون الأُمة، فإقامة الإمام الذي تتعلّق به كلّ أُمور الشريعة، لأنّه صاحب المقام العظيم، و المستخلف أولى أن يكون بأمر اللّٰه، و إذا كان إقامة الإمام بأمر اللّٰه كان من ذلك الإيجاب بأنّ الاختيار من الأُمّة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صحّة العلم انّ المختار للإمامة لا يكون إلّا بعد الإحاطة بجميع ما يحتاج إليه في الإمامة من علم الشريعة و الكتاب و الأحكام، ثمّ العلم بأنّ ما عرف ممّا يحتاج إليه في الإمامة موجود فيمن يختاره هو كاف فيه</w:t>
      </w:r>
      <w:r>
        <w:rPr>
          <w:rFonts w:eastAsia="Amiri" w:cs="Amiri" w:ascii="Amiri" w:hAnsi="Amiri"/>
          <w:color w:val="111111"/>
          <w:sz w:val="28"/>
          <w:szCs w:val="28"/>
          <w:rtl w:val="true"/>
          <w:lang w:bidi="ar-SA"/>
        </w:rPr>
        <w:t>.</w:t>
      </w:r>
      <w:r>
        <w:rPr>
          <w:rStyle w:val="FootnoteAnchor"/>
          <w:rtl w:val="true"/>
        </w:rPr>
        <w:footnoteReference w:id="340"/>
      </w:r>
    </w:p>
    <w:p>
      <w:pPr>
        <w:pStyle w:val="Heading5"/>
        <w:numPr>
          <w:ilvl w:val="4"/>
          <w:numId w:val="1"/>
        </w:numPr>
        <w:rPr/>
      </w:pPr>
      <w:bookmarkStart w:id="395" w:name="__RefHeading___Toc4284313_73709187"/>
      <w:bookmarkStart w:id="396" w:name="_Toc140"/>
      <w:bookmarkEnd w:id="395"/>
      <w:r>
        <w:rPr/>
        <w:t>11</w:t>
      </w:r>
      <w:r>
        <w:rPr>
          <w:rtl w:val="true"/>
        </w:rPr>
        <w:t xml:space="preserve"> - </w:t>
      </w:r>
      <w:r>
        <w:rPr>
          <w:rtl w:val="true"/>
        </w:rPr>
        <w:t>في أنّ كلّ متوثب على مرتبة الإمام فهو طاغوت</w:t>
      </w:r>
      <w:bookmarkEnd w:id="396"/>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يعتقد انّ كلّ من دفع الإمام عن مقامه و منزلته و عانده بعد وصية النبي له في كلّ عصر و زمان، إنّما هو المشار إليه باسم الطاغوت، و هو رئيس الجائرين </w:t>
      </w:r>
      <w:bookmarkStart w:id="397" w:name="pg11557_101389"/>
    </w:p>
    <w:p>
      <w:pPr>
        <w:pStyle w:val="BookText"/>
        <w:rPr/>
      </w:pPr>
      <w:bookmarkEnd w:id="397"/>
      <w:r>
        <w:rPr>
          <w:rFonts w:ascii="Amiri" w:hAnsi="Amiri" w:eastAsia="Amiri" w:cs="Amiri"/>
          <w:color w:val="111111"/>
          <w:sz w:val="28"/>
          <w:sz w:val="28"/>
          <w:szCs w:val="28"/>
          <w:rtl w:val="true"/>
          <w:lang w:bidi="ar-SA"/>
        </w:rPr>
        <w:t>الحائدين عن أمر الرسول، المعنيّ بالظالم، الذي توجهت إليه الإشارة و إلى أمثاله في كلّ دور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يَوْمَ يَعَضُّ اَلظّٰالِمُ عَلىٰ يَدَيْهِ يَقُولُ يٰا لَيْتَنِي اِتَّخَذْتُ مَعَ اَلرَّسُولِ سَبِيلاً</w:t>
      </w:r>
      <w:r>
        <w:rPr>
          <w:rFonts w:eastAsia="Amiri" w:cs="Amiri" w:ascii="Amiri" w:hAnsi="Amiri"/>
          <w:color w:val="111111"/>
          <w:sz w:val="28"/>
          <w:szCs w:val="28"/>
          <w:rtl w:val="true"/>
          <w:lang w:bidi="ar-SA"/>
        </w:rPr>
        <w:t>».</w:t>
      </w:r>
      <w:r>
        <w:rPr>
          <w:rStyle w:val="FootnoteAnchor"/>
          <w:rtl w:val="true"/>
        </w:rPr>
        <w:footnoteReference w:id="341"/>
      </w:r>
      <w:r>
        <w:rPr>
          <w:rFonts w:ascii="Amiri" w:hAnsi="Amiri" w:eastAsia="Amiri" w:cs="Amiri"/>
          <w:color w:val="111111"/>
          <w:sz w:val="28"/>
          <w:sz w:val="28"/>
          <w:szCs w:val="28"/>
          <w:rtl w:val="true"/>
          <w:lang w:bidi="ar-SA"/>
        </w:rPr>
        <w:t>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أَضَلَّنِي عَنِ اَلذِّكْرِ بَعْدَ إِذْ جٰاءَنِي وَ كٰانَ اَلشَّيْطٰانُ لِلْإِنْسٰانِ خَذُولاً</w:t>
      </w:r>
      <w:r>
        <w:rPr>
          <w:rFonts w:eastAsia="Amiri" w:cs="Amiri" w:ascii="Amiri" w:hAnsi="Amiri"/>
          <w:color w:val="111111"/>
          <w:sz w:val="28"/>
          <w:szCs w:val="28"/>
          <w:rtl w:val="true"/>
          <w:lang w:bidi="ar-SA"/>
        </w:rPr>
        <w:t>».</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فالطاغوت هو رئيس الجائرين المعتدي على المنصوص عليه، و الشيطان معاضده على الباطل القائم في نصرته المنمِّق للأحاديث الكاذبة ليصرف وجوه الناس إليه، و يصدّهم عن أمر اللّٰه و رسوله بالكون معه، و الطاعة له، و إذا نظروا إلى ما تضمّنته الشريعة، يتبين لهم الأمر على جليته، و تنفتح لهم طرق الهداية و يقع الانتباه و يزول الهوى و يشملهم التوفيق في قصدهم</w:t>
      </w:r>
      <w:r>
        <w:rPr>
          <w:rFonts w:eastAsia="Amiri" w:cs="Amiri" w:ascii="Amiri" w:hAnsi="Amiri"/>
          <w:color w:val="111111"/>
          <w:sz w:val="28"/>
          <w:szCs w:val="28"/>
          <w:rtl w:val="true"/>
          <w:lang w:bidi="ar-SA"/>
        </w:rPr>
        <w:t>.</w:t>
      </w:r>
      <w:r>
        <w:rPr>
          <w:rStyle w:val="FootnoteAnchor"/>
          <w:rtl w:val="true"/>
        </w:rPr>
        <w:footnoteReference w:id="343"/>
      </w:r>
    </w:p>
    <w:p>
      <w:pPr>
        <w:pStyle w:val="Heading5"/>
        <w:numPr>
          <w:ilvl w:val="4"/>
          <w:numId w:val="1"/>
        </w:numPr>
        <w:rPr/>
      </w:pPr>
      <w:bookmarkStart w:id="398" w:name="__RefHeading___Toc4284315_73709187"/>
      <w:bookmarkStart w:id="399" w:name="_Toc141"/>
      <w:bookmarkEnd w:id="398"/>
      <w:r>
        <w:rPr/>
        <w:t>12</w:t>
      </w:r>
      <w:r>
        <w:rPr>
          <w:rtl w:val="true"/>
        </w:rPr>
        <w:t xml:space="preserve"> - </w:t>
      </w:r>
      <w:r>
        <w:rPr>
          <w:rtl w:val="true"/>
        </w:rPr>
        <w:t>في أنّ الأرض لا تخلو من حجّة للّٰه فيها</w:t>
      </w:r>
      <w:bookmarkEnd w:id="399"/>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يعتقد انّ الأرض لا تخلو من حجّة للّٰه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نبي، أو وصي، أو إمام يقوم المسائل، و يقيم الحدود، و يحفظ المراسيم، و يمنع الفساد في الشرع، و يقبل الأعمال، و يزكّي الأفعال، و تقام به الحجة على الطالب، و يزيل المشكلات إذا حلت على المتعلمين، و يركز الأُمة بعد غيبة نبيها، إذا كان شخصه غير مستقر البقاء في العالم، محفوظ النسب، معروف الولادة، متبِع دينَ آبائه، لا يرجع عن أقوالهم، و لا يقدم غيرهم، و لا يكون مأمون خلاف غيره، و لا مشير في الفضيلة إلى سواه، متبوع لا تابع، مقصود لا قاصد، مرغوب في حكمه، و صحّة أفعاله، و تعاليمه، و هدايته، لأنّ الرسول جعله دليلاً للمتعلم، و نجاة للحائر</w:t>
      </w:r>
      <w:r>
        <w:rPr>
          <w:rFonts w:eastAsia="Amiri" w:cs="Amiri" w:ascii="Amiri" w:hAnsi="Amiri"/>
          <w:color w:val="111111"/>
          <w:sz w:val="28"/>
          <w:szCs w:val="28"/>
          <w:rtl w:val="true"/>
          <w:lang w:bidi="ar-SA"/>
        </w:rPr>
        <w:t>.</w:t>
      </w:r>
      <w:r>
        <w:rPr>
          <w:rStyle w:val="FootnoteAnchor"/>
          <w:rtl w:val="true"/>
        </w:rPr>
        <w:footnoteReference w:id="344"/>
      </w:r>
      <w:bookmarkStart w:id="400" w:name="pg11557_101390"/>
    </w:p>
    <w:p>
      <w:pPr>
        <w:pStyle w:val="BookText"/>
        <w:rPr/>
      </w:pPr>
      <w:bookmarkEnd w:id="400"/>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من أنّ الأرض لا تخلو من حجة للّٰه حق، و لكن السبب ليس ما جاء في كلامه من إقامة الحدود، و حفظ المراسم، و منع الفساد؛ فإنّ ذلك يقوم به سائر الولاة أيضاً، و إنّما الوجه انّه الإنسان الكامل و هو الغاية القصوىٰ في الخلقة و يترتب على وجود ذلك الإنسان الكامل بقاء العالم بإذن اللّٰه سبحانه و آخره لحصول الغاية و إلى ذلك يشير الحديث النبوي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بيتي أمان لأهل الأرض، فإذا ذهب أهل بيتي ذهب أهل الأرض</w:t>
      </w:r>
      <w:r>
        <w:rPr>
          <w:rFonts w:eastAsia="Amiri" w:cs="Amiri" w:ascii="Amiri" w:hAnsi="Amiri"/>
          <w:color w:val="111111"/>
          <w:sz w:val="28"/>
          <w:szCs w:val="28"/>
          <w:rtl w:val="true"/>
          <w:lang w:bidi="ar-SA"/>
        </w:rPr>
        <w:t>».</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و سلّم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و أحد عشر من ولدي و أنت يا علي رزّ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أوتادها و جبالها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أوتد اللّٰه الأرض أن تسيخ بأهلها فإذا ذهب الاثنا عشر من ولدي ساخت الأرض بأهلها و لم ينظروا</w:t>
      </w:r>
      <w:r>
        <w:rPr>
          <w:rFonts w:eastAsia="Amiri" w:cs="Amiri" w:ascii="Amiri" w:hAnsi="Amiri"/>
          <w:color w:val="111111"/>
          <w:sz w:val="28"/>
          <w:szCs w:val="28"/>
          <w:rtl w:val="true"/>
          <w:lang w:bidi="ar-SA"/>
        </w:rPr>
        <w:t>».</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و 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بيتي أمان لأهل الأرض، فإذا هلك أهل بيتي جاء أهل الأرض من الآيات ما كانوا يوعدون</w:t>
      </w:r>
      <w:r>
        <w:rPr>
          <w:rFonts w:eastAsia="Amiri" w:cs="Amiri" w:ascii="Amiri" w:hAnsi="Amiri"/>
          <w:color w:val="111111"/>
          <w:sz w:val="28"/>
          <w:szCs w:val="28"/>
          <w:rtl w:val="true"/>
          <w:lang w:bidi="ar-SA"/>
        </w:rPr>
        <w:t>».</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و قال الإمام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بلى لا تخلو الأرض من قائم للّٰه بحجّة إمّا ظاهراً مشهوراً أو خائفاً مغموراً</w:t>
      </w:r>
      <w:r>
        <w:rPr>
          <w:rFonts w:eastAsia="Amiri" w:cs="Amiri" w:ascii="Amiri" w:hAnsi="Amiri"/>
          <w:color w:val="111111"/>
          <w:sz w:val="28"/>
          <w:szCs w:val="28"/>
          <w:rtl w:val="true"/>
          <w:lang w:bidi="ar-SA"/>
        </w:rPr>
        <w:t>».</w:t>
      </w:r>
      <w:r>
        <w:rPr>
          <w:rStyle w:val="FootnoteAnchor"/>
          <w:rtl w:val="true"/>
        </w:rPr>
        <w:footnoteReference w:id="348"/>
      </w:r>
    </w:p>
    <w:p>
      <w:pPr>
        <w:pStyle w:val="Heading5"/>
        <w:numPr>
          <w:ilvl w:val="4"/>
          <w:numId w:val="1"/>
        </w:numPr>
        <w:rPr/>
      </w:pPr>
      <w:bookmarkStart w:id="401" w:name="__RefHeading___Toc4284317_73709187"/>
      <w:bookmarkStart w:id="402" w:name="_Toc142"/>
      <w:bookmarkEnd w:id="401"/>
      <w:r>
        <w:rPr/>
        <w:t>13</w:t>
      </w:r>
      <w:r>
        <w:rPr>
          <w:rtl w:val="true"/>
        </w:rPr>
        <w:t xml:space="preserve"> - </w:t>
      </w:r>
      <w:r>
        <w:rPr>
          <w:rtl w:val="true"/>
        </w:rPr>
        <w:t>منع المبتدي عن الكلام</w:t>
      </w:r>
      <w:bookmarkEnd w:id="402"/>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يُعتقد انّ منع المبتدي عن الكلام في الدين، صفات، و اقتداء بأفعال اللّٰه، و ذلك انّ اللّٰه سبحانه و تعالى قادر على أن يجعل الطفل يتكلم عند خروجه و ولادته، و إنّما تأخر عن الكلام لحكمة أوجبها لتكون لأبويه عنده فضيلة التنطيق، و التلقين، و التعليم، و كذلك المبتدي يمنع من المجادلة، و النطق بما يشق على غيره، </w:t>
      </w:r>
      <w:bookmarkStart w:id="403" w:name="pg11557_101391"/>
    </w:p>
    <w:p>
      <w:pPr>
        <w:pStyle w:val="BookText"/>
        <w:rPr/>
      </w:pPr>
      <w:bookmarkEnd w:id="403"/>
      <w:r>
        <w:rPr>
          <w:rFonts w:ascii="Amiri" w:hAnsi="Amiri" w:eastAsia="Amiri" w:cs="Amiri"/>
          <w:color w:val="111111"/>
          <w:sz w:val="28"/>
          <w:sz w:val="28"/>
          <w:szCs w:val="28"/>
          <w:rtl w:val="true"/>
          <w:lang w:bidi="ar-SA"/>
        </w:rPr>
        <w:t>و متى تعلم من شيخه أو معلّمه القائم له مقام الصورة، فيعلمه الأُصول التي يجب الاحتياط بها نموذجاً يحتذى عليه في خطابه، و كلامه فيما يجب الاحتياط له</w:t>
      </w:r>
      <w:r>
        <w:rPr>
          <w:rFonts w:eastAsia="Amiri" w:cs="Amiri" w:ascii="Amiri" w:hAnsi="Amiri"/>
          <w:color w:val="111111"/>
          <w:sz w:val="28"/>
          <w:szCs w:val="28"/>
          <w:rtl w:val="true"/>
          <w:lang w:bidi="ar-SA"/>
        </w:rPr>
        <w:t>.</w:t>
      </w:r>
      <w:r>
        <w:rPr>
          <w:rStyle w:val="FootnoteAnchor"/>
          <w:rtl w:val="true"/>
        </w:rPr>
        <w:footnoteReference w:id="349"/>
      </w:r>
    </w:p>
    <w:p>
      <w:pPr>
        <w:pStyle w:val="Heading5"/>
        <w:numPr>
          <w:ilvl w:val="4"/>
          <w:numId w:val="1"/>
        </w:numPr>
        <w:rPr/>
      </w:pPr>
      <w:bookmarkStart w:id="404" w:name="__RefHeading___Toc4284319_73709187"/>
      <w:bookmarkStart w:id="405" w:name="_Toc143"/>
      <w:bookmarkEnd w:id="404"/>
      <w:r>
        <w:rPr/>
        <w:t>14</w:t>
      </w:r>
      <w:r>
        <w:rPr>
          <w:rtl w:val="true"/>
        </w:rPr>
        <w:t xml:space="preserve"> - </w:t>
      </w:r>
      <w:r>
        <w:rPr>
          <w:rtl w:val="true"/>
        </w:rPr>
        <w:t>في أنّ القرآن لا ينسخه إلّا قرآن مثله</w:t>
      </w:r>
      <w:bookmarkEnd w:id="405"/>
    </w:p>
    <w:p>
      <w:pPr>
        <w:pStyle w:val="BookText"/>
        <w:rPr/>
      </w:pPr>
      <w:r>
        <w:rPr>
          <w:rFonts w:ascii="Amiri" w:hAnsi="Amiri" w:eastAsia="Amiri" w:cs="Amiri"/>
          <w:color w:val="111111"/>
          <w:sz w:val="28"/>
          <w:sz w:val="28"/>
          <w:szCs w:val="28"/>
          <w:rtl w:val="true"/>
          <w:lang w:bidi="ar-SA"/>
        </w:rPr>
        <w:t>و يعتقد انّ القرآن لا ينسخه إلّا قرآن مثله، و الدلالة على ذلك موافقة السنّة للكتاب،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بَدَّلْنٰا آيَةً مَكٰانَ آيَةٍ وَ اَللّٰهُ أَعْلَمُ بِمٰا يُنَزِّلُ قٰالُوا إِنَّمٰا أَنْتَ مُفْتَرٍ بَلْ أَكْثَرُهُمْ لاٰ يَعْلَمُونَ</w:t>
      </w:r>
      <w:r>
        <w:rPr>
          <w:rFonts w:eastAsia="Amiri" w:cs="Amiri" w:ascii="Amiri" w:hAnsi="Amiri"/>
          <w:color w:val="111111"/>
          <w:sz w:val="28"/>
          <w:szCs w:val="28"/>
          <w:rtl w:val="true"/>
          <w:lang w:bidi="ar-SA"/>
        </w:rPr>
        <w:t>».</w:t>
      </w:r>
      <w:r>
        <w:rPr>
          <w:rStyle w:val="FootnoteAnchor"/>
          <w:rtl w:val="true"/>
        </w:rPr>
        <w:footnoteReference w:id="350"/>
      </w:r>
      <w:r>
        <w:rPr>
          <w:rFonts w:ascii="Amiri" w:hAnsi="Amiri" w:eastAsia="Amiri" w:cs="Amiri"/>
          <w:color w:val="111111"/>
          <w:sz w:val="28"/>
          <w:sz w:val="28"/>
          <w:szCs w:val="28"/>
          <w:rtl w:val="true"/>
          <w:lang w:bidi="ar-SA"/>
        </w:rPr>
        <w:t>و قال النبي صلّى اللّٰه عليه و آله و سلّم في خطبة الوداع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يقولنّ عليَّ أحد منكم ما لم أقله، فإنّي لم أحلل إلّا ما أحلّه اللّٰه في كتابه، و كيف أُخالف كتاب اللّٰه و به هداني؟ و كيف أخالف كتاب اللّٰه و به هداني و عليّ أُنزل؟</w:t>
      </w:r>
      <w:r>
        <w:rPr>
          <w:rFonts w:eastAsia="Amiri" w:cs="Amiri" w:ascii="Amiri" w:hAnsi="Amiri"/>
          <w:color w:val="111111"/>
          <w:sz w:val="28"/>
          <w:szCs w:val="28"/>
          <w:rtl w:val="true"/>
          <w:lang w:bidi="ar-SA"/>
        </w:rPr>
        <w:t>».</w:t>
      </w:r>
      <w:r>
        <w:rPr>
          <w:rStyle w:val="FootnoteAnchor"/>
          <w:rtl w:val="true"/>
        </w:rPr>
        <w:footnoteReference w:id="351"/>
      </w:r>
    </w:p>
    <w:p>
      <w:pPr>
        <w:pStyle w:val="Heading5"/>
        <w:numPr>
          <w:ilvl w:val="4"/>
          <w:numId w:val="1"/>
        </w:numPr>
        <w:rPr/>
      </w:pPr>
      <w:bookmarkStart w:id="406" w:name="__RefHeading___Toc4284321_73709187"/>
      <w:bookmarkStart w:id="407" w:name="_Toc144"/>
      <w:bookmarkEnd w:id="406"/>
      <w:r>
        <w:rPr/>
        <w:t>15</w:t>
      </w:r>
      <w:r>
        <w:rPr>
          <w:rtl w:val="true"/>
        </w:rPr>
        <w:t xml:space="preserve"> - </w:t>
      </w:r>
      <w:r>
        <w:rPr>
          <w:rtl w:val="true"/>
        </w:rPr>
        <w:t>في تخطئة القياس و الاستحسان</w:t>
      </w:r>
      <w:bookmarkEnd w:id="407"/>
    </w:p>
    <w:p>
      <w:pPr>
        <w:pStyle w:val="BookText"/>
        <w:rPr/>
      </w:pPr>
      <w:r>
        <w:rPr>
          <w:rFonts w:ascii="Amiri" w:hAnsi="Amiri" w:eastAsia="Amiri" w:cs="Amiri"/>
          <w:color w:val="111111"/>
          <w:sz w:val="28"/>
          <w:sz w:val="28"/>
          <w:szCs w:val="28"/>
          <w:rtl w:val="true"/>
          <w:lang w:bidi="ar-SA"/>
        </w:rPr>
        <w:t>لا ترخّص الشيعة قاطبة القضاء و الافتاء بالقياس و الاستحسان، و الرأي غير المستنبط من الكتاب و السنّة و يظهر من الداعي علي بن محمد الوليد، اتّفاق الإسماعيلية على منع العمل به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الخطأ، القول بالرأي، و القياس، و الاجتهاد و الاستحسان، بدليل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تَقُولُوا لِمٰا تَصِفُ أَلْسِنَتُكُمُ اَلْكَذِبَ هٰذٰا حَلاٰلٌ وَ هٰذٰا حَرٰامٌ لِتَفْتَرُوا عَلَى اَللّٰهِ اَلْكَذِبَ إِنَّ اَلَّذِينَ يَفْتَرُونَ عَلَى اَللّٰهِ اَلْكَذِبَ لاٰ يُفْلِحُونَ</w:t>
      </w:r>
      <w:r>
        <w:rPr>
          <w:rFonts w:eastAsia="Amiri" w:cs="Amiri" w:ascii="Amiri" w:hAnsi="Amiri"/>
          <w:color w:val="111111"/>
          <w:sz w:val="28"/>
          <w:szCs w:val="28"/>
          <w:rtl w:val="true"/>
          <w:lang w:bidi="ar-SA"/>
        </w:rPr>
        <w:t>».</w:t>
      </w:r>
      <w:r>
        <w:rPr>
          <w:rStyle w:val="FootnoteAnchor"/>
          <w:rtl w:val="true"/>
        </w:rPr>
        <w:footnoteReference w:id="352"/>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قٰالُوا لَنْ تَمَسَّنَا اَلنّٰارُ إِلاّٰ أَيّٰاماً مَعْدُودَةً قُلْ أَتَّخَذْتُمْ عِنْدَ </w:t>
      </w:r>
    </w:p>
    <w:p>
      <w:pPr>
        <w:pStyle w:val="BookText"/>
        <w:rPr/>
      </w:pPr>
      <w:r>
        <w:rPr>
          <w:rFonts w:ascii="Amiri" w:hAnsi="Amiri" w:eastAsia="Amiri" w:cs="Amiri"/>
          <w:color w:val="111111"/>
          <w:sz w:val="28"/>
          <w:sz w:val="28"/>
          <w:szCs w:val="28"/>
          <w:rtl w:val="true"/>
          <w:lang w:bidi="ar-SA"/>
        </w:rPr>
        <w:t>اَللّٰهِ عَهْداً فَلَنْ يُخْلِفَ اَللّٰهُ عَهْدَهُ أَمْ تَقُولُونَ عَلَى اَللّٰهِ مٰا لاٰ تَعْلَمُونَ</w:t>
      </w:r>
      <w:r>
        <w:rPr>
          <w:rFonts w:eastAsia="Amiri" w:cs="Amiri" w:ascii="Amiri" w:hAnsi="Amiri"/>
          <w:color w:val="111111"/>
          <w:sz w:val="28"/>
          <w:szCs w:val="28"/>
          <w:rtl w:val="true"/>
          <w:lang w:bidi="ar-SA"/>
        </w:rPr>
        <w:t>».</w:t>
      </w:r>
      <w:r>
        <w:rPr>
          <w:rStyle w:val="FootnoteAnchor"/>
          <w:rtl w:val="true"/>
        </w:rPr>
        <w:footnoteReference w:id="353"/>
      </w:r>
      <w:r>
        <w:rPr>
          <w:rFonts w:ascii="Amiri" w:hAnsi="Amiri" w:eastAsia="Amiri" w:cs="Amiri"/>
          <w:color w:val="111111"/>
          <w:sz w:val="28"/>
          <w:sz w:val="28"/>
          <w:szCs w:val="28"/>
          <w:rtl w:val="true"/>
          <w:lang w:bidi="ar-SA"/>
        </w:rPr>
        <w:t>فالقائل في الدين برأيه و اجتهاده قائل عن اللّٰه ما لا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اتبعوا و لا تبدعوا، فإنّ البدعة رأس كلّ ضلالة، و كلّ ضلالة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عبد اللّٰه بن جعفر بن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 خصلتان فيهما هلك من هلك، إيّاك أن تكتفي برأيك، أو تدين بما لا 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 القياس، فإنّ أوّل من قاس إبليس فأخطأ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مٰا مَنَعَكَ أَلاّٰ تَسْجُدَ إِذْ أَمَرْتُكَ قٰالَ أَنَا خَيْرٌ مِنْهُ خَلَقْتَنِي مِنْ نٰارٍ وَ خَلَقْتَهُ مِنْ طِينٍ</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فالدين لا يصح إلّا بالاقتداء و الاتباع للكتاب و السنّة، و الرضا، و التسليم، إلى الهادي الذي عرفناه، و رضيناه من غير ابتداع، و لا قول برأي و لا قياس، و لا تقليد 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قد بان لك رشده فاتبعه، و أمر بان لك غيّه فاجتنبه، و أمر أشكل عليك فرده إلى أهله</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الإمام جعفر بن محمد لأبي حنيفة النعمان القائل بالرأي و القياس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نعمان بلغني انّك تعمل بالقياس، فأخبرني إن كنت مصيباً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جعلت العين مالحة، و المنخران رطبان، و الأُذنان مرّتان، و اللسان 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فأخبرني جعلت فداك؟ فقال 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العين مالحة لأنّها شحمة، و لا تصلحها إلّا الملوحة؛ و الأنف رطب لأنّه مجرى الدماغ و النفس؛ و الأُذن مرّة لقتل الدواب، متى دخلتها؛ و جعل اللسان عذب ليعرف به طعوم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نعمان إذا لم تعرف </w:t>
      </w:r>
    </w:p>
    <w:p>
      <w:pPr>
        <w:pStyle w:val="BookText"/>
        <w:rPr/>
      </w:pPr>
      <w:r>
        <w:rPr>
          <w:rFonts w:ascii="Amiri" w:hAnsi="Amiri" w:eastAsia="Amiri" w:cs="Amiri"/>
          <w:color w:val="111111"/>
          <w:sz w:val="28"/>
          <w:sz w:val="28"/>
          <w:szCs w:val="28"/>
          <w:rtl w:val="true"/>
          <w:lang w:bidi="ar-SA"/>
        </w:rPr>
        <w:t>ما جعله اللّٰه في بنيتك، و أحكمه في صورتك لتمام منافعك، فكيف تقيس على دين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جعلت فداك، لم تقضي الحائض الصيام دون الصلاة؟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الصلاة تكرر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لم وجب الغسل من الجنابة، و الوضوء من الغائط؟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الجنابة تخرج من جميع الجسد، بينما الغائط من مكان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لم فضّل الرجل في الفرائض على الامرأة مع ضعفها، و قوته؟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اللّٰه تعالى جعل الرجال قوامين على النساء، ينفقون عليهن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أبو حنيفة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أَعْلَمُ حَيْثُ يَجْعَلُ رِسٰالَتَهُ</w:t>
      </w:r>
      <w:r>
        <w:rPr>
          <w:rFonts w:eastAsia="Amiri" w:cs="Amiri" w:ascii="Amiri" w:hAnsi="Amiri"/>
          <w:color w:val="111111"/>
          <w:sz w:val="28"/>
          <w:szCs w:val="28"/>
          <w:rtl w:val="true"/>
          <w:lang w:bidi="ar-SA"/>
        </w:rPr>
        <w:t>».</w:t>
      </w:r>
      <w:r>
        <w:rPr>
          <w:rStyle w:val="FootnoteAnchor"/>
          <w:rtl w:val="true"/>
        </w:rPr>
        <w:footnoteReference w:id="355"/>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فترك القياس سعادة للمكلّف، و ضبط له عن الخوض في دين اللّٰه برأي النفس، و الهوى الغالب، فإنّ أصل الشريعة ليس بقياس، لأنّه أخذ عن اللّٰه تعالى بتعليم الملك، و أخذ من الرسول بتعليم دون قياس، و أخذ من الوصي بتعليم النبي، و أخذ من الإمام بتعليم الوصي، و أخذ الرجال بتعليم الإمام دون رأي من يرى، و قياس من قاس، و اجتهاد من اجتهد، بالظنون الكاذبة، و الرأي، و الآراء المتناقضة</w:t>
      </w:r>
      <w:r>
        <w:rPr>
          <w:rFonts w:eastAsia="Amiri" w:cs="Amiri" w:ascii="Amiri" w:hAnsi="Amiri"/>
          <w:color w:val="111111"/>
          <w:sz w:val="28"/>
          <w:szCs w:val="28"/>
          <w:rtl w:val="true"/>
          <w:lang w:bidi="ar-SA"/>
        </w:rPr>
        <w:t>.</w:t>
      </w:r>
      <w:r>
        <w:rPr>
          <w:rStyle w:val="FootnoteAnchor"/>
          <w:rtl w:val="true"/>
        </w:rPr>
        <w:footnoteReference w:id="356"/>
      </w:r>
      <w:bookmarkStart w:id="408" w:name="pg11557_101394"/>
    </w:p>
    <w:p>
      <w:pPr>
        <w:pStyle w:val="BookText"/>
        <w:rPr/>
      </w:pPr>
      <w:bookmarkEnd w:id="408"/>
      <w:r>
        <w:rPr>
          <w:rFonts w:ascii="Amiri" w:hAnsi="Amiri" w:eastAsia="Amiri" w:cs="Amiri"/>
          <w:color w:val="111111"/>
          <w:sz w:val="28"/>
          <w:sz w:val="28"/>
          <w:szCs w:val="28"/>
          <w:rtl w:val="true"/>
          <w:lang w:bidi="ar-SA"/>
        </w:rPr>
        <w:t>الإسماعيلية و الأُصول الخمسة</w:t>
      </w:r>
    </w:p>
    <w:p>
      <w:pPr>
        <w:pStyle w:val="Heading3"/>
        <w:numPr>
          <w:ilvl w:val="2"/>
          <w:numId w:val="1"/>
        </w:numPr>
        <w:rPr/>
      </w:pPr>
      <w:bookmarkStart w:id="409" w:name="__RefHeading___Toc4284323_73709187"/>
      <w:bookmarkStart w:id="410" w:name="_Toc145"/>
      <w:bookmarkEnd w:id="409"/>
      <w:r>
        <w:rPr>
          <w:rtl w:val="true"/>
        </w:rPr>
        <w:t>(</w:t>
      </w:r>
      <w:r>
        <w:rPr/>
        <w:t>5</w:t>
      </w:r>
      <w:r>
        <w:rPr>
          <w:rtl w:val="true"/>
        </w:rPr>
        <w:t xml:space="preserve">) </w:t>
      </w:r>
      <w:r>
        <w:rPr>
          <w:rtl w:val="true"/>
        </w:rPr>
        <w:t>عقيدتهم في المعاد و ما يرتبط به</w:t>
      </w:r>
      <w:bookmarkEnd w:id="410"/>
    </w:p>
    <w:p>
      <w:pPr>
        <w:pStyle w:val="Heading4"/>
        <w:numPr>
          <w:ilvl w:val="3"/>
          <w:numId w:val="1"/>
        </w:numPr>
        <w:rPr/>
      </w:pPr>
      <w:bookmarkStart w:id="411" w:name="__RefHeading___Toc4284325_73709187"/>
      <w:bookmarkStart w:id="412" w:name="_Toc146"/>
      <w:bookmarkEnd w:id="411"/>
      <w:r>
        <w:rPr>
          <w:rtl w:val="true"/>
        </w:rPr>
        <w:t>اشارة</w:t>
      </w:r>
      <w:bookmarkEnd w:id="412"/>
    </w:p>
    <w:p>
      <w:pPr>
        <w:pStyle w:val="BookText"/>
        <w:rPr/>
      </w:pPr>
      <w:r>
        <w:rPr>
          <w:rFonts w:ascii="Amiri" w:hAnsi="Amiri" w:eastAsia="Amiri" w:cs="Amiri"/>
          <w:color w:val="111111"/>
          <w:sz w:val="28"/>
          <w:sz w:val="28"/>
          <w:szCs w:val="28"/>
          <w:rtl w:val="true"/>
          <w:lang w:bidi="ar-SA"/>
        </w:rPr>
        <w:t>المعاد بمعنى عود الإنسان إلى الحياة الجديدة من أُسس الشرائع السماوية و هي حقيقة لا تنفك عن الإيمان باللّٰه، لذا نرى أنّ أصحاب الشرائع اتّفقوا على وجود المعاد بعد الموت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اَللّٰهَ يَبْعَثُ مَنْ فِي اَلْقُبُورِ</w:t>
      </w:r>
      <w:r>
        <w:rPr>
          <w:rFonts w:eastAsia="Amiri" w:cs="Amiri" w:ascii="Amiri" w:hAnsi="Amiri"/>
          <w:color w:val="111111"/>
          <w:sz w:val="28"/>
          <w:szCs w:val="28"/>
          <w:rtl w:val="true"/>
          <w:lang w:bidi="ar-SA"/>
        </w:rPr>
        <w:t>».</w:t>
      </w:r>
      <w:r>
        <w:rPr>
          <w:rStyle w:val="FootnoteAnchor"/>
          <w:rtl w:val="true"/>
        </w:rPr>
        <w:footnoteReference w:id="357"/>
      </w:r>
      <w:r>
        <w:rPr>
          <w:rFonts w:ascii="Amiri" w:hAnsi="Amiri" w:eastAsia="Amiri" w:cs="Amiri"/>
          <w:color w:val="111111"/>
          <w:sz w:val="28"/>
          <w:sz w:val="28"/>
          <w:szCs w:val="28"/>
          <w:rtl w:val="true"/>
          <w:lang w:bidi="ar-SA"/>
        </w:rPr>
        <w:t>و لو لا القول بالمعاد لما قام للدين عمود، و لا اخضرّ له 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اختلفوا في كونه جسمانياً أو روحانياً و على فرض كونه جسمانياً فهل الجسم المعاد جسم لطيف برزخي أو جسم عنصري؟</w:t>
      </w:r>
    </w:p>
    <w:p>
      <w:pPr>
        <w:pStyle w:val="BookText"/>
        <w:rPr/>
      </w:pPr>
      <w:r>
        <w:rPr>
          <w:rFonts w:ascii="Amiri" w:hAnsi="Amiri" w:eastAsia="Amiri" w:cs="Amiri"/>
          <w:color w:val="111111"/>
          <w:sz w:val="28"/>
          <w:sz w:val="28"/>
          <w:szCs w:val="28"/>
          <w:rtl w:val="true"/>
          <w:lang w:bidi="ar-SA"/>
        </w:rPr>
        <w:t>و الإمعان في الآيات الواردة حول المعاد يثبت الأخير بلا شك، فهلمّ معي ندرس عقيدة الإسماعيلية في المعاد و كيفيته</w:t>
      </w:r>
      <w:r>
        <w:rPr>
          <w:rFonts w:eastAsia="Amiri" w:cs="Amiri" w:ascii="Amiri" w:hAnsi="Amiri"/>
          <w:color w:val="111111"/>
          <w:sz w:val="28"/>
          <w:szCs w:val="28"/>
          <w:rtl w:val="true"/>
          <w:lang w:bidi="ar-SA"/>
        </w:rPr>
        <w:t>.</w:t>
      </w:r>
    </w:p>
    <w:p>
      <w:pPr>
        <w:pStyle w:val="Heading4"/>
        <w:numPr>
          <w:ilvl w:val="3"/>
          <w:numId w:val="1"/>
        </w:numPr>
        <w:rPr/>
      </w:pPr>
      <w:bookmarkStart w:id="413" w:name="__RefHeading___Toc4284327_73709187"/>
      <w:bookmarkStart w:id="414" w:name="_Toc147"/>
      <w:bookmarkEnd w:id="413"/>
      <w:r>
        <w:rPr/>
        <w:t>1</w:t>
      </w:r>
      <w:r>
        <w:rPr>
          <w:rtl w:val="true"/>
        </w:rPr>
        <w:t xml:space="preserve"> - </w:t>
      </w:r>
      <w:r>
        <w:rPr>
          <w:rtl w:val="true"/>
        </w:rPr>
        <w:t>في أنّ المعاد روحاني لا جسماني</w:t>
      </w:r>
      <w:bookmarkEnd w:id="414"/>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الكرماني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بيان النشأة الأُولى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اللّٰه ينشأ النشأة الآخرة،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عَلِمْتُمُ اَلنَّشْأَةَ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خلق أجسامكم من قبيل جسمكم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تَذَكَّرُونَ</w:t>
      </w:r>
      <w:r>
        <w:rPr>
          <w:rFonts w:eastAsia="Amiri" w:cs="Amiri" w:ascii="Amiri" w:hAnsi="Amiri"/>
          <w:color w:val="111111"/>
          <w:sz w:val="28"/>
          <w:szCs w:val="28"/>
          <w:rtl w:val="true"/>
          <w:lang w:bidi="ar-SA"/>
        </w:rPr>
        <w:t>»</w:t>
      </w:r>
      <w:r>
        <w:rPr>
          <w:rStyle w:val="FootnoteAnchor"/>
          <w:rtl w:val="true"/>
        </w:rPr>
        <w:footnoteReference w:id="358"/>
      </w:r>
      <w:r>
        <w:rPr>
          <w:rFonts w:ascii="Amiri" w:hAnsi="Amiri" w:eastAsia="Amiri" w:cs="Amiri"/>
          <w:color w:val="111111"/>
          <w:sz w:val="28"/>
          <w:sz w:val="28"/>
          <w:szCs w:val="28"/>
          <w:rtl w:val="true"/>
          <w:lang w:bidi="ar-SA"/>
        </w:rPr>
        <w:t xml:space="preserve">فهلا تتفكرون و توازنون و تعلمون انّ النظام في الخلق و البعث واحد، و انّ النشأة الآخرة هي خلق الأرواح و إحياؤها بروح القدس </w:t>
      </w:r>
    </w:p>
    <w:p>
      <w:pPr>
        <w:pStyle w:val="BookText"/>
        <w:rPr/>
      </w:pPr>
      <w:r>
        <w:rPr>
          <w:rFonts w:ascii="Amiri" w:hAnsi="Amiri" w:eastAsia="Amiri" w:cs="Amiri"/>
          <w:color w:val="111111"/>
          <w:sz w:val="28"/>
          <w:sz w:val="28"/>
          <w:szCs w:val="28"/>
          <w:rtl w:val="true"/>
          <w:lang w:bidi="ar-SA"/>
        </w:rPr>
        <w:t>على مثال النشأة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أفاض في الكلام و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الإنسان في عالم الاحشاء يكتسب آلات ليحس بها الكمالات عند مصيره إلى عالم الدنيا، فهكذا هو في عالم الجسم و الدنيا يكتسب آلات ليلتذ بها عند مسيره إلى عالم الآخرة، فكما أنّه يستغني عند مسيره من عالم الاحشاء إلى عالم الحس عمّا فيها، فهكذا عند مسيره من عالم الحس إلى عالم الآخرة و إليك عبارته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الأمر في وجود النفس و كمالها كالأمر في جسمها كما نطق به الكتاب الكريم، فالإنسان ينتقل من رتبة النطفية إلى رتبة العلقية، و من رتبة العلقية إلى رتبة المضغية و من رتبة المضغية كذلك أن يحصل له الآلات من عين و أُذن و يد و رجل و أنف و لسان و غير ذلك من الأُمور ليقوم بالفعل بها عند مصيره إلى عالم الحس إذ كان وجودها له في تلك الظلمات و ضيق الأحشاء لا لها، بل لفسحة الدنيا و ما فيها فيكون ما يلتذ به أو يألم بحسب ما اكتسب في الأحشاء من الآلات، فهكذا وجودها في جسمها لا له بل لذاتها التي تليق بعالم آخر إليه مصيرها و عند مفارقة الجسم من جسمها مصيراً إلى الآخرة التي إليها إنهاؤها كمفارقة جسمها الأحشاء مصيراً إلى عالم الحس الذي إليه وروده و تكون ذاتها في آخرتها لذاتها آلة تجد بها الملاذ كالجسم الذي هو لها في دنياها آلة تجد بها الملاذ، و ما يحصل لها من روح القدس في ذلك العالم كالروح الحسي الذي يحصل للجسم في هذا العالم</w:t>
      </w:r>
      <w:r>
        <w:rPr>
          <w:rFonts w:eastAsia="Amiri" w:cs="Amiri" w:ascii="Amiri" w:hAnsi="Amiri"/>
          <w:color w:val="111111"/>
          <w:sz w:val="28"/>
          <w:szCs w:val="28"/>
          <w:rtl w:val="true"/>
          <w:lang w:bidi="ar-SA"/>
        </w:rPr>
        <w:t>.</w:t>
      </w:r>
      <w:r>
        <w:rPr>
          <w:rStyle w:val="FootnoteAnchor"/>
          <w:rtl w:val="true"/>
        </w:rPr>
        <w:footnoteReference w:id="359"/>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تأمل فيما أفاض يذعن بأنّ المعاد عندهم روحاني لا جسماني، و قد صرح بذلك أيضاً الداعي علي بن محمد الوليد،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يعتقد انّ اللّٰه تعالى دعانا على ألسنة وسائطه بقبول أمره، إلى دار غير هذه الدار فهذه الدار صورية و تلك مادية و ما بينهما صوري و مادي</w:t>
      </w:r>
      <w:r>
        <w:rPr>
          <w:rFonts w:eastAsia="Amiri" w:cs="Amiri" w:ascii="Amiri" w:hAnsi="Amiri"/>
          <w:color w:val="111111"/>
          <w:sz w:val="28"/>
          <w:szCs w:val="28"/>
          <w:rtl w:val="true"/>
          <w:lang w:bidi="ar-SA"/>
        </w:rPr>
        <w:t>.</w:t>
      </w:r>
      <w:r>
        <w:rPr>
          <w:rStyle w:val="FootnoteAnchor"/>
          <w:rtl w:val="true"/>
        </w:rPr>
        <w:footnoteReference w:id="360"/>
      </w:r>
      <w:bookmarkStart w:id="415" w:name="pg11557_101396"/>
    </w:p>
    <w:p>
      <w:pPr>
        <w:pStyle w:val="Heading4"/>
        <w:numPr>
          <w:ilvl w:val="3"/>
          <w:numId w:val="1"/>
        </w:numPr>
        <w:rPr/>
      </w:pPr>
      <w:bookmarkStart w:id="416" w:name="__RefHeading___Toc4284329_73709187"/>
      <w:bookmarkStart w:id="417" w:name="_Toc148"/>
      <w:bookmarkEnd w:id="415"/>
      <w:bookmarkEnd w:id="416"/>
      <w:r>
        <w:rPr/>
        <w:t>2</w:t>
      </w:r>
      <w:r>
        <w:rPr>
          <w:rtl w:val="true"/>
        </w:rPr>
        <w:t xml:space="preserve"> - </w:t>
      </w:r>
      <w:r>
        <w:rPr>
          <w:rtl w:val="true"/>
        </w:rPr>
        <w:t>في التناسخ</w:t>
      </w:r>
      <w:bookmarkEnd w:id="417"/>
    </w:p>
    <w:p>
      <w:pPr>
        <w:pStyle w:val="BookText"/>
        <w:rPr/>
      </w:pPr>
      <w:r>
        <w:rPr>
          <w:rFonts w:ascii="Amiri" w:hAnsi="Amiri" w:eastAsia="Amiri" w:cs="Amiri"/>
          <w:color w:val="111111"/>
          <w:sz w:val="28"/>
          <w:sz w:val="28"/>
          <w:szCs w:val="28"/>
          <w:rtl w:val="true"/>
          <w:lang w:bidi="ar-SA"/>
        </w:rPr>
        <w:t>و هو عود الروح بعد مفارقة البدن إلى الدنيا عن طريق تعلقها ببدن آخر كتعلّقها بالجنين عند استعدادها لإفاضة الروح و له أقسام مذكورة في محلّها</w:t>
      </w:r>
      <w:r>
        <w:rPr>
          <w:rFonts w:eastAsia="Amiri" w:cs="Amiri" w:ascii="Amiri" w:hAnsi="Amiri"/>
          <w:color w:val="111111"/>
          <w:sz w:val="28"/>
          <w:szCs w:val="28"/>
          <w:rtl w:val="true"/>
          <w:lang w:bidi="ar-SA"/>
        </w:rPr>
        <w:t>.</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و ربما ينسب القول بالتناسخ إلى الإسماعيليّة، و لكن النسبة في غير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الداعي الكرماني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يرى الجزاء، مثل محمد بن زكريا و الغلاة و أهل التناسخ، و انّه يكون في الدنيا، فمن اعتقادهم انّ هذه الأنفس لها وجود قبل أشخاصها بخلاف اعتقاد الدهرية و أمثالها ممّن ينحون نحوهم الذين يقولون انّ وجودها بوجود أشخاصها،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جوهر تتردد في الهياكل بحسب اكتسابها إلى أن تصفو و تعود، فقد</w:t>
      </w:r>
      <w:r>
        <w:rPr>
          <w:rStyle w:val="FootnoteAnchor"/>
          <w:rtl w:val="true"/>
        </w:rPr>
        <w:footnoteReference w:id="362"/>
      </w:r>
      <w:r>
        <w:rPr>
          <w:rFonts w:ascii="Amiri" w:hAnsi="Amiri" w:eastAsia="Amiri" w:cs="Amiri"/>
          <w:color w:val="111111"/>
          <w:sz w:val="28"/>
          <w:sz w:val="28"/>
          <w:szCs w:val="28"/>
          <w:rtl w:val="true"/>
          <w:lang w:bidi="ar-SA"/>
        </w:rPr>
        <w:t xml:space="preserve">أوردنا في كتابنا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غيرهما من رسائلنا في فساد قولهم ما يغني سيّما ما يختص بذلك في كتابنا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المقاييس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 على الغلاة و أشباههم</w:t>
      </w:r>
      <w:r>
        <w:rPr>
          <w:rFonts w:eastAsia="Amiri" w:cs="Amiri" w:ascii="Amiri" w:hAnsi="Amiri"/>
          <w:color w:val="111111"/>
          <w:sz w:val="28"/>
          <w:szCs w:val="28"/>
          <w:rtl w:val="true"/>
          <w:lang w:bidi="ar-SA"/>
        </w:rPr>
        <w:t>.</w:t>
      </w:r>
      <w:r>
        <w:rPr>
          <w:rStyle w:val="FootnoteAnchor"/>
          <w:rtl w:val="true"/>
        </w:rPr>
        <w:footnoteReference w:id="363"/>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الكاتب الإسماعيلي مصطفى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يذهب أكثر الذين كتبوا عن عقائد الإسماعيليّة من القدماء و المحدثين بأنّ الإسماعيليّة يقولون بتناسخ الأرواح، أي أنّ الروح بعد الموت تنتقل إلى إنسان آخر أو إلى حيوان أو نبات على نحو ما نراه في العقيدة البوذية أو النصيرية مثلاً، و يمكننا بعد أن درسنا كتب الإسماعيلية السرية و العلنية دراسة دقيقة، أن نقول بأنّهم لا يدينون مطلقاً بالتناسخ، بل ذهبوا إلى أنّ الإنسان بعد موته يستحيل عنصره الترابي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يجانسه من التراب، و ينتقل عنصره الروحي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الملأ الأعلىٰ، فإن كان الإنسان في حياته مؤمناً بالإمام فهي تحشر في زمرة الصالحين و تصبح ملكاً مدبراً، و إن كان </w:t>
      </w:r>
      <w:bookmarkStart w:id="418" w:name="pg11557_101397"/>
    </w:p>
    <w:p>
      <w:pPr>
        <w:pStyle w:val="BookText"/>
        <w:rPr/>
      </w:pPr>
      <w:bookmarkEnd w:id="418"/>
      <w:r>
        <w:rPr>
          <w:rFonts w:ascii="Amiri" w:hAnsi="Amiri" w:eastAsia="Amiri" w:cs="Amiri"/>
          <w:color w:val="111111"/>
          <w:sz w:val="28"/>
          <w:sz w:val="28"/>
          <w:szCs w:val="28"/>
          <w:rtl w:val="true"/>
          <w:lang w:bidi="ar-SA"/>
        </w:rPr>
        <w:t>شريراً عاصياً لإمامه حشرت مع الأبالسة و الشياطين و هم أعداء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الإمام نفسه يجري على جسده مثلما يجري على سائر الأجساد بعد الموت، حيث يتحلّل كل قسم إلى ما يناسبه، فالجسم الترابي يعود إلى التراب، و النفس الشريفة تعود إلى ما يجانسها و يناسبها، فتصبح نفس الإمام عقلاً من العقول المدبرة للعالم، فلا تتناسخ و لا تتلاشىٰ أي تتقمص</w:t>
      </w:r>
      <w:r>
        <w:rPr>
          <w:rFonts w:eastAsia="Amiri" w:cs="Amiri" w:ascii="Amiri" w:hAnsi="Amiri"/>
          <w:color w:val="111111"/>
          <w:sz w:val="28"/>
          <w:szCs w:val="28"/>
          <w:rtl w:val="true"/>
          <w:lang w:bidi="ar-SA"/>
        </w:rPr>
        <w:t>.</w:t>
      </w:r>
      <w:r>
        <w:rPr>
          <w:rStyle w:val="FootnoteAnchor"/>
          <w:rtl w:val="true"/>
        </w:rPr>
        <w:footnoteReference w:id="364"/>
      </w:r>
    </w:p>
    <w:p>
      <w:pPr>
        <w:pStyle w:val="Heading4"/>
        <w:numPr>
          <w:ilvl w:val="3"/>
          <w:numId w:val="1"/>
        </w:numPr>
        <w:rPr/>
      </w:pPr>
      <w:bookmarkStart w:id="419" w:name="__RefHeading___Toc4284331_73709187"/>
      <w:bookmarkStart w:id="420" w:name="_Toc149"/>
      <w:bookmarkEnd w:id="419"/>
      <w:r>
        <w:rPr/>
        <w:t>3</w:t>
      </w:r>
      <w:r>
        <w:rPr>
          <w:rtl w:val="true"/>
        </w:rPr>
        <w:t xml:space="preserve"> - </w:t>
      </w:r>
      <w:r>
        <w:rPr>
          <w:rtl w:val="true"/>
        </w:rPr>
        <w:t>في الحساب</w:t>
      </w:r>
      <w:bookmarkEnd w:id="420"/>
    </w:p>
    <w:p>
      <w:pPr>
        <w:pStyle w:val="BookText"/>
        <w:rPr/>
      </w:pPr>
      <w:r>
        <w:rPr>
          <w:rFonts w:ascii="Amiri" w:hAnsi="Amiri" w:eastAsia="Amiri" w:cs="Amiri"/>
          <w:color w:val="111111"/>
          <w:sz w:val="28"/>
          <w:sz w:val="28"/>
          <w:szCs w:val="28"/>
          <w:rtl w:val="true"/>
          <w:lang w:bidi="ar-SA"/>
        </w:rPr>
        <w:t>و الحساب تابع للبعث و هو فعل يحدث عنه من النفس للنفس الثواب الذي هو الملاذ و المسار، و العقاب الذي هو الألم و العذاب و الغم، و ينقسم هذا الفعل إلى ما يكون وجوده في الدنيا، و إلى ما يكون وجوده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يكون وجوده في الدنيا فينقسم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أفاض الكلام في القسمين</w:t>
      </w:r>
      <w:r>
        <w:rPr>
          <w:rFonts w:eastAsia="Amiri" w:cs="Amiri" w:ascii="Amiri" w:hAnsi="Amiri"/>
          <w:color w:val="111111"/>
          <w:sz w:val="28"/>
          <w:szCs w:val="28"/>
          <w:rtl w:val="true"/>
          <w:lang w:bidi="ar-SA"/>
        </w:rPr>
        <w:t>.</w:t>
      </w:r>
      <w:r>
        <w:rPr>
          <w:rStyle w:val="FootnoteAnchor"/>
          <w:rtl w:val="true"/>
        </w:rPr>
        <w:footnoteReference w:id="365"/>
      </w:r>
    </w:p>
    <w:p>
      <w:pPr>
        <w:pStyle w:val="Heading4"/>
        <w:numPr>
          <w:ilvl w:val="3"/>
          <w:numId w:val="1"/>
        </w:numPr>
        <w:rPr/>
      </w:pPr>
      <w:bookmarkStart w:id="421" w:name="__RefHeading___Toc4284333_73709187"/>
      <w:bookmarkStart w:id="422" w:name="_Toc150"/>
      <w:bookmarkEnd w:id="421"/>
      <w:r>
        <w:rPr/>
        <w:t>4</w:t>
      </w:r>
      <w:r>
        <w:rPr>
          <w:rtl w:val="true"/>
        </w:rPr>
        <w:t xml:space="preserve"> - </w:t>
      </w:r>
      <w:r>
        <w:rPr>
          <w:rtl w:val="true"/>
        </w:rPr>
        <w:t>في الجنة</w:t>
      </w:r>
      <w:bookmarkEnd w:id="422"/>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الكرماني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موصوفة بالسرمد و الأبد و وجود الملاذ فيها أجمع، و أنّها لا تستحيل، و لا تتغير، و لا يطرأ عليها حال، و لا تتبدل، و الذي بهذه الصفة هو النهاية الأُولى من الموجودات عن المتعالى سبحانه عن الموصوفات و الصفات إبداعاً خارج الصفحة العليا من السماوات المعرب عنها بسدرة المنتهى الذي هو المبدع الأوّل</w:t>
      </w:r>
      <w:r>
        <w:rPr>
          <w:rFonts w:eastAsia="Amiri" w:cs="Amiri" w:ascii="Amiri" w:hAnsi="Amiri"/>
          <w:color w:val="111111"/>
          <w:sz w:val="28"/>
          <w:szCs w:val="28"/>
          <w:rtl w:val="true"/>
          <w:lang w:bidi="ar-SA"/>
        </w:rPr>
        <w:t>.</w:t>
      </w:r>
      <w:r>
        <w:rPr>
          <w:rStyle w:val="FootnoteAnchor"/>
          <w:rtl w:val="true"/>
        </w:rPr>
        <w:footnoteReference w:id="366"/>
      </w:r>
      <w:bookmarkStart w:id="423" w:name="pg11557_101398"/>
    </w:p>
    <w:p>
      <w:pPr>
        <w:pStyle w:val="Heading4"/>
        <w:numPr>
          <w:ilvl w:val="3"/>
          <w:numId w:val="1"/>
        </w:numPr>
        <w:rPr/>
      </w:pPr>
      <w:bookmarkStart w:id="424" w:name="__RefHeading___Toc4284335_73709187"/>
      <w:bookmarkStart w:id="425" w:name="_Toc151"/>
      <w:bookmarkEnd w:id="423"/>
      <w:bookmarkEnd w:id="424"/>
      <w:r>
        <w:rPr/>
        <w:t>5</w:t>
      </w:r>
      <w:r>
        <w:rPr>
          <w:rtl w:val="true"/>
        </w:rPr>
        <w:t xml:space="preserve"> - </w:t>
      </w:r>
      <w:r>
        <w:rPr>
          <w:rtl w:val="true"/>
        </w:rPr>
        <w:t>في الملائكة</w:t>
      </w:r>
      <w:bookmarkEnd w:id="425"/>
    </w:p>
    <w:p>
      <w:pPr>
        <w:pStyle w:val="BookText"/>
        <w:rPr/>
      </w:pPr>
      <w:r>
        <w:rPr>
          <w:rFonts w:ascii="Amiri" w:hAnsi="Amiri" w:eastAsia="Amiri" w:cs="Amiri"/>
          <w:color w:val="111111"/>
          <w:sz w:val="28"/>
          <w:sz w:val="28"/>
          <w:szCs w:val="28"/>
          <w:rtl w:val="true"/>
          <w:lang w:bidi="ar-SA"/>
        </w:rPr>
        <w:t>إنّ الملائكة على ضروب و كلّهم قد أُهّلوا لمنافع الخليقة، فلا يتعدى أحد منهم بغير ما وكّل به، كما قال و أخبر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مِنّٰا إِلاّٰ لَهُ مَقٰامٌ مَعْلُومٌ</w:t>
      </w:r>
      <w:r>
        <w:rPr>
          <w:rFonts w:eastAsia="Amiri" w:cs="Amiri" w:ascii="Amiri" w:hAnsi="Amiri"/>
          <w:color w:val="111111"/>
          <w:sz w:val="28"/>
          <w:szCs w:val="28"/>
          <w:rtl w:val="true"/>
          <w:lang w:bidi="ar-SA"/>
        </w:rPr>
        <w:t>»</w:t>
      </w:r>
      <w:r>
        <w:rPr>
          <w:rStyle w:val="FootnoteAnchor"/>
          <w:rtl w:val="true"/>
        </w:rPr>
        <w:footnoteReference w:id="367"/>
      </w:r>
      <w:r>
        <w:rPr>
          <w:rFonts w:ascii="Amiri" w:hAnsi="Amiri" w:eastAsia="Amiri" w:cs="Amiri"/>
          <w:color w:val="111111"/>
          <w:sz w:val="28"/>
          <w:sz w:val="28"/>
          <w:szCs w:val="28"/>
          <w:rtl w:val="true"/>
          <w:lang w:bidi="ar-SA"/>
        </w:rPr>
        <w:t>و الجوهر فيهم واحد، و إنّما اختلفت أسماؤهم لأجل ما وكلوا به فمنهم من هو في العالم العقلي، و منهم من هو في العالم الفلكي، و منهم من هو في العالم الطبيعي لحفظ ارجائه، ثمّ استدل بالآيات القرآنية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أُقْسِمُ بِمٰا تُبْصِرُونَ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لاٰ تُبْصِرُونَ</w:t>
      </w:r>
      <w:r>
        <w:rPr>
          <w:rFonts w:eastAsia="Amiri" w:cs="Amiri" w:ascii="Amiri" w:hAnsi="Amiri"/>
          <w:color w:val="111111"/>
          <w:sz w:val="28"/>
          <w:szCs w:val="28"/>
          <w:rtl w:val="true"/>
          <w:lang w:bidi="ar-SA"/>
        </w:rPr>
        <w:t>»</w:t>
      </w:r>
      <w:r>
        <w:rPr>
          <w:rStyle w:val="FootnoteAnchor"/>
          <w:rtl w:val="true"/>
        </w:rPr>
        <w:footnoteReference w:id="368"/>
      </w:r>
      <w:r>
        <w:rPr>
          <w:rFonts w:ascii="Amiri" w:hAnsi="Amiri" w:eastAsia="Amiri" w:cs="Amiri"/>
          <w:color w:val="111111"/>
          <w:sz w:val="28"/>
          <w:sz w:val="28"/>
          <w:szCs w:val="28"/>
          <w:rtl w:val="true"/>
          <w:lang w:bidi="ar-SA"/>
        </w:rPr>
        <w:t>يعني الملائكة الذين قد أخفى سبحانه ذواتهم عن النظر، و جعل المخلوق عن الطبائع محجوباً عنهم لا يراهم حتى يصير إمّا في منزلة النبي أو يخلص القبول من النبي بقرب الدرجة منه</w:t>
      </w:r>
      <w:r>
        <w:rPr>
          <w:rFonts w:eastAsia="Amiri" w:cs="Amiri" w:ascii="Amiri" w:hAnsi="Amiri"/>
          <w:color w:val="111111"/>
          <w:sz w:val="28"/>
          <w:szCs w:val="28"/>
          <w:rtl w:val="true"/>
          <w:lang w:bidi="ar-SA"/>
        </w:rPr>
        <w:t>.</w:t>
      </w:r>
      <w:r>
        <w:rPr>
          <w:rStyle w:val="FootnoteAnchor"/>
          <w:rtl w:val="true"/>
        </w:rPr>
        <w:footnoteReference w:id="369"/>
      </w:r>
    </w:p>
    <w:p>
      <w:pPr>
        <w:pStyle w:val="Heading4"/>
        <w:numPr>
          <w:ilvl w:val="3"/>
          <w:numId w:val="1"/>
        </w:numPr>
        <w:rPr/>
      </w:pPr>
      <w:bookmarkStart w:id="426" w:name="__RefHeading___Toc4284337_73709187"/>
      <w:bookmarkStart w:id="427" w:name="_Toc152"/>
      <w:bookmarkEnd w:id="426"/>
      <w:r>
        <w:rPr/>
        <w:t>6</w:t>
      </w:r>
      <w:r>
        <w:rPr>
          <w:rtl w:val="true"/>
        </w:rPr>
        <w:t xml:space="preserve"> - </w:t>
      </w:r>
      <w:r>
        <w:rPr>
          <w:rtl w:val="true"/>
        </w:rPr>
        <w:t>في الجن</w:t>
      </w:r>
      <w:bookmarkEnd w:id="427"/>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يعتقد انّ في الجن ذوات أرواح نارية و هوائية و مائية و ترابية، و يعتقد انّ الجن صحيح لا ريب فيه و هم على ضروب في البقاع و المصالح و المنافع و الفساد و الضرر،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هو في ارجاء العالم ممنوع عن مخالطة بني آدم، و منهم من هو مخالط لبني آدم في أماكنهم</w:t>
      </w:r>
      <w:r>
        <w:rPr>
          <w:rFonts w:eastAsia="Amiri" w:cs="Amiri" w:ascii="Amiri" w:hAnsi="Amiri"/>
          <w:color w:val="111111"/>
          <w:sz w:val="28"/>
          <w:szCs w:val="28"/>
          <w:rtl w:val="true"/>
          <w:lang w:bidi="ar-SA"/>
        </w:rPr>
        <w:t>.</w:t>
      </w:r>
      <w:r>
        <w:rPr>
          <w:rStyle w:val="FootnoteAnchor"/>
          <w:rtl w:val="true"/>
        </w:rPr>
        <w:footnoteReference w:id="370"/>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8" w:name="pg11557_101400"/>
      <w:bookmarkStart w:id="429" w:name="pg11557_101400"/>
      <w:bookmarkEnd w:id="429"/>
    </w:p>
    <w:p>
      <w:pPr>
        <w:pStyle w:val="Heading2"/>
        <w:numPr>
          <w:ilvl w:val="1"/>
          <w:numId w:val="1"/>
        </w:numPr>
        <w:rPr/>
      </w:pPr>
      <w:bookmarkStart w:id="430" w:name="pg11557_101400"/>
      <w:bookmarkStart w:id="431" w:name="__RefHeading___Toc4284339_73709187"/>
      <w:bookmarkStart w:id="432" w:name="_Toc153"/>
      <w:bookmarkEnd w:id="430"/>
      <w:bookmarkEnd w:id="431"/>
      <w:r>
        <w:rPr>
          <w:rtl w:val="true"/>
        </w:rPr>
        <w:t>الفصل الحادي عشر</w:t>
      </w:r>
      <w:r>
        <w:rPr>
          <w:rtl w:val="true"/>
        </w:rPr>
        <w:t xml:space="preserve">: </w:t>
      </w:r>
      <w:r>
        <w:rPr>
          <w:rtl w:val="true"/>
        </w:rPr>
        <w:t>في شجرة الإمامة الإسماعيلية</w:t>
      </w:r>
      <w:bookmarkEnd w:id="432"/>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3" w:name="__RefHeading___Toc4284341_73709187"/>
      <w:bookmarkStart w:id="434" w:name="_Toc154"/>
      <w:bookmarkEnd w:id="433"/>
      <w:r>
        <w:rPr>
          <w:rtl w:val="true"/>
        </w:rPr>
        <w:t>اشارة</w:t>
      </w:r>
      <w:bookmarkEnd w:id="434"/>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تدّعي الإسماعيليّة أنّ شجرة الإمامة تبتدأ من حين هبوط آدم إلى يومنا هذا، و لم يجعلوا تسلسلها من إسماعيل بن جعفر الصادق، بل ذهبوا إلى عهد بدء الخليقة، فطبّقوا قواعدهم الإماميّة، و سلسلوا الإمامة تسلسلاً مستمرّاً إلى العصر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أضافوا إلى ذلك قولهم بالأدوار، و الأكوار، و قد جعلوا كلَّ دور يتألّف من إمام مقيم، و رسولٍ ناطق، أو أساس له و من سبعة أئمّة يكون سابعهم متمَّ الدَّور، و يمكن أن يزيد عدد الأئمّة عن سبعة في ظروف أُخرى و في فترات استثنائيّة، و هذه الزيادة تحصل في عداد الأئمّة المستودعين، و ليس في الأئمّة المستقرين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الدّور فيكون عبادة صغيراً أو كبيراً، فالدور الصغير هو الفترة التي تقع بين كلّ ناطق و ناطق، و يقوم فيها سبعة أئمَّة، أمّا الدّور الكبير فيبتدأ من عهد آدم إلى القائم المنتظر، الذي يُسمى دوره، الدور السابع، و يكون في الوقت ذاته متماً لعدد النطقاء الستة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الصفحات التالية تظهر الشجرة الإسماعيليّة، و تفرعاتها، و قد أخذناها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في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تأليف الكاتب الإسماعيليّ عارف تامر</w:t>
      </w:r>
      <w:r>
        <w:rPr>
          <w:rStyle w:val="FootnoteAnchor"/>
          <w:rtl w:val="true"/>
        </w:rPr>
        <w:footnoteReference w:id="371"/>
      </w:r>
      <w:r>
        <w:rPr>
          <w:rFonts w:ascii="Amiri" w:hAnsi="Amiri" w:eastAsia="Amiri" w:cs="Amiri"/>
          <w:color w:val="111111"/>
          <w:sz w:val="28"/>
          <w:sz w:val="28"/>
          <w:szCs w:val="28"/>
          <w:rtl w:val="true"/>
          <w:lang w:bidi="ar-SA"/>
        </w:rPr>
        <w:t>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شجرةَ الإمامة عند الإسماعيليّة ظلّت حقبة طويلة مجهولة لدى الباحثين، و مقصورة على طبقة خاصّةٍ من العلماء، أو قُل في التقيّة و الاستتار و الكتمان</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أفرده الأُستاذ أيضاً في كتاب خاص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فروع الشجرة الإسماعيليّة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نشرته المطبعة الكاثوليكية، في بيروت عام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435" w:name="pg11557_101403"/>
    </w:p>
    <w:p>
      <w:pPr>
        <w:pStyle w:val="Heading3"/>
        <w:numPr>
          <w:ilvl w:val="2"/>
          <w:numId w:val="1"/>
        </w:numPr>
        <w:rPr/>
      </w:pPr>
      <w:bookmarkStart w:id="436" w:name="__RefHeading___Toc4284343_73709187"/>
      <w:bookmarkStart w:id="437" w:name="_Toc155"/>
      <w:bookmarkEnd w:id="435"/>
      <w:bookmarkEnd w:id="436"/>
      <w:r>
        <w:rPr>
          <w:rtl w:val="true"/>
        </w:rPr>
        <w:t>شجرة الإمامة الإسماعيليّة منذ أَقدم العصور</w:t>
      </w:r>
      <w:bookmarkEnd w:id="437"/>
    </w:p>
    <w:p>
      <w:pPr>
        <w:pStyle w:val="Heading4"/>
        <w:numPr>
          <w:ilvl w:val="3"/>
          <w:numId w:val="1"/>
        </w:numPr>
        <w:rPr/>
      </w:pPr>
      <w:bookmarkStart w:id="438" w:name="__RefHeading___Toc4284345_73709187"/>
      <w:bookmarkStart w:id="439" w:name="_Toc156"/>
      <w:bookmarkEnd w:id="438"/>
      <w:r>
        <w:rPr>
          <w:rtl w:val="true"/>
        </w:rPr>
        <w:t>الدور الأوّل</w:t>
      </w:r>
      <w:r>
        <w:rPr>
          <w:rtl w:val="true"/>
        </w:rPr>
        <w:t>:</w:t>
      </w:r>
      <w:bookmarkEnd w:id="439"/>
    </w:p>
    <w:p>
      <w:pPr>
        <w:pStyle w:val="Heading5"/>
        <w:numPr>
          <w:ilvl w:val="4"/>
          <w:numId w:val="1"/>
        </w:numPr>
        <w:rPr/>
      </w:pPr>
      <w:bookmarkStart w:id="440" w:name="__RefHeading___Toc4284347_73709187"/>
      <w:bookmarkStart w:id="441" w:name="_Toc157"/>
      <w:bookmarkEnd w:id="440"/>
      <w:r>
        <w:rPr>
          <w:rtl w:val="true"/>
        </w:rPr>
        <w:t>اشارة</w:t>
      </w:r>
      <w:bookmarkEnd w:id="4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يبتدئ من وقت هبوط آدم حتى ابتداء الطوفان، و مدته ألفان و ثمانون عاماً و أربعة أشهر و خمسة عشر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 الناطق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أساس الدور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المستقر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هابيل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أنوش بن</w:t>
      </w:r>
      <w:r>
        <w:rPr>
          <w:rStyle w:val="FootnoteAnchor"/>
          <w:rtl w:val="true"/>
        </w:rPr>
        <w:footnoteReference w:id="372"/>
      </w:r>
      <w:r>
        <w:rPr>
          <w:rFonts w:ascii="Amiri" w:hAnsi="Amiri" w:eastAsia="Amiri" w:cs="Amiri"/>
          <w:color w:val="111111"/>
          <w:sz w:val="28"/>
          <w:sz w:val="28"/>
          <w:szCs w:val="28"/>
          <w:rtl w:val="true"/>
          <w:lang w:bidi="ar-SA"/>
        </w:rPr>
        <w:t xml:space="preserve">شيث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 /... /... /</w:t>
      </w:r>
      <w:r>
        <w:rPr>
          <w:rFonts w:ascii="Amiri" w:hAnsi="Amiri" w:eastAsia="Amiri" w:cs="Amiri"/>
          <w:color w:val="111111"/>
          <w:sz w:val="28"/>
          <w:sz w:val="28"/>
          <w:szCs w:val="28"/>
          <w:rtl w:val="true"/>
          <w:lang w:bidi="ar-SA"/>
        </w:rPr>
        <w:t xml:space="preserve">قينان بن أنوش </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شيث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مهلائيل بن قينان </w:t>
      </w: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 /... /... /</w:t>
      </w:r>
      <w:r>
        <w:rPr>
          <w:rFonts w:ascii="Amiri" w:hAnsi="Amiri" w:eastAsia="Amiri" w:cs="Amiri"/>
          <w:color w:val="111111"/>
          <w:sz w:val="28"/>
          <w:sz w:val="28"/>
          <w:szCs w:val="28"/>
          <w:rtl w:val="true"/>
          <w:lang w:bidi="ar-SA"/>
        </w:rPr>
        <w:t xml:space="preserve">يارد بن مهلائيل </w:t>
      </w:r>
      <w:r>
        <w:rPr>
          <w:rFonts w:eastAsia="Amiri" w:cs="Amiri" w:ascii="Amiri" w:hAnsi="Amiri"/>
          <w:color w:val="111111"/>
          <w:sz w:val="28"/>
          <w:szCs w:val="28"/>
          <w:lang w:bidi="ar-SA"/>
        </w:rPr>
        <w:t>960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 /... /... /</w:t>
      </w:r>
      <w:r>
        <w:rPr>
          <w:rFonts w:ascii="Amiri" w:hAnsi="Amiri" w:eastAsia="Amiri" w:cs="Amiri"/>
          <w:color w:val="111111"/>
          <w:sz w:val="28"/>
          <w:sz w:val="28"/>
          <w:szCs w:val="28"/>
          <w:rtl w:val="true"/>
          <w:lang w:bidi="ar-SA"/>
        </w:rPr>
        <w:t xml:space="preserve">أخنوخ بن يارد </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 /... /... /... /</w:t>
      </w:r>
      <w:r>
        <w:rPr>
          <w:rFonts w:ascii="IRNazanin" w:hAnsi="IRNazanin" w:eastAsia="IRNazanin"/>
          <w:color w:val="111111"/>
          <w:sz w:val="28"/>
          <w:sz w:val="28"/>
          <w:szCs w:val="28"/>
          <w:rtl w:val="true"/>
          <w:lang w:bidi="fa-IR"/>
        </w:rPr>
        <w:t xml:space="preserve">متوشالح بن اخنوخ </w:t>
      </w:r>
      <w:r>
        <w:rPr>
          <w:rFonts w:eastAsia="IRNazanin" w:cs="IRNazanin"/>
          <w:color w:val="111111"/>
          <w:sz w:val="28"/>
          <w:szCs w:val="28"/>
          <w:lang w:bidi="fa-IR"/>
        </w:rPr>
        <w:t>1287</w:t>
      </w:r>
      <w:r>
        <w:rPr>
          <w:rFonts w:eastAsia="IRNazanin" w:cs="IRNazanin"/>
          <w:color w:val="111111"/>
          <w:sz w:val="28"/>
          <w:szCs w:val="28"/>
          <w:rtl w:val="true"/>
          <w:lang w:bidi="fa-IR"/>
        </w:rPr>
        <w:t>-</w:t>
      </w:r>
      <w:r>
        <w:rPr>
          <w:rFonts w:eastAsia="IRNazanin" w:cs="IRNazanin"/>
          <w:color w:val="111111"/>
          <w:sz w:val="28"/>
          <w:szCs w:val="28"/>
          <w:lang w:bidi="fa-IR"/>
        </w:rPr>
        <w:t>2242</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لامك بن متوشالح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لامك بن متوشالح </w:t>
      </w:r>
      <w:r>
        <w:rPr>
          <w:rFonts w:eastAsia="Amiri" w:cs="Amiri" w:ascii="Amiri" w:hAnsi="Amiri"/>
          <w:color w:val="111111"/>
          <w:sz w:val="28"/>
          <w:szCs w:val="28"/>
          <w:lang w:bidi="ar-SA"/>
        </w:rPr>
        <w:t>1454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2346</w:t>
      </w:r>
      <w:r>
        <w:rPr>
          <w:rFonts w:eastAsia="Amiri" w:cs="Amiri" w:ascii="Amiri" w:hAnsi="Amiri"/>
          <w:color w:val="111111"/>
          <w:sz w:val="28"/>
          <w:szCs w:val="28"/>
          <w:rtl w:val="true"/>
          <w:lang w:bidi="ar-SA"/>
        </w:rPr>
        <w:t xml:space="preserve"> </w:t>
      </w:r>
      <w:bookmarkStart w:id="442" w:name="pg11557_101404"/>
    </w:p>
    <w:p>
      <w:pPr>
        <w:pStyle w:val="Heading5"/>
        <w:numPr>
          <w:ilvl w:val="4"/>
          <w:numId w:val="1"/>
        </w:numPr>
        <w:rPr/>
      </w:pPr>
      <w:bookmarkStart w:id="443" w:name="__RefHeading___Toc4284349_73709187"/>
      <w:bookmarkStart w:id="444" w:name="_Toc158"/>
      <w:bookmarkEnd w:id="442"/>
      <w:bookmarkEnd w:id="443"/>
      <w:r>
        <w:rPr>
          <w:rtl w:val="true"/>
        </w:rPr>
        <w:t>التعليقات</w:t>
      </w:r>
      <w:r>
        <w:rPr>
          <w:rtl w:val="true"/>
        </w:rPr>
        <w:t>:</w:t>
      </w:r>
      <w:bookmarkEnd w:id="444"/>
    </w:p>
    <w:p>
      <w:pPr>
        <w:pStyle w:val="BookText"/>
        <w:rPr/>
      </w:pPr>
      <w:r>
        <w:rPr>
          <w:rFonts w:ascii="Amiri" w:hAnsi="Amiri" w:eastAsia="Amiri" w:cs="Amiri"/>
          <w:color w:val="111111"/>
          <w:sz w:val="28"/>
          <w:sz w:val="28"/>
          <w:szCs w:val="28"/>
          <w:rtl w:val="true"/>
          <w:lang w:bidi="ar-SA"/>
        </w:rPr>
        <w:t>في هذا الدور يظهر لنا أنّ هُنيد</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العجب أنّه لم يأت اسمه في الذكر الحكيم، و لو كان له ذلك المقام الشامخ، فأولى أن يكون معلّم الملائكة، لا آدم ثمّ إنّ المذهب المبنيّ على هذه الحدسيات التي لا تقوم علىٰ أساس قطعي لا يكتسب صبغة علميّة 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الإمام المقيم، الذي ربّى و تعهّد، و أقام الرسول الناطق آدم، و في هذا الدور أيضاً يظهر لآدم أساسان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هابيل و شيث، الأوّل قتل بيد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فاستلم منصبه بعد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أنّ متمَّ الدَّور هو الإمام السابع لامك بن متوشالح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المعروف تاريخيّاً أنّ هبوط آدم كان في عدن، و أنّ وفاته كانت في موقع غار أبي قبيس في أرض الكعبة، 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نوحاً بعد الطوفان استخرج جثته، و دفنها في النجف الأشرف، إنّ الأرقام التاريخيّة المذكورة أعلاه اعتبرناها في بدء ظهور آدم صفراً حتى طوفان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لهذا يكون آدم قد عمَّر </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و شيث تسعمائة و اثني عشر </w:t>
      </w:r>
      <w:r>
        <w:rPr>
          <w:rFonts w:eastAsia="Amiri" w:cs="Amiri" w:ascii="Amiri" w:hAnsi="Amiri"/>
          <w:color w:val="111111"/>
          <w:sz w:val="28"/>
          <w:szCs w:val="28"/>
          <w:lang w:bidi="ar-SA"/>
        </w:rPr>
        <w:t>912</w:t>
      </w:r>
      <w:r>
        <w:rPr>
          <w:rFonts w:ascii="Amiri" w:hAnsi="Amiri" w:eastAsia="Amiri" w:cs="Amiri"/>
          <w:color w:val="111111"/>
          <w:sz w:val="28"/>
          <w:sz w:val="28"/>
          <w:szCs w:val="28"/>
          <w:rtl w:val="true"/>
          <w:lang w:bidi="ar-SA"/>
        </w:rPr>
        <w:t xml:space="preserve">، و أنوش هو أوّل من غرس النخل </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و قينان </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أعوام، و مهليئل </w:t>
      </w: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و يارد </w:t>
      </w: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و اخنوخ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و متوشالح </w:t>
      </w:r>
      <w:r>
        <w:rPr>
          <w:rFonts w:eastAsia="Amiri" w:cs="Amiri" w:ascii="Amiri" w:hAnsi="Amiri"/>
          <w:color w:val="111111"/>
          <w:sz w:val="28"/>
          <w:szCs w:val="28"/>
          <w:lang w:bidi="ar-SA"/>
        </w:rPr>
        <w:t>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و لامك </w:t>
      </w: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المصادر التاريخيّة أنّ الإمام الخامس أخنوخ هو إدريس أو هرمس المثلث، و هو أوّل من خط بالقلم، و كان مسكنه في الكوفة، و قد ولد قبل الطوفان بمدَّة يسيرة، أمّا ابتداء الطوفان فكان سنة </w:t>
      </w:r>
      <w:r>
        <w:rPr>
          <w:rFonts w:eastAsia="Amiri" w:cs="Amiri" w:ascii="Amiri" w:hAnsi="Amiri"/>
          <w:color w:val="111111"/>
          <w:sz w:val="28"/>
          <w:szCs w:val="28"/>
          <w:lang w:bidi="ar-SA"/>
        </w:rPr>
        <w:t>2242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الكتاب السماويَّ المتداول في الدّور الأوّل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تنسب إلى آدم</w:t>
      </w:r>
      <w:r>
        <w:rPr>
          <w:rFonts w:eastAsia="Amiri" w:cs="Amiri" w:ascii="Amiri" w:hAnsi="Amiri"/>
          <w:color w:val="111111"/>
          <w:sz w:val="28"/>
          <w:szCs w:val="28"/>
          <w:rtl w:val="true"/>
          <w:lang w:bidi="ar-SA"/>
        </w:rPr>
        <w:t xml:space="preserve">. </w:t>
      </w:r>
      <w:bookmarkStart w:id="445" w:name="pg11557_101405"/>
    </w:p>
    <w:p>
      <w:pPr>
        <w:pStyle w:val="Heading4"/>
        <w:numPr>
          <w:ilvl w:val="3"/>
          <w:numId w:val="1"/>
        </w:numPr>
        <w:rPr/>
      </w:pPr>
      <w:bookmarkStart w:id="446" w:name="__RefHeading___Toc4284351_73709187"/>
      <w:bookmarkStart w:id="447" w:name="_Toc159"/>
      <w:bookmarkEnd w:id="445"/>
      <w:bookmarkEnd w:id="446"/>
      <w:r>
        <w:rPr>
          <w:rtl w:val="true"/>
        </w:rPr>
        <w:t>الدور الثاني</w:t>
      </w:r>
      <w:r>
        <w:rPr>
          <w:rtl w:val="true"/>
        </w:rPr>
        <w:t>:</w:t>
      </w:r>
      <w:bookmarkEnd w:id="447"/>
    </w:p>
    <w:p>
      <w:pPr>
        <w:pStyle w:val="Heading5"/>
        <w:numPr>
          <w:ilvl w:val="4"/>
          <w:numId w:val="1"/>
        </w:numPr>
        <w:rPr/>
      </w:pPr>
      <w:bookmarkStart w:id="448" w:name="__RefHeading___Toc4284353_73709187"/>
      <w:bookmarkStart w:id="449" w:name="_Toc160"/>
      <w:bookmarkEnd w:id="448"/>
      <w:r>
        <w:rPr>
          <w:rtl w:val="true"/>
        </w:rPr>
        <w:t>اشارة</w:t>
      </w:r>
      <w:bookmarkEnd w:id="4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يبتدئ من وقت الطوفان سنة </w:t>
      </w:r>
      <w:r>
        <w:rPr>
          <w:rFonts w:eastAsia="Amiri" w:cs="Amiri" w:ascii="Amiri" w:hAnsi="Amiri"/>
          <w:color w:val="111111"/>
          <w:sz w:val="28"/>
          <w:szCs w:val="28"/>
          <w:lang w:bidi="ar-SA"/>
        </w:rPr>
        <w:t>2242</w:t>
      </w:r>
      <w:r>
        <w:rPr>
          <w:rFonts w:ascii="Amiri" w:hAnsi="Amiri" w:eastAsia="Amiri" w:cs="Amiri"/>
          <w:color w:val="111111"/>
          <w:sz w:val="28"/>
          <w:sz w:val="28"/>
          <w:szCs w:val="28"/>
          <w:rtl w:val="true"/>
          <w:lang w:bidi="ar-SA"/>
        </w:rPr>
        <w:t>، حتى ولادة إبراهيم الخليل، و مدّته تسعمائة و اثنتان و سبعون سنة و ستة أشهر و خمسة عشر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 الناطق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أساس الدور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المستقر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lang w:bidi="ar-SA"/>
        </w:rPr>
        <w:t>1642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 </w:t>
      </w:r>
      <w:r>
        <w:rPr>
          <w:rFonts w:eastAsia="Amiri" w:cs="Amiri" w:ascii="Amiri" w:hAnsi="Amiri"/>
          <w:color w:val="111111"/>
          <w:sz w:val="28"/>
          <w:szCs w:val="28"/>
          <w:lang w:bidi="ar-SA"/>
        </w:rPr>
        <w:t>2142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أرفكشاد بن سام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الطوفان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 /... /... /</w:t>
      </w:r>
      <w:r>
        <w:rPr>
          <w:rFonts w:ascii="Amiri" w:hAnsi="Amiri" w:eastAsia="Amiri" w:cs="Amiri"/>
          <w:color w:val="111111"/>
          <w:sz w:val="28"/>
          <w:sz w:val="28"/>
          <w:szCs w:val="28"/>
          <w:rtl w:val="true"/>
          <w:lang w:bidi="ar-SA"/>
        </w:rPr>
        <w:t>شالخ بن قينان بن أرفشكاد</w:t>
      </w:r>
      <w:r>
        <w:rPr>
          <w:rStyle w:val="FootnoteAnchor"/>
        </w:rPr>
        <w:footnoteReference w:id="374"/>
      </w: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 /... /... /... /</w:t>
      </w:r>
      <w:r>
        <w:rPr>
          <w:rFonts w:ascii="IRNazanin" w:hAnsi="IRNazanin" w:eastAsia="IRNazanin"/>
          <w:color w:val="111111"/>
          <w:sz w:val="28"/>
          <w:sz w:val="28"/>
          <w:szCs w:val="28"/>
          <w:rtl w:val="true"/>
          <w:lang w:bidi="fa-IR"/>
        </w:rPr>
        <w:t xml:space="preserve">عابر بن شالخ </w:t>
      </w:r>
      <w:r>
        <w:rPr>
          <w:rFonts w:eastAsia="IRNazanin" w:cs="IRNazanin"/>
          <w:color w:val="111111"/>
          <w:sz w:val="28"/>
          <w:szCs w:val="28"/>
          <w:lang w:bidi="fa-IR"/>
        </w:rPr>
        <w:t>466</w:t>
      </w:r>
      <w:r>
        <w:rPr>
          <w:rFonts w:eastAsia="IRNazanin" w:cs="IRNazanin"/>
          <w:color w:val="111111"/>
          <w:sz w:val="28"/>
          <w:szCs w:val="28"/>
          <w:rtl w:val="true"/>
          <w:lang w:bidi="fa-IR"/>
        </w:rPr>
        <w:t>-</w:t>
      </w:r>
      <w:r>
        <w:rPr>
          <w:rFonts w:eastAsia="IRNazanin" w:cs="IRNazanin"/>
          <w:color w:val="111111"/>
          <w:sz w:val="28"/>
          <w:szCs w:val="28"/>
          <w:lang w:bidi="fa-IR"/>
        </w:rPr>
        <w:t>930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 /... /... /... /</w:t>
      </w:r>
      <w:r>
        <w:rPr>
          <w:rFonts w:ascii="IRNazanin" w:hAnsi="IRNazanin" w:eastAsia="IRNazanin"/>
          <w:color w:val="111111"/>
          <w:sz w:val="28"/>
          <w:sz w:val="28"/>
          <w:szCs w:val="28"/>
          <w:rtl w:val="true"/>
          <w:lang w:bidi="fa-IR"/>
        </w:rPr>
        <w:t xml:space="preserve">فالج بن عابر </w:t>
      </w:r>
      <w:r>
        <w:rPr>
          <w:rFonts w:eastAsia="IRNazanin" w:cs="IRNazanin"/>
          <w:color w:val="111111"/>
          <w:sz w:val="28"/>
          <w:szCs w:val="28"/>
          <w:lang w:bidi="fa-IR"/>
        </w:rPr>
        <w:t>540</w:t>
      </w:r>
      <w:r>
        <w:rPr>
          <w:rFonts w:eastAsia="IRNazanin" w:cs="IRNazanin"/>
          <w:color w:val="111111"/>
          <w:sz w:val="28"/>
          <w:szCs w:val="28"/>
          <w:rtl w:val="true"/>
          <w:lang w:bidi="fa-IR"/>
        </w:rPr>
        <w:t>-</w:t>
      </w:r>
      <w:r>
        <w:rPr>
          <w:rFonts w:eastAsia="IRNazanin" w:cs="IRNazanin"/>
          <w:color w:val="111111"/>
          <w:sz w:val="28"/>
          <w:szCs w:val="28"/>
          <w:lang w:bidi="fa-IR"/>
        </w:rPr>
        <w:t>879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 /... /... /... /</w:t>
      </w:r>
      <w:r>
        <w:rPr>
          <w:rFonts w:ascii="IRNazanin" w:hAnsi="IRNazanin" w:eastAsia="IRNazanin"/>
          <w:color w:val="111111"/>
          <w:sz w:val="28"/>
          <w:sz w:val="28"/>
          <w:szCs w:val="28"/>
          <w:rtl w:val="true"/>
          <w:lang w:bidi="fa-IR"/>
        </w:rPr>
        <w:t xml:space="preserve">رعوا بن فالج </w:t>
      </w:r>
      <w:r>
        <w:rPr>
          <w:rFonts w:eastAsia="IRNazanin" w:cs="IRNazanin"/>
          <w:color w:val="111111"/>
          <w:sz w:val="28"/>
          <w:szCs w:val="28"/>
          <w:lang w:bidi="fa-IR"/>
        </w:rPr>
        <w:t>670</w:t>
      </w:r>
      <w:r>
        <w:rPr>
          <w:rFonts w:eastAsia="IRNazanin" w:cs="IRNazanin"/>
          <w:color w:val="111111"/>
          <w:sz w:val="28"/>
          <w:szCs w:val="28"/>
          <w:rtl w:val="true"/>
          <w:lang w:bidi="fa-IR"/>
        </w:rPr>
        <w:t>-</w:t>
      </w:r>
      <w:r>
        <w:rPr>
          <w:rFonts w:eastAsia="IRNazanin" w:cs="IRNazanin"/>
          <w:color w:val="111111"/>
          <w:sz w:val="28"/>
          <w:szCs w:val="28"/>
          <w:lang w:bidi="fa-IR"/>
        </w:rPr>
        <w:t>1009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 /... /... /... /</w:t>
      </w:r>
      <w:r>
        <w:rPr>
          <w:rFonts w:ascii="IRNazanin" w:hAnsi="IRNazanin" w:eastAsia="IRNazanin"/>
          <w:color w:val="111111"/>
          <w:sz w:val="28"/>
          <w:sz w:val="28"/>
          <w:szCs w:val="28"/>
          <w:rtl w:val="true"/>
          <w:lang w:bidi="fa-IR"/>
        </w:rPr>
        <w:t xml:space="preserve">سروج بن رعوا </w:t>
      </w:r>
      <w:r>
        <w:rPr>
          <w:rFonts w:eastAsia="IRNazanin" w:cs="IRNazanin"/>
          <w:color w:val="111111"/>
          <w:sz w:val="28"/>
          <w:szCs w:val="28"/>
          <w:lang w:bidi="fa-IR"/>
        </w:rPr>
        <w:t>802</w:t>
      </w:r>
      <w:r>
        <w:rPr>
          <w:rFonts w:eastAsia="IRNazanin" w:cs="IRNazanin"/>
          <w:color w:val="111111"/>
          <w:sz w:val="28"/>
          <w:szCs w:val="28"/>
          <w:rtl w:val="true"/>
          <w:lang w:bidi="fa-IR"/>
        </w:rPr>
        <w:t>-</w:t>
      </w:r>
      <w:r>
        <w:rPr>
          <w:rFonts w:eastAsia="IRNazanin" w:cs="IRNazanin"/>
          <w:color w:val="111111"/>
          <w:sz w:val="28"/>
          <w:szCs w:val="28"/>
          <w:lang w:bidi="fa-IR"/>
        </w:rPr>
        <w:t>1132</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ناحور بن سروج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ناحور بن سروج </w:t>
      </w:r>
      <w:r>
        <w:rPr>
          <w:rFonts w:eastAsia="IRNazanin" w:cs="IRNazanin"/>
          <w:color w:val="111111"/>
          <w:sz w:val="28"/>
          <w:szCs w:val="28"/>
          <w:lang w:bidi="fa-IR"/>
        </w:rPr>
        <w:t>932</w:t>
      </w:r>
      <w:r>
        <w:rPr>
          <w:rFonts w:eastAsia="IRNazanin" w:cs="IRNazanin"/>
          <w:color w:val="111111"/>
          <w:sz w:val="28"/>
          <w:szCs w:val="28"/>
          <w:rtl w:val="true"/>
          <w:lang w:bidi="fa-IR"/>
        </w:rPr>
        <w:t>-</w:t>
      </w:r>
      <w:r>
        <w:rPr>
          <w:rFonts w:eastAsia="IRNazanin" w:cs="IRNazanin"/>
          <w:color w:val="111111"/>
          <w:sz w:val="28"/>
          <w:szCs w:val="28"/>
          <w:lang w:bidi="fa-IR"/>
        </w:rPr>
        <w:t>1140</w:t>
      </w:r>
    </w:p>
    <w:p>
      <w:pPr>
        <w:pStyle w:val="Heading5"/>
        <w:numPr>
          <w:ilvl w:val="4"/>
          <w:numId w:val="1"/>
        </w:numPr>
        <w:rPr/>
      </w:pPr>
      <w:bookmarkStart w:id="450" w:name="__RefHeading___Toc4284355_73709187"/>
      <w:bookmarkStart w:id="451" w:name="_Toc161"/>
      <w:bookmarkEnd w:id="450"/>
      <w:r>
        <w:rPr>
          <w:rtl w:val="true"/>
        </w:rPr>
        <w:t>التعليقات</w:t>
      </w:r>
      <w:r>
        <w:rPr>
          <w:rtl w:val="true"/>
        </w:rPr>
        <w:t>:</w:t>
      </w:r>
      <w:bookmarkEnd w:id="451"/>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هذا الدّور يظهر أنّ هوداً</w:t>
      </w:r>
      <w:r>
        <w:rPr>
          <w:rStyle w:val="FootnoteAnchor"/>
          <w:rtl w:val="true"/>
        </w:rPr>
        <w:footnoteReference w:id="375"/>
      </w:r>
      <w:r>
        <w:rPr>
          <w:rFonts w:ascii="Amiri" w:hAnsi="Amiri" w:eastAsia="Amiri" w:cs="Amiri"/>
          <w:color w:val="111111"/>
          <w:sz w:val="28"/>
          <w:sz w:val="28"/>
          <w:szCs w:val="28"/>
          <w:rtl w:val="true"/>
          <w:lang w:bidi="ar-SA"/>
        </w:rPr>
        <w:t xml:space="preserve">هو الإمام الذي أقام و أنعم و ربّى الرسول </w:t>
      </w:r>
      <w:bookmarkStart w:id="452" w:name="pg11557_101406"/>
    </w:p>
    <w:p>
      <w:pPr>
        <w:pStyle w:val="BookText"/>
        <w:rPr/>
      </w:pPr>
      <w:bookmarkEnd w:id="452"/>
      <w:r>
        <w:rPr>
          <w:rFonts w:ascii="Amiri" w:hAnsi="Amiri" w:eastAsia="Amiri" w:cs="Amiri"/>
          <w:color w:val="111111"/>
          <w:sz w:val="28"/>
          <w:sz w:val="28"/>
          <w:szCs w:val="28"/>
          <w:rtl w:val="true"/>
          <w:lang w:bidi="ar-SA"/>
        </w:rPr>
        <w:t xml:space="preserve">الناطق نوح، و أنّ نوحاً هو صاحب رسالة النطق، و أنّ ساماً هو أساس الدّور، و يظهر أنّه سقط من الشجرة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قينان بن أرفكشاد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 شالخ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قينان هذا أُبعد عن الإمامة و أسقط اسمُه من الشجرة الإماميّة لأنّه كان يتعاطى السّحر، فوصيَّة ارفكشاد تجاوزته إلى ولده شالخ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يلاحظ أنّ هناك أكثر من مصدر تاريخي يؤكّد أنّ عابر بن شالخ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بعض المصادر تؤكّد أنّ فالج هو ذو القرنين، أو هود، على اختلاف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يلاحظ أنّ ناحور هو الإمام المتمّ للدّور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نوحاً ولد سنة </w:t>
      </w:r>
      <w:r>
        <w:rPr>
          <w:rFonts w:eastAsia="Amiri" w:cs="Amiri" w:ascii="Amiri" w:hAnsi="Amiri"/>
          <w:color w:val="111111"/>
          <w:sz w:val="28"/>
          <w:szCs w:val="28"/>
          <w:lang w:bidi="ar-SA"/>
        </w:rPr>
        <w:t>1642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ولادة آدم، و عند ما بلغ من العمر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جرى الطوفان الذي ابتدأ في العاشر من شهر رجب سنة </w:t>
      </w:r>
      <w:r>
        <w:rPr>
          <w:rFonts w:eastAsia="Amiri" w:cs="Amiri" w:ascii="Amiri" w:hAnsi="Amiri"/>
          <w:color w:val="111111"/>
          <w:sz w:val="28"/>
          <w:szCs w:val="28"/>
          <w:lang w:bidi="ar-SA"/>
        </w:rPr>
        <w:t>2242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هبوط آدم، و قد دام الطوفان ستة أشهر، و انتهى في العاشر من شهر محرم سنة </w:t>
      </w:r>
      <w:r>
        <w:rPr>
          <w:rFonts w:eastAsia="Amiri" w:cs="Amiri" w:ascii="Amiri" w:hAnsi="Amiri"/>
          <w:color w:val="111111"/>
          <w:sz w:val="28"/>
          <w:szCs w:val="28"/>
          <w:lang w:bidi="ar-SA"/>
        </w:rPr>
        <w:t>2243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نوح سنة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الطوفان و عاش </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و دفن على جبل الجودي، من أعمال الموصل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استوطن في مدّة حياته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أساس الدّور سام، فقد عاش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الواضح أنّ أرفكشاد عاش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و شالخ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و عابر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و فالج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و سروج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و ناحور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أعوام</w:t>
      </w:r>
      <w:r>
        <w:rPr>
          <w:rFonts w:eastAsia="Amiri" w:cs="Amiri" w:ascii="Amiri" w:hAnsi="Amiri"/>
          <w:color w:val="111111"/>
          <w:sz w:val="28"/>
          <w:szCs w:val="28"/>
          <w:rtl w:val="true"/>
          <w:lang w:bidi="ar-SA"/>
        </w:rPr>
        <w:t>.</w:t>
      </w:r>
    </w:p>
    <w:p>
      <w:pPr>
        <w:pStyle w:val="Heading4"/>
        <w:numPr>
          <w:ilvl w:val="3"/>
          <w:numId w:val="1"/>
        </w:numPr>
        <w:rPr/>
      </w:pPr>
      <w:bookmarkStart w:id="453" w:name="__RefHeading___Toc4284357_73709187"/>
      <w:bookmarkStart w:id="454" w:name="_Toc162"/>
      <w:bookmarkEnd w:id="453"/>
      <w:r>
        <w:rPr>
          <w:rtl w:val="true"/>
        </w:rPr>
        <w:t>الدور الثالث</w:t>
      </w:r>
      <w:r>
        <w:rPr>
          <w:rtl w:val="true"/>
        </w:rPr>
        <w:t>:</w:t>
      </w:r>
      <w:bookmarkEnd w:id="454"/>
    </w:p>
    <w:p>
      <w:pPr>
        <w:pStyle w:val="Heading5"/>
        <w:numPr>
          <w:ilvl w:val="4"/>
          <w:numId w:val="1"/>
        </w:numPr>
        <w:rPr/>
      </w:pPr>
      <w:bookmarkStart w:id="455" w:name="__RefHeading___Toc4284359_73709187"/>
      <w:bookmarkStart w:id="456" w:name="_Toc163"/>
      <w:bookmarkEnd w:id="455"/>
      <w:r>
        <w:rPr>
          <w:rtl w:val="true"/>
        </w:rPr>
        <w:t>اشارة</w:t>
      </w:r>
      <w:bookmarkEnd w:id="456"/>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يبتدئ من وقت ولادة إبراهيم حتى ظهور موسى، و مدَّته ألف و مائة و خمسون عاماً و سبعة أشهر و ثمانية أيّام</w:t>
      </w:r>
      <w:r>
        <w:rPr>
          <w:rFonts w:eastAsia="Amiri" w:cs="Amiri" w:ascii="Amiri" w:hAnsi="Amiri"/>
          <w:color w:val="111111"/>
          <w:sz w:val="28"/>
          <w:szCs w:val="28"/>
          <w:rtl w:val="true"/>
          <w:lang w:bidi="ar-SA"/>
        </w:rPr>
        <w:t xml:space="preserve">».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7" w:name="pg11557_101408"/>
      <w:bookmarkStart w:id="458" w:name="pg11557_101408"/>
      <w:bookmarkEnd w:id="458"/>
    </w:p>
    <w:p>
      <w:pPr>
        <w:pStyle w:val="Heading5"/>
        <w:numPr>
          <w:ilvl w:val="4"/>
          <w:numId w:val="1"/>
        </w:numPr>
        <w:rPr/>
      </w:pPr>
      <w:bookmarkStart w:id="459" w:name="pg11557_101408"/>
      <w:bookmarkStart w:id="460" w:name="__RefHeading___Toc4284361_73709187"/>
      <w:bookmarkStart w:id="461" w:name="_Toc164"/>
      <w:bookmarkEnd w:id="459"/>
      <w:bookmarkEnd w:id="460"/>
      <w:r>
        <w:rPr>
          <w:rtl w:val="true"/>
        </w:rPr>
        <w:t>التعليقات</w:t>
      </w:r>
      <w:r>
        <w:rPr>
          <w:rtl w:val="true"/>
        </w:rPr>
        <w:t>:</w:t>
      </w:r>
      <w:bookmarkEnd w:id="461"/>
    </w:p>
    <w:p>
      <w:pPr>
        <w:pStyle w:val="BookText"/>
        <w:rPr/>
      </w:pPr>
      <w:r>
        <w:rPr>
          <w:rFonts w:ascii="Amiri" w:hAnsi="Amiri" w:eastAsia="Amiri" w:cs="Amiri"/>
          <w:color w:val="111111"/>
          <w:sz w:val="28"/>
          <w:sz w:val="28"/>
          <w:szCs w:val="28"/>
          <w:rtl w:val="true"/>
          <w:lang w:bidi="ar-SA"/>
        </w:rPr>
        <w:t>في هذا الدّور يبدو أنّه ظهر تطور جديد على قصة الإمامة، فالأئمّة المستقرّون من ولد إسماعيل بن إبراهيم، يدخلون كهف التقية و الاستتار و يحل محلّهم الأئمة المستودعون، الذين هم من ولد إسحاق بن إبراهيم، و قد ظل هذا الوضع قائماً حتى ظهور الناطق السادس محمد، الذي ينحدر من أُسرة الإمام المستقر إسماعيل، بينما الرسولان الناطقان، موسى و عيسى، ينحدران من أُسرة إسحاق بن إبراهيم الخليل، و من الواضح أنّه في عهد محمد ينتهي دور الاستيداع، و تعود الإمامة إلى الأئمّة المستقرين</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مما يجدر ذكره أنّ الرسول الناطق إبراهيم، ولد في الأهواز، و منها جاء إلى حوران، حيث اتخذها دار هجرة، و دفن في بيت المقدس، و قد عاش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أمّا ولده الأكبر إسماعيل، فوالدته هاجر و قد عاش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و دفن في بيت اللّٰه الحرام، و أما إسحاق الابن الثاني، فوالدته سارة، و كان يقيم بين الشام و القدس، و قد عاش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و دفن في بيت المقدس، و يأتي بعده ولده الذي عاش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أعوام، و قد دفن في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بعده يأتي أيضاً يوسف فقد عاش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أعوام، و دفن في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أيّوب، و هو الإمام الخامس فقد توفي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عاش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و يأتي بعده ابنه يونان، و هو يونس أو ذو النون، كما هو معروف، و مقامه في نينوى، قرب الموصل، على هذه الصفحة نلاحظ أنّ شعيب هو الإمام المستودع المتمّ للدور الثالث، و كان يقيم في مديَن</w:t>
      </w:r>
      <w:r>
        <w:rPr>
          <w:rFonts w:eastAsia="Amiri" w:cs="Amiri" w:ascii="Amiri" w:hAnsi="Amiri"/>
          <w:color w:val="111111"/>
          <w:sz w:val="28"/>
          <w:szCs w:val="28"/>
          <w:rtl w:val="true"/>
          <w:lang w:bidi="ar-SA"/>
        </w:rPr>
        <w:t xml:space="preserve">. </w:t>
      </w:r>
      <w:bookmarkStart w:id="462" w:name="pg11557_101409"/>
    </w:p>
    <w:p>
      <w:pPr>
        <w:pStyle w:val="Heading4"/>
        <w:numPr>
          <w:ilvl w:val="3"/>
          <w:numId w:val="1"/>
        </w:numPr>
        <w:rPr/>
      </w:pPr>
      <w:bookmarkStart w:id="463" w:name="__RefHeading___Toc4284363_73709187"/>
      <w:bookmarkStart w:id="464" w:name="_Toc165"/>
      <w:bookmarkEnd w:id="462"/>
      <w:bookmarkEnd w:id="463"/>
      <w:r>
        <w:rPr>
          <w:rtl w:val="true"/>
        </w:rPr>
        <w:t>الدور الرابع</w:t>
      </w:r>
      <w:r>
        <w:rPr>
          <w:rtl w:val="true"/>
        </w:rPr>
        <w:t>:</w:t>
      </w:r>
      <w:bookmarkEnd w:id="464"/>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65" w:name="__RefHeading___Toc4284365_73709187"/>
      <w:bookmarkStart w:id="466" w:name="_Toc166"/>
      <w:bookmarkEnd w:id="465"/>
      <w:r>
        <w:rPr>
          <w:rtl w:val="true"/>
        </w:rPr>
        <w:t>اشارة</w:t>
      </w:r>
      <w:bookmarkStart w:id="467" w:name="pg11557_101410"/>
      <w:bookmarkEnd w:id="466"/>
    </w:p>
    <w:p>
      <w:pPr>
        <w:pStyle w:val="Heading5"/>
        <w:numPr>
          <w:ilvl w:val="4"/>
          <w:numId w:val="1"/>
        </w:numPr>
        <w:rPr/>
      </w:pPr>
      <w:bookmarkStart w:id="468" w:name="__RefHeading___Toc4284367_73709187"/>
      <w:bookmarkStart w:id="469" w:name="_Toc167"/>
      <w:bookmarkEnd w:id="467"/>
      <w:bookmarkEnd w:id="468"/>
      <w:r>
        <w:rPr>
          <w:rtl w:val="true"/>
        </w:rPr>
        <w:t>التعليقات</w:t>
      </w:r>
      <w:r>
        <w:rPr>
          <w:rtl w:val="true"/>
        </w:rPr>
        <w:t>:</w:t>
      </w:r>
      <w:bookmarkEnd w:id="469"/>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أنّه في هذا الدور لا يوجد أساس مستودع، و أنّ الأساس المستقر هو هارون أخو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يبدو أنّه بعد وفاته تسلَّم يوشع بن نون رتبته الأساسيّة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الواضح أنّ إيليا بن بسباس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إيليا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 عمران بن ماثان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زكريا هو الإمام السابع المستودع المتمّ للدّور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المصادر التاريخيّة أنّ موسى عاش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و نقل جثمانه من صحراء سيناء إلى القدس، و ولادته كانت في السابع من آذار سنة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xml:space="preserve">، و أنّ صموئيل الرائي عاش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و أنّ داود بن بسي عاش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و أنّ سليمان بن داود عاش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و أنّ زكريا عاش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w:t>
      </w:r>
      <w:r>
        <w:rPr>
          <w:rFonts w:eastAsia="Amiri" w:cs="Amiri" w:ascii="Amiri" w:hAnsi="Amiri"/>
          <w:color w:val="111111"/>
          <w:sz w:val="28"/>
          <w:szCs w:val="28"/>
          <w:rtl w:val="true"/>
          <w:lang w:bidi="ar-SA"/>
        </w:rPr>
        <w:t xml:space="preserve">. </w:t>
      </w:r>
      <w:bookmarkStart w:id="470" w:name="pg11557_101411"/>
    </w:p>
    <w:p>
      <w:pPr>
        <w:pStyle w:val="Heading4"/>
        <w:numPr>
          <w:ilvl w:val="3"/>
          <w:numId w:val="1"/>
        </w:numPr>
        <w:rPr/>
      </w:pPr>
      <w:bookmarkStart w:id="471" w:name="__RefHeading___Toc4284369_73709187"/>
      <w:bookmarkStart w:id="472" w:name="_Toc168"/>
      <w:bookmarkEnd w:id="470"/>
      <w:bookmarkEnd w:id="471"/>
      <w:r>
        <w:rPr>
          <w:rtl w:val="true"/>
        </w:rPr>
        <w:t>الدور الخامس</w:t>
      </w:r>
      <w:r>
        <w:rPr>
          <w:rtl w:val="true"/>
        </w:rPr>
        <w:t>:</w:t>
      </w:r>
      <w:bookmarkEnd w:id="472"/>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73" w:name="__RefHeading___Toc4284371_73709187"/>
      <w:bookmarkStart w:id="474" w:name="_Toc169"/>
      <w:bookmarkEnd w:id="473"/>
      <w:r>
        <w:rPr>
          <w:rtl w:val="true"/>
        </w:rPr>
        <w:t>اشارة</w:t>
      </w:r>
      <w:bookmarkStart w:id="475" w:name="pg11557_101412"/>
      <w:bookmarkEnd w:id="474"/>
    </w:p>
    <w:p>
      <w:pPr>
        <w:pStyle w:val="Heading5"/>
        <w:numPr>
          <w:ilvl w:val="4"/>
          <w:numId w:val="1"/>
        </w:numPr>
        <w:rPr/>
      </w:pPr>
      <w:bookmarkStart w:id="476" w:name="__RefHeading___Toc4284373_73709187"/>
      <w:bookmarkStart w:id="477" w:name="_Toc170"/>
      <w:bookmarkEnd w:id="475"/>
      <w:bookmarkEnd w:id="476"/>
      <w:r>
        <w:rPr>
          <w:rtl w:val="true"/>
        </w:rPr>
        <w:t>التعليقات</w:t>
      </w:r>
      <w:r>
        <w:rPr>
          <w:rtl w:val="true"/>
        </w:rPr>
        <w:t>:</w:t>
      </w:r>
      <w:bookmarkEnd w:id="477"/>
    </w:p>
    <w:p>
      <w:pPr>
        <w:pStyle w:val="BookText"/>
        <w:rPr/>
      </w:pPr>
      <w:r>
        <w:rPr>
          <w:rFonts w:ascii="Amiri" w:hAnsi="Amiri" w:eastAsia="Amiri" w:cs="Amiri"/>
          <w:color w:val="111111"/>
          <w:sz w:val="28"/>
          <w:sz w:val="28"/>
          <w:szCs w:val="28"/>
          <w:rtl w:val="true"/>
          <w:lang w:bidi="ar-SA"/>
        </w:rPr>
        <w:t>في هذا الدّور يظهر على المسرح أربعة عشر إماماً مستقراً، يقابلهم سبعة أئمّة مستودعين، أيْ أنّ كلَّ إمام مستودع كان معاصراً لإمامين مستقرين، و لم يجر مثل هذا في الأدوار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يلاحظ أنّ ولادة عيسى كانت سنة </w:t>
      </w:r>
      <w:r>
        <w:rPr>
          <w:rFonts w:eastAsia="Amiri" w:cs="Amiri" w:ascii="Amiri" w:hAnsi="Amiri"/>
          <w:color w:val="111111"/>
          <w:sz w:val="28"/>
          <w:szCs w:val="28"/>
          <w:lang w:bidi="ar-SA"/>
        </w:rPr>
        <w:t>1716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موسوية، أي بعد وفاة موسى، و قد قتل صلباً</w:t>
      </w:r>
      <w:r>
        <w:rPr>
          <w:rStyle w:val="FootnoteAnchor"/>
          <w:rtl w:val="true"/>
        </w:rPr>
        <w:footnoteReference w:id="376"/>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1749</w:t>
      </w:r>
      <w:r>
        <w:rPr>
          <w:rFonts w:ascii="Amiri" w:hAnsi="Amiri" w:eastAsia="Amiri" w:cs="Amiri"/>
          <w:color w:val="111111"/>
          <w:sz w:val="28"/>
          <w:sz w:val="28"/>
          <w:szCs w:val="28"/>
          <w:rtl w:val="true"/>
          <w:lang w:bidi="ar-SA"/>
        </w:rPr>
        <w:t xml:space="preserve">، و عمّر ثلاثة و ثلاثين عاماً، أمّا أساس الدّور المستقر فكان يحيى، و هو الذي ولد قبل ولادة عيسى بستة أشهر، و هو يوحنا المعمدان نفسه، و من المعروف انّ هيرودس الروماني قتله سنة </w:t>
      </w:r>
      <w:r>
        <w:rPr>
          <w:rFonts w:eastAsia="Amiri" w:cs="Amiri" w:ascii="Amiri" w:hAnsi="Amiri"/>
          <w:color w:val="111111"/>
          <w:sz w:val="28"/>
          <w:szCs w:val="28"/>
          <w:lang w:bidi="ar-SA"/>
        </w:rPr>
        <w:t>1746</w:t>
      </w:r>
      <w:r>
        <w:rPr>
          <w:rFonts w:ascii="Amiri" w:hAnsi="Amiri" w:eastAsia="Amiri" w:cs="Amiri"/>
          <w:color w:val="111111"/>
          <w:sz w:val="28"/>
          <w:sz w:val="28"/>
          <w:szCs w:val="28"/>
          <w:rtl w:val="true"/>
          <w:lang w:bidi="ar-SA"/>
        </w:rPr>
        <w:t xml:space="preserve">، و أنّ الأساس الثاني المستقر للدور الخامس الذي سلم إليه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شمعون 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سمعان بن يونان، أو بطرس الراهب، و يعتبر مربي عيسى و حجّة عمران بن ماتان الذي ورد ترتيبه، الإمام السادس المستودع في الدور الرابع</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يلاحظ أنّ جرجس أو بحيرا الراهب هو الإمام السابع المستودع المتم للدور الخامس، و كان دعاته في الجزيرة العربية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نفيل، و ورقة بن نوفل، و زيد بن عمران، و هو الذي سلّم وراثة الأنبياء المستودعين، للإمام المستقر المقيم أبو طالب، يوم جاء إليه من الجزيرة العربية إلى دير بصرى الشام مع النبي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يلاحظ أنّ الإمام المستقر النضر بن كنانة، و كان يسمّى قيس، و لُقّب النضر لنضارته، و أنّ الإمام المستقر هو فهر بن مالك، كان لقبه مجمع قريش، و أنّ كلاّب بن مرة كان يلقب بالحكيم، أو عروة، و أنّ قصي بن كلاب هو زيد، و سمّي قصي لأنّه أُقصي عن عشيرته، و أنّ عبد مناف بن قصي اسمه المغيرة، و أنّ هاشم بن عبد المناف اسمه عمران، و أنّ عبد المطلب بن هاشم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شيبة الحمد</w:t>
      </w:r>
      <w:r>
        <w:rPr>
          <w:rFonts w:eastAsia="Amiri" w:cs="Amiri" w:ascii="Amiri" w:hAnsi="Amiri"/>
          <w:color w:val="111111"/>
          <w:sz w:val="28"/>
          <w:szCs w:val="28"/>
          <w:rtl w:val="true"/>
          <w:lang w:bidi="ar-SA"/>
        </w:rPr>
        <w:t xml:space="preserve">». </w:t>
      </w:r>
      <w:bookmarkStart w:id="478" w:name="pg11557_101413"/>
    </w:p>
    <w:p>
      <w:pPr>
        <w:pStyle w:val="Heading4"/>
        <w:numPr>
          <w:ilvl w:val="3"/>
          <w:numId w:val="1"/>
        </w:numPr>
        <w:rPr/>
      </w:pPr>
      <w:bookmarkStart w:id="479" w:name="__RefHeading___Toc4284375_73709187"/>
      <w:bookmarkStart w:id="480" w:name="_Toc171"/>
      <w:bookmarkEnd w:id="478"/>
      <w:bookmarkEnd w:id="479"/>
      <w:r>
        <w:rPr>
          <w:rtl w:val="true"/>
        </w:rPr>
        <w:t>الدور السادس</w:t>
      </w:r>
      <w:r>
        <w:rPr>
          <w:rtl w:val="true"/>
        </w:rPr>
        <w:t>:</w:t>
      </w:r>
      <w:bookmarkEnd w:id="480"/>
    </w:p>
    <w:p>
      <w:pPr>
        <w:pStyle w:val="Heading5"/>
        <w:numPr>
          <w:ilvl w:val="4"/>
          <w:numId w:val="1"/>
        </w:numPr>
        <w:rPr/>
      </w:pPr>
      <w:bookmarkStart w:id="481" w:name="__RefHeading___Toc4284377_73709187"/>
      <w:bookmarkStart w:id="482" w:name="_Toc172"/>
      <w:bookmarkEnd w:id="481"/>
      <w:r>
        <w:rPr>
          <w:rtl w:val="true"/>
        </w:rPr>
        <w:t>اشارة</w:t>
      </w:r>
      <w:bookmarkEnd w:id="4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يبتدئ من تاريخ الهجرة المحمدية و ينتهي بظهور القائم المنتظر، و لا يمكن تحديد مدّته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الدور الكبير قد أصبح مقسماً إلى أدوار صغيرة</w:t>
      </w:r>
      <w:r>
        <w:rPr>
          <w:rFonts w:eastAsia="Amiri" w:cs="Amiri" w:ascii="Amiri" w:hAnsi="Amiri"/>
          <w:color w:val="111111"/>
          <w:sz w:val="28"/>
          <w:szCs w:val="28"/>
          <w:rtl w:val="true"/>
          <w:lang w:bidi="ar-SA"/>
        </w:rPr>
        <w:t>».</w:t>
      </w:r>
    </w:p>
    <w:p>
      <w:pPr>
        <w:pStyle w:val="Heading5"/>
        <w:numPr>
          <w:ilvl w:val="4"/>
          <w:numId w:val="1"/>
        </w:numPr>
        <w:rPr/>
      </w:pPr>
      <w:bookmarkStart w:id="483" w:name="__RefHeading___Toc4284379_73709187"/>
      <w:bookmarkStart w:id="484" w:name="_Toc173"/>
      <w:bookmarkEnd w:id="483"/>
      <w:r>
        <w:rPr>
          <w:rtl w:val="true"/>
        </w:rPr>
        <w:t>التعليقات</w:t>
      </w:r>
      <w:r>
        <w:rPr>
          <w:rtl w:val="true"/>
        </w:rPr>
        <w:t>:</w:t>
      </w:r>
      <w:bookmarkEnd w:id="484"/>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هذا الدور يظهر أنّ عمران أبا طالب، هو الإمام المقيم في عهد الرسول الناطق محمد، و أنّ الإمام محمد بن إسماعيل هو الإمام السابع المتم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يلاحظ أنّ الإمام الحسن بن علي لم يذكر في شجرة النسب لأنّه يعتبر إماماً مستودعاً لدى الإسماعيليين، و هكذا محمد بن الحنفية، و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الكاظم</w:t>
      </w:r>
      <w:r>
        <w:rPr>
          <w:rFonts w:eastAsia="Amiri" w:cs="Amiri" w:ascii="Amiri" w:hAnsi="Amiri"/>
          <w:color w:val="111111"/>
          <w:sz w:val="28"/>
          <w:szCs w:val="28"/>
          <w:rtl w:val="true"/>
          <w:lang w:bidi="ar-SA"/>
        </w:rPr>
        <w:t xml:space="preserve">). </w:t>
      </w:r>
      <w:bookmarkStart w:id="485" w:name="pg11557_101414"/>
    </w:p>
    <w:p>
      <w:pPr>
        <w:pStyle w:val="Heading4"/>
        <w:numPr>
          <w:ilvl w:val="3"/>
          <w:numId w:val="1"/>
        </w:numPr>
        <w:rPr/>
      </w:pPr>
      <w:bookmarkStart w:id="486" w:name="__RefHeading___Toc4284381_73709187"/>
      <w:bookmarkStart w:id="487" w:name="_Toc174"/>
      <w:bookmarkEnd w:id="485"/>
      <w:bookmarkEnd w:id="486"/>
      <w:r>
        <w:rPr>
          <w:rtl w:val="true"/>
        </w:rPr>
        <w:t xml:space="preserve">تتمة الدور السادس </w:t>
      </w:r>
      <w:r>
        <w:rPr>
          <w:rtl w:val="true"/>
        </w:rPr>
        <w:t>[(</w:t>
      </w:r>
      <w:r>
        <w:rPr/>
        <w:t>1</w:t>
      </w:r>
      <w:r>
        <w:rPr>
          <w:rtl w:val="true"/>
        </w:rPr>
        <w:t>)]:</w:t>
      </w:r>
      <w:bookmarkEnd w:id="487"/>
    </w:p>
    <w:p>
      <w:pPr>
        <w:pStyle w:val="Heading5"/>
        <w:numPr>
          <w:ilvl w:val="4"/>
          <w:numId w:val="1"/>
        </w:numPr>
        <w:rPr/>
      </w:pPr>
      <w:bookmarkStart w:id="488" w:name="__RefHeading___Toc4284383_73709187"/>
      <w:bookmarkStart w:id="489" w:name="_Toc175"/>
      <w:bookmarkEnd w:id="488"/>
      <w:r>
        <w:rPr>
          <w:rtl w:val="true"/>
        </w:rPr>
        <w:t>اشارة</w:t>
      </w:r>
      <w:bookmarkEnd w:id="4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يبتدئ من عهد معد بن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المعز لدين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يمكن بعد الآن الحكم على الأئمّة المتمّين بعد أن ظهر الاختلاف و تشعبت الشجرات</w:t>
      </w:r>
      <w:r>
        <w:rPr>
          <w:rFonts w:eastAsia="Amiri" w:cs="Amiri" w:ascii="Amiri" w:hAnsi="Amiri"/>
          <w:color w:val="111111"/>
          <w:sz w:val="28"/>
          <w:szCs w:val="28"/>
          <w:rtl w:val="true"/>
          <w:lang w:bidi="ar-SA"/>
        </w:rPr>
        <w:t>».</w:t>
      </w:r>
    </w:p>
    <w:p>
      <w:pPr>
        <w:pStyle w:val="Heading5"/>
        <w:numPr>
          <w:ilvl w:val="4"/>
          <w:numId w:val="1"/>
        </w:numPr>
        <w:rPr/>
      </w:pPr>
      <w:bookmarkStart w:id="490" w:name="__RefHeading___Toc4284385_73709187"/>
      <w:bookmarkStart w:id="491" w:name="_Toc176"/>
      <w:bookmarkEnd w:id="490"/>
      <w:r>
        <w:rPr>
          <w:rtl w:val="true"/>
        </w:rPr>
        <w:t>التعليقات</w:t>
      </w:r>
      <w:r>
        <w:rPr>
          <w:rtl w:val="true"/>
        </w:rPr>
        <w:t>:</w:t>
      </w:r>
      <w:bookmarkEnd w:id="491"/>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الملاحظ هنا أنّ الإسماعيليين قد افترقوا بعد الإمام الثامن عشر المستنصر باللّٰه، إلى ثلاث فرق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النزاريّة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الآغاخانية، و النزاريّة الإسماعيلية المؤمنيّة، و الإسماعيلية المستعلية، و يلاحظ أنّ الفرقة المستعلية قد توقفت عند الطيّب بن الآمر الإمام الحادي و العشرين، الذي دخل كهف التقيّة و الاستتار، كما يلاحظ أنّ الفرقة الدرزية قد توقفت عند الإمام السادس عشر الحاكم بأمر اللّٰه، و من الواضح أنّ النزاريّة نفسها قد انقسمت إلى فرقتين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المؤمنيّة، و القاسميّة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الآغاخانية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سيظهر في الصفحات التالية</w:t>
      </w:r>
      <w:r>
        <w:rPr>
          <w:rFonts w:eastAsia="Amiri" w:cs="Amiri" w:ascii="Amiri" w:hAnsi="Amiri"/>
          <w:color w:val="111111"/>
          <w:sz w:val="28"/>
          <w:szCs w:val="28"/>
          <w:rtl w:val="true"/>
          <w:lang w:bidi="ar-SA"/>
        </w:rPr>
        <w:t xml:space="preserve">. </w:t>
      </w:r>
      <w:bookmarkStart w:id="492" w:name="pg11557_101415"/>
    </w:p>
    <w:p>
      <w:pPr>
        <w:pStyle w:val="Heading4"/>
        <w:numPr>
          <w:ilvl w:val="3"/>
          <w:numId w:val="1"/>
        </w:numPr>
        <w:rPr/>
      </w:pPr>
      <w:bookmarkStart w:id="493" w:name="__RefHeading___Toc4284387_73709187"/>
      <w:bookmarkStart w:id="494" w:name="_Toc177"/>
      <w:bookmarkEnd w:id="492"/>
      <w:bookmarkEnd w:id="493"/>
      <w:r>
        <w:rPr>
          <w:rtl w:val="true"/>
        </w:rPr>
        <w:t xml:space="preserve">تتمة الدور السادس </w:t>
      </w:r>
      <w:r>
        <w:rPr>
          <w:rtl w:val="true"/>
        </w:rPr>
        <w:t>[(</w:t>
      </w:r>
      <w:r>
        <w:rPr/>
        <w:t>2</w:t>
      </w:r>
      <w:r>
        <w:rPr>
          <w:rtl w:val="true"/>
        </w:rPr>
        <w:t>)]:</w:t>
      </w:r>
      <w:bookmarkEnd w:id="494"/>
    </w:p>
    <w:p>
      <w:pPr>
        <w:pStyle w:val="Heading5"/>
        <w:numPr>
          <w:ilvl w:val="4"/>
          <w:numId w:val="1"/>
        </w:numPr>
        <w:rPr/>
      </w:pPr>
      <w:bookmarkStart w:id="495" w:name="__RefHeading___Toc4284389_73709187"/>
      <w:bookmarkStart w:id="496" w:name="_Toc178"/>
      <w:bookmarkEnd w:id="495"/>
      <w:r>
        <w:rPr>
          <w:rtl w:val="true"/>
        </w:rPr>
        <w:t>اشارة</w:t>
      </w:r>
      <w:bookmarkEnd w:id="4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يبتدئ من الإمام النزاري المؤمني حسن بن محمد، و ينتهي برضي الدين ابن محمد، و بقاهر النزاري القاسمي، و ينتهي بشمس الدين محمد و هو الإمام المتم السابع</w:t>
      </w:r>
      <w:r>
        <w:rPr>
          <w:rFonts w:eastAsia="Amiri" w:cs="Amiri" w:ascii="Amiri" w:hAnsi="Amiri"/>
          <w:color w:val="111111"/>
          <w:sz w:val="28"/>
          <w:szCs w:val="28"/>
          <w:rtl w:val="true"/>
          <w:lang w:bidi="ar-SA"/>
        </w:rPr>
        <w:t>».</w:t>
      </w:r>
    </w:p>
    <w:p>
      <w:pPr>
        <w:pStyle w:val="Heading5"/>
        <w:numPr>
          <w:ilvl w:val="4"/>
          <w:numId w:val="1"/>
        </w:numPr>
        <w:rPr/>
      </w:pPr>
      <w:bookmarkStart w:id="497" w:name="__RefHeading___Toc4284391_73709187"/>
      <w:bookmarkStart w:id="498" w:name="_Toc179"/>
      <w:bookmarkEnd w:id="497"/>
      <w:r>
        <w:rPr>
          <w:rtl w:val="true"/>
        </w:rPr>
        <w:t>التعليقات</w:t>
      </w:r>
      <w:r>
        <w:rPr>
          <w:rtl w:val="true"/>
        </w:rPr>
        <w:t>:</w:t>
      </w:r>
      <w:bookmarkEnd w:id="498"/>
    </w:p>
    <w:p>
      <w:pPr>
        <w:pStyle w:val="BookText"/>
        <w:rPr/>
      </w:pPr>
      <w:r>
        <w:rPr>
          <w:rFonts w:ascii="Amiri" w:hAnsi="Amiri" w:eastAsia="Amiri" w:cs="Amiri"/>
          <w:color w:val="111111"/>
          <w:sz w:val="28"/>
          <w:sz w:val="28"/>
          <w:szCs w:val="28"/>
          <w:rtl w:val="true"/>
          <w:lang w:bidi="ar-SA"/>
        </w:rPr>
        <w:t>يظهر أنّ الاختلاف لدى النزاريّة قد بدأ منذ عهد نزار بن المستنصر باللّٰه الفاطمي، ثمّ يظهر أنّ الفرقتين عادتا إلى الالتقاء مع أربعة أئمة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محمد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بن الحسن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علاء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محمود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بن محمود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هؤلاء يشكّلون الأرقام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لدى النزارية القاسمية الآغاخانية فيشكّلون الأرقام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الإمام محمد شمس الدين انقسمت النزارية انقساماً فعليّاً إلى فرقتين</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فالمؤمنية ساقت الإمامة بمؤمن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الابن 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القاسمية ساقتها بقاسم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الابن الأصغر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كلّ هذا جاء مفصّلاً في الصفحات التالية</w:t>
      </w:r>
      <w:r>
        <w:rPr>
          <w:rFonts w:eastAsia="Amiri" w:cs="Amiri" w:ascii="Amiri" w:hAnsi="Amiri"/>
          <w:color w:val="111111"/>
          <w:sz w:val="28"/>
          <w:szCs w:val="28"/>
          <w:rtl w:val="true"/>
          <w:lang w:bidi="ar-SA"/>
        </w:rPr>
        <w:t xml:space="preserve">: </w:t>
      </w:r>
      <w:bookmarkStart w:id="499" w:name="pg11557_101416"/>
    </w:p>
    <w:p>
      <w:pPr>
        <w:pStyle w:val="Heading4"/>
        <w:numPr>
          <w:ilvl w:val="3"/>
          <w:numId w:val="1"/>
        </w:numPr>
        <w:rPr/>
      </w:pPr>
      <w:bookmarkStart w:id="500" w:name="__RefHeading___Toc4284393_73709187"/>
      <w:bookmarkStart w:id="501" w:name="_Toc180"/>
      <w:bookmarkEnd w:id="499"/>
      <w:bookmarkEnd w:id="500"/>
      <w:r>
        <w:rPr>
          <w:rtl w:val="true"/>
        </w:rPr>
        <w:t xml:space="preserve">تتمة الدور السادس </w:t>
      </w:r>
      <w:r>
        <w:rPr>
          <w:rtl w:val="true"/>
        </w:rPr>
        <w:t>[(</w:t>
      </w:r>
      <w:r>
        <w:rPr/>
        <w:t>3</w:t>
      </w:r>
      <w:r>
        <w:rPr>
          <w:rtl w:val="true"/>
        </w:rPr>
        <w:t>)]:</w:t>
      </w:r>
      <w:bookmarkEnd w:id="501"/>
    </w:p>
    <w:p>
      <w:pPr>
        <w:pStyle w:val="Heading5"/>
        <w:numPr>
          <w:ilvl w:val="4"/>
          <w:numId w:val="1"/>
        </w:numPr>
        <w:rPr/>
      </w:pPr>
      <w:bookmarkStart w:id="502" w:name="__RefHeading___Toc4284395_73709187"/>
      <w:bookmarkStart w:id="503" w:name="_Toc181"/>
      <w:bookmarkEnd w:id="502"/>
      <w:r>
        <w:rPr>
          <w:rtl w:val="true"/>
        </w:rPr>
        <w:t>اشارة</w:t>
      </w:r>
      <w:bookmarkEnd w:id="5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يبتدئ من طاهر بن رضي الدين، و ينتهي بعطية اللّٰه، و هو الخامس و الثلاثون في شجرة المؤمنية، أمّا لدى القاسمية فيبتدئ بقاسم شاه و رقمه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و ينتهي بالإمام أبي الذر علي، و هو الإمام الخامس و الثلاثون من شجرة قاسم</w:t>
      </w:r>
      <w:r>
        <w:rPr>
          <w:rFonts w:eastAsia="Amiri" w:cs="Amiri" w:ascii="Amiri" w:hAnsi="Amiri"/>
          <w:color w:val="111111"/>
          <w:sz w:val="28"/>
          <w:szCs w:val="28"/>
          <w:rtl w:val="true"/>
          <w:lang w:bidi="ar-SA"/>
        </w:rPr>
        <w:t>».</w:t>
      </w:r>
    </w:p>
    <w:p>
      <w:pPr>
        <w:pStyle w:val="Heading5"/>
        <w:numPr>
          <w:ilvl w:val="4"/>
          <w:numId w:val="1"/>
        </w:numPr>
        <w:rPr/>
      </w:pPr>
      <w:bookmarkStart w:id="504" w:name="__RefHeading___Toc4284397_73709187"/>
      <w:bookmarkStart w:id="505" w:name="_Toc182"/>
      <w:bookmarkEnd w:id="504"/>
      <w:r>
        <w:rPr>
          <w:rtl w:val="true"/>
        </w:rPr>
        <w:t>التعليقات</w:t>
      </w:r>
      <w:r>
        <w:rPr>
          <w:rtl w:val="true"/>
        </w:rPr>
        <w:t>:</w:t>
      </w:r>
      <w:bookmarkEnd w:id="505"/>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تزال الشجرتان النزاريتان قائمتين هنا، و هما الوحيدتان بين فرق الشيعة الإماميّة اللتان ظلتا سائرتين على النهج الإمامي</w:t>
      </w:r>
      <w:r>
        <w:rPr>
          <w:rFonts w:eastAsia="Amiri" w:cs="Amiri" w:ascii="Amiri" w:hAnsi="Amiri"/>
          <w:color w:val="111111"/>
          <w:sz w:val="28"/>
          <w:szCs w:val="28"/>
          <w:rtl w:val="true"/>
          <w:lang w:bidi="ar-SA"/>
        </w:rPr>
        <w:t xml:space="preserve">. </w:t>
      </w:r>
      <w:bookmarkStart w:id="506" w:name="pg11557_101417"/>
    </w:p>
    <w:p>
      <w:pPr>
        <w:pStyle w:val="Heading4"/>
        <w:numPr>
          <w:ilvl w:val="3"/>
          <w:numId w:val="1"/>
        </w:numPr>
        <w:rPr/>
      </w:pPr>
      <w:bookmarkStart w:id="507" w:name="__RefHeading___Toc4284399_73709187"/>
      <w:bookmarkStart w:id="508" w:name="_Toc183"/>
      <w:bookmarkEnd w:id="506"/>
      <w:bookmarkEnd w:id="507"/>
      <w:r>
        <w:rPr>
          <w:rtl w:val="true"/>
        </w:rPr>
        <w:t xml:space="preserve">تتمة الدور السادس </w:t>
      </w:r>
      <w:r>
        <w:rPr>
          <w:rtl w:val="true"/>
        </w:rPr>
        <w:t>[(</w:t>
      </w:r>
      <w:r>
        <w:rPr/>
        <w:t>4</w:t>
      </w:r>
      <w:r>
        <w:rPr>
          <w:rtl w:val="true"/>
        </w:rPr>
        <w:t>)]:</w:t>
      </w:r>
      <w:bookmarkEnd w:id="508"/>
    </w:p>
    <w:p>
      <w:pPr>
        <w:pStyle w:val="Heading5"/>
        <w:numPr>
          <w:ilvl w:val="4"/>
          <w:numId w:val="1"/>
        </w:numPr>
        <w:rPr/>
      </w:pPr>
      <w:bookmarkStart w:id="509" w:name="__RefHeading___Toc4284401_73709187"/>
      <w:bookmarkStart w:id="510" w:name="_Toc184"/>
      <w:bookmarkEnd w:id="509"/>
      <w:r>
        <w:rPr>
          <w:rtl w:val="true"/>
        </w:rPr>
        <w:t>اشارة</w:t>
      </w:r>
      <w:bookmarkEnd w:id="5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يبتدئ من عزيز بن عطية اللّٰه و رقمه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و ينتهي بالإمام محمد بن حيدر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الإمام الخامس لدى الفرقة المؤمنية، و بعهده انقطعت الفرقة المؤمنيّة عن الاتصال، أمّا لدى القاسميّة فيبتدئ من الإمام مراد ميرزا، و ينتهي بحسن علي و هو متمٌّ و سابع</w:t>
      </w:r>
      <w:r>
        <w:rPr>
          <w:rFonts w:eastAsia="Amiri" w:cs="Amiri" w:ascii="Amiri" w:hAnsi="Amiri"/>
          <w:color w:val="111111"/>
          <w:sz w:val="28"/>
          <w:szCs w:val="28"/>
          <w:rtl w:val="true"/>
          <w:lang w:bidi="ar-SA"/>
        </w:rPr>
        <w:t>.</w:t>
      </w:r>
    </w:p>
    <w:p>
      <w:pPr>
        <w:pStyle w:val="Heading5"/>
        <w:numPr>
          <w:ilvl w:val="4"/>
          <w:numId w:val="1"/>
        </w:numPr>
        <w:rPr/>
      </w:pPr>
      <w:bookmarkStart w:id="511" w:name="__RefHeading___Toc4284403_73709187"/>
      <w:bookmarkStart w:id="512" w:name="_Toc185"/>
      <w:bookmarkEnd w:id="511"/>
      <w:r>
        <w:rPr>
          <w:rtl w:val="true"/>
        </w:rPr>
        <w:t>التعليقات</w:t>
      </w:r>
      <w:r>
        <w:rPr>
          <w:rtl w:val="true"/>
        </w:rPr>
        <w:t>:</w:t>
      </w:r>
      <w:bookmarkEnd w:id="512"/>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يظهر أنّ الفرقة المؤمنية النزارية توقفت عن السير الإمامي في عهد الإمام محمد بن حيدر الأمير الباقر، رقم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و ذلك سنة </w:t>
      </w:r>
      <w:r>
        <w:rPr>
          <w:rFonts w:eastAsia="Amiri" w:cs="Amiri" w:ascii="Amiri" w:hAnsi="Amiri"/>
          <w:color w:val="111111"/>
          <w:sz w:val="28"/>
          <w:szCs w:val="28"/>
          <w:lang w:bidi="ar-SA"/>
        </w:rPr>
        <w:t>1210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شقيقتها القاسميّة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فظلت سائرة على المنهج الإمامي حتى عهدنا الحاضر</w:t>
      </w:r>
      <w:r>
        <w:rPr>
          <w:rFonts w:eastAsia="Amiri" w:cs="Amiri" w:ascii="Amiri" w:hAnsi="Amiri"/>
          <w:color w:val="111111"/>
          <w:sz w:val="28"/>
          <w:szCs w:val="28"/>
          <w:rtl w:val="true"/>
          <w:lang w:bidi="ar-SA"/>
        </w:rPr>
        <w:t xml:space="preserve">. </w:t>
      </w:r>
      <w:bookmarkStart w:id="513" w:name="pg11557_101418"/>
    </w:p>
    <w:p>
      <w:pPr>
        <w:pStyle w:val="Heading4"/>
        <w:numPr>
          <w:ilvl w:val="3"/>
          <w:numId w:val="1"/>
        </w:numPr>
        <w:rPr/>
      </w:pPr>
      <w:bookmarkStart w:id="514" w:name="__RefHeading___Toc4284405_73709187"/>
      <w:bookmarkStart w:id="515" w:name="_Toc186"/>
      <w:bookmarkEnd w:id="513"/>
      <w:bookmarkEnd w:id="514"/>
      <w:r>
        <w:rPr>
          <w:rtl w:val="true"/>
        </w:rPr>
        <w:t xml:space="preserve">تتمة الدور السادس </w:t>
      </w:r>
      <w:r>
        <w:rPr>
          <w:rtl w:val="true"/>
        </w:rPr>
        <w:t>[(</w:t>
      </w:r>
      <w:r>
        <w:rPr/>
        <w:t>5</w:t>
      </w:r>
      <w:r>
        <w:rPr>
          <w:rtl w:val="true"/>
        </w:rPr>
        <w:t>)]:</w:t>
      </w:r>
      <w:bookmarkEnd w:id="515"/>
    </w:p>
    <w:p>
      <w:pPr>
        <w:pStyle w:val="Heading5"/>
        <w:numPr>
          <w:ilvl w:val="4"/>
          <w:numId w:val="1"/>
        </w:numPr>
        <w:rPr/>
      </w:pPr>
      <w:bookmarkStart w:id="516" w:name="__RefHeading___Toc4284407_73709187"/>
      <w:bookmarkStart w:id="517" w:name="_Toc187"/>
      <w:bookmarkEnd w:id="516"/>
      <w:r>
        <w:rPr>
          <w:rtl w:val="true"/>
        </w:rPr>
        <w:t>اشارة</w:t>
      </w:r>
      <w:bookmarkEnd w:id="517"/>
    </w:p>
    <w:p>
      <w:pPr>
        <w:pStyle w:val="BookText"/>
        <w:rPr/>
      </w:pPr>
      <w:r>
        <w:rPr>
          <w:rFonts w:ascii="Amiri" w:hAnsi="Amiri" w:eastAsia="Amiri" w:cs="Amiri"/>
          <w:color w:val="111111"/>
          <w:sz w:val="28"/>
          <w:sz w:val="28"/>
          <w:szCs w:val="28"/>
          <w:rtl w:val="true"/>
          <w:lang w:bidi="ar-SA"/>
        </w:rPr>
        <w:t xml:space="preserve">و يبتدئ من الإمام قاسم علي، و ينتهي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كريم علي خان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ترتيبه التاسع و الأربعون، و هو متمم للدّور و سابع</w:t>
      </w:r>
      <w:r>
        <w:rPr>
          <w:rFonts w:eastAsia="Amiri" w:cs="Amiri" w:ascii="Amiri" w:hAnsi="Amiri"/>
          <w:color w:val="111111"/>
          <w:sz w:val="28"/>
          <w:szCs w:val="28"/>
          <w:rtl w:val="true"/>
          <w:lang w:bidi="ar-SA"/>
        </w:rPr>
        <w:t>.</w:t>
      </w:r>
    </w:p>
    <w:p>
      <w:pPr>
        <w:pStyle w:val="Heading5"/>
        <w:numPr>
          <w:ilvl w:val="4"/>
          <w:numId w:val="1"/>
        </w:numPr>
        <w:rPr/>
      </w:pPr>
      <w:bookmarkStart w:id="518" w:name="__RefHeading___Toc4284409_73709187"/>
      <w:bookmarkStart w:id="519" w:name="_Toc188"/>
      <w:bookmarkEnd w:id="518"/>
      <w:r>
        <w:rPr>
          <w:rtl w:val="true"/>
        </w:rPr>
        <w:t>التعليقات</w:t>
      </w:r>
      <w:r>
        <w:rPr>
          <w:rtl w:val="true"/>
        </w:rPr>
        <w:t>:</w:t>
      </w:r>
      <w:bookmarkEnd w:id="519"/>
    </w:p>
    <w:p>
      <w:pPr>
        <w:pStyle w:val="BookText"/>
        <w:rPr/>
      </w:pPr>
      <w:r>
        <w:rPr>
          <w:rFonts w:ascii="Amiri" w:hAnsi="Amiri" w:eastAsia="Amiri" w:cs="Amiri"/>
          <w:color w:val="111111"/>
          <w:sz w:val="28"/>
          <w:sz w:val="28"/>
          <w:szCs w:val="28"/>
          <w:rtl w:val="true"/>
          <w:lang w:bidi="ar-SA"/>
        </w:rPr>
        <w:t>يظهر أنّ الفرقة المؤمنيّة النزارية، قد اختفت عن المسرح الإمامي، و أنّ النزارية القاسميّة الآغاخانية ظلّت وحدها سائرة دون انقطاع عن الركب الإمامي حتى يومنا هذا، و هي الوحيدة بين الفرق الإمامية التي لم تتوقف</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يلاحظ أنّ الإمام الأخير التاسع و الأربعين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كريم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ابن سلطان محمد شاه، بل حفيده، و يظهر أنّ اسم علي خان و هو النجل الأكبر لسلطان محمد شاه، قد أسقط من الشجرة بموجب وصيّة عامّة من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الأمير علي خان توفي في باريس بحادث سيارة بتاريخ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أيار سنة </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 و كان يمثل باكستان في الأُمم المتحدة</w:t>
      </w:r>
      <w:r>
        <w:rPr>
          <w:rFonts w:eastAsia="Amiri" w:cs="Amiri" w:ascii="Amiri" w:hAnsi="Amiri"/>
          <w:color w:val="111111"/>
          <w:sz w:val="28"/>
          <w:szCs w:val="28"/>
          <w:rtl w:val="true"/>
          <w:lang w:bidi="ar-SA"/>
        </w:rPr>
        <w:t xml:space="preserve">. </w:t>
      </w:r>
      <w:bookmarkStart w:id="520" w:name="pg11557_101419"/>
    </w:p>
    <w:p>
      <w:pPr>
        <w:pStyle w:val="Heading4"/>
        <w:numPr>
          <w:ilvl w:val="3"/>
          <w:numId w:val="1"/>
        </w:numPr>
        <w:rPr/>
      </w:pPr>
      <w:bookmarkStart w:id="521" w:name="__RefHeading___Toc4284411_73709187"/>
      <w:bookmarkStart w:id="522" w:name="_Toc189"/>
      <w:bookmarkEnd w:id="520"/>
      <w:bookmarkEnd w:id="521"/>
      <w:r>
        <w:rPr>
          <w:rtl w:val="true"/>
        </w:rPr>
        <w:t xml:space="preserve">تتمة الدور السادس </w:t>
      </w:r>
      <w:r>
        <w:rPr>
          <w:rtl w:val="true"/>
        </w:rPr>
        <w:t>[(</w:t>
      </w:r>
      <w:r>
        <w:rPr/>
        <w:t>6</w:t>
      </w:r>
      <w:r>
        <w:rPr>
          <w:rtl w:val="true"/>
        </w:rPr>
        <w:t>)]:</w:t>
      </w:r>
      <w:bookmarkEnd w:id="522"/>
    </w:p>
    <w:p>
      <w:pPr>
        <w:pStyle w:val="Heading5"/>
        <w:numPr>
          <w:ilvl w:val="4"/>
          <w:numId w:val="1"/>
        </w:numPr>
        <w:rPr/>
      </w:pPr>
      <w:bookmarkStart w:id="523" w:name="__RefHeading___Toc4284413_73709187"/>
      <w:bookmarkStart w:id="524" w:name="_Toc190"/>
      <w:bookmarkEnd w:id="523"/>
      <w:r>
        <w:rPr>
          <w:rtl w:val="true"/>
        </w:rPr>
        <w:t>اشارة</w:t>
      </w:r>
      <w:bookmarkEnd w:id="5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الدّور الصغير يبتدئ من الإمام محمد إسماعيل حتى عهد الإمام معد ابن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المعز لدين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يعتبر جزءاً من الدّور الكبير الذي يبتدئ من عهد محمد حتى القائم المنتظر</w:t>
      </w:r>
      <w:r>
        <w:rPr>
          <w:rFonts w:eastAsia="Amiri" w:cs="Amiri" w:ascii="Amiri" w:hAnsi="Amiri"/>
          <w:color w:val="111111"/>
          <w:sz w:val="28"/>
          <w:szCs w:val="28"/>
          <w:rtl w:val="true"/>
          <w:lang w:bidi="ar-SA"/>
        </w:rPr>
        <w:t>».</w:t>
      </w:r>
    </w:p>
    <w:p>
      <w:pPr>
        <w:pStyle w:val="Heading5"/>
        <w:numPr>
          <w:ilvl w:val="4"/>
          <w:numId w:val="1"/>
        </w:numPr>
        <w:rPr/>
      </w:pPr>
      <w:bookmarkStart w:id="525" w:name="__RefHeading___Toc4284415_73709187"/>
      <w:bookmarkStart w:id="526" w:name="_Toc191"/>
      <w:bookmarkEnd w:id="525"/>
      <w:r>
        <w:rPr>
          <w:rtl w:val="true"/>
        </w:rPr>
        <w:t>التعليقات</w:t>
      </w:r>
      <w:r>
        <w:rPr>
          <w:rtl w:val="true"/>
        </w:rPr>
        <w:t>:</w:t>
      </w:r>
      <w:bookmarkEnd w:id="526"/>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هنا أنّه لم يعد هناك أيُّ وجود للناطق أو للأساس، و أصبح الإمام هو الذي يحمل مهمات الناطقية، كما أنّ مهمات الأساسيّة يحملها الحجّة أو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شجرات الدروز و المستعلية لا يرد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أسماء الأئمّة المستقرين و يرد مكانه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لم تحقّقه المصادر و لا الوقائع حتى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مهما يكن من أمر فنحن ما نزال نعتبر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إماماً مستقراً منتظرين المزيد من المعلومات و المصادر و الاكتشافات التاريخية</w:t>
      </w:r>
      <w:r>
        <w:rPr>
          <w:rFonts w:eastAsia="Amiri" w:cs="Amiri" w:ascii="Amiri" w:hAnsi="Amiri"/>
          <w:color w:val="111111"/>
          <w:sz w:val="28"/>
          <w:szCs w:val="28"/>
          <w:rtl w:val="true"/>
          <w:lang w:bidi="ar-SA"/>
        </w:rPr>
        <w:t>.</w:t>
      </w:r>
      <w:r>
        <w:rPr>
          <w:rStyle w:val="FootnoteAnchor"/>
          <w:rtl w:val="true"/>
        </w:rPr>
        <w:footnoteReference w:id="377"/>
      </w:r>
      <w:bookmarkStart w:id="527" w:name="pg11557_101420"/>
    </w:p>
    <w:p>
      <w:pPr>
        <w:pStyle w:val="Heading5"/>
        <w:numPr>
          <w:ilvl w:val="4"/>
          <w:numId w:val="1"/>
        </w:numPr>
        <w:rPr/>
      </w:pPr>
      <w:bookmarkStart w:id="528" w:name="__RefHeading___Toc4284417_73709187"/>
      <w:bookmarkStart w:id="529" w:name="_Toc192"/>
      <w:bookmarkEnd w:id="527"/>
      <w:bookmarkEnd w:id="528"/>
      <w:r>
        <w:rPr>
          <w:rtl w:val="true"/>
        </w:rPr>
        <w:t>تأملات في أدوار الإمامة</w:t>
      </w:r>
      <w:bookmarkEnd w:id="529"/>
    </w:p>
    <w:p>
      <w:pPr>
        <w:pStyle w:val="BookText"/>
        <w:rPr/>
      </w:pPr>
      <w:r>
        <w:rPr>
          <w:rFonts w:ascii="Amiri" w:hAnsi="Amiri" w:eastAsia="Amiri" w:cs="Amiri"/>
          <w:color w:val="111111"/>
          <w:sz w:val="28"/>
          <w:sz w:val="28"/>
          <w:szCs w:val="28"/>
          <w:rtl w:val="true"/>
          <w:lang w:bidi="ar-SA"/>
        </w:rPr>
        <w:t>إنّ ما ذكره الكاتب الإسماعيلي، لا يخلو من تأمّلات، و إشكالات، نشير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ذكره من الأدوار الستة للإمامة و انّ كلَّ رسول ناطق تتلوه أئمّة سبعة، على النحو السابق، أمر مبنيٌّ على الظن و التخمين، لا على القطع و اليقين، فإنّ التحدُّثَ عن الأئمّة الذين قاموا بالأمر، بعد الرسول الناطق، آدم، فنوح، فإبراهيم، فموسى، فعيسى، فمحمد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يبتني على أساطير، لا يمكن الإذعان بها، و لا أدري أنّ الكاتب إلى أيِّ كتابٍ، و سند قطعيّ اعتمد عليه في استخراج هذه القوائم، مع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اعتراف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يعترف بأنّ هذه الدرجات بالتفصيل ظلّت مجهولة لدى الباحثين، و مقصورة على طبقة خاصة من العلماء</w:t>
      </w:r>
      <w:r>
        <w:rPr>
          <w:rFonts w:eastAsia="Amiri" w:cs="Amiri" w:ascii="Amiri" w:hAnsi="Amiri"/>
          <w:color w:val="111111"/>
          <w:sz w:val="28"/>
          <w:szCs w:val="28"/>
          <w:rtl w:val="true"/>
          <w:lang w:bidi="ar-SA"/>
        </w:rPr>
        <w:t>.</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تفسير الإمام المقيم، بأنّه هو الذي يقيم الرسول الناطق، و يعلمه و يربيه، و يدرجه في مراتب رسالة النطق، و ينعم عليه بالإمدادات، و أحياناً يطلقون عليه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تعتبر هذه الرتبة أعلى مراتب الإمامة و أرفعها، و أكثرها دقَّة و سرّية</w:t>
      </w:r>
      <w:r>
        <w:rPr>
          <w:rStyle w:val="FootnoteAnchor"/>
          <w:rtl w:val="true"/>
        </w:rPr>
        <w:footnoteReference w:id="379"/>
      </w:r>
      <w:r>
        <w:rPr>
          <w:rFonts w:ascii="Amiri" w:hAnsi="Amiri" w:eastAsia="Amiri" w:cs="Amiri"/>
          <w:color w:val="111111"/>
          <w:sz w:val="28"/>
          <w:sz w:val="28"/>
          <w:szCs w:val="28"/>
          <w:rtl w:val="true"/>
          <w:lang w:bidi="ar-SA"/>
        </w:rPr>
        <w:t xml:space="preserve">، و على ما ذكره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مقيم لآدم، و هود لنوح، و تارح لإبراهيم،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لموسى و خزيمة لعيسى، و أبو طالب لمحمد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ذلك أنّ هؤلاء أفضل من النطقاء الستة، الذين هم أُولو العزم من الرسل</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 آدم الذي اختاره اللّٰه سبحانه بتعليم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هود أفضل من شيخ الأنبياء نوح، و هو الذي بُدئت به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تارح </w:t>
      </w:r>
    </w:p>
    <w:p>
      <w:pPr>
        <w:pStyle w:val="BookText"/>
        <w:rPr/>
      </w:pPr>
      <w:r>
        <w:rPr>
          <w:rFonts w:ascii="Amiri" w:hAnsi="Amiri" w:eastAsia="Amiri" w:cs="Amiri"/>
          <w:color w:val="111111"/>
          <w:sz w:val="28"/>
          <w:sz w:val="28"/>
          <w:szCs w:val="28"/>
          <w:rtl w:val="true"/>
          <w:lang w:bidi="ar-SA"/>
        </w:rPr>
        <w:t>أفضل من إبراهيم، الذي وصفه اللّٰه سبحانه بصفات عظيمة في القرآن الكريم و لم يصف بها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بالتالي يلزم أن يكون أبو طالب عليه السّلام أفضل من محمد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الإمام المتمّ هو الإمام السابع، المتم لرسالة الدور، و أنّ قوته تكون معادلة لقوّة الأئمّة الستة الذين سبقوه في الدور نفسه بمجموعهم، و من جهة ثالثة يطلق عليه اسم ناطق الدور أيْ أنّ وجوده يشبه وجود الناطق بالنسبة للأدوار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معنى ذلك أن يكون إسماعيل بن جعفر عليه السّلام أو محمد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بأنّه متمّ الدّور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 خاتم النبيين الذي هو أفضل الخليقة باعتراف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الكاتب أخرج الحسن بن علي عليهما السّلام عن قائمة الإمامة، بحجّة أنّه لم يكن إماماً مستقراً، بل إماماً مستودعاً، و معنى ذلك أنّ كلّ الأئمّة الذين جاءوا بعد كلّ رسول ناطق من زمان آدم إلى زمان الخاتم، كانوا أئمّة مستقرين، و ليس للكاتب دليل على ذلك، مع أنّ إخراجه ينافي قول الرسول الذي نقلته الإسماعيليّة في كتبهم من قوله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 إمامان قاما أو قعدا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معنى كلامه أنّهما صنوان لا يتفاوتان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الكاتب بإخراجه الحسن بن علي عليهما السّلام عن قائمة الإمامة، جعل محمداً بن إسماعيل هو الإمام السابع الذي به يتم الدّور مع أنّ الإسماعيليّة يعتبرونه رسولاً ناطقاً، و المتم في الأدوار السابقة من زمان آدم إلى زمان نبي الإسلام، لم يكن رسولاً ناطقاً</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الكاتب في الوقت نفسه جعله بادئاً للدور حيث قال في 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الدّور الصغير يبتدئ من الإمام محمد بن إسماعيل، حتى عهد الإمام معد بن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المعز لدين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كان الميزان هو الأدوار السابقة، لا يكون متمَّ الدّور، بادئ الدور باسم الرسول الناطق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بالجملة أنّ جعل محمد بن إسماعيل متمّاً للدّور من جانب، و ناطقاً سابعاً، ناسخاً للشريعة، التي سبقته من جانب آخر، أمران متناقضان، إذا كان الميزان هو الأدوار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الظاهر من كلام مصطفى غالب،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الدعوة الإسماعيليّة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 و أنّ متمَّ الدّور في الأدوار السابقة أيضاً، هو الرسول الناطق، و أنّ نوحاً كان متمَّ الدّور، و في الوقت نفسه رسولاً ناطقاً، و أنّ محمّداً صلّى اللّٰه عليه و آله و سلّم كان متمَّ الدَّور و في الوقت نفسه رسولاً ناطقاً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استشهد على ما ذكره بكلام الداعي إدريس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إليك نصهما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يعتبر الإمام محمد بن إسماعيل أوّل الأئمّة المستورين، و الناطق السابع، و متمّ الدّور، فقام بنسخ الشريعة التي سبقته، و بذلك جمع بين النطق و الإمامة، و رفع التكاليف الظاهرة للشريعة، و نادى بالتأويل، و اهتمَّ بالباطن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لذلك قال فيه الداعي إدريس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خُصَّ محمد بن إسماعيل بذلك لانتظامه في سلك مقامات دور الستر، لأنّك إذا عددت آدم و وصيّه و أئمّة دوره، كان خاتمهم الناطق و هو نوح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عددت عيسى و وصيَّه و أئمّة دوره، كان محمد صلّى اللّٰه عليه و آله و سلّم متسلّماً لمراتبهم، و هو الناطق خاتم للنطقاء، و كان وصيُّه عليه السّلام بالفضل منفرداً به، و إذا عددت الأئمّة في دوره كان محمد بن إسماعيل سابعهم، و للسابع قوّةٌ على من تقدَّمهُ، فلذلك صار ناطقاً و خاتماً للاسبوع، و قائماً، و هو ناسخ شريعة صاحب الدّور السادس، ببيان معانيها، و إظهار باطنها المبطن فيها</w:t>
      </w:r>
      <w:r>
        <w:rPr>
          <w:rFonts w:eastAsia="Amiri" w:cs="Amiri" w:ascii="Amiri" w:hAnsi="Amiri"/>
          <w:color w:val="111111"/>
          <w:sz w:val="28"/>
          <w:szCs w:val="28"/>
          <w:rtl w:val="true"/>
          <w:lang w:bidi="ar-SA"/>
        </w:rPr>
        <w:t>.</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فهذان الكاتبان اللّذان قاما في عصرنا هذا بنشر آثار الإسماعيليّة، و تبيين عقائدها، قد صوّرا الأدوار السابقة بصورتين متناقضتين</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فعارف تامر يصوّر الأئمّة سبعة سابعهم متمّمهم، و يتلوه الرسول الناطق </w:t>
      </w:r>
      <w:bookmarkStart w:id="530" w:name="pg11557_101423"/>
    </w:p>
    <w:p>
      <w:pPr>
        <w:pStyle w:val="BookText"/>
        <w:rPr/>
      </w:pPr>
      <w:bookmarkEnd w:id="530"/>
      <w:r>
        <w:rPr>
          <w:rFonts w:ascii="Amiri" w:hAnsi="Amiri" w:eastAsia="Amiri" w:cs="Amiri"/>
          <w:color w:val="111111"/>
          <w:sz w:val="28"/>
          <w:sz w:val="28"/>
          <w:szCs w:val="28"/>
          <w:rtl w:val="true"/>
          <w:lang w:bidi="ar-SA"/>
        </w:rPr>
        <w:t>بادئ الدّور الجديد؛ و مصطفى غالب يصوّرهم سبعة، سابعهم متمّمهم، و في الوقت نفسه الرسول الناطق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وجه آخر، و هو أن يختلف حكم الأدوار الستة، مع الدَّور السابع، فيكون الإمام المتمُّ في الدّور الأخير متمّاً و رسولاً ناطقاً على خلاف الأدوار الستة، و وجه ذلك أنّ هذا الدّور ليس دوراً مستقلاً، بل تتمّة للدور السادس، و لذلك يقول عارف تامر في التعريف بهذا الدور بالشكل التالي</w:t>
      </w:r>
      <w:r>
        <w:rPr>
          <w:rFonts w:eastAsia="Amiri" w:cs="Amiri" w:ascii="Amiri" w:hAnsi="Amiri"/>
          <w:color w:val="111111"/>
          <w:sz w:val="28"/>
          <w:szCs w:val="28"/>
          <w:rtl w:val="true"/>
          <w:lang w:bidi="ar-SA"/>
        </w:rPr>
        <w:t>:</w:t>
      </w:r>
    </w:p>
    <w:p>
      <w:pPr>
        <w:pStyle w:val="Heading4"/>
        <w:numPr>
          <w:ilvl w:val="3"/>
          <w:numId w:val="1"/>
        </w:numPr>
        <w:rPr/>
      </w:pPr>
      <w:bookmarkStart w:id="531" w:name="__RefHeading___Toc4284419_73709187"/>
      <w:bookmarkStart w:id="532" w:name="_Toc193"/>
      <w:bookmarkEnd w:id="531"/>
      <w:r>
        <w:rPr>
          <w:rtl w:val="true"/>
        </w:rPr>
        <w:t>تتمة الدور السادس</w:t>
      </w:r>
      <w:r>
        <w:rPr>
          <w:rtl w:val="true"/>
        </w:rPr>
        <w:t>:</w:t>
      </w:r>
      <w:bookmarkEnd w:id="532"/>
    </w:p>
    <w:p>
      <w:pPr>
        <w:pStyle w:val="BookText"/>
        <w:rPr/>
      </w:pPr>
      <w:r>
        <w:rPr>
          <w:rFonts w:ascii="Amiri" w:hAnsi="Amiri" w:eastAsia="Amiri" w:cs="Amiri"/>
          <w:color w:val="111111"/>
          <w:sz w:val="28"/>
          <w:sz w:val="28"/>
          <w:szCs w:val="28"/>
          <w:rtl w:val="true"/>
          <w:lang w:bidi="ar-SA"/>
        </w:rPr>
        <w:t xml:space="preserve">و هذا الدور الصغير يبتدئ من الإمام محمد بن إسماعيل حتى عهد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المعز لدين اللّٰه، و يعتبر جزءاً من الدّور الكبير الذي يبتدئ من 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القائم المنتظر</w:t>
      </w:r>
      <w:r>
        <w:rPr>
          <w:rFonts w:eastAsia="Amiri" w:cs="Amiri" w:ascii="Amiri" w:hAnsi="Amiri"/>
          <w:color w:val="111111"/>
          <w:sz w:val="28"/>
          <w:szCs w:val="28"/>
          <w:rtl w:val="true"/>
          <w:lang w:bidi="ar-SA"/>
        </w:rPr>
        <w:t>.</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 xml:space="preserve">و ما ذكرنا من الوجه هو الظاهر من الحامدي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سيوافيك نصّه في الفصل الخاص بترجمة أعلام الإسماعيليّة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المعروف بين الإسماعيليّة في العصور الأُولىٰ، أنّ محمد بن إسماعيل هو الرسول الناطق، و هو ناسخ للشريعة، و قد نسبه النوبختي إلى طائفة من الإسماعيليّة باسم القرامطة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زعموا أنّ محمد بن إسماعيل حيٌّ لم يمت و أنّه في بلاد الروم، و أنّه القائم المهدي؛ و معنى القائم عندهم أنّه يبعث بالرسالة و بشريعة جديدة، ينسخ بها شريعة محمد صلّى اللّٰه عليه و آله و سلّم، و أنّ محمد بن إسماعيل من أُولو العزم، و أُولو العزم عندهم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 و إبراهيم، و موسى، و عيسى، و محمد، و علي، و محمد بن إسماعيل</w:t>
      </w:r>
      <w:r>
        <w:rPr>
          <w:rFonts w:eastAsia="Amiri" w:cs="Amiri" w:ascii="Amiri" w:hAnsi="Amiri"/>
          <w:color w:val="111111"/>
          <w:sz w:val="28"/>
          <w:szCs w:val="28"/>
          <w:rtl w:val="true"/>
          <w:lang w:bidi="ar-SA"/>
        </w:rPr>
        <w:t>.</w:t>
      </w:r>
      <w:r>
        <w:rPr>
          <w:rStyle w:val="FootnoteAnchor"/>
          <w:rtl w:val="true"/>
        </w:rPr>
        <w:footnoteReference w:id="382"/>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كان القول بذلك يصادم اتفاق جمهور المسلمين على أنّ شريعة الإسلام هي الشريعة الخاتمة، و نبيّها هو النبي الخاتم، و كتابه خاتم الكتب، تجد أنّ </w:t>
      </w:r>
    </w:p>
    <w:p>
      <w:pPr>
        <w:pStyle w:val="BookText"/>
        <w:rPr/>
      </w:pPr>
      <w:r>
        <w:rPr>
          <w:rFonts w:ascii="Amiri" w:hAnsi="Amiri" w:eastAsia="Amiri" w:cs="Amiri"/>
          <w:color w:val="111111"/>
          <w:sz w:val="28"/>
          <w:sz w:val="28"/>
          <w:szCs w:val="28"/>
          <w:rtl w:val="true"/>
          <w:lang w:bidi="ar-SA"/>
        </w:rPr>
        <w:t xml:space="preserve">مصطفى غالب، ينقل عن الداعي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عماد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أنّه يبيّن معاني الشريعة، و يظهر باطنها المبطن فيها</w:t>
      </w:r>
      <w:r>
        <w:rPr>
          <w:rFonts w:eastAsia="Amiri" w:cs="Amiri" w:ascii="Amiri" w:hAnsi="Amiri"/>
          <w:color w:val="111111"/>
          <w:sz w:val="28"/>
          <w:szCs w:val="28"/>
          <w:rtl w:val="true"/>
          <w:lang w:bidi="ar-SA"/>
        </w:rPr>
        <w:t>.</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و لكنّه تصرّف في العقيدة، فإنّ الظاهر من عطف محمد بن إسماعيل على سائر النطقاء، كنوح، و إبراهيم، و موسى، و عيسى، و محمد، أنّه ناسخ بالحقيقة، و إلّا يلزم الاختلاف في معنى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لازم القاعدة التي استنبطها الكاتب من بطون التاريخ، في أدوار الإمامة أن تكون شريعة كلِّ رسول منتهية بظهور الإمام السابع، و يكون الإمام اللاحق بادئاً للدّور الجديد، مع أنّه يُرى انتقاض القاعدة في ظهور محمد بن إسماعيل، حيث جعل الكاتب عارف تامر دوره متماً للدّور السادس لا بادئاً للدّور الجديد، و أضاف بأنّه ينتهي بظهور الإمام القائم المنتظر، و لا يمكن تحديدُ مدّته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إدراج القائم المنتظر، الذي هو من صميم عقائد الإماميّة الاثني عشريّة في عقائد الإسماعيليّة غريب جداً من 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إخراج محمد بن إسماعيل عن مقامه العظيم في العقيدة الإسماعيليّة، و جعل الأدوار التالية حتى دور محمد بن إسماعيل من توابع دور محمد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انتظار الإسماعيليّة للقائم المنتظر، فإنّ القائم المنتظر في عقيدة الشيعة الإماميّة أقلّ بكثير من صاحب الدور عند الإسماعيليّة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أظن أن جعل الدور الذي بدأ به محمد بن إسماعيل جزءاً من الدّور السادس، لا دوراً مستقلاً لأجل استقطاب نظر جمهور المسلمين إلى أنفسهم حتى ينسلكوا في عداد المسلمين</w:t>
      </w:r>
      <w:r>
        <w:rPr>
          <w:rFonts w:eastAsia="Amiri" w:cs="Amiri" w:ascii="Amiri" w:hAnsi="Amiri"/>
          <w:color w:val="111111"/>
          <w:sz w:val="28"/>
          <w:szCs w:val="28"/>
          <w:rtl w:val="true"/>
          <w:lang w:bidi="ar-SA"/>
        </w:rPr>
        <w:t>.</w:t>
      </w:r>
      <w:r>
        <w:rPr>
          <w:rStyle w:val="FootnoteAnchor"/>
          <w:rtl w:val="true"/>
        </w:rPr>
        <w:footnoteReference w:id="384"/>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ذلك يُعرب عن عدم وجود نظام عقائدي منسق عندهم</w:t>
      </w:r>
      <w:r>
        <w:rPr>
          <w:rFonts w:eastAsia="Amiri" w:cs="Amiri" w:ascii="Amiri" w:hAnsi="Amiri"/>
          <w:color w:val="111111"/>
          <w:sz w:val="28"/>
          <w:szCs w:val="28"/>
          <w:rtl w:val="true"/>
          <w:lang w:bidi="ar-SA"/>
        </w:rPr>
        <w:t xml:space="preserve">.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3" w:name="pg11557_101426"/>
      <w:bookmarkStart w:id="534" w:name="pg11557_101426"/>
      <w:bookmarkEnd w:id="534"/>
    </w:p>
    <w:p>
      <w:pPr>
        <w:pStyle w:val="Heading2"/>
        <w:numPr>
          <w:ilvl w:val="1"/>
          <w:numId w:val="1"/>
        </w:numPr>
        <w:rPr/>
      </w:pPr>
      <w:bookmarkStart w:id="535" w:name="pg11557_101426"/>
      <w:bookmarkStart w:id="536" w:name="__RefHeading___Toc4284421_73709187"/>
      <w:bookmarkStart w:id="537" w:name="_Toc194"/>
      <w:bookmarkEnd w:id="535"/>
      <w:bookmarkEnd w:id="536"/>
      <w:r>
        <w:rPr>
          <w:rtl w:val="true"/>
        </w:rPr>
        <w:t>الفصل الثاني عشر</w:t>
      </w:r>
      <w:r>
        <w:rPr>
          <w:rtl w:val="true"/>
        </w:rPr>
        <w:t xml:space="preserve">: </w:t>
      </w:r>
      <w:r>
        <w:rPr>
          <w:rtl w:val="true"/>
        </w:rPr>
        <w:t>في نظرية المثل و الممثول أو تأويلات الإسماعيلية</w:t>
      </w:r>
      <w:bookmarkEnd w:id="537"/>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38" w:name="__RefHeading___Toc4284423_73709187"/>
      <w:bookmarkStart w:id="539" w:name="_Toc195"/>
      <w:bookmarkEnd w:id="538"/>
      <w:r>
        <w:rPr>
          <w:rtl w:val="true"/>
        </w:rPr>
        <w:t>اشارة</w:t>
      </w:r>
      <w:bookmarkEnd w:id="539"/>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إنّ نظرية المثل و الممثول تُعدُّ الحجر الأساس لِعامّة عقائد الإسماعيليّة، التي جعلت لكلِّ ظاهر باطناً، و سمّوا الأوّل مثلاً، و الثاني ممثولاً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تبتني نظرية التأويل الدينيّة الفلسفية، فتذهب إلى أنّ اللّٰه تعالى جعل كلَّ معاني الدّين في الموجودات، لذا يجب أن يُستدل بما في الطبيعة على إدراك حقيقةَ الدين، فما ظهر من أُمور الدين من العبادة العمليّة، التي بيّنها القرآن معاني يفهمها العامّة، و لكن لكلّ فريضة من فرائض الدين تأويلاً باطناً، لا يعلمه إلّا الأئمّة، و كبار حججهم و أبوابهم و دعاتهم</w:t>
      </w:r>
      <w:r>
        <w:rPr>
          <w:rFonts w:eastAsia="Amiri" w:cs="Amiri" w:ascii="Amiri" w:hAnsi="Amiri"/>
          <w:color w:val="111111"/>
          <w:sz w:val="28"/>
          <w:szCs w:val="28"/>
          <w:rtl w:val="true"/>
          <w:lang w:bidi="ar-SA"/>
        </w:rPr>
        <w:t>.</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يقول الداعي المؤيد في الدين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أمثالاً و ممثولات، فجسم الإنسان مثل، و نفسه ممثول، و الدنيا مثَل و الآخرة ممثول، و انَّ هذه الأعلام التي خلقها اللّٰه تعالى، و جعل قُوام الحياة بها، من الشمس و القمر، و النجوم، لها ذوات قائمة، يحل منها محل المثل و انّ قواها الباطنة التي تؤثر في المصنوعات، هي ممثول تلك الأمثال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صاحب المجالس المستنصرية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معشر المؤمنين انّ اللّٰه تعالى ضرب لكم الأمثال جملاً و تفصيلاً، و لم يستح من صغر المثال إذا بيّن به ممثولاً، و جعل ظاهر القرآن على باطنه دليلاً، و من قصيدة المؤيد للدين يقول فيها</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أقصد حمى ممثوله دون المَثل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 أبرُ النحل</w:t>
      </w:r>
      <w:r>
        <w:rPr>
          <w:rStyle w:val="FootnoteAnchor"/>
          <w:rtl w:val="true"/>
        </w:rPr>
        <w:footnoteReference w:id="386"/>
      </w:r>
      <w:r>
        <w:rPr>
          <w:rFonts w:ascii="Amiri" w:hAnsi="Amiri" w:eastAsia="Amiri" w:cs="Amiri"/>
          <w:color w:val="111111"/>
          <w:sz w:val="28"/>
          <w:sz w:val="28"/>
          <w:szCs w:val="28"/>
          <w:rtl w:val="true"/>
          <w:lang w:bidi="ar-SA"/>
        </w:rPr>
        <w:t xml:space="preserve">و هذا كالعسل </w:t>
      </w:r>
      <w:bookmarkStart w:id="540" w:name="pg11557_101429"/>
    </w:p>
    <w:p>
      <w:pPr>
        <w:pStyle w:val="BookText"/>
        <w:rPr/>
      </w:pPr>
      <w:bookmarkEnd w:id="540"/>
      <w:r>
        <w:rPr>
          <w:rFonts w:ascii="Amiri" w:hAnsi="Amiri" w:eastAsia="Amiri" w:cs="Amiri"/>
          <w:color w:val="111111"/>
          <w:sz w:val="28"/>
          <w:sz w:val="28"/>
          <w:szCs w:val="28"/>
          <w:rtl w:val="true"/>
          <w:lang w:bidi="ar-SA"/>
        </w:rPr>
        <w:t>و استناداً إلى نظرية المثل و الممثول يجب أن يكون في العالم الأرضي عالم جسماني ظاهر يماثل العالم الروحانيّ الباطن</w:t>
      </w:r>
      <w:r>
        <w:rPr>
          <w:rFonts w:eastAsia="Amiri" w:cs="Amiri" w:ascii="Amiri" w:hAnsi="Amiri"/>
          <w:color w:val="111111"/>
          <w:sz w:val="28"/>
          <w:szCs w:val="28"/>
          <w:rtl w:val="true"/>
          <w:lang w:bidi="ar-SA"/>
        </w:rPr>
        <w:t>.</w:t>
      </w:r>
      <w:r>
        <w:rPr>
          <w:rStyle w:val="FootnoteAnchor"/>
          <w:rtl w:val="true"/>
        </w:rPr>
        <w:footnoteReference w:id="387"/>
      </w:r>
    </w:p>
    <w:p>
      <w:pPr>
        <w:pStyle w:val="Heading3"/>
        <w:numPr>
          <w:ilvl w:val="2"/>
          <w:numId w:val="1"/>
        </w:numPr>
        <w:rPr/>
      </w:pPr>
      <w:bookmarkStart w:id="541" w:name="__RefHeading___Toc4284425_73709187"/>
      <w:bookmarkStart w:id="542" w:name="_Toc196"/>
      <w:bookmarkEnd w:id="541"/>
      <w:r>
        <w:rPr/>
        <w:t>1</w:t>
      </w:r>
      <w:r>
        <w:rPr>
          <w:rtl w:val="true"/>
        </w:rPr>
        <w:t xml:space="preserve"> - </w:t>
      </w:r>
      <w:r>
        <w:rPr>
          <w:rtl w:val="true"/>
        </w:rPr>
        <w:t>العقول العشرة</w:t>
      </w:r>
      <w:bookmarkEnd w:id="542"/>
    </w:p>
    <w:p>
      <w:pPr>
        <w:pStyle w:val="BookText"/>
        <w:rPr/>
      </w:pPr>
      <w:r>
        <w:rPr>
          <w:rFonts w:ascii="Amiri" w:hAnsi="Amiri" w:eastAsia="Amiri" w:cs="Amiri"/>
          <w:color w:val="111111"/>
          <w:sz w:val="28"/>
          <w:sz w:val="28"/>
          <w:szCs w:val="28"/>
          <w:rtl w:val="true"/>
          <w:lang w:bidi="ar-SA"/>
        </w:rPr>
        <w:t>إنّ الإسماعيليّة استخدمت في تطبيق تلك النظرية، على ما تتبناه من تطبيق الدعوة الدينيّة على عالم التكوين نظرية الفلسفة اليونانية في كيفيّة حصول الكثرة في العالم، و لم يكن الهدف في استخدام نظريتهم، في بيان صدور الكثرات من الواحد البسيط، إلّا تطبيقها على الدعوة الدينيّة، حتى يكون لكلِّ ظاهر باطن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أثبتت البراهين الفلسفيّة أنّه سبحانه واحد، بسيط من جميع الجهات، لا كثرة فيه، لا خارجاً و لا عقلاً، و لا وهماً</w:t>
      </w:r>
    </w:p>
    <w:p>
      <w:pPr>
        <w:pStyle w:val="BookText"/>
        <w:rPr/>
      </w:pPr>
      <w:r>
        <w:rPr>
          <w:rFonts w:ascii="Amiri" w:hAnsi="Amiri" w:eastAsia="Amiri" w:cs="Amiri"/>
          <w:color w:val="111111"/>
          <w:sz w:val="28"/>
          <w:sz w:val="28"/>
          <w:szCs w:val="28"/>
          <w:rtl w:val="true"/>
          <w:lang w:bidi="ar-SA"/>
        </w:rPr>
        <w:t xml:space="preserve">ثمّ إنّهم بعد البرهنة على تلك القاعدة، وقعوا في مأزق و هو أنّه كيف صدرت من الواحد البسيط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يصدر عنه إلّا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الكثرات في عالم العقول، و الأفلاك، و الأجسام؟</w:t>
      </w:r>
    </w:p>
    <w:p>
      <w:pPr>
        <w:pStyle w:val="BookText"/>
        <w:rPr/>
      </w:pPr>
      <w:r>
        <w:rPr>
          <w:rFonts w:ascii="Amiri" w:hAnsi="Amiri" w:eastAsia="Amiri" w:cs="Amiri"/>
          <w:color w:val="111111"/>
          <w:sz w:val="28"/>
          <w:sz w:val="28"/>
          <w:szCs w:val="28"/>
          <w:rtl w:val="true"/>
          <w:lang w:bidi="ar-SA"/>
        </w:rPr>
        <w:t>ذهب أرسطو و تلاميذه، و من تبعهم من المسلمين كالفارابي و الشيخ الرئيس، إلى أنّ الصادر منه سبحانه واحد،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الأوّل، و هو مشتمل على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جهة لعقله لمبدئه، وجهة إضافته إلى ماهيته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فبالنظر إلى الجهة الأُولى صدر العقل الثاني، و بالنظر إلى الجهة الثانية صدر الفلك الأوّل و نفسه، الذي هو الفلك الأقصى</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صدر من العقل الثاني لهاتين الجهتين، العقل الثالث، و الفلك الثاني مع نفسه، الذي هو فلك الثوابت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صدر من العقل الثالث لهاتين الجهتين، العقل الرابع، و الفلك الثالث مع نفسه، الذي هو فلك زحل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الترتيب، صدر العقل الخامس و الفلك الرابع، الذي هو فلك المشتري، إلى أن وصل عدد العقول إلى عشرة، و عدد الأفلاك مع نفوسها تسعة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تبنّى المذهب الإسماعيلي، الذي هو مذهب ذو صبغة فلسفيّة يونانيّة هذه النظرية مع اختلاف يسير في التعبير لا غير، و الفكرة الرئيسيّة عندهم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يعبّر الداعي الكرماني عن العقل الأوّل بالمبدع، كما يعبّر عن العقل الثاني بالمنبعث الأوّل، و كلا المسلكين يشتركان في أنّه يبتدئ الصدور بالعقل الأوّل، الذي تسمّيه فلسفةُ المشاء بالعقل الأوّل، و المذهب الإسماعيليّ بالمبدع الأوّل، و تنتهي بالعقل الفعّال، و يتوسط بين العقل الأوّل و العقل الفعّال سلسلة العقول، و الأفلاك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الداعي الكرماني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العقل الأوّل مركز لعالم العقول إلى العقل الفعّال، و العقل الفعّال عاقل للكل، و هو مركز لعالم الجسم، من الأجسام العالية الثابتة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الأجسام المستحيلة المسمّاة عالم الكون و الفساد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العناصر الأربعة</w:t>
      </w:r>
      <w:r>
        <w:rPr>
          <w:rFonts w:eastAsia="Amiri" w:cs="Amiri" w:ascii="Amiri" w:hAnsi="Amiri"/>
          <w:color w:val="111111"/>
          <w:sz w:val="28"/>
          <w:szCs w:val="28"/>
          <w:rtl w:val="true"/>
          <w:lang w:bidi="ar-SA"/>
        </w:rPr>
        <w:t>).</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يقول الحكيم السبزواري في بيان تلك النظرية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فالعقل الأوّل لدى المشاء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وجوبه مبدأ ثان جاء</w:t>
      </w:r>
    </w:p>
    <w:p>
      <w:pPr>
        <w:pStyle w:val="BookText"/>
        <w:rPr/>
      </w:pPr>
      <w:r>
        <w:rPr>
          <w:rFonts w:ascii="Amiri" w:hAnsi="Amiri" w:eastAsia="Amiri" w:cs="Amiri"/>
          <w:color w:val="111111"/>
          <w:sz w:val="28"/>
          <w:sz w:val="28"/>
          <w:szCs w:val="28"/>
          <w:rtl w:val="true"/>
          <w:lang w:bidi="ar-SA"/>
        </w:rPr>
        <w:t xml:space="preserve">و عقله لذاته للفلك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 لدان سامك لسامك</w:t>
      </w:r>
    </w:p>
    <w:p>
      <w:pPr>
        <w:pStyle w:val="BookText"/>
        <w:rPr/>
      </w:pPr>
      <w:r>
        <w:rPr>
          <w:rFonts w:ascii="Amiri" w:hAnsi="Amiri" w:eastAsia="Amiri" w:cs="Amiri"/>
          <w:color w:val="111111"/>
          <w:sz w:val="28"/>
          <w:sz w:val="28"/>
          <w:szCs w:val="28"/>
          <w:rtl w:val="true"/>
          <w:lang w:bidi="ar-SA"/>
        </w:rPr>
        <w:t xml:space="preserve">و هكذا حتى لعاشرٍ 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الفيض منه في العناصر حصل</w:t>
      </w:r>
    </w:p>
    <w:p>
      <w:pPr>
        <w:pStyle w:val="BookText"/>
        <w:rPr/>
      </w:pPr>
      <w:r>
        <w:rPr>
          <w:rFonts w:ascii="Amiri" w:hAnsi="Amiri" w:eastAsia="Amiri" w:cs="Amiri"/>
          <w:color w:val="111111"/>
          <w:sz w:val="28"/>
          <w:sz w:val="28"/>
          <w:szCs w:val="28"/>
          <w:rtl w:val="true"/>
          <w:lang w:bidi="ar-SA"/>
        </w:rPr>
        <w:t xml:space="preserve">بالفقر معط لهيولى العنصر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بالوجوب لنفوس صور</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فللهيولى كثرة استعداد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بحركات السبعة الشداد</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ثمّ إنّ المهم تطبيق هذه الدرجات الكونية على درجات الدعوة الدينيّة عند الإسماعيليّة، فقد جعلوا لكل ظاهر باطناً، و لكلّ درجة كونيّة درجة دينيّة، و إليك جدولاً يوضح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العقل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الناطق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الفلك الأقصى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الثوابت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زحل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المريخ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داعي البلاغ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الداعي المطلق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الداعي المحدود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عطارد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المأذون المطلق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المأذون المحدود، و ربّما يُطلق عليه المكاسر و المكالب</w:t>
      </w:r>
      <w:r>
        <w:rPr>
          <w:rFonts w:eastAsia="Amiri" w:cs="Amiri" w:ascii="Amiri" w:hAnsi="Amiri"/>
          <w:color w:val="111111"/>
          <w:sz w:val="28"/>
          <w:szCs w:val="28"/>
          <w:rtl w:val="true"/>
          <w:lang w:bidi="ar-SA"/>
        </w:rPr>
        <w:t>.</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هذا عرض موجز عن الدرجات الدينيّة للدعوة، و أمّا تفسيرها فإليك بيانها إجمالاً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رتبة التنزيل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رتبة التأويل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رتبة الأمر</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رتبة فصل الخطاب</w:t>
      </w:r>
      <w:r>
        <w:rPr>
          <w:rFonts w:eastAsia="Amiri" w:cs="Amiri" w:ascii="Amiri" w:hAnsi="Amiri"/>
          <w:color w:val="111111"/>
          <w:sz w:val="28"/>
          <w:szCs w:val="28"/>
          <w:rtl w:val="true"/>
          <w:lang w:bidi="ar-SA"/>
        </w:rPr>
        <w:t xml:space="preserve">. </w:t>
      </w:r>
      <w:bookmarkStart w:id="543" w:name="pg11557_101432"/>
    </w:p>
    <w:p>
      <w:pPr>
        <w:pStyle w:val="BookText"/>
        <w:rPr/>
      </w:pPr>
      <w:bookmarkEnd w:id="543"/>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رتبة الحكم فيما كان حقّاً أو باطلاً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داعي البلاغ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رتبة الاحتجاج، و تعريف المعاد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الداعي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رتبة تعريف الحدود العلوية و العبادة الباطنية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الداعي المحصور، أو المحدود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رتبة تعريف الحدود السفليّة و العبادة الظاهرة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المأذون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رتبة أخذ العهد و الميثاق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المأذون المحدود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رتبة جذب الأنفس المستجيبة، و هو المكاسر</w:t>
      </w:r>
      <w:r>
        <w:rPr>
          <w:rFonts w:eastAsia="Amiri" w:cs="Amiri" w:ascii="Amiri" w:hAnsi="Amiri"/>
          <w:color w:val="111111"/>
          <w:sz w:val="28"/>
          <w:szCs w:val="28"/>
          <w:rtl w:val="true"/>
          <w:lang w:bidi="ar-SA"/>
        </w:rPr>
        <w:t>.</w:t>
      </w:r>
      <w:r>
        <w:rPr>
          <w:rStyle w:val="FootnoteAnchor"/>
          <w:rtl w:val="true"/>
        </w:rPr>
        <w:footnoteReference w:id="391"/>
      </w:r>
    </w:p>
    <w:p>
      <w:pPr>
        <w:pStyle w:val="Heading3"/>
        <w:numPr>
          <w:ilvl w:val="2"/>
          <w:numId w:val="1"/>
        </w:numPr>
        <w:rPr/>
      </w:pPr>
      <w:bookmarkStart w:id="544" w:name="__RefHeading___Toc4284427_73709187"/>
      <w:bookmarkStart w:id="545" w:name="_Toc197"/>
      <w:bookmarkEnd w:id="544"/>
      <w:r>
        <w:rPr/>
        <w:t>2</w:t>
      </w:r>
      <w:r>
        <w:rPr>
          <w:rtl w:val="true"/>
        </w:rPr>
        <w:t xml:space="preserve"> - </w:t>
      </w:r>
      <w:r>
        <w:rPr>
          <w:rtl w:val="true"/>
        </w:rPr>
        <w:t>النطقاء السبعة و أمثالها</w:t>
      </w:r>
      <w:r>
        <w:rPr>
          <w:rtl w:val="true"/>
        </w:rPr>
        <w:t>:</w:t>
      </w:r>
      <w:bookmarkEnd w:id="545"/>
    </w:p>
    <w:p>
      <w:pPr>
        <w:pStyle w:val="BookText"/>
        <w:rPr/>
      </w:pPr>
      <w:r>
        <w:rPr>
          <w:rFonts w:ascii="Amiri" w:hAnsi="Amiri" w:eastAsia="Amiri" w:cs="Amiri"/>
          <w:color w:val="111111"/>
          <w:sz w:val="28"/>
          <w:sz w:val="28"/>
          <w:szCs w:val="28"/>
          <w:rtl w:val="true"/>
          <w:lang w:bidi="ar-SA"/>
        </w:rPr>
        <w:t xml:space="preserve">و ربّما يعبّرون عنها بالحروف السبعة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 ن، إ، م، ع، م،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الحروف الأُولى من أسماء النطقاء السبعة، و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آدم، نوح، إبراهيم، موسى، عيسى، محمد، قائم</w:t>
      </w:r>
      <w:r>
        <w:rPr>
          <w:rStyle w:val="FootnoteAnchor"/>
          <w:rtl w:val="true"/>
        </w:rPr>
        <w:footnoteReference w:id="392"/>
      </w:r>
      <w:r>
        <w:rPr>
          <w:rFonts w:ascii="Amiri" w:hAnsi="Amiri" w:eastAsia="Amiri" w:cs="Amiri"/>
          <w:color w:val="111111"/>
          <w:sz w:val="28"/>
          <w:sz w:val="28"/>
          <w:szCs w:val="28"/>
          <w:rtl w:val="true"/>
          <w:lang w:bidi="ar-SA"/>
        </w:rPr>
        <w:t>مع أُسسهم ممثولين للأفلاك السبعة بالشكل التالي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الممثول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أساسه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شيث</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يوشع</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شمعون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عطارد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w:t>
      </w:r>
      <w:r>
        <w:rPr>
          <w:rStyle w:val="FootnoteAnchor"/>
          <w:rtl w:val="true"/>
        </w:rPr>
        <w:footnoteReference w:id="393"/>
      </w:r>
      <w:bookmarkStart w:id="546" w:name="pg11557_101433"/>
    </w:p>
    <w:p>
      <w:pPr>
        <w:pStyle w:val="Heading3"/>
        <w:numPr>
          <w:ilvl w:val="2"/>
          <w:numId w:val="1"/>
        </w:numPr>
        <w:rPr/>
      </w:pPr>
      <w:bookmarkStart w:id="547" w:name="__RefHeading___Toc4284429_73709187"/>
      <w:bookmarkStart w:id="548" w:name="_Toc198"/>
      <w:bookmarkEnd w:id="546"/>
      <w:bookmarkEnd w:id="547"/>
      <w:r>
        <w:rPr/>
        <w:t>3</w:t>
      </w:r>
      <w:r>
        <w:rPr>
          <w:rtl w:val="true"/>
        </w:rPr>
        <w:t xml:space="preserve"> - </w:t>
      </w:r>
      <w:r>
        <w:rPr>
          <w:rtl w:val="true"/>
        </w:rPr>
        <w:t>الأنوار الخمسة و أمثالها</w:t>
      </w:r>
      <w:r>
        <w:rPr>
          <w:rtl w:val="true"/>
        </w:rPr>
        <w:t>:</w:t>
      </w:r>
      <w:bookmarkEnd w:id="548"/>
    </w:p>
    <w:p>
      <w:pPr>
        <w:pStyle w:val="BookText"/>
        <w:rPr/>
      </w:pPr>
      <w:r>
        <w:rPr>
          <w:rFonts w:ascii="Amiri" w:hAnsi="Amiri" w:eastAsia="Amiri" w:cs="Amiri"/>
          <w:color w:val="111111"/>
          <w:sz w:val="28"/>
          <w:sz w:val="28"/>
          <w:szCs w:val="28"/>
          <w:rtl w:val="true"/>
          <w:lang w:bidi="ar-SA"/>
        </w:rPr>
        <w:t>الأنوار الخمسة، عبارة عن أُولى الموجودات في العالم،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 و التالي، و الجد، و الفتح، و الخيال، و كلُّها ممثولات، و لها أمثلة في الحدود العلويّة، و في عالم الدين، و عالم المادة بالشكل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الممثول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المثل في العالم 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الممثول في عالم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المثل في عالم الجسم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الكلّي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السماء</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الكلّي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إسرافيل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المعدن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ميكائيل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النبات</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الحيوان</w:t>
      </w:r>
    </w:p>
    <w:p>
      <w:pPr>
        <w:pStyle w:val="BookText"/>
        <w:rPr/>
      </w:pPr>
      <w:r>
        <w:rPr>
          <w:rFonts w:ascii="Amiri" w:hAnsi="Amiri" w:eastAsia="Amiri" w:cs="Amiri"/>
          <w:color w:val="111111"/>
          <w:sz w:val="28"/>
          <w:sz w:val="28"/>
          <w:szCs w:val="28"/>
          <w:rtl w:val="true"/>
          <w:lang w:bidi="ar-SA"/>
        </w:rPr>
        <w:t>و كلٌّ يأخذ الفيض من السابق، و يفيضه إلى التالي</w:t>
      </w:r>
      <w:r>
        <w:rPr>
          <w:rFonts w:eastAsia="Amiri" w:cs="Amiri" w:ascii="Amiri" w:hAnsi="Amiri"/>
          <w:color w:val="111111"/>
          <w:sz w:val="28"/>
          <w:szCs w:val="28"/>
          <w:rtl w:val="true"/>
          <w:lang w:bidi="ar-SA"/>
        </w:rPr>
        <w:t>.</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و إلى هذه الأنوار الخمسة يشير الداعي في قصيدته الشافية عند ذكر توبة آدم و توسله بها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عاد للّٰه بحسن 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كي يغفر تلك الحوبة</w:t>
      </w:r>
    </w:p>
    <w:p>
      <w:pPr>
        <w:pStyle w:val="BookText"/>
        <w:rPr/>
      </w:pPr>
      <w:r>
        <w:rPr>
          <w:rFonts w:ascii="Amiri" w:hAnsi="Amiri" w:eastAsia="Amiri" w:cs="Amiri"/>
          <w:color w:val="111111"/>
          <w:sz w:val="28"/>
          <w:sz w:val="28"/>
          <w:szCs w:val="28"/>
          <w:rtl w:val="true"/>
          <w:lang w:bidi="ar-SA"/>
        </w:rPr>
        <w:t xml:space="preserve">و قال يا ربي إنّي أسأل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إنّني عن زلّتي منفصل</w:t>
      </w:r>
    </w:p>
    <w:p>
      <w:pPr>
        <w:pStyle w:val="BookText"/>
        <w:rPr/>
      </w:pPr>
      <w:r>
        <w:rPr>
          <w:rFonts w:ascii="Amiri" w:hAnsi="Amiri" w:eastAsia="Amiri" w:cs="Amiri"/>
          <w:color w:val="111111"/>
          <w:sz w:val="28"/>
          <w:sz w:val="28"/>
          <w:szCs w:val="28"/>
          <w:rtl w:val="true"/>
          <w:lang w:bidi="ar-SA"/>
        </w:rPr>
        <w:t xml:space="preserve">مُبتهلاً بالخمسة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أبدعته في الدّار</w:t>
      </w:r>
    </w:p>
    <w:p>
      <w:pPr>
        <w:pStyle w:val="BookText"/>
        <w:rPr/>
      </w:pPr>
      <w:r>
        <w:rPr>
          <w:rFonts w:ascii="Amiri" w:hAnsi="Amiri" w:eastAsia="Amiri" w:cs="Amiri"/>
          <w:color w:val="111111"/>
          <w:sz w:val="28"/>
          <w:sz w:val="28"/>
          <w:szCs w:val="28"/>
          <w:rtl w:val="true"/>
          <w:lang w:bidi="ar-SA"/>
        </w:rPr>
        <w:t xml:space="preserve">من سابق كان بلا 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حق يتلوه بالكمال</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الجد ثمّ الفتح و الخيال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بالحروف السبعة الأشكال</w:t>
      </w:r>
      <w:r>
        <w:rPr>
          <w:rStyle w:val="FootnoteAnchor"/>
          <w:rtl w:val="true"/>
        </w:rPr>
        <w:footnoteReference w:id="395"/>
      </w:r>
      <w:bookmarkStart w:id="549" w:name="pg11557_101434"/>
    </w:p>
    <w:p>
      <w:pPr>
        <w:pStyle w:val="Heading3"/>
        <w:numPr>
          <w:ilvl w:val="2"/>
          <w:numId w:val="1"/>
        </w:numPr>
        <w:rPr/>
      </w:pPr>
      <w:bookmarkStart w:id="550" w:name="__RefHeading___Toc4284431_73709187"/>
      <w:bookmarkStart w:id="551" w:name="_Toc199"/>
      <w:bookmarkEnd w:id="549"/>
      <w:bookmarkEnd w:id="550"/>
      <w:r>
        <w:rPr>
          <w:rtl w:val="true"/>
        </w:rPr>
        <w:t>نماذج من تأويلاتهم الفقهية</w:t>
      </w:r>
      <w:bookmarkEnd w:id="551"/>
    </w:p>
    <w:p>
      <w:pPr>
        <w:pStyle w:val="Heading4"/>
        <w:numPr>
          <w:ilvl w:val="3"/>
          <w:numId w:val="1"/>
        </w:numPr>
        <w:rPr/>
      </w:pPr>
      <w:bookmarkStart w:id="552" w:name="__RefHeading___Toc4284433_73709187"/>
      <w:bookmarkStart w:id="553" w:name="_Toc200"/>
      <w:bookmarkEnd w:id="552"/>
      <w:r>
        <w:rPr>
          <w:rtl w:val="true"/>
        </w:rPr>
        <w:t>اشارة</w:t>
      </w:r>
      <w:bookmarkEnd w:id="553"/>
    </w:p>
    <w:p>
      <w:pPr>
        <w:pStyle w:val="BookText"/>
        <w:rPr/>
      </w:pPr>
      <w:r>
        <w:rPr>
          <w:rFonts w:ascii="Amiri" w:hAnsi="Amiri" w:eastAsia="Amiri" w:cs="Amiri"/>
          <w:color w:val="111111"/>
          <w:sz w:val="28"/>
          <w:sz w:val="28"/>
          <w:szCs w:val="28"/>
          <w:rtl w:val="true"/>
          <w:lang w:bidi="ar-SA"/>
        </w:rPr>
        <w:t>لما كان القول بالمثَل و الممثول أساساً للتأويل، نذكر في المقام بعض تأويلاتهم في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الإسماعيليّة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ظاهر في الشريعة، كالوضوء، و الصلاة، و الزكاة، و الجهاد، و الحج، و الولاية، و غيرها باطناً، يجب الإيمان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كتب كثير من الفاطميين كُتباً في التأويل، غير أنّ قاضي القضاة، النعمان بن محمد، قام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كتاباً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الحلال و الحرام و القضايا و الأحكام، و طبع الكتاب في جزءين و هو يشتمل على الكتب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الولاية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الصوم و الاعتكاف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الجهاد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البيوع و 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الأيمان و النذور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الأشربة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الأطعمة</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الطب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اللباس و الطبيب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الصيد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الذبائح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الضحايا و العقائق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النكاح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العتق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العطايا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الوصايا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الفرائض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الدّيات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الحدود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السُّرّاق و المحاربين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الرّدة و البدعة</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الغصب و التعدّي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العارية و الوديعة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اللفظة و اللقيطة و الآبق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القسمة و البنيان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الشهادات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الدعوى و البينات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آداب القضاة</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في الحقيقة يحتوي على ظواهر الشريعة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كتاباً، حاولَ فيه أن يبيّن التأويل الباطني لجميع الأحكام، أسماه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 الدعائم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استطاع أن يُنهي تأليف الجزء الأوّل منه، و الذي يشتمل على كتاب الولاية، و الطهارة، و الصلاة، و لكنَّ المنيّة حالت دون إتمامه لتأويل بقيّة الأبواب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نقتصر في المقام على ما جاء في هذا الكتاب، بوجه مُوجز، و هدفنا ذكر نماذج، منها فقط، لأنّنا لا نروم التفصيل و الاستقصاء في هذا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ليعلم أنّ للفاطميين كتباً كثيرةً في التأويل، و قد وَعَدَ محقّق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 الدعائم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حسن الأعظمي أن ينشر بعضها في المستقبل</w:t>
      </w:r>
      <w:r>
        <w:rPr>
          <w:rFonts w:eastAsia="Amiri" w:cs="Amiri" w:ascii="Amiri" w:hAnsi="Amiri"/>
          <w:color w:val="111111"/>
          <w:sz w:val="28"/>
          <w:szCs w:val="28"/>
          <w:rtl w:val="true"/>
          <w:lang w:bidi="ar-SA"/>
        </w:rPr>
        <w:t>.</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لمّا كان التأويل أمراً شخصيّاً، يختلف باختلاف الدّاعي، و اختلاف ذوقه، اختلفت كلمة الدعاة أشدَّ الاختلاف، في مسائل كثيرة، يقول محقّق كتاب راحة العقل،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الداعي النخشبي وضع كتابه المحصول في فلسفة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بعده أبو حاتم الرازي، فوضع كتابه الإصلاح، و خالف فيه أقوال من سبقه، ثمّ جاء أبو يعقوب السجستاني، أُستاذ الكرماني، فانتصر للنخشبي، و خالف أبا حاتم، ثمّ جاء الكرماني الذي استطاع أن يوفّق بين آراء شيخه و آراء أبي حاتم</w:t>
      </w:r>
      <w:r>
        <w:rPr>
          <w:rFonts w:eastAsia="Amiri" w:cs="Amiri" w:ascii="Amiri" w:hAnsi="Amiri"/>
          <w:color w:val="111111"/>
          <w:sz w:val="28"/>
          <w:szCs w:val="28"/>
          <w:rtl w:val="true"/>
          <w:lang w:bidi="ar-SA"/>
        </w:rPr>
        <w:t>.</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 xml:space="preserve">إنّ المواضع المقتطفة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 الدعائم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يعرب عن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 التأويلات مبنيّة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أُسس فلسفيّة ذوقيّة، لا تتمتع بالبرهان كأكثر تأويلات الصوفيّة</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غالب التأويلات مبنيّة على ثبوت مقامات غيبيّة لأئمّتهم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أجل أن يقف القارئ بنفسه، و يتيقن من صحة الدعوى التي ذكرناها هنا، سوف نستعرض مجموعة من النماذج لآرائهم، و هي</w:t>
      </w:r>
      <w:r>
        <w:rPr>
          <w:rFonts w:eastAsia="Amiri" w:cs="Amiri" w:ascii="Amiri" w:hAnsi="Amiri"/>
          <w:color w:val="111111"/>
          <w:sz w:val="28"/>
          <w:szCs w:val="28"/>
          <w:rtl w:val="true"/>
          <w:lang w:bidi="ar-SA"/>
        </w:rPr>
        <w:t xml:space="preserve">: </w:t>
      </w:r>
      <w:bookmarkStart w:id="554" w:name="pg11557_101436"/>
    </w:p>
    <w:p>
      <w:pPr>
        <w:pStyle w:val="Heading4"/>
        <w:numPr>
          <w:ilvl w:val="3"/>
          <w:numId w:val="1"/>
        </w:numPr>
        <w:rPr/>
      </w:pPr>
      <w:bookmarkStart w:id="555" w:name="__RefHeading___Toc4284435_73709187"/>
      <w:bookmarkStart w:id="556" w:name="_Toc201"/>
      <w:bookmarkEnd w:id="554"/>
      <w:bookmarkEnd w:id="555"/>
      <w:r>
        <w:rPr>
          <w:rtl w:val="true"/>
        </w:rPr>
        <w:t xml:space="preserve">كتاب الولاية </w:t>
      </w:r>
      <w:r>
        <w:rPr>
          <w:rtl w:val="true"/>
        </w:rPr>
        <w:t>(</w:t>
      </w:r>
      <w:r>
        <w:rPr>
          <w:rtl w:val="true"/>
        </w:rPr>
        <w:t>الدعامة الأُولىٰ</w:t>
      </w:r>
      <w:r>
        <w:rPr>
          <w:rtl w:val="true"/>
        </w:rPr>
        <w:t>)</w:t>
      </w:r>
      <w:bookmarkEnd w:id="556"/>
    </w:p>
    <w:p>
      <w:pPr>
        <w:pStyle w:val="BookText"/>
        <w:rPr/>
      </w:pPr>
      <w:r>
        <w:rPr>
          <w:rFonts w:ascii="Amiri" w:hAnsi="Amiri" w:eastAsia="Amiri" w:cs="Amiri"/>
          <w:color w:val="111111"/>
          <w:sz w:val="28"/>
          <w:sz w:val="28"/>
          <w:szCs w:val="28"/>
          <w:rtl w:val="true"/>
          <w:lang w:bidi="ar-SA"/>
        </w:rPr>
        <w:t>جاء في كتاب تأويل الدعائم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بني الإسلام علىٰ سبع دعائم</w:t>
      </w:r>
      <w:r>
        <w:rPr>
          <w:rFonts w:eastAsia="Amiri" w:cs="Amiri" w:ascii="Amiri" w:hAnsi="Amiri"/>
          <w:color w:val="111111"/>
          <w:sz w:val="28"/>
          <w:szCs w:val="28"/>
          <w:rtl w:val="true"/>
          <w:lang w:bidi="ar-SA"/>
        </w:rPr>
        <w:t>:</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أفضل و بها و بالوليّ يُنتهىٰ إلى معرفتها، و الطهارة، و الصلاة، و الزكاة، و الصوم، و الحج و الجهاد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فهذه كما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الإسلام قواعده، و أُصوله التي افترضها اللّٰه على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لها في التأويل الباطني أمثال، فالولاية مَثلُها مَثلُ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أوّل من افترض اللّٰهُ عزّ و جلّ ولايته، و أمر الملائكة بالسجود له، و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الطاعة، و هي الولاية، و لم يكلفهم غير ذلك فسجدوا إلّا إبليس، كما أخبر تعالى، فكانت المحنةُ بآدم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و كان آدمُ مثلَها، و لا بدَّ لجميع الخلق من اعتقاد ولايته، و من لم يتولّه، لم تنفعْهُ ولاية من تولّاه من بَعده، إذا لم يدُن بولايته و يعترف بحقّه، و بأنّه أصل مَنْ أوجب اللّٰهُ ولايتَه من رسله و أنبيائه و أئمّة دينه، و هو أوّلهم و أبوهم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مَثَلُها مَثَلُ نوح عليه السّلام، و هو أوّل مبعوث و مرسل من قبل اللّٰه، لتطهير العباد من المعاصي و الذنوب التي اقترفوها، و وقعوا فيها من بعد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أوّل ناطق من بعده، و أوّلُ أُولي العزم من الرسل، أصحاب الشرائع، و جعلَ اللّٰه آيته التي جاء بها، الماء، الذي جعله للطهارة و سمّاه طهوراً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مَثَلُها مَثَلُ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بَنى البيتَ الحرام، و نصبَ المقام، فجعل اللّٰه البيت قبلة، و المقامَ مصلّىٰ</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مثلها مثل موسى، و هو أوّل من دعا إليها، و أُرسل بها،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أَتٰاكَ حَدِيثُ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نٰادٰاهُ رَبُّهُ بِالْوٰادِ اَلْمُقَدَّسِ طُوىً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إِلىٰ فِرْعَوْنَ إِنَّهُ 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هَلْ لَكَ إِلىٰ أَنْ تَزَكّٰى</w:t>
      </w:r>
      <w:r>
        <w:rPr>
          <w:rFonts w:eastAsia="Amiri" w:cs="Amiri" w:ascii="Amiri" w:hAnsi="Amiri"/>
          <w:color w:val="111111"/>
          <w:sz w:val="28"/>
          <w:szCs w:val="28"/>
          <w:rtl w:val="true"/>
          <w:lang w:bidi="ar-SA"/>
        </w:rPr>
        <w:t>».</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و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مثل عيسى عليه السّلام و هو</w:t>
      </w:r>
      <w:r>
        <w:rPr>
          <w:rStyle w:val="FootnoteAnchor"/>
          <w:rtl w:val="true"/>
        </w:rPr>
        <w:footnoteReference w:id="400"/>
      </w:r>
      <w:r>
        <w:rPr>
          <w:rFonts w:ascii="Amiri" w:hAnsi="Amiri" w:eastAsia="Amiri" w:cs="Amiri"/>
          <w:color w:val="111111"/>
          <w:sz w:val="28"/>
          <w:sz w:val="28"/>
          <w:szCs w:val="28"/>
          <w:rtl w:val="true"/>
          <w:lang w:bidi="ar-SA"/>
        </w:rPr>
        <w:t>أوّل ما خاطب به أُمّه، أن تقولَ لِمَنْ رأته من البشر، و هو قوله الذي حكاه تعالى عنه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فَإِمّٰا تَرَيِنَّ مِنَ اَلْبَشَرِ أَحَداً فَقُولِي إِنِّي نَذَرْتُ لِلرَّحْمٰنِ صَوْماً فَلَنْ أُكَلِّمَ اَلْيَوْمَ إِنْسِيًّا</w:t>
      </w:r>
      <w:r>
        <w:rPr>
          <w:rFonts w:eastAsia="Amiri" w:cs="Amiri" w:ascii="Amiri" w:hAnsi="Amiri"/>
          <w:color w:val="111111"/>
          <w:sz w:val="28"/>
          <w:szCs w:val="28"/>
          <w:rtl w:val="true"/>
          <w:lang w:bidi="ar-SA"/>
        </w:rPr>
        <w:t>».</w:t>
      </w:r>
      <w:r>
        <w:rPr>
          <w:rStyle w:val="FootnoteAnchor"/>
          <w:rtl w:val="true"/>
        </w:rPr>
        <w:footnoteReference w:id="401"/>
      </w:r>
      <w:r>
        <w:rPr>
          <w:rFonts w:ascii="Amiri" w:hAnsi="Amiri" w:eastAsia="Amiri" w:cs="Amiri"/>
          <w:color w:val="111111"/>
          <w:sz w:val="28"/>
          <w:sz w:val="28"/>
          <w:szCs w:val="28"/>
          <w:rtl w:val="true"/>
          <w:lang w:bidi="ar-SA"/>
        </w:rPr>
        <w:t>و كان هو كذلك يصوم دهره، و لم يكن يأتي النساء، كما لا يَجوز للصائم أن يأتيهنّ في حال صومه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مَثَلُ محمّد صلّى اللّٰه عليه و آله و سلّم، و هو أوّل من أقام مناسك الحج، و سنَّ سنته، و كانت العرب و غيرها من الأُمم، تحجّ البيت في الجاهليّة و لا تقيم شيئاً من مناسكه، كما أخبر اللّٰه تعالى عنهم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صَلاٰتُهُمْ عِنْدَ اَلْبَيْتِ إِلاّٰ مُكٰاءً وَ تَصْدِيَةً</w:t>
      </w:r>
      <w:r>
        <w:rPr>
          <w:rFonts w:eastAsia="Amiri" w:cs="Amiri" w:ascii="Amiri" w:hAnsi="Amiri"/>
          <w:color w:val="111111"/>
          <w:sz w:val="28"/>
          <w:szCs w:val="28"/>
          <w:rtl w:val="true"/>
          <w:lang w:bidi="ar-SA"/>
        </w:rPr>
        <w:t>».</w:t>
      </w:r>
      <w:r>
        <w:rPr>
          <w:rStyle w:val="FootnoteAnchor"/>
          <w:rtl w:val="true"/>
        </w:rPr>
        <w:footnoteReference w:id="402"/>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كانوا يطوفون به عُراة، فكان أوّلُ شيء نهاهم عنه ذلك فقال، في العُمرة التي اعتمرها، قبل فتح مكة، بعد أن وادعَ أهلَها، و هم مشركون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يطوفنّ بعد هذا بالبيت عريان، و لا عريانة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كانوا قد نصبوا حول البيت أصناماً لهم يعبدونها، فلمّا فتح اللّٰهُ مكّة كسّرها، و أزالها، و سنَّ لهم سُنن الحجّ، و مناسكه، و أقام لهم بأمر اللّٰهِ معالمه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افترض فرائضه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الحجّ خاتمة الأعمال المفروضة، و كان هو صلّى اللّٰه عليه و آله و سلّم خاتم النبيين، فلم يبق بعدَ الحجّ من دعائم الإسلام غير الجهاد، و هو مثل سابع الأئمّة، الذي يكون سابع اسبوعهم الأخير، الذي هو صاحب القيامة</w:t>
      </w:r>
      <w:r>
        <w:rPr>
          <w:rFonts w:eastAsia="Amiri" w:cs="Amiri" w:ascii="Amiri" w:hAnsi="Amiri"/>
          <w:color w:val="111111"/>
          <w:sz w:val="28"/>
          <w:szCs w:val="28"/>
          <w:rtl w:val="true"/>
          <w:lang w:bidi="ar-SA"/>
        </w:rPr>
        <w:t>.</w:t>
      </w:r>
      <w:r>
        <w:rPr>
          <w:rStyle w:val="FootnoteAnchor"/>
          <w:rtl w:val="true"/>
        </w:rPr>
        <w:footnoteReference w:id="403"/>
      </w:r>
      <w:bookmarkStart w:id="557" w:name="pg11557_101438"/>
    </w:p>
    <w:p>
      <w:pPr>
        <w:pStyle w:val="Heading4"/>
        <w:numPr>
          <w:ilvl w:val="3"/>
          <w:numId w:val="1"/>
        </w:numPr>
        <w:rPr/>
      </w:pPr>
      <w:bookmarkStart w:id="558" w:name="__RefHeading___Toc4284437_73709187"/>
      <w:bookmarkStart w:id="559" w:name="_Toc202"/>
      <w:bookmarkEnd w:id="557"/>
      <w:bookmarkEnd w:id="558"/>
      <w:r>
        <w:rPr>
          <w:rtl w:val="true"/>
        </w:rPr>
        <w:t xml:space="preserve">كتاب الطهارة </w:t>
      </w:r>
      <w:r>
        <w:rPr>
          <w:rtl w:val="true"/>
        </w:rPr>
        <w:t>(</w:t>
      </w:r>
      <w:r>
        <w:rPr>
          <w:rtl w:val="true"/>
        </w:rPr>
        <w:t>الدعامة الثانية</w:t>
      </w:r>
      <w:r>
        <w:rPr>
          <w:rtl w:val="true"/>
        </w:rPr>
        <w:t>)</w:t>
      </w:r>
      <w:bookmarkEnd w:id="559"/>
    </w:p>
    <w:p>
      <w:pPr>
        <w:pStyle w:val="Heading5"/>
        <w:numPr>
          <w:ilvl w:val="4"/>
          <w:numId w:val="1"/>
        </w:numPr>
        <w:rPr/>
      </w:pPr>
      <w:bookmarkStart w:id="560" w:name="__RefHeading___Toc4284439_73709187"/>
      <w:bookmarkStart w:id="561" w:name="_Toc203"/>
      <w:bookmarkEnd w:id="560"/>
      <w:r>
        <w:rPr>
          <w:rtl w:val="true"/>
        </w:rPr>
        <w:t>اشارة</w:t>
      </w:r>
      <w:bookmarkEnd w:id="561"/>
    </w:p>
    <w:p>
      <w:pPr>
        <w:pStyle w:val="BookText"/>
        <w:rPr/>
      </w:pPr>
      <w:r>
        <w:rPr>
          <w:rFonts w:ascii="Amiri" w:hAnsi="Amiri" w:eastAsia="Amiri" w:cs="Amiri"/>
          <w:color w:val="111111"/>
          <w:sz w:val="28"/>
          <w:sz w:val="28"/>
          <w:szCs w:val="28"/>
          <w:rtl w:val="true"/>
          <w:lang w:bidi="ar-SA"/>
        </w:rPr>
        <w:t>قال صاحب تأويل الدعائم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يجزي في الظاهر صلاة بغير طهارة، و من صلّى بغير طهارة لم تُجزِه صلاتُه، و عليه أن يتطهّر، و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تجزي و لا تنفع دعوة مستجيبٍ يدعى، و يؤخذ عليه عهد أولياء اللّٰهِ حتى يتطهّر من الذنوب، و يتبرأ من الباطل كلِّه، و من جميع أهله، و إن تبرأ من الباطل بلسانه، مقيم على ذلك، لم تنفعه الدعوة، و لم يكن من أهلها، حتى يتوبَ و يتبرأ ممّا تجب البراءة منه، فيكون طاهراً من ذلك،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ذَرُوا ظٰاهِرَ اَلْإِثْمِ وَ بٰاطِنَهُ</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الأحداث التي توجب الطهارة لها في الباطن أمثال، يجب التطهّر منه بالعلم، كما وجب التطهّر في الظاهر من هذه بالماء، فمثل الغائط مَثَل الكفر، و الذي يطهّر منه من العلم الإيمان باللّٰه، و مثَل البول مثل الشرك و هو درجات و منازل، و الذي يطهر منه من العلم توحيد اللّٰه، و نفي الأضداد و الأشباه، و الشركاء عنه، و مثَل الريح تخرج من الدبر، مثل النفاق، و الذي يطهّر منه من العلم التوبةُ و الإقلاع عنه، و اليقين و الإخلاص و التصديق باللّٰه، و أنبيائه و أوليائه، و أئمّة دينه</w:t>
      </w:r>
      <w:r>
        <w:rPr>
          <w:rFonts w:eastAsia="Amiri" w:cs="Amiri" w:ascii="Amiri" w:hAnsi="Amiri"/>
          <w:color w:val="111111"/>
          <w:sz w:val="28"/>
          <w:szCs w:val="28"/>
          <w:rtl w:val="true"/>
          <w:lang w:bidi="ar-SA"/>
        </w:rPr>
        <w:t>.</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أمّا غسل الوجه ففيه سبعة منافذ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العينان، و الأُذنان، و المنخران، و الفم</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 أمثالَهم في الباطن، أمثال السبعة النطقاء الذين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و نوح، و إبراهيم، و موسى، و عيسى عليهم السّلام و محمد صلّى اللّٰه عليه و آله و سلّم، و خاتم الأئمّة من ذريته صاحب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بُدّ للمستجيب بعد البراءة، من الكفر و الشرك و النفاق، من </w:t>
      </w:r>
      <w:bookmarkStart w:id="562" w:name="pg11557_101439"/>
    </w:p>
    <w:p>
      <w:pPr>
        <w:pStyle w:val="BookText"/>
        <w:rPr/>
      </w:pPr>
      <w:bookmarkEnd w:id="562"/>
      <w:r>
        <w:rPr>
          <w:rFonts w:ascii="Amiri" w:hAnsi="Amiri" w:eastAsia="Amiri" w:cs="Amiri"/>
          <w:color w:val="111111"/>
          <w:sz w:val="28"/>
          <w:sz w:val="28"/>
          <w:szCs w:val="28"/>
          <w:rtl w:val="true"/>
          <w:lang w:bidi="ar-SA"/>
        </w:rPr>
        <w:t>العلم و الإيمان و التصديق بمحمد صلّى اللّٰه عليه و آله و سلّم و وصيّه علي و من الإيمان و التصديق بالنطقاء الستة،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و نوح، و إبراهيم، و موسى، و عيسى، و محمد صلّى اللّٰه عليه و آله و سلّم، و بخاتم الأئمّة صاحب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اليوم الآخر الذي ذكره اللّٰه في غير موضع من كتابه، و جعل الأيّام السبعة أمثالاً لهم، فالأحد مَثَل آدم عليه السّلام و الاثنين مَثَل نوح عليه السّلام، و الثلاثاء مَثَل إبراهيم، و الأربعاء مثل موسى عليه السّلام، و الخميس مَثَل عيسى عليه السّلام، و الجمعة مَثَل محمد صلّى اللّٰه عليه و آله و سلّم جمع اللّٰه له علم النبيين، و فضلهم و أكملهم به، و جعله خاتمهم، و فضّله بأن جعل السابع من ذريته، و من أهل دعوته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غُسل الوجه مَثلاً على الإقرار بهذه الأسابيع و طاعتهم</w:t>
      </w:r>
      <w:r>
        <w:rPr>
          <w:rFonts w:eastAsia="Amiri" w:cs="Amiri" w:ascii="Amiri" w:hAnsi="Amiri"/>
          <w:color w:val="111111"/>
          <w:sz w:val="28"/>
          <w:szCs w:val="28"/>
          <w:rtl w:val="true"/>
          <w:lang w:bidi="ar-SA"/>
        </w:rPr>
        <w:t>.</w:t>
      </w:r>
      <w:r>
        <w:rPr>
          <w:rStyle w:val="FootnoteAnchor"/>
          <w:rtl w:val="true"/>
        </w:rPr>
        <w:footnoteReference w:id="407"/>
      </w:r>
    </w:p>
    <w:p>
      <w:pPr>
        <w:pStyle w:val="Heading5"/>
        <w:numPr>
          <w:ilvl w:val="4"/>
          <w:numId w:val="1"/>
        </w:numPr>
        <w:rPr/>
      </w:pPr>
      <w:bookmarkStart w:id="563" w:name="__RefHeading___Toc4284441_73709187"/>
      <w:bookmarkStart w:id="564" w:name="_Toc204"/>
      <w:bookmarkEnd w:id="563"/>
      <w:r>
        <w:rPr>
          <w:rtl w:val="true"/>
        </w:rPr>
        <w:t>في التيمّم</w:t>
      </w:r>
      <w:r>
        <w:rPr>
          <w:rtl w:val="true"/>
        </w:rPr>
        <w:t>:</w:t>
      </w:r>
      <w:bookmarkEnd w:id="564"/>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التيمّم وضوء الضرورة، هذا من ظاهر الدّين، و أمّا باطن التيمّم لِمَن عُدِم الماءَ و أنّه في التأويل طهارة من أحدث حدثاً في الدّين من المستضعفين، مِنَ المؤمنين الّذين لا يجدون مفيداً للعلم، ممّا يحدثونه عند ذوي العدالة من المؤمنين من ظاهر علم الأئمّة الصادقين إلى أن يجد مفيداً من المطلقين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ينبغي أن يتيمّم من لم يجد الماء إلّا في آخر الوقت، بعد أن يطلب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في الباطن من اقترف ما يوجب عليه الطهارة بالعلم الحقيقي، فعليه أن يطلبه، و لا يُعجِّل بالقصد إلى غير مطلق، فيأخذ عنه ما يطهّره من العلم الظاهر، حتى يجتهد في طلب مفيد مطلق، فإذا بلغ في الطلب استطاعته و انتهى إلى آخر وقت، يعلم أنّه لا يجد ذلك، فحينئذٍ يَقصد إلى من يفيده من المؤمنين، أهل الطهارة من ظاهر علم أولياء اللّٰه، ما يزيل عنه شكَ ما اقترفه و باطله</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إن وجد الماء و قد تيمّم و صلّى </w:t>
      </w:r>
      <w:bookmarkStart w:id="565" w:name="pg11557_101440"/>
    </w:p>
    <w:p>
      <w:pPr>
        <w:pStyle w:val="BookText"/>
        <w:rPr/>
      </w:pPr>
      <w:bookmarkEnd w:id="565"/>
      <w:r>
        <w:rPr>
          <w:rFonts w:ascii="Amiri" w:hAnsi="Amiri" w:eastAsia="Amiri" w:cs="Amiri"/>
          <w:color w:val="111111"/>
          <w:sz w:val="28"/>
          <w:sz w:val="28"/>
          <w:szCs w:val="28"/>
          <w:rtl w:val="true"/>
          <w:lang w:bidi="ar-SA"/>
        </w:rPr>
        <w:t>بتيمّمه ذلك، أجزأه و عليه أن يتطهّر بالماء أو يتيمّم، إن لم يجد الماء، لما يستقبله من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باطن ذلك أنّه إن فعلَ ما ذكرناه في دعوة إمام أو حدّ من حدوده، ثمّ دخلت على تلك الدعوة دعوة أُخرى، و لم يجد مفيداً، فهو على ما كان عليه، و إن وجده كان على ما وصفنا، و ليس عليه شيء لما مضى</w:t>
      </w:r>
      <w:r>
        <w:rPr>
          <w:rFonts w:eastAsia="Amiri" w:cs="Amiri" w:ascii="Amiri" w:hAnsi="Amiri"/>
          <w:color w:val="111111"/>
          <w:sz w:val="28"/>
          <w:szCs w:val="28"/>
          <w:rtl w:val="true"/>
          <w:lang w:bidi="ar-SA"/>
        </w:rPr>
        <w:t>.</w:t>
      </w:r>
      <w:r>
        <w:rPr>
          <w:rStyle w:val="FootnoteAnchor"/>
          <w:rtl w:val="true"/>
        </w:rPr>
        <w:footnoteReference w:id="408"/>
      </w:r>
    </w:p>
    <w:p>
      <w:pPr>
        <w:pStyle w:val="Heading5"/>
        <w:numPr>
          <w:ilvl w:val="4"/>
          <w:numId w:val="1"/>
        </w:numPr>
        <w:rPr/>
      </w:pPr>
      <w:bookmarkStart w:id="566" w:name="__RefHeading___Toc4284443_73709187"/>
      <w:bookmarkStart w:id="567" w:name="_Toc205"/>
      <w:bookmarkEnd w:id="566"/>
      <w:r>
        <w:rPr>
          <w:rtl w:val="true"/>
        </w:rPr>
        <w:t>في ذكر التنظّف</w:t>
      </w:r>
      <w:bookmarkEnd w:id="567"/>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الحيض علّة تُصيب النساء في الظاهر، و أمثال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في الباطن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أمثال المستجيبين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فتأويل جملة القول في الحيض في الباطن، أنّه علّة و فساد، يدخل على المستجيب في دينه، يحرم عليه من أجلها سماع الحكمة، و الكون في جماعة أهل الدعوة، كما لا يحلّ في الظاهر للمرأة إذا حاضت أن تصلّي، و لا تدخل المسجد، و كذلك لا يحل لمفيد ذلك المستجيب، أن يفيده شيئاً من العلم إذا أحدث ذلك الحدث، حتى يتطهّر منه، بالتوبة و النزوع عنه، و الإقلاع، و ينقطع عنه ما عرض من ذلك الفساد في دينه</w:t>
      </w:r>
      <w:r>
        <w:rPr>
          <w:rFonts w:eastAsia="Amiri" w:cs="Amiri" w:ascii="Amiri" w:hAnsi="Amiri"/>
          <w:color w:val="111111"/>
          <w:sz w:val="28"/>
          <w:szCs w:val="28"/>
          <w:rtl w:val="true"/>
          <w:lang w:bidi="ar-SA"/>
        </w:rPr>
        <w:t>.</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و يقول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طهرت المرأة من حيضها في وقت صلاة، فضيّعت الغسل، كان عليها قضاء تلك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المقترِف إذا تابَ و انتصل ممّا اقترفه، و لم يتطهّر في ذلك بالعلم، كما وصفنا، كان عليه أن يتطهّر، و أن يسعى في إفادة ما فاته من الحكمة، بعد إقلاعه عمّا اقترفه</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فافهموا معشر المؤمنين ما تعبدكم اللّٰه به ظاهراً و باطناً، فإنّ ذلك مرتبط </w:t>
      </w:r>
      <w:bookmarkStart w:id="568" w:name="pg11557_101441"/>
    </w:p>
    <w:p>
      <w:pPr>
        <w:pStyle w:val="BookText"/>
        <w:rPr/>
      </w:pPr>
      <w:bookmarkEnd w:id="568"/>
      <w:r>
        <w:rPr>
          <w:rFonts w:ascii="Amiri" w:hAnsi="Amiri" w:eastAsia="Amiri" w:cs="Amiri"/>
          <w:color w:val="111111"/>
          <w:sz w:val="28"/>
          <w:sz w:val="28"/>
          <w:szCs w:val="28"/>
          <w:rtl w:val="true"/>
          <w:lang w:bidi="ar-SA"/>
        </w:rPr>
        <w:t>بعضه ببعض، يشهد كلّ شيء منه لصاحبه، و يطابقه و يوافقه فما وجب في الظاهر، وجب كذلك مثله و نظيره في الباطن، لا يجزي إقامة أحدهما دون الآخر، و لا يحلُّ في الظاهر ما حُرّم في الباطن، و لا في الباطن ما حُرم في الظاهر، و إيّاكم أن يستميلكم عن ذلك، تحريف المحرّفين، و لا شبهات الشياطين، فإنّ اللّٰه عزّ و 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ذَرُوا ظٰاهِرَ اَلْإِثْمِ وَ بٰاطِنَهُ</w:t>
      </w:r>
      <w:r>
        <w:rPr>
          <w:rFonts w:eastAsia="Amiri" w:cs="Amiri" w:ascii="Amiri" w:hAnsi="Amiri"/>
          <w:color w:val="111111"/>
          <w:sz w:val="28"/>
          <w:szCs w:val="28"/>
          <w:rtl w:val="true"/>
          <w:lang w:bidi="ar-SA"/>
        </w:rPr>
        <w:t>»</w:t>
      </w:r>
      <w:r>
        <w:rPr>
          <w:rStyle w:val="FootnoteAnchor"/>
          <w:rtl w:val="true"/>
        </w:rPr>
        <w:footnoteReference w:id="410"/>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حَرَّمَ رَبِّيَ اَلْفَوٰاحِشَ مٰا ظَهَرَ مِنْهٰا وَ مٰا بَطَنَ</w:t>
      </w:r>
      <w:r>
        <w:rPr>
          <w:rFonts w:eastAsia="Amiri" w:cs="Amiri" w:ascii="Amiri" w:hAnsi="Amiri"/>
          <w:color w:val="111111"/>
          <w:sz w:val="28"/>
          <w:szCs w:val="28"/>
          <w:rtl w:val="true"/>
          <w:lang w:bidi="ar-SA"/>
        </w:rPr>
        <w:t>»</w:t>
      </w:r>
      <w:r>
        <w:rPr>
          <w:rStyle w:val="FootnoteAnchor"/>
          <w:rtl w:val="true"/>
        </w:rPr>
        <w:footnoteReference w:id="411"/>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أَسْبَغَ عَلَيْكُمْ نِعَمَهُ ظٰاهِرَةً وَ بٰاطِنَةً</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3"/>
      </w:r>
    </w:p>
    <w:p>
      <w:pPr>
        <w:pStyle w:val="Heading4"/>
        <w:numPr>
          <w:ilvl w:val="3"/>
          <w:numId w:val="1"/>
        </w:numPr>
        <w:rPr/>
      </w:pPr>
      <w:bookmarkStart w:id="569" w:name="__RefHeading___Toc4284445_73709187"/>
      <w:bookmarkStart w:id="570" w:name="_Toc206"/>
      <w:bookmarkEnd w:id="569"/>
      <w:r>
        <w:rPr>
          <w:rtl w:val="true"/>
        </w:rPr>
        <w:t xml:space="preserve">كتاب الصلاة </w:t>
      </w:r>
      <w:r>
        <w:rPr>
          <w:rtl w:val="true"/>
        </w:rPr>
        <w:t>(</w:t>
      </w:r>
      <w:r>
        <w:rPr>
          <w:rtl w:val="true"/>
        </w:rPr>
        <w:t>الدعامة الثالثة</w:t>
      </w:r>
      <w:r>
        <w:rPr>
          <w:rtl w:val="true"/>
        </w:rPr>
        <w:t>)</w:t>
      </w:r>
      <w:bookmarkEnd w:id="570"/>
    </w:p>
    <w:p>
      <w:pPr>
        <w:pStyle w:val="Heading5"/>
        <w:numPr>
          <w:ilvl w:val="4"/>
          <w:numId w:val="1"/>
        </w:numPr>
        <w:rPr/>
      </w:pPr>
      <w:bookmarkStart w:id="571" w:name="__RefHeading___Toc4284447_73709187"/>
      <w:bookmarkStart w:id="572" w:name="_Toc207"/>
      <w:bookmarkEnd w:id="571"/>
      <w:r>
        <w:rPr>
          <w:rtl w:val="true"/>
        </w:rPr>
        <w:t>اشارة</w:t>
      </w:r>
      <w:bookmarkEnd w:id="572"/>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في الظاهر ما تعبّد اللّٰه عباده المؤمنين به، ليُثيبهم عليه، و ذلك ممّا أنعم اللّٰهُ عزّ و جلّ به عليهم، و قد أخبر تعالى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أَسْبَغَ عَلَيْكُمْ نِعَمَهُ ظٰاهِرَةً وَ بٰاطِنَةً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النّعمة في الصلاة إقامتها في الظاهر، بتمام ركوعها و سجودها و فروضها و مسنونها، و باطن النّعمة كذلك في إقامة دعوة الحقّ في كلّ عصرٍ كما هو في ظاهر الصلاة</w:t>
      </w:r>
      <w:r>
        <w:rPr>
          <w:rFonts w:eastAsia="Amiri" w:cs="Amiri" w:ascii="Amiri" w:hAnsi="Amiri"/>
          <w:color w:val="111111"/>
          <w:sz w:val="28"/>
          <w:szCs w:val="28"/>
          <w:rtl w:val="true"/>
          <w:lang w:bidi="ar-SA"/>
        </w:rPr>
        <w:t>.</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و يقول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افترض اللّٰهُ خمسَ صلوات في الليل و النهار سمّاها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تأويل ذلك أنّ الخمس الصلوات في الليل و النهار في كلِّ يوم و ليلة مثلها في الباطن مثلُ الخمس الدعوات لأُولي العزم من الرسل الذين صبَروا على ما أُمروا به، و دَعوا إليه</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فصلاة الظهر و هي الصلاة الأُولى مَثَلٌ لدعوة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الدعوة </w:t>
      </w:r>
      <w:bookmarkStart w:id="573" w:name="pg11557_101442"/>
    </w:p>
    <w:p>
      <w:pPr>
        <w:pStyle w:val="BookText"/>
        <w:rPr/>
      </w:pPr>
      <w:bookmarkEnd w:id="573"/>
      <w:r>
        <w:rPr>
          <w:rFonts w:ascii="Amiri" w:hAnsi="Amiri" w:eastAsia="Amiri" w:cs="Amiri"/>
          <w:color w:val="111111"/>
          <w:sz w:val="28"/>
          <w:sz w:val="28"/>
          <w:szCs w:val="28"/>
          <w:rtl w:val="true"/>
          <w:lang w:bidi="ar-SA"/>
        </w:rPr>
        <w:t>الأُولى، و هو أوّل أُولي العزم من الرّسل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العصر مَثَلٌ لدعوة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ثاني أُولي العزم، و هي الصلاة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المغرب و هي الصلاة الثالثة مَثَلٌ لدعوة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الدعوة الثالثة، و هو ثالث أُولي العزم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العشاء الآخرة مَثَلٌ لدعوة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الدّعوة الرابعة، و هو الرابع من أُولي العزم، و هي الصلاة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الفجر و هي الصلاة الخامسة مَثَلٌ لدعوة محمد صلّى اللّٰه عليه و آله و سلّم، و هي الدعوة الخامسة، و هو خامس أُولي العزم، فأمره اللّٰه بأن يُقيم الصلاة ظاهراً و باطناً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يدعو فيها إلى مِثْل ما دعا أُولوا العزم من قبله</w:t>
      </w:r>
      <w:r>
        <w:rPr>
          <w:rFonts w:eastAsia="Amiri" w:cs="Amiri" w:ascii="Amiri" w:hAnsi="Amiri"/>
          <w:color w:val="111111"/>
          <w:sz w:val="28"/>
          <w:szCs w:val="28"/>
          <w:rtl w:val="true"/>
          <w:lang w:bidi="ar-SA"/>
        </w:rPr>
        <w:t>.</w:t>
      </w:r>
      <w:r>
        <w:rPr>
          <w:rStyle w:val="FootnoteAnchor"/>
          <w:rtl w:val="true"/>
        </w:rPr>
        <w:footnoteReference w:id="415"/>
      </w:r>
    </w:p>
    <w:p>
      <w:pPr>
        <w:pStyle w:val="Heading5"/>
        <w:numPr>
          <w:ilvl w:val="4"/>
          <w:numId w:val="1"/>
        </w:numPr>
        <w:rPr/>
      </w:pPr>
      <w:bookmarkStart w:id="574" w:name="__RefHeading___Toc4284449_73709187"/>
      <w:bookmarkStart w:id="575" w:name="_Toc208"/>
      <w:bookmarkEnd w:id="574"/>
      <w:r>
        <w:rPr>
          <w:rtl w:val="true"/>
        </w:rPr>
        <w:t>في عدد الصّلاة</w:t>
      </w:r>
      <w:bookmarkEnd w:id="575"/>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يتلو ذلك ذكر عددُ ما في كلّ صلاةٍ، من الركوع، و ما يُجهر فيه منها بالقراءة، و ما يُخافت فيه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تأويل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جملة عدد الركعات للخمس الصلوات في اليوم و الليلة، الفرض من ذلك سبعَ عشرة ركعة و السُّنّة مِثلا الفريضة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و ثلاثون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الصلاة على سبعة أضرب، هذا ضرب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الكسوف، على خلاف صفة هذه، لأنّها ركعتان، في كلِّ ركعة خمس ركوع</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العليل، و العريان، يصلّيان جالسين، و إذا لم يستطع العليل الصلاة، جالساً، صلّى مستلقياً أو مضطجعاً، و إذا لم يستطع الركوع و السجود، </w:t>
      </w:r>
      <w:bookmarkStart w:id="576" w:name="pg11557_101443"/>
    </w:p>
    <w:p>
      <w:pPr>
        <w:pStyle w:val="BookText"/>
        <w:rPr/>
      </w:pPr>
      <w:bookmarkEnd w:id="576"/>
      <w:r>
        <w:rPr>
          <w:rFonts w:ascii="Amiri" w:hAnsi="Amiri" w:eastAsia="Amiri" w:cs="Amiri"/>
          <w:color w:val="111111"/>
          <w:sz w:val="28"/>
          <w:sz w:val="28"/>
          <w:szCs w:val="28"/>
          <w:rtl w:val="true"/>
          <w:lang w:bidi="ar-SA"/>
        </w:rPr>
        <w:t>يومئ أي إيماء برأسه أو ببصره، إذا لم يستطع أن يومئ برأسه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الخوف، تصلىٰ على معنى غير معنى الصلاة في الأمن، و تجزى على ركعة منها تكبيرة عند المواقفة و المسائفة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الاستسقاء، و الأعياد، و الجُمَع، لها حدّ غير حدّ الصلاة في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الجنائز، ليس فيها ركوع و لا 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على النبي صلّى اللّٰه عليه و آله و سلّم، و هي لفظ باللسان بلا عمل بالأركان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فأمثال الستة الأضرب من الصلاة أمثال الدعوة الستة النطقاء،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و نوح، و إبراهيم، و موسى، و عيسى عليه السّلام و محمد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الصلاة السابعة التي هي الصلاة على النبي صلّى اللّٰه عليه و آله و سلّم و هي قول بلا عمل، مثل لدعوة آخر الأئمّة و خاتمهم، و هو صاحب عصر القيامة، لأنّه إذا قام رفع العمل، و قامت القيامة</w:t>
      </w:r>
      <w:r>
        <w:rPr>
          <w:rFonts w:eastAsia="Amiri" w:cs="Amiri" w:ascii="Amiri" w:hAnsi="Amiri"/>
          <w:color w:val="111111"/>
          <w:sz w:val="28"/>
          <w:szCs w:val="28"/>
          <w:rtl w:val="true"/>
          <w:lang w:bidi="ar-SA"/>
        </w:rPr>
        <w:t>.</w:t>
      </w:r>
      <w:r>
        <w:rPr>
          <w:rStyle w:val="FootnoteAnchor"/>
          <w:rtl w:val="true"/>
        </w:rPr>
        <w:footnoteReference w:id="416"/>
      </w:r>
    </w:p>
    <w:p>
      <w:pPr>
        <w:pStyle w:val="Heading5"/>
        <w:numPr>
          <w:ilvl w:val="4"/>
          <w:numId w:val="1"/>
        </w:numPr>
        <w:rPr/>
      </w:pPr>
      <w:bookmarkStart w:id="577" w:name="__RefHeading___Toc4284451_73709187"/>
      <w:bookmarkStart w:id="578" w:name="_Toc209"/>
      <w:bookmarkEnd w:id="577"/>
      <w:r>
        <w:rPr>
          <w:rtl w:val="true"/>
        </w:rPr>
        <w:t>في وقت الصّلاة</w:t>
      </w:r>
      <w:bookmarkEnd w:id="578"/>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وقت الظهر زوال الشمس</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تأويل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الشمس في الباطن مَثَلُها مثلُ وليّ الزمان من كان نبىٍّ أو إمام، و مثل طلوعِها مَثلُ قيام ذلك الوليّ و ظهوره، و مَثَلُ غروبها مَثَلُ نقلته و انقضاء أمره، و كان رسول اللّٰه صلّى اللّٰه عليه و آله و سلّم في وقته مَثَلُه مثل الشمس، من وقت بعثه اللّٰه تعالى فيه إلى أن أكمل دينه الذي ابتعثه لإقامته، و إكماله بإقامة وصيّه، و ذلك قول اللّٰه تعالى الذي أنزل عليه في اليوم الذي قام فيه بولاية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بغدير خم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اَلْيَوْمَ أَكْمَلْتُ لَكُمْ دِينَكُمْ وَ أَتْمَمْتُ عَلَيْكُمْ نِعْمَتِي وَ رَضِيتُ لَكُمُ اَلْإِسْلاٰمَ </w:t>
      </w:r>
      <w:bookmarkStart w:id="579" w:name="pg11557_101444"/>
    </w:p>
    <w:p>
      <w:pPr>
        <w:pStyle w:val="BookText"/>
        <w:rPr/>
      </w:pPr>
      <w:bookmarkEnd w:id="579"/>
      <w:r>
        <w:rPr>
          <w:rFonts w:ascii="Amiri" w:hAnsi="Amiri" w:eastAsia="Amiri" w:cs="Amiri"/>
          <w:color w:val="111111"/>
          <w:sz w:val="28"/>
          <w:sz w:val="28"/>
          <w:szCs w:val="28"/>
          <w:rtl w:val="true"/>
          <w:lang w:bidi="ar-SA"/>
        </w:rPr>
        <w:t>دِيناً</w:t>
      </w:r>
      <w:r>
        <w:rPr>
          <w:rFonts w:eastAsia="Amiri" w:cs="Amiri" w:ascii="Amiri" w:hAnsi="Amiri"/>
          <w:color w:val="111111"/>
          <w:sz w:val="28"/>
          <w:szCs w:val="28"/>
          <w:rtl w:val="true"/>
          <w:lang w:bidi="ar-SA"/>
        </w:rPr>
        <w:t>»</w:t>
      </w:r>
      <w:r>
        <w:rPr>
          <w:rStyle w:val="FootnoteAnchor"/>
          <w:rtl w:val="true"/>
        </w:rPr>
        <w:footnoteReference w:id="417"/>
      </w:r>
      <w:r>
        <w:rPr>
          <w:rFonts w:ascii="Amiri" w:hAnsi="Amiri" w:eastAsia="Amiri" w:cs="Amiri"/>
          <w:color w:val="111111"/>
          <w:sz w:val="28"/>
          <w:sz w:val="28"/>
          <w:szCs w:val="28"/>
          <w:rtl w:val="true"/>
          <w:lang w:bidi="ar-SA"/>
        </w:rPr>
        <w:t xml:space="preserve">فلما فعل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إلى النقلة عن دار الدنيا إلى معاده، فكان بينَ ذلك و بين وفاته سبعون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ذلك في التأويل مثل الزوال على رأس سبع ساعات، كما ذكرنا من النهار، التي جاء أنّ مَثَل عددها مثلُ عدد حروف اسمه و اسم وصيّه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ذلك سبعة أحرف، محمدٌ أربعةُ أحرف، و عليٌّ ثلاثة أحرف، فذلك سبعة، مثل للسبع ساعات، التي تزول الشمس عندها التي مثلُها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مثل زوالها زواله، و انتقاله إلى معاده، الذي أعدّ اللّٰهُ له فيه الكرامة لديه</w:t>
      </w:r>
      <w:r>
        <w:rPr>
          <w:rFonts w:eastAsia="Amiri" w:cs="Amiri" w:ascii="Amiri" w:hAnsi="Amiri"/>
          <w:color w:val="111111"/>
          <w:sz w:val="28"/>
          <w:szCs w:val="28"/>
          <w:rtl w:val="true"/>
          <w:lang w:bidi="ar-SA"/>
        </w:rPr>
        <w:t>.</w:t>
      </w:r>
      <w:r>
        <w:rPr>
          <w:rStyle w:val="FootnoteAnchor"/>
          <w:rtl w:val="true"/>
        </w:rPr>
        <w:footnoteReference w:id="418"/>
      </w:r>
    </w:p>
    <w:p>
      <w:pPr>
        <w:pStyle w:val="Heading5"/>
        <w:numPr>
          <w:ilvl w:val="4"/>
          <w:numId w:val="1"/>
        </w:numPr>
        <w:rPr/>
      </w:pPr>
      <w:bookmarkStart w:id="580" w:name="__RefHeading___Toc4284453_73709187"/>
      <w:bookmarkStart w:id="581" w:name="_Toc210"/>
      <w:bookmarkEnd w:id="580"/>
      <w:r>
        <w:rPr>
          <w:rtl w:val="true"/>
        </w:rPr>
        <w:t>في الأذان و الإقامة</w:t>
      </w:r>
      <w:bookmarkEnd w:id="581"/>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الأذان مَثَلُهُ مَثَلُ الدعاء إلىٰ ولاية الناطق، و هو النبي صلّى اللّٰه عليه و آله و سلّم في وقته، و الإمام في عصره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الإقامة مثلُها مثلُ الدعاء إلى حجّته، و هو وليّ أمر الأُمّة من بعده، الذي يُقيمه لذلك في حياته، و يصير مقامه له بعد وفاته، فالأذان ثماني عشرة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الأذان، مثلُ الدعاء إلى دعوة الحقّ، و ذلك مثلُ الدعاء إلى الستة النطقاء،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و نوح، و إبراهيم، و موسى، و عيسى عليهم السّلام و محمد صلّى اللّٰه عليه و آله و سلّم، و الدعاء إلى دعوة الحجج الاثني عشر و هم أكابر الدعاة أصحاب الجزائر، التي هي جزائر الأرض الاثنتي عشرة جزيرة، بكلِّ جزيرةٍ منها داعٍ، يدعو إلى دعوة الحق، فدعوة الحق تشتمل على هذه الدعوات، و تؤكّد أمرها، و تُوجبُ الإقرار بأصحابها، و كان ذلك مثل عدد كلمات الأذان لكلّ دعوة منها كلمة؛ و الإقامة تسعَ عشرة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النداء إلى الحُجّة فمثلُ الكلمة الزائدة فيها، مثل الدعوة إلى الحجّة، الذي هو أساس الناطق، فأمّا الدعاء إلى الأئمّة و حججهم، فيدخل ذلك في دعوة أصحاب الجزائر، لأنّ دعوتهم إلى كلِّ إمامٍ في وقته و حجّته</w:t>
      </w:r>
      <w:r>
        <w:rPr>
          <w:rFonts w:eastAsia="Amiri" w:cs="Amiri" w:ascii="Amiri" w:hAnsi="Amiri"/>
          <w:color w:val="111111"/>
          <w:sz w:val="28"/>
          <w:szCs w:val="28"/>
          <w:rtl w:val="true"/>
          <w:lang w:bidi="ar-SA"/>
        </w:rPr>
        <w:t>.</w:t>
      </w:r>
      <w:r>
        <w:rPr>
          <w:rStyle w:val="FootnoteAnchor"/>
          <w:rtl w:val="true"/>
        </w:rPr>
        <w:footnoteReference w:id="419"/>
      </w:r>
      <w:bookmarkStart w:id="582" w:name="pg11557_101445"/>
    </w:p>
    <w:p>
      <w:pPr>
        <w:pStyle w:val="Heading5"/>
        <w:numPr>
          <w:ilvl w:val="4"/>
          <w:numId w:val="1"/>
        </w:numPr>
        <w:rPr/>
      </w:pPr>
      <w:bookmarkStart w:id="583" w:name="__RefHeading___Toc4284455_73709187"/>
      <w:bookmarkStart w:id="584" w:name="_Toc211"/>
      <w:bookmarkEnd w:id="582"/>
      <w:bookmarkEnd w:id="583"/>
      <w:r>
        <w:rPr>
          <w:rtl w:val="true"/>
        </w:rPr>
        <w:t>في ذكر المساجد</w:t>
      </w:r>
      <w:bookmarkEnd w:id="584"/>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فالمساجد في الظاهر البيوت التي يجتمع الناس إليها، للصلاة فيها، و هي على طبقات، و درجات فأعلاها المسجد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مثلُ صاحب الزمان مَنْ كان من نبي أو 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الأمر بالحج و السعي إليه من أقطار الأرض، مَثلُ واجبِ ذلك على الناس، لولي زمانهم أن يأتوه من كلّ أُفق من الآفاق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مسجد الرسول صلّى اللّٰه عليه و آله و سلّم مثلُ الحجّة و كذلك، على الناس أن يأتوه كما يأتون المسجدَ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مسجد بيت المقدس مثلُ بابه، أكبر الدعاة و بابهم، و يسمّى باب الأبواب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جوامع الأمصار أمثالها أمثال النقباء و هم أكابر الدعاة أصحاب الجزائر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مساجد القبائل أمثالها أمثال دعاة القبائل على مقاديرهم، كمثل المساجد في فضلها، و فضل بعضها على بعض، و سعتِها، و ضيقها، كذلك الدعاة منهم مشهورون بالفضل، و بعضهم أفضل من بعض و أوسع علماً</w:t>
      </w:r>
      <w:r>
        <w:rPr>
          <w:rFonts w:eastAsia="Amiri" w:cs="Amiri" w:ascii="Amiri" w:hAnsi="Amiri"/>
          <w:color w:val="111111"/>
          <w:sz w:val="28"/>
          <w:szCs w:val="28"/>
          <w:rtl w:val="true"/>
          <w:lang w:bidi="ar-SA"/>
        </w:rPr>
        <w:t>.</w:t>
      </w:r>
      <w:r>
        <w:rPr>
          <w:rStyle w:val="FootnoteAnchor"/>
          <w:rtl w:val="true"/>
        </w:rPr>
        <w:footnoteReference w:id="420"/>
      </w:r>
    </w:p>
    <w:p>
      <w:pPr>
        <w:pStyle w:val="Heading5"/>
        <w:numPr>
          <w:ilvl w:val="4"/>
          <w:numId w:val="1"/>
        </w:numPr>
        <w:rPr/>
      </w:pPr>
      <w:bookmarkStart w:id="585" w:name="__RefHeading___Toc4284457_73709187"/>
      <w:bookmarkStart w:id="586" w:name="_Toc212"/>
      <w:bookmarkEnd w:id="585"/>
      <w:r>
        <w:rPr>
          <w:rtl w:val="true"/>
        </w:rPr>
        <w:t>في تكبيرة الافتتاح</w:t>
      </w:r>
      <w:bookmarkEnd w:id="586"/>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افتتحت الصلاة فارفع يديك، و لا تجاوز بهما أُذنيك، و أبسطهما بسطاً، ثمّ كبّر، فهذه التكبيرة التي تكون في أوّل الصلاة، هي تكبيرة الافتتاح، و رفع اليدين فيهما واجب عند أكثر الناس، إلّا أنّهم يختلفون في منتهى حدِّ ذلك، و الثابت عن أهل البيت عليهم السّلام ما جاء في هذه الرواية عن الصادق عليه السّلام أنّه لا يجاوز </w:t>
      </w:r>
      <w:bookmarkStart w:id="587" w:name="pg11557_101446"/>
    </w:p>
    <w:p>
      <w:pPr>
        <w:pStyle w:val="BookText"/>
        <w:rPr/>
      </w:pPr>
      <w:bookmarkEnd w:id="587"/>
      <w:r>
        <w:rPr>
          <w:rFonts w:ascii="Amiri" w:hAnsi="Amiri" w:eastAsia="Amiri" w:cs="Amiri"/>
          <w:color w:val="111111"/>
          <w:sz w:val="28"/>
          <w:sz w:val="28"/>
          <w:szCs w:val="28"/>
          <w:rtl w:val="true"/>
          <w:lang w:bidi="ar-SA"/>
        </w:rPr>
        <w:t>بهما الأُذنين، و الذي يؤمر به في ذلك أن يحاذي بأطراف الأصابع من اليدين أعلى الأُذنين، و يحاذي بأسفل الكفين أسفلَ الذقن، فتكونُ اليدان قد حاذتا ما في الوجه من المنافذ السبعة،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الفم، و المنخران، و العينان، و الأُذنان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تأويل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مثل اليدين مثل الإمام و الحجّة، و مثل هذه المنافذ السبعة، مثل النطقاء السبعة، فمثل رفع اليدين إلى أن يحاذيهما، مثلُ الإقرار في أوّل دعوة الحقّ بالإمام و الحجّة و النطقاء السبعة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الزمان و حجّته، و أن لا يفرّق بين أحدٍ منهم، و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شهادة و إقرار و اعتقاد بأنّ اللّٰه أكبر و أجل و أعظم من كلّ شيء و أنّ النطقاء و الأئمّة و الحجج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قرن اللّٰه طاعتهم بطاعته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من عباده مربوبون</w:t>
      </w:r>
      <w:r>
        <w:rPr>
          <w:rFonts w:eastAsia="Amiri" w:cs="Amiri" w:ascii="Amiri" w:hAnsi="Amiri"/>
          <w:color w:val="111111"/>
          <w:sz w:val="28"/>
          <w:szCs w:val="28"/>
          <w:rtl w:val="true"/>
          <w:lang w:bidi="ar-SA"/>
        </w:rPr>
        <w:t>.</w:t>
      </w:r>
      <w:r>
        <w:rPr>
          <w:rStyle w:val="FootnoteAnchor"/>
          <w:rtl w:val="true"/>
        </w:rPr>
        <w:footnoteReference w:id="421"/>
      </w:r>
    </w:p>
    <w:p>
      <w:pPr>
        <w:pStyle w:val="Heading5"/>
        <w:numPr>
          <w:ilvl w:val="4"/>
          <w:numId w:val="1"/>
        </w:numPr>
        <w:rPr/>
      </w:pPr>
      <w:bookmarkStart w:id="588" w:name="__RefHeading___Toc4284459_73709187"/>
      <w:bookmarkStart w:id="589" w:name="_Toc213"/>
      <w:bookmarkEnd w:id="588"/>
      <w:r>
        <w:rPr>
          <w:rtl w:val="true"/>
        </w:rPr>
        <w:t>في القراءة</w:t>
      </w:r>
      <w:bookmarkEnd w:id="589"/>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يقرأ في الصلاة في كلّ ركعة بعد بِسْمِ اَللّٰهِ اَلرَّحْمٰنِ اَلرَّحِيمِ، بفاتحة الكتاب، و في الركعتين الأوليين، بعد فاتحة الكتاب بسورة، و نُهي عن أن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فراغ فاتحة الكتاب، كما تقول ذلك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تأويل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بِسْمِ اَللّٰهِ اَلرَّحْمٰنِ اَلرَّحِيمِ تسعةَ عشر حرفاً، بسم اللّٰه سبعة أحرف، و هي مثل النطقاء السبعة، و السبعة الأئمّة الذين يتعاقبون الإمامة بين كل ناطقين، الرّحمن الرّحيم اثني عشر حرفاً مثل النقباء الاثني عشر</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تأويل قراءته في كلّ ركعة بفاتحة الكتاب، من أنّها سبع آيات و أنّه جاء في التفسير أنّها السبع المثاني، لأنّها تثنّى في كلّ ركعة، و انّ مَثَلَها و مثل قراءتها في الصلاة مثل الإقرار بالسبعة الأئمّة الذين يتعاقبون الإمامة بين كلّ ناطقين، و انّ ذلك هو قول اللّٰه تعالى لمحمد نبيه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آتَيْنٰاكَ سَبْعاً مِنَ اَلْمَثٰانِي</w:t>
      </w:r>
      <w:r>
        <w:rPr>
          <w:rFonts w:eastAsia="Amiri" w:cs="Amiri" w:ascii="Amiri" w:hAnsi="Amiri"/>
          <w:color w:val="111111"/>
          <w:sz w:val="28"/>
          <w:szCs w:val="28"/>
          <w:rtl w:val="true"/>
          <w:lang w:bidi="ar-SA"/>
        </w:rPr>
        <w:t>»</w:t>
      </w:r>
      <w:r>
        <w:rPr>
          <w:rStyle w:val="FootnoteAnchor"/>
          <w:rtl w:val="true"/>
        </w:rPr>
        <w:footnoteReference w:id="422"/>
      </w:r>
      <w:bookmarkStart w:id="590" w:name="pg11557_101447"/>
    </w:p>
    <w:p>
      <w:pPr>
        <w:pStyle w:val="BookText"/>
        <w:rPr/>
      </w:pPr>
      <w:bookmarkEnd w:id="590"/>
      <w:r>
        <w:rPr>
          <w:rFonts w:ascii="Amiri" w:hAnsi="Amiri" w:eastAsia="Amiri" w:cs="Amiri"/>
          <w:color w:val="111111"/>
          <w:sz w:val="28"/>
          <w:sz w:val="28"/>
          <w:szCs w:val="28"/>
          <w:rtl w:val="true"/>
          <w:lang w:bidi="ar-SA"/>
        </w:rPr>
        <w:t xml:space="preserve">و تأويله أنّه جعل في ذريته سبعة أئمّة يثنّى منهم اسبوع بعد اسبوع، كما يثنّى أيّام الجُمعة إلى أن تقوم الساعة و انّه جمع له علم النطقاء و الأئمّة من قبله و القرآن العظيم، و مثله في التأويل مثل أساس دعوته و أئمّته و هو وصيّه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قراءة فاتحة الكتاب و سورة في كلّ ركعة تقرنان فيها فمَثَل ذلك في التأويل، مثل الإقرار في دعوة الحقّ بإمام الزمان و حجّته و قول العامّة بعد فراغ سورة الحمد آمين زيادة فيها فنهى عن ذلك كما يُنهى عن إدخال غير أولياء اللّٰه في جملتهم، و عن زيادة غيرهم فيهم</w:t>
      </w:r>
      <w:r>
        <w:rPr>
          <w:rFonts w:eastAsia="Amiri" w:cs="Amiri" w:ascii="Amiri" w:hAnsi="Amiri"/>
          <w:color w:val="111111"/>
          <w:sz w:val="28"/>
          <w:szCs w:val="28"/>
          <w:rtl w:val="true"/>
          <w:lang w:bidi="ar-SA"/>
        </w:rPr>
        <w:t>.</w:t>
      </w:r>
      <w:r>
        <w:rPr>
          <w:rStyle w:val="FootnoteAnchor"/>
          <w:rtl w:val="true"/>
        </w:rPr>
        <w:footnoteReference w:id="423"/>
      </w:r>
    </w:p>
    <w:p>
      <w:pPr>
        <w:pStyle w:val="Heading5"/>
        <w:numPr>
          <w:ilvl w:val="4"/>
          <w:numId w:val="1"/>
        </w:numPr>
        <w:rPr/>
      </w:pPr>
      <w:bookmarkStart w:id="591" w:name="__RefHeading___Toc4284461_73709187"/>
      <w:bookmarkStart w:id="592" w:name="_Toc214"/>
      <w:bookmarkEnd w:id="591"/>
      <w:r>
        <w:rPr>
          <w:rtl w:val="true"/>
        </w:rPr>
        <w:t>في صلاة العيدين</w:t>
      </w:r>
      <w:bookmarkEnd w:id="592"/>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العيدين أذان و لا إقامة، و لا نافلة، و يُبدأ فيهما بالصلاة قبل الخطبة، خلاف الجُمعة؛ و صلاةَ العيدين ركعتان يُجهر فيهما بالقراءة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تأويل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مثل الخروج إلى العيدين مَثَلُ الخروج إلى جهاد الأعداء، و أنّ مثل الأذان مثل الدعوة و الخروج إلى العدو، و ليست تقام له دعوة، إذ تقدم في دعوة الحقّ الأمر به، و إنّما يُلزم الناس أن ينفروا و يخرجوا إليه، كما أوجب اللّٰهُ ذلك عليهم في كتابه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معنى البدء في الصلاة يوم العيدين قبل الخطبة، خلاف الجمعة، أنّ الخروج إلى العيدين مَثلُ الخروج إلى جهاد العدو، و استقبال القبلة في الصلاة مَثَلُ استقبال الإمام بالطاعة و السمع له و ذكرنا أنّ مثل الخطبة من الخطيب مثلُ التوقيف من الداعي مَنْ يدعوه على ما يأمره به، فكان مَثَلُ الإبداء بالصلاة في العيدين مَثلُ إقبال الخارجين إلى جهاد الأعداء في حين خروجهم على إمامهم، و السّمع منهم و الطاعة لما به يأمرهم، و ما عليه يرتِّبهم و يقيمهم و في مقاماتهم، فذلك مَثلُ الصلاة و به يبتدئ، و مثل الخطبة بعد ذلك مثل تحريض الإمام </w:t>
      </w:r>
    </w:p>
    <w:p>
      <w:pPr>
        <w:pStyle w:val="BookText"/>
        <w:rPr/>
      </w:pPr>
      <w:r>
        <w:rPr>
          <w:rFonts w:ascii="Amiri" w:hAnsi="Amiri" w:eastAsia="Amiri" w:cs="Amiri"/>
          <w:color w:val="111111"/>
          <w:sz w:val="28"/>
          <w:sz w:val="28"/>
          <w:szCs w:val="28"/>
          <w:rtl w:val="true"/>
          <w:lang w:bidi="ar-SA"/>
        </w:rPr>
        <w:t>المؤمنين على الجهاد، و أمره و نهيه إيّاهم في ذلك، بما يأمرهم به، و ينهاهم عنه، و لذلك كان في خطبة العيدين الأمر بالجهاد و بطاعة الإمام، و التوبيخ على التقصير في العمل</w:t>
      </w:r>
      <w:r>
        <w:rPr>
          <w:rFonts w:eastAsia="Amiri" w:cs="Amiri" w:ascii="Amiri" w:hAnsi="Amiri"/>
          <w:color w:val="111111"/>
          <w:sz w:val="28"/>
          <w:szCs w:val="28"/>
          <w:rtl w:val="true"/>
          <w:lang w:bidi="ar-SA"/>
        </w:rPr>
        <w:t>.</w:t>
      </w:r>
      <w:r>
        <w:rPr>
          <w:rStyle w:val="FootnoteAnchor"/>
          <w:rtl w:val="true"/>
        </w:rPr>
        <w:footnoteReference w:id="424"/>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نماذج من تأويلات الإسماعيليّة، في مجال الأحكام الشرعيّة، و من أراد الاستقصاء فعليه الرجوع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كتاب تأويل الدعائم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للرحالة ناصر خسرو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قام بتأويل ما جاء من الأحكام في غير واحد من الأبواب، حتى الحدود و الدّيات، و النكاح، و السفاح، و لكنّه ألّفه بلغة فارسية قديمة، فعلىٰ من يريد المزيد من الاطلاع فليرجع إلى ذلك الكتاب، و قد طبع عام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طبعة أنيقة</w:t>
      </w:r>
      <w:r>
        <w:rPr>
          <w:rFonts w:eastAsia="Amiri" w:cs="Amiri" w:ascii="Amiri" w:hAnsi="Amiri"/>
          <w:color w:val="111111"/>
          <w:sz w:val="28"/>
          <w:szCs w:val="28"/>
          <w:rtl w:val="true"/>
          <w:lang w:bidi="ar-SA"/>
        </w:rPr>
        <w:t xml:space="preserve">.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3" w:name="pg11557_101450"/>
      <w:bookmarkStart w:id="594" w:name="pg11557_101450"/>
      <w:bookmarkEnd w:id="594"/>
    </w:p>
    <w:p>
      <w:pPr>
        <w:pStyle w:val="Heading2"/>
        <w:numPr>
          <w:ilvl w:val="1"/>
          <w:numId w:val="1"/>
        </w:numPr>
        <w:rPr/>
      </w:pPr>
      <w:bookmarkStart w:id="595" w:name="pg11557_101450"/>
      <w:bookmarkStart w:id="596" w:name="__RefHeading___Toc4284463_73709187"/>
      <w:bookmarkStart w:id="597" w:name="_Toc215"/>
      <w:bookmarkEnd w:id="595"/>
      <w:bookmarkEnd w:id="596"/>
      <w:r>
        <w:rPr>
          <w:rtl w:val="true"/>
        </w:rPr>
        <w:t>الفصل الثالث عشر</w:t>
      </w:r>
      <w:r>
        <w:rPr>
          <w:rtl w:val="true"/>
        </w:rPr>
        <w:t xml:space="preserve">: </w:t>
      </w:r>
      <w:r>
        <w:rPr>
          <w:rtl w:val="true"/>
        </w:rPr>
        <w:t>في أعلام الفكر الإسماعيلي</w:t>
      </w:r>
      <w:bookmarkEnd w:id="597"/>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98" w:name="__RefHeading___Toc4284465_73709187"/>
      <w:bookmarkStart w:id="599" w:name="_Toc216"/>
      <w:bookmarkEnd w:id="598"/>
      <w:r>
        <w:rPr>
          <w:rtl w:val="true"/>
        </w:rPr>
        <w:t>اشارة</w:t>
      </w:r>
      <w:bookmarkEnd w:id="599"/>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0" w:name="pg11557_101452"/>
      <w:bookmarkStart w:id="601" w:name="pg11557_101452"/>
      <w:bookmarkEnd w:id="601"/>
    </w:p>
    <w:p>
      <w:pPr>
        <w:pStyle w:val="BookText"/>
        <w:rPr/>
      </w:pPr>
      <w:bookmarkStart w:id="602" w:name="pg11557_101452"/>
      <w:bookmarkEnd w:id="602"/>
      <w:r>
        <w:rPr>
          <w:rFonts w:ascii="Amiri" w:hAnsi="Amiri" w:eastAsia="Amiri" w:cs="Amiri"/>
          <w:color w:val="111111"/>
          <w:sz w:val="28"/>
          <w:sz w:val="28"/>
          <w:szCs w:val="28"/>
          <w:rtl w:val="true"/>
          <w:lang w:bidi="ar-SA"/>
        </w:rPr>
        <w:t>ظهر المذهب الإسماعيلي على الساحة الإسلاميّة بطابَع دينيّ بحت، مدّعياً استمرار الإمامة، المتجسّدة في إسماعيل بن جعفر، و محمد بن إسماعيل، و لمّا اشتدَّ سلطانهم بقيام دولة لهم في شمال إفريقية، في بلاد المغرب، و مصر، ظهرت بينهم شخصيات بارزة في حقول السياسة و الفلسفة و الفقه و الحديث و الأدب و غيرها، و بما أنّ دراسة سيرتهم و ما قدموه من تراث للمجتمع الإسلامي خارج عن موضوع كتابنا، لأنّه رهن دراسة تاريخ الدولة الفاطميّة؛ فلنقتصر على ترجمة لفيف من أعلامهم و مفكّريهم، مِمّن كان لهم دور في نضج المذهب و تكامله و انتشاره</w:t>
      </w:r>
      <w:r>
        <w:rPr>
          <w:rFonts w:eastAsia="Amiri" w:cs="Amiri" w:ascii="Amiri" w:hAnsi="Amiri"/>
          <w:color w:val="111111"/>
          <w:sz w:val="28"/>
          <w:szCs w:val="28"/>
          <w:rtl w:val="true"/>
          <w:lang w:bidi="ar-SA"/>
        </w:rPr>
        <w:t>.</w:t>
      </w:r>
    </w:p>
    <w:p>
      <w:pPr>
        <w:pStyle w:val="Heading3"/>
        <w:numPr>
          <w:ilvl w:val="2"/>
          <w:numId w:val="1"/>
        </w:numPr>
        <w:rPr/>
      </w:pPr>
      <w:bookmarkStart w:id="603" w:name="__RefHeading___Toc4284467_73709187"/>
      <w:bookmarkStart w:id="604" w:name="_Toc217"/>
      <w:bookmarkEnd w:id="603"/>
      <w:r>
        <w:rPr>
          <w:rtl w:val="true"/>
        </w:rPr>
        <w:t>(</w:t>
      </w:r>
      <w:r>
        <w:rPr/>
        <w:t>1</w:t>
      </w:r>
      <w:r>
        <w:rPr>
          <w:rtl w:val="true"/>
        </w:rPr>
        <w:t xml:space="preserve">) </w:t>
      </w:r>
      <w:r>
        <w:rPr>
          <w:rtl w:val="true"/>
        </w:rPr>
        <w:t xml:space="preserve">أحمد بن حمدان بن أحمد الورثنياني </w:t>
      </w:r>
      <w:r>
        <w:rPr>
          <w:rtl w:val="true"/>
        </w:rPr>
        <w:t>(</w:t>
      </w:r>
      <w:r>
        <w:rPr>
          <w:rtl w:val="true"/>
        </w:rPr>
        <w:t>أبو حاتم الرازي</w:t>
      </w:r>
      <w:r>
        <w:rPr>
          <w:rtl w:val="true"/>
        </w:rPr>
        <w:t>) (</w:t>
      </w:r>
      <w:r>
        <w:rPr/>
        <w:t>260</w:t>
      </w:r>
      <w:r>
        <w:rPr>
          <w:rtl w:val="true"/>
        </w:rPr>
        <w:t>-</w:t>
      </w:r>
      <w:r>
        <w:rPr/>
        <w:t>322</w:t>
      </w:r>
      <w:r>
        <w:rPr>
          <w:rtl w:val="true"/>
        </w:rPr>
        <w:t xml:space="preserve"> </w:t>
      </w:r>
      <w:r>
        <w:rPr>
          <w:rtl w:val="true"/>
        </w:rPr>
        <w:t>ه</w:t>
      </w:r>
      <w:r>
        <w:rPr>
          <w:rtl w:val="true"/>
        </w:rPr>
        <w:t>)</w:t>
      </w:r>
      <w:bookmarkEnd w:id="604"/>
    </w:p>
    <w:p>
      <w:pPr>
        <w:pStyle w:val="BookText"/>
        <w:rPr/>
      </w:pPr>
      <w:r>
        <w:rPr>
          <w:rFonts w:ascii="Amiri" w:hAnsi="Amiri" w:eastAsia="Amiri" w:cs="Amiri"/>
          <w:color w:val="111111"/>
          <w:sz w:val="28"/>
          <w:sz w:val="28"/>
          <w:szCs w:val="28"/>
          <w:rtl w:val="true"/>
          <w:lang w:bidi="ar-SA"/>
        </w:rPr>
        <w:t xml:space="preserve">أحمد بن حمدان بن أحمد الورثنياني الليثي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حاتم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زعماء الإسماعيليّة و كُتّابهم، أوّل من ترجمه هو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نقله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أبو الحسن ابن بابويه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أهل الفضل و الأدب، و المعرفة باللغة، و سمع الحديث كثيراً، و له تصانيف؛ ثمّ أظهر القول بالإلحاد و صار من دعاة الإسماعيليّة، و أضلّ جماعة من الأكابر و مات في سنة </w:t>
      </w:r>
    </w:p>
    <w:p>
      <w:p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و نقل صاحب الأعيان عن الرياض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القدماء المعاصرين للصدوق، له كتاب الرد على محمد بن زكريا الطبيب الرازي في الإلحاد و إنكار النبوة</w:t>
      </w:r>
      <w:r>
        <w:rPr>
          <w:rFonts w:eastAsia="Amiri" w:cs="Amiri" w:ascii="Amiri" w:hAnsi="Amiri"/>
          <w:color w:val="111111"/>
          <w:sz w:val="28"/>
          <w:szCs w:val="28"/>
          <w:rtl w:val="true"/>
          <w:lang w:bidi="ar-SA"/>
        </w:rPr>
        <w:t>.</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و قال مصطفى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داعياً كبيراً لبلاد الري و طبرستان و آذربيجان، و قد استطاع أن يُدخل أمير الري في المذهب الإسماعيلي و كان من كبار دعاة القائم بأمر اللّٰه، و نؤكّد أنّه لعِب دوراً عظيماً في شئون طهران و الديلم و الري، السياسيّة، فاستجاب لدعوته أعظم رجالات تلك البلاد، و له مؤلفات عظيمة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في الفقه و الفلسفة الإسماعيليّة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أعلام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يبحث في الفلسفة الإسماعيليّة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يبحث في التأويل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في الفقه الإسماعيلي</w:t>
      </w:r>
      <w:r>
        <w:rPr>
          <w:rFonts w:eastAsia="Amiri" w:cs="Amiri" w:ascii="Amiri" w:hAnsi="Amiri"/>
          <w:color w:val="111111"/>
          <w:sz w:val="28"/>
          <w:szCs w:val="28"/>
          <w:rtl w:val="true"/>
          <w:lang w:bidi="ar-SA"/>
        </w:rPr>
        <w:t>.</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 xml:space="preserve">و الحقيقة فإنّ أبا حاتم الرازي كان علماً من أعلام النهضة العلميّة عند الإسماعيليّة، و قد ساهم بنشر التعاليم الفلسفيّة في كافّة الأقطار الشرقيّة، و خاصّة في محيط الثقافة الإسلاميّة العامّة، و بالرغم من كلّ هذا فإنّه لم يَسلم من اضطهاد الأعداء في الديلم، و قد اضطر إلى الاختفاء في أواخر سني حياته، و مات سنة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بعد تولية القائم الفاطمي شئون الإمامة الإسماعيليّة، في بلاد المغرب، و قد عمّر اثنين و ستين عاماً، كما قال بعض المؤرخين</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معاصراً لأبي بكر محمد بن زكريا الرازي الطبيب المشهور، و صاحب </w:t>
      </w:r>
    </w:p>
    <w:p>
      <w:pPr>
        <w:pStyle w:val="BookText"/>
        <w:rPr/>
      </w:pPr>
      <w:r>
        <w:rPr>
          <w:rFonts w:ascii="Amiri" w:hAnsi="Amiri" w:eastAsia="Amiri" w:cs="Amiri"/>
          <w:color w:val="111111"/>
          <w:sz w:val="28"/>
          <w:sz w:val="28"/>
          <w:szCs w:val="28"/>
          <w:rtl w:val="true"/>
          <w:lang w:bidi="ar-SA"/>
        </w:rPr>
        <w:t>الآراء الفلسفيّة المعروفة، التي خرج فيها علىٰ كثير من نظريات أرسطو الطبيعية و الميتافيزيائية، منكراً التوفيق بين الفلسفة و الدين، معتقداً بأنّ الفلسفة هي الطريق الوحيد لإصلاح الفرد و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دارت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بين الرازيين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مناقشات عنيفة و متعددة، حضرها بعض العلماء و الرؤساء السياسيين، و قد دوّن أبو حاتم هذه المناقشات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النبوة</w:t>
      </w:r>
      <w:r>
        <w:rPr>
          <w:rFonts w:eastAsia="Amiri" w:cs="Amiri" w:ascii="Amiri" w:hAnsi="Amiri"/>
          <w:color w:val="111111"/>
          <w:sz w:val="28"/>
          <w:szCs w:val="28"/>
          <w:rtl w:val="true"/>
          <w:lang w:bidi="ar-SA"/>
        </w:rPr>
        <w:t>».</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 xml:space="preserve">و إليك كلاماً حول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فالكتاب يصوّر لنا معركة فكريّة عقائديّة بين رازيين،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حاتم الداعي المتكلم الإسماعيلي، و محمد بن زكريا الطبيب المتفلسف حيث تعددت اللقاءات بينهما، و دار النقاش حول مواضيع شتى في جوانب الثقافة الإسلاميّة، من عقائد فلسفيّة و كلام وطب و صيدلة و هيئة، و ما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اختلاف الرأي بين الرجلين في هذه الجوانب لم يكن إلّا مظاهر متعددة لاختلاف أساسي واحد بينهما في الرأي حول العقل الإنساني، و تكليفه و حدود إمكانه من جانب، و النبوّة و الضرورة إليها من جانب آخر</w:t>
      </w:r>
      <w:r>
        <w:rPr>
          <w:rFonts w:eastAsia="Amiri" w:cs="Amiri" w:ascii="Amiri" w:hAnsi="Amiri"/>
          <w:color w:val="111111"/>
          <w:sz w:val="28"/>
          <w:szCs w:val="28"/>
          <w:rtl w:val="true"/>
          <w:lang w:bidi="ar-SA"/>
        </w:rPr>
        <w:t>.</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و الكتاب جدير بالمطالعة و قد بدأ المؤلف كتابه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ناظرني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 النبوّة و أورد كلاماً نحو ما رسمه في كتابه الذي قد ذكرناه فقال</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أين أوجبتم أنّ اللّٰه اختصَّ قوماً بالنبوّة دون قوم، و فضلهم على الناس، و جعلهم أدلّة لهم، و أحوج الناس إليهم؟ و من أين أجزتم في حكمة الحكيم أن يختار لهم ذلك و يشلي بعضهم على بعض، و يؤكد بينهم العداوات </w:t>
      </w:r>
      <w:bookmarkStart w:id="605" w:name="pg11557_101455"/>
    </w:p>
    <w:p>
      <w:pPr>
        <w:pStyle w:val="BookText"/>
        <w:rPr/>
      </w:pPr>
      <w:bookmarkEnd w:id="605"/>
      <w:r>
        <w:rPr>
          <w:rFonts w:ascii="Amiri" w:hAnsi="Amiri" w:eastAsia="Amiri" w:cs="Amiri"/>
          <w:color w:val="111111"/>
          <w:sz w:val="28"/>
          <w:sz w:val="28"/>
          <w:szCs w:val="28"/>
          <w:rtl w:val="true"/>
          <w:lang w:bidi="ar-SA"/>
        </w:rPr>
        <w:t>و يكسر المحاربات و يهلك بذلك الناس؟</w:t>
      </w:r>
      <w:r>
        <w:rPr>
          <w:rFonts w:eastAsia="Amiri" w:cs="Amiri" w:ascii="Amiri" w:hAnsi="Amiri"/>
          <w:color w:val="111111"/>
          <w:sz w:val="28"/>
          <w:szCs w:val="28"/>
          <w:rtl w:val="true"/>
          <w:lang w:bidi="ar-SA"/>
        </w:rPr>
        <w:t>!».</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ثمّ ذكر المناظرة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ترجمه ابنُ النديم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من الكتب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فقه</w:t>
      </w:r>
      <w:r>
        <w:rPr>
          <w:rFonts w:eastAsia="Amiri" w:cs="Amiri" w:ascii="Amiri" w:hAnsi="Amiri"/>
          <w:color w:val="111111"/>
          <w:sz w:val="28"/>
          <w:szCs w:val="28"/>
          <w:rtl w:val="true"/>
          <w:lang w:bidi="ar-SA"/>
        </w:rPr>
        <w:t>.</w:t>
      </w:r>
      <w:r>
        <w:rPr>
          <w:rStyle w:val="FootnoteAnchor"/>
          <w:rtl w:val="true"/>
        </w:rPr>
        <w:footnoteReference w:id="431"/>
      </w:r>
    </w:p>
    <w:p>
      <w:pPr>
        <w:pStyle w:val="Heading3"/>
        <w:numPr>
          <w:ilvl w:val="2"/>
          <w:numId w:val="1"/>
        </w:numPr>
        <w:rPr/>
      </w:pPr>
      <w:bookmarkStart w:id="606" w:name="__RefHeading___Toc4284469_73709187"/>
      <w:bookmarkStart w:id="607" w:name="_Toc218"/>
      <w:bookmarkEnd w:id="606"/>
      <w:r>
        <w:rPr>
          <w:rtl w:val="true"/>
        </w:rPr>
        <w:t>(</w:t>
      </w:r>
      <w:r>
        <w:rPr/>
        <w:t>2</w:t>
      </w:r>
      <w:r>
        <w:rPr>
          <w:rtl w:val="true"/>
        </w:rPr>
        <w:t xml:space="preserve">) </w:t>
      </w:r>
      <w:r>
        <w:rPr>
          <w:rtl w:val="true"/>
        </w:rPr>
        <w:t xml:space="preserve">محمد بن أحمد النسفي البرذعي </w:t>
      </w:r>
      <w:r>
        <w:rPr>
          <w:rtl w:val="true"/>
        </w:rPr>
        <w:t>(</w:t>
      </w:r>
      <w:r>
        <w:rPr>
          <w:rtl w:val="true"/>
        </w:rPr>
        <w:t>النخشبي</w:t>
      </w:r>
      <w:r>
        <w:rPr>
          <w:rtl w:val="true"/>
        </w:rPr>
        <w:t xml:space="preserve">) (... - </w:t>
      </w:r>
      <w:r>
        <w:rPr/>
        <w:t>331</w:t>
      </w:r>
      <w:r>
        <w:rPr>
          <w:rtl w:val="true"/>
        </w:rPr>
        <w:t xml:space="preserve"> </w:t>
      </w:r>
      <w:r>
        <w:rPr>
          <w:rtl w:val="true"/>
        </w:rPr>
        <w:t>ه</w:t>
      </w:r>
      <w:r>
        <w:rPr>
          <w:rtl w:val="true"/>
        </w:rPr>
        <w:t>)</w:t>
      </w:r>
      <w:bookmarkEnd w:id="607"/>
    </w:p>
    <w:p>
      <w:pPr>
        <w:pStyle w:val="BookText"/>
        <w:rPr/>
      </w:pPr>
      <w:r>
        <w:rPr>
          <w:rFonts w:ascii="Amiri" w:hAnsi="Amiri" w:eastAsia="Amiri" w:cs="Amiri"/>
          <w:color w:val="111111"/>
          <w:sz w:val="28"/>
          <w:sz w:val="28"/>
          <w:szCs w:val="28"/>
          <w:rtl w:val="true"/>
          <w:lang w:bidi="ar-SA"/>
        </w:rPr>
        <w:t>كان كبير دُعاة خراسان و تركستان، استطاع أن يدخل في المذهب الإسماعيلي الكثيرين، من أهل تلك البلاد، اشتهر في تعمّقه بدراسة فلسفة المذهب الإسماعيلي؛ و من أشهر مؤلفاته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يتألّف من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جلّها في الفلسفة الإسماعيليّة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الدعوة الناجية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يبحث في الفقه الإسماعيلي، و فلسفة ما وراء الطبيعة</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هذا الداعي سنة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432"/>
      </w:r>
      <w:bookmarkStart w:id="608" w:name="pg11557_101456"/>
    </w:p>
    <w:p>
      <w:pPr>
        <w:pStyle w:val="BookText"/>
        <w:rPr/>
      </w:pPr>
      <w:bookmarkEnd w:id="608"/>
      <w:r>
        <w:rPr>
          <w:rFonts w:ascii="Amiri" w:hAnsi="Amiri" w:eastAsia="Amiri" w:cs="Amiri"/>
          <w:color w:val="111111"/>
          <w:sz w:val="28"/>
          <w:sz w:val="28"/>
          <w:szCs w:val="28"/>
          <w:rtl w:val="true"/>
          <w:lang w:bidi="ar-SA"/>
        </w:rPr>
        <w:t>يقول عارف تامر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جَدَل فَتح للإسماعيليّة الآفاق الجديدة، ظهورُ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هذا الكتاب وضع موضع التداول في بداية القرن الرابع الهجري، و ينسب إلى الداعي السوري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النسفي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له الفضل بتحويل مذهب الدولة السامانية في آذربيجان إلى الإسماعيليّة، و قد أُعدم سنة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كما 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بين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لمؤلفه عبد القاهر البغدادي</w:t>
      </w:r>
      <w:r>
        <w:rPr>
          <w:rFonts w:eastAsia="Amiri" w:cs="Amiri" w:ascii="Amiri" w:hAnsi="Amiri"/>
          <w:color w:val="111111"/>
          <w:sz w:val="28"/>
          <w:szCs w:val="28"/>
          <w:rtl w:val="true"/>
          <w:lang w:bidi="ar-SA"/>
        </w:rPr>
        <w:t>.</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و قد ذكر ابن النديم في الفهرست أنّ النسفي خلف، الحسين بن علي المروزي في خراسان، الذي مات في حبس نصر بن أحمد، و استغوى نصر بن أحمد و أدخله في الدعوة الإسماعيليّة، و أغرمه دية المروزي، و زعم أنّه ينفذها إلى صاحب المغرب القيّم بالأمر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فلحق نصر سقمٌ طرحه على فراشه، و ندم على إجابته للنسفي، فأظهر ذلك و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فجمع ابنه نوح بن نصر الفقهاء و أحضر النسفي، فناظروه و هتكوه و فضحوه، فقتل النسفي، و رؤساء الدعاة و وجوهها من قواد نصر، ممن دخل في الدعوة و مزقهم كل ممزق</w:t>
      </w:r>
      <w:r>
        <w:rPr>
          <w:rFonts w:eastAsia="Amiri" w:cs="Amiri" w:ascii="Amiri" w:hAnsi="Amiri"/>
          <w:color w:val="111111"/>
          <w:sz w:val="28"/>
          <w:szCs w:val="28"/>
          <w:rtl w:val="true"/>
          <w:lang w:bidi="ar-SA"/>
        </w:rPr>
        <w:t>.</w:t>
      </w:r>
      <w:r>
        <w:rPr>
          <w:rStyle w:val="FootnoteAnchor"/>
          <w:rtl w:val="true"/>
        </w:rPr>
        <w:footnoteReference w:id="434"/>
      </w:r>
    </w:p>
    <w:p>
      <w:pPr>
        <w:pStyle w:val="Heading3"/>
        <w:numPr>
          <w:ilvl w:val="2"/>
          <w:numId w:val="1"/>
        </w:numPr>
        <w:rPr/>
      </w:pPr>
      <w:bookmarkStart w:id="609" w:name="__RefHeading___Toc4284471_73709187"/>
      <w:bookmarkStart w:id="610" w:name="_Toc219"/>
      <w:bookmarkEnd w:id="609"/>
      <w:r>
        <w:rPr>
          <w:rtl w:val="true"/>
        </w:rPr>
        <w:t>(</w:t>
      </w:r>
      <w:r>
        <w:rPr/>
        <w:t>3</w:t>
      </w:r>
      <w:r>
        <w:rPr>
          <w:rtl w:val="true"/>
        </w:rPr>
        <w:t xml:space="preserve">) </w:t>
      </w:r>
      <w:r>
        <w:rPr>
          <w:rtl w:val="true"/>
        </w:rPr>
        <w:t xml:space="preserve">أبو يعقوب السجستاني </w:t>
      </w:r>
      <w:r>
        <w:rPr>
          <w:rtl w:val="true"/>
        </w:rPr>
        <w:t>(</w:t>
      </w:r>
      <w:r>
        <w:rPr/>
        <w:t>271</w:t>
      </w:r>
      <w:r>
        <w:rPr>
          <w:rtl w:val="true"/>
        </w:rPr>
        <w:t xml:space="preserve"> - </w:t>
      </w:r>
      <w:r>
        <w:rPr>
          <w:rtl w:val="true"/>
        </w:rPr>
        <w:t xml:space="preserve">و كان حيّاً عام </w:t>
      </w:r>
      <w:r>
        <w:rPr/>
        <w:t>360</w:t>
      </w:r>
      <w:r>
        <w:rPr>
          <w:rtl w:val="true"/>
        </w:rPr>
        <w:t xml:space="preserve"> </w:t>
      </w:r>
      <w:r>
        <w:rPr>
          <w:rtl w:val="true"/>
        </w:rPr>
        <w:t>ه</w:t>
      </w:r>
      <w:r>
        <w:rPr>
          <w:rtl w:val="true"/>
        </w:rPr>
        <w:t>)</w:t>
      </w:r>
      <w:bookmarkEnd w:id="610"/>
    </w:p>
    <w:p>
      <w:pPr>
        <w:pStyle w:val="Heading4"/>
        <w:numPr>
          <w:ilvl w:val="3"/>
          <w:numId w:val="1"/>
        </w:numPr>
        <w:rPr/>
      </w:pPr>
      <w:bookmarkStart w:id="611" w:name="__RefHeading___Toc4284473_73709187"/>
      <w:bookmarkStart w:id="612" w:name="_Toc220"/>
      <w:bookmarkEnd w:id="611"/>
      <w:r>
        <w:rPr>
          <w:rtl w:val="true"/>
        </w:rPr>
        <w:t>اشارة</w:t>
      </w:r>
      <w:bookmarkEnd w:id="612"/>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يعقوب إسحاق بن أحمد السجزي أو السجستاني، ولد عام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سجستان، و هي مقاطعة في جنوب خراسان يمتُّ بصِلة النسب إلى أُسرة فارسيّة، </w:t>
      </w:r>
    </w:p>
    <w:p>
      <w:pPr>
        <w:pStyle w:val="BookText"/>
        <w:rPr/>
      </w:pPr>
      <w:r>
        <w:rPr>
          <w:rFonts w:ascii="Amiri" w:hAnsi="Amiri" w:eastAsia="Amiri" w:cs="Amiri"/>
          <w:color w:val="111111"/>
          <w:sz w:val="28"/>
          <w:sz w:val="28"/>
          <w:szCs w:val="28"/>
          <w:rtl w:val="true"/>
          <w:lang w:bidi="ar-SA"/>
        </w:rPr>
        <w:t>و قيل أنّه من أصل عربي، جاء جدُّه من الكوفة، و قطن في سجستان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نشأ السجستاني في مدارس الدعوة الإسماعيليّة في اليمن، و أسهم مساهمة فعّالة في المناظرات العلميّة التي كانت تجري في ذلك العصر</w:t>
      </w:r>
      <w:r>
        <w:rPr>
          <w:rFonts w:eastAsia="Amiri" w:cs="Amiri" w:ascii="Amiri" w:hAnsi="Amiri"/>
          <w:color w:val="111111"/>
          <w:sz w:val="28"/>
          <w:szCs w:val="28"/>
          <w:rtl w:val="true"/>
          <w:lang w:bidi="ar-SA"/>
        </w:rPr>
        <w:t>.</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يقول عنه الكاتب الإسماعيلي عارف تامر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أبو يعقوب إسحاق السجستاني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طليعة العلماء الذين كرّسوا أنفسهم لوضع قواعد فلسفيّة كونيّة قائمة على دعائم فكريّة عقائديّة إسماعيليّة، و نشرها و تعميمها في الأقطار الأُخرىٰ، حتى اتّهم في أواخر حياته، بالكفر و الإلحاد، من الجمهور، ثمّ قتل أخيراً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لعب السجستاني دوراً هامّاً في مجال الفلسفة في القرن الثالث للهجرة، و قد ظهر أثره الفكري في تلميذه حميد الدين الكرماني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العراقين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سار على منهاجه، و دعا إلى تعاليمه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عاصر الدعوة الإسماعيليّة الباطنيّة في عصر الظهور أي ابان ازدهار الدولة الفاطميّة و ظهورها كدولة إسلاميّة ذات كيان حضاري، و علمي، و اجتماعي، و سياسي</w:t>
      </w:r>
      <w:r>
        <w:rPr>
          <w:rFonts w:eastAsia="Amiri" w:cs="Amiri" w:ascii="Amiri" w:hAnsi="Amiri"/>
          <w:color w:val="111111"/>
          <w:sz w:val="28"/>
          <w:szCs w:val="28"/>
          <w:rtl w:val="true"/>
          <w:lang w:bidi="ar-SA"/>
        </w:rPr>
        <w:t>.</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 xml:space="preserve">كتب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عارض فيه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وضعه أبو حاتم الرازي في الرد على آراء النسفي التي وردت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انتصر للنسفي على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قام الكرماني إلى تأليف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و جهات النظر بين الدعاة المتجادلين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النسفي، الرازي، السجستاني</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ترك السجستاني بعده مؤلفات علميّة فلسفيّة عددها ينوف على الثلاثين </w:t>
      </w:r>
      <w:bookmarkStart w:id="613" w:name="pg11557_101458"/>
    </w:p>
    <w:p>
      <w:pPr>
        <w:pStyle w:val="BookText"/>
        <w:rPr/>
      </w:pPr>
      <w:bookmarkEnd w:id="613"/>
      <w:r>
        <w:rPr>
          <w:rFonts w:ascii="Amiri" w:hAnsi="Amiri" w:eastAsia="Amiri" w:cs="Amiri"/>
          <w:color w:val="111111"/>
          <w:sz w:val="28"/>
          <w:sz w:val="28"/>
          <w:szCs w:val="28"/>
          <w:rtl w:val="true"/>
          <w:lang w:bidi="ar-SA"/>
        </w:rPr>
        <w:t>و لعل أشهر كتبه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النصرة،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الافتخار،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المقاليد،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مسيلة الأحزان،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سلم النجاة،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سرائر المعاد و المعاش،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كشف المحجوب،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الوعظ،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أُسس البقاء،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خزانة الأدلة،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تآلف الأرواح،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تأويل الشريعة،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أساس الدعوة،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تحفة المستجيبين،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الينابيع</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وقفنا من كتبه على كتاب و رسالة فالكتاب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الينابيع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بتقديم و تحقيق مصطفى غالب، نشره المكتب التجاري للطباعة في 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عام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قسم السجستاني ينابيعه إلى أربعين يُنبوعاً، جعل كلَّ ينبوع مشابهاً لحدِّ من الحدود الدينيّة، المعروفة بالنظام الإسماعيلي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أنّه قد وضعه لطبقة خاصّة من الدعاة، و أصحاب المراتب العليا في الدعوة، و إلى الذين وصلوا في دراساتهم الفلسفيّة إلى الذروة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الرسالة فهي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المستجيبين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طبعت ضمن خمس رسائل إسماعيليّة بتحقيق و تقديم عارف تامر عام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كتبها لطبقة المستجيبين و الطلاب الذين يرغبون في الاطلاع على الفلسفة الإسماعيليّة، أو الدخول في الدعوة الهادية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ترجم له مصطفى غالب أيضاً في تاريخ الدعوة الإسماعيلية 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Heading4"/>
        <w:numPr>
          <w:ilvl w:val="3"/>
          <w:numId w:val="1"/>
        </w:numPr>
        <w:rPr/>
      </w:pPr>
      <w:bookmarkStart w:id="614" w:name="__RefHeading___Toc4284475_73709187"/>
      <w:bookmarkStart w:id="615" w:name="_Toc221"/>
      <w:bookmarkEnd w:id="614"/>
      <w:r>
        <w:rPr>
          <w:rtl w:val="true"/>
        </w:rPr>
        <w:t>ولادته و وفاته</w:t>
      </w:r>
      <w:bookmarkEnd w:id="615"/>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مصطفى غالب أنّه ولد سنة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سجستان،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اضطهاد مرير، قُتل في تركستان عام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غير أنّ الكاتب الإسماعيلي عارف تامر يذكر خلاف ذلك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ماسينيون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ايفانوف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القول أنّه مات سنة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لكنّي أخالفهما في ذلك فالمعروف عن السجستاني أنّه كان أُستاذاً للكرماني، و الكرماني ظل عائشاً حتى سنة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إذن متى أخذ الكرماني عنه علوم الدعوة؟ و هناك نص صريح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الافتخار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للسجستاني يذكر فيه أنّه وضعه سنة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قد ورد ذكر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الافتخار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للسجستاني نفسه، أي أنّ السجستاني وضع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الافتخار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سنة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يجعلنا نقول بل نؤكد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السجستاني كان داعياً في منطقة بخارى أيّام إمامة المعز لدين اللّٰه الفاطمي، أي انّه كان معاصراً لجعفر بن منصور اليمني، و للقاضي النعمان و غيرهما، من كبار المؤلفين و علماء الدعوة في ذلك العصر العلمي الزاهر</w:t>
      </w:r>
      <w:r>
        <w:rPr>
          <w:rFonts w:eastAsia="Amiri" w:cs="Amiri" w:ascii="Amiri" w:hAnsi="Amiri"/>
          <w:color w:val="111111"/>
          <w:sz w:val="28"/>
          <w:szCs w:val="28"/>
          <w:rtl w:val="true"/>
          <w:lang w:bidi="ar-SA"/>
        </w:rPr>
        <w:t>.</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و قال البغدادي عند البحث عن الباطنيّة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ظهر بنيسابور داعية لهم يعرف بالشعراني، و قتل بها في ولاية أبي بكر بن الحجاج عليها، و كان الشعراني قد دعا الحسين بن علي المروزي، و قام بدعوته بعده محمد بن أحمد النسفي داعية أهل ما وراء النهر، و أبو يعقوب السجزي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بندانه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صنف النسفي لهم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صنف لهم أبو يعقوب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أساس الدعوة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الأسرار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قتل النسفي و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بندانه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ضلالتهما</w:t>
      </w:r>
      <w:r>
        <w:rPr>
          <w:rFonts w:eastAsia="Amiri" w:cs="Amiri" w:ascii="Amiri" w:hAnsi="Amiri"/>
          <w:color w:val="111111"/>
          <w:sz w:val="28"/>
          <w:szCs w:val="28"/>
          <w:rtl w:val="true"/>
          <w:lang w:bidi="ar-SA"/>
        </w:rPr>
        <w:t>.</w:t>
      </w:r>
      <w:r>
        <w:rPr>
          <w:rStyle w:val="FootnoteAnchor"/>
          <w:rtl w:val="true"/>
        </w:rPr>
        <w:footnoteReference w:id="439"/>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خير الدين الزركلي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أحمد السجزي أو السجستاني أبو يعقوب، من علماء الإسماعيليّة و دعاتهم يماني، اشتهر في سجستان، و قتل في تركستان، له تصانيف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الينابيع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أهمُّ كتبهم</w:t>
      </w:r>
      <w:r>
        <w:rPr>
          <w:rFonts w:eastAsia="Amiri" w:cs="Amiri" w:ascii="Amiri" w:hAnsi="Amiri"/>
          <w:color w:val="111111"/>
          <w:sz w:val="28"/>
          <w:szCs w:val="28"/>
          <w:rtl w:val="true"/>
          <w:lang w:bidi="ar-SA"/>
        </w:rPr>
        <w:t>.</w:t>
      </w:r>
      <w:r>
        <w:rPr>
          <w:rStyle w:val="FootnoteAnchor"/>
          <w:rtl w:val="true"/>
        </w:rPr>
        <w:footnoteReference w:id="440"/>
      </w:r>
      <w:bookmarkStart w:id="616" w:name="pg11557_101460"/>
    </w:p>
    <w:p>
      <w:pPr>
        <w:pStyle w:val="Heading3"/>
        <w:numPr>
          <w:ilvl w:val="2"/>
          <w:numId w:val="1"/>
        </w:numPr>
        <w:rPr/>
      </w:pPr>
      <w:bookmarkStart w:id="617" w:name="__RefHeading___Toc4284477_73709187"/>
      <w:bookmarkStart w:id="618" w:name="_Toc222"/>
      <w:bookmarkEnd w:id="616"/>
      <w:bookmarkEnd w:id="617"/>
      <w:r>
        <w:rPr>
          <w:rtl w:val="true"/>
        </w:rPr>
        <w:t>(</w:t>
      </w:r>
      <w:r>
        <w:rPr/>
        <w:t>4</w:t>
      </w:r>
      <w:r>
        <w:rPr>
          <w:rtl w:val="true"/>
        </w:rPr>
        <w:t xml:space="preserve">) </w:t>
      </w:r>
      <w:r>
        <w:rPr>
          <w:rtl w:val="true"/>
        </w:rPr>
        <w:t xml:space="preserve">أبو حنيفة النعمان </w:t>
      </w:r>
      <w:r>
        <w:rPr>
          <w:rtl w:val="true"/>
        </w:rPr>
        <w:t xml:space="preserve">(... - </w:t>
      </w:r>
      <w:r>
        <w:rPr/>
        <w:t>363</w:t>
      </w:r>
      <w:r>
        <w:rPr>
          <w:rtl w:val="true"/>
        </w:rPr>
        <w:t xml:space="preserve"> </w:t>
      </w:r>
      <w:r>
        <w:rPr>
          <w:rtl w:val="true"/>
        </w:rPr>
        <w:t>ه</w:t>
      </w:r>
      <w:r>
        <w:rPr>
          <w:rtl w:val="true"/>
        </w:rPr>
        <w:t>)</w:t>
      </w:r>
      <w:bookmarkEnd w:id="618"/>
    </w:p>
    <w:p>
      <w:pPr>
        <w:pStyle w:val="Heading4"/>
        <w:numPr>
          <w:ilvl w:val="3"/>
          <w:numId w:val="1"/>
        </w:numPr>
        <w:rPr/>
      </w:pPr>
      <w:bookmarkStart w:id="619" w:name="__RefHeading___Toc4284479_73709187"/>
      <w:bookmarkStart w:id="620" w:name="_Toc223"/>
      <w:bookmarkEnd w:id="619"/>
      <w:r>
        <w:rPr>
          <w:rtl w:val="true"/>
        </w:rPr>
        <w:t>اشارة</w:t>
      </w:r>
      <w:bookmarkEnd w:id="620"/>
    </w:p>
    <w:p>
      <w:pPr>
        <w:pStyle w:val="BookText"/>
        <w:rPr/>
      </w:pPr>
      <w:r>
        <w:rPr>
          <w:rFonts w:ascii="Amiri" w:hAnsi="Amiri" w:eastAsia="Amiri" w:cs="Amiri"/>
          <w:color w:val="111111"/>
          <w:sz w:val="28"/>
          <w:sz w:val="28"/>
          <w:szCs w:val="28"/>
          <w:rtl w:val="true"/>
          <w:lang w:bidi="ar-SA"/>
        </w:rPr>
        <w:t>قاضي القضاة النعمان بن محمد بن منصور بن أحمد التميمي، و اختلف في تاريخ ولادته،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سنة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ولد في العشر الأخيرة من القرن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اتّصل في أوّل عهده بمؤسس الدولة الفاطمية عبيد اللّٰه المهدي، و رافق الدولة الجديدة خطوةً فخطوة، و بعد وفاة المهدي 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 بأمر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طرابلس الغرب، و في عهد المنصور تولّى قضاء المنصورية، و كان قضاؤه يشمل سائر المدن الإفريقيّة، مرجعاً لجميع القضاة حتى عهد المعز لدين اللّٰه الذي قرّبه إليه، و أدناه من مجلسه، فوضع فيه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و المسامرات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دخل المعز مصر، كان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قاضياً للجيش، فأصبح في مصر قاضياً للقضاة</w:t>
      </w:r>
      <w:r>
        <w:rPr>
          <w:rFonts w:eastAsia="Amiri" w:cs="Amiri" w:ascii="Amiri" w:hAnsi="Amiri"/>
          <w:color w:val="111111"/>
          <w:sz w:val="28"/>
          <w:szCs w:val="28"/>
          <w:rtl w:val="true"/>
          <w:lang w:bidi="ar-SA"/>
        </w:rPr>
        <w:t>.</w:t>
      </w:r>
      <w:r>
        <w:rPr>
          <w:rStyle w:val="FootnoteAnchor"/>
          <w:rtl w:val="true"/>
        </w:rPr>
        <w:footnoteReference w:id="441"/>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محط ثقة المعز لدين اللّٰه، جعله مستشاراً قضائياً له، و ساعد المعز في المسائل الخاصّة بالدعوة، فقد وضع أُسس القانون الفاطمي، و ينظر إليه على أنّه المشرع الأكبر للفاطميين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رواة الفاطميين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يؤلف شيئاً دون الرجوع إلى المعز لدين اللّٰه، و يعتبر أقوم كتبه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عمل المعز نفسه، و ليس من عمل قاضيه الأكبر، و لهذا كان هذا الكتاب هو القانون الرسمي منذ عهد المعز حتى نهاية الدولة الفاطميّة، كما يتضح ذلك من رسالة كتبها الحاكم بأمر </w:t>
      </w:r>
    </w:p>
    <w:p>
      <w:pPr>
        <w:pStyle w:val="BookText"/>
        <w:rPr/>
      </w:pPr>
      <w:r>
        <w:rPr>
          <w:rFonts w:ascii="Amiri" w:hAnsi="Amiri" w:eastAsia="Amiri" w:cs="Amiri"/>
          <w:color w:val="111111"/>
          <w:sz w:val="28"/>
          <w:sz w:val="28"/>
          <w:szCs w:val="28"/>
          <w:rtl w:val="true"/>
          <w:lang w:bidi="ar-SA"/>
        </w:rPr>
        <w:t>اللّٰه إلى داعيه باليمن، بل لا يزال هذا الكتاب هو الوحيد الذي يسيطر على حياة طائفة البهرة في الهند، و عليه المعول في أحوالهم الشخصيّة</w:t>
      </w:r>
      <w:r>
        <w:rPr>
          <w:rFonts w:eastAsia="Amiri" w:cs="Amiri" w:ascii="Amiri" w:hAnsi="Amiri"/>
          <w:color w:val="111111"/>
          <w:sz w:val="28"/>
          <w:szCs w:val="28"/>
          <w:rtl w:val="true"/>
          <w:lang w:bidi="ar-SA"/>
        </w:rPr>
        <w:t>.</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 xml:space="preserve">توفي النعمان أوّل رجب سنة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فخرج المعز يبين الحزن عليه، و صلّى عليه، و أضجعه في التابوت، و دفن في داره بالقاهرة</w:t>
      </w:r>
      <w:r>
        <w:rPr>
          <w:rStyle w:val="FootnoteAnchor"/>
          <w:rtl w:val="true"/>
        </w:rPr>
        <w:footnoteReference w:id="443"/>
      </w:r>
      <w:r>
        <w:rPr>
          <w:rFonts w:ascii="Amiri" w:hAnsi="Amiri" w:eastAsia="Amiri" w:cs="Amiri"/>
          <w:color w:val="111111"/>
          <w:sz w:val="28"/>
          <w:sz w:val="28"/>
          <w:szCs w:val="28"/>
          <w:rtl w:val="true"/>
          <w:lang w:bidi="ar-SA"/>
        </w:rPr>
        <w:t xml:space="preserve">و ذكر أحمد بن محمد بن عبد اللّٰه الفرغاني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سيرة القائد 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توفي في ليلة الجمعة سلخ جمادى الآخرة من السنة</w:t>
      </w:r>
      <w:r>
        <w:rPr>
          <w:rFonts w:eastAsia="Amiri" w:cs="Amiri" w:ascii="Amiri" w:hAnsi="Amiri"/>
          <w:color w:val="111111"/>
          <w:sz w:val="28"/>
          <w:szCs w:val="28"/>
          <w:rtl w:val="true"/>
          <w:lang w:bidi="ar-SA"/>
        </w:rPr>
        <w:t>.</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بلغت مؤلّفاته نحواً من سبعة و أربعين كتاباً، جمعت ألواناً شتى من العلوم في فقه، و تأويل و تفسير، و أخبار، و فيما نقل ابن خلكان عن ابن زولاق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ألّف لأهل البيت من الكتب آلاف أوراق بأحسن تأليف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المؤلفات بعضها محفوظ، و بعضها لا يوجد إلّا بعض أجزائه و بعضها فُقد فلا يعرف إلّا اسمه، و إليك أسماء بعض تلك المؤلفات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جزء من كتاب شرح الأخبار، في مكتبة برلين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الإسلام، و هذا الكتاب من أهم كتبه، مطبوع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تأويل دعائم الإسلام، مطبوع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أساس التأويل، مطبوع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جزء من كتاب المجالس و المسافرات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الهمة في اتّباع الأئمّة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افتتاح الدعوة، مطبوع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الارجوزة المختارة، مطبوع</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الطهارة</w:t>
      </w:r>
      <w:r>
        <w:rPr>
          <w:rFonts w:eastAsia="Amiri" w:cs="Amiri" w:ascii="Amiri" w:hAnsi="Amiri"/>
          <w:color w:val="111111"/>
          <w:sz w:val="28"/>
          <w:szCs w:val="28"/>
          <w:rtl w:val="true"/>
          <w:lang w:bidi="ar-SA"/>
        </w:rPr>
        <w:t xml:space="preserve">. </w:t>
      </w:r>
      <w:bookmarkStart w:id="621" w:name="pg11557_101462"/>
    </w:p>
    <w:p>
      <w:pPr>
        <w:pStyle w:val="BookText"/>
        <w:rPr/>
      </w:pPr>
      <w:bookmarkEnd w:id="621"/>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التوحيد و الإمامة</w:t>
      </w:r>
      <w:r>
        <w:rPr>
          <w:rFonts w:eastAsia="Amiri" w:cs="Amiri" w:ascii="Amiri" w:hAnsi="Amiri"/>
          <w:color w:val="111111"/>
          <w:sz w:val="28"/>
          <w:szCs w:val="28"/>
          <w:rtl w:val="true"/>
          <w:lang w:bidi="ar-SA"/>
        </w:rPr>
        <w:t>.</w:t>
      </w:r>
      <w:r>
        <w:rPr>
          <w:rStyle w:val="FootnoteAnchor"/>
          <w:rtl w:val="true"/>
        </w:rPr>
        <w:footnoteReference w:id="445"/>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 مطبوع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ابتداء الدعوة للعبيديين، مطبوع في 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عنه ابن زولاق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قضاة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عالماً بوجوه الفقه، و علم اختلاف الفقهاء، و اللغة و الشعر، و المعرفة بأيّام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ردود على المخالفين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رد على أبي حنيفة، و على مالك، و الشافعي، و على ابن سريج،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ينتصر فيه لأهل البيت، و له العقيدة الفقهية لقبها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المنتخبة</w:t>
      </w:r>
      <w:r>
        <w:rPr>
          <w:rFonts w:eastAsia="Amiri" w:cs="Amiri" w:ascii="Amiri" w:hAnsi="Amiri"/>
          <w:color w:val="111111"/>
          <w:sz w:val="28"/>
          <w:szCs w:val="28"/>
          <w:rtl w:val="true"/>
          <w:lang w:bidi="ar-SA"/>
        </w:rPr>
        <w:t>».</w:t>
      </w:r>
      <w:r>
        <w:rPr>
          <w:rStyle w:val="FootnoteAnchor"/>
          <w:rtl w:val="true"/>
        </w:rPr>
        <w:footnoteReference w:id="446"/>
      </w:r>
    </w:p>
    <w:p>
      <w:pPr>
        <w:pStyle w:val="Heading4"/>
        <w:numPr>
          <w:ilvl w:val="3"/>
          <w:numId w:val="1"/>
        </w:numPr>
        <w:rPr/>
      </w:pPr>
      <w:bookmarkStart w:id="622" w:name="__RefHeading___Toc4284481_73709187"/>
      <w:bookmarkStart w:id="623" w:name="_Toc224"/>
      <w:bookmarkEnd w:id="622"/>
      <w:r>
        <w:rPr>
          <w:rtl w:val="true"/>
        </w:rPr>
        <w:t>النعمان إسماعيلي لا اثني عشري</w:t>
      </w:r>
      <w:bookmarkEnd w:id="623"/>
    </w:p>
    <w:p>
      <w:pPr>
        <w:pStyle w:val="BookText"/>
        <w:rPr/>
      </w:pPr>
      <w:r>
        <w:rPr>
          <w:rFonts w:ascii="Amiri" w:hAnsi="Amiri" w:eastAsia="Amiri" w:cs="Amiri"/>
          <w:color w:val="111111"/>
          <w:sz w:val="28"/>
          <w:sz w:val="28"/>
          <w:szCs w:val="28"/>
          <w:rtl w:val="true"/>
          <w:lang w:bidi="ar-SA"/>
        </w:rPr>
        <w:t>وقعت الشكوك حول مذهب النعمان و هل هو إسماعيليّ أو اثنا عشري؟ و بعد التتبع و الإمعان في الكتب التي تحت متناول أيدينا من آثار المؤلف، و 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الدعائم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تأويل الدعائم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الأُرجوزة المختارة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أساس التأويل</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الاقتصار في الفقه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افتتاح الدعوة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الرسالة المذهبة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اتضح أنّ الرجل إسماعيلي لا اثنا عشري، و إن كان محباً لأهل البيت كثيراً، و يتنزّه عن بعض العقائد المنحرفة عند الإسماعيليّة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منازل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عن أحوال الغلاة كما و ذكر معاملة علي معهم بالإحراق، إلى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في أعصار الأئمّة من ولد علي مثل ذلك ما يطول الخبر بذكرهم، كالمغيرة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أصحاب أبي جعفر محمد بن علي و دعاته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لعن أبو جعفر، المغيرة و أصحابه، ثمّ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عقيدتهم الإباحيّة، و أنّ أبا جعفر لعنه كل ذلك يدل على سلامة عقيدته في حقّ الأئمّة</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 ذلك كلّه فهو فقيه إسماعيلي اعتنق ذلك المذهب بعد ما كان سنيّاً، و لم يكن إمامياً اثني عشرياً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ذكر المحدّث النوري، أنّ الرجل كان إماميّاً اثني عشريّاً، و أنّ اقتصاره على الحديث عن الأئمّة الست، لأجل ستر الأمر و كتمان السر، و استشهد على ذلك بوجوه غير مجدية نشير إلى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أهل العلم و الفقه و الدين و النبل، على ما لا مزيد عليه، و له عدّة تصانيف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مالكي المذهب ثمّ انتقل إلى مذهب الإماميّة و صنف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ابتداء الدعوة للعبيدين</w:t>
      </w:r>
      <w:r>
        <w:rPr>
          <w:rFonts w:eastAsia="Amiri" w:cs="Amiri" w:ascii="Amiri" w:hAnsi="Amiri"/>
          <w:color w:val="111111"/>
          <w:sz w:val="28"/>
          <w:szCs w:val="28"/>
          <w:rtl w:val="true"/>
          <w:lang w:bidi="ar-SA"/>
        </w:rPr>
        <w:t>».</w:t>
      </w:r>
      <w:r>
        <w:rPr>
          <w:rStyle w:val="FootnoteAnchor"/>
          <w:rtl w:val="true"/>
        </w:rPr>
        <w:footnoteReference w:id="448"/>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الإماميّة من يعتقد بإمامة علي و أولاده، سواء كان زيدياً أو إسماعيليّاً أو اثني عشرياً، و الإسماعيليّة يصفون أنفسهم بالإماميّة لقولهم بإمامة </w:t>
      </w:r>
    </w:p>
    <w:p>
      <w:pPr>
        <w:pStyle w:val="BookText"/>
        <w:rPr/>
      </w:pPr>
      <w:r>
        <w:rPr>
          <w:rFonts w:ascii="Amiri" w:hAnsi="Amiri" w:eastAsia="Amiri" w:cs="Amiri"/>
          <w:color w:val="111111"/>
          <w:sz w:val="28"/>
          <w:sz w:val="28"/>
          <w:szCs w:val="28"/>
          <w:rtl w:val="true"/>
          <w:lang w:bidi="ar-SA"/>
        </w:rPr>
        <w:t>المنصوص عليهم؛ و الذي يدل على ذلك أنّ ابن خلكان يذكر 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انتقل إلى مذهب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صنف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ابتداء الدعوة للعبيديين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منه الدعوة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لعبيد اللّٰه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 الدولة الفاطميّة في المغرب و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نقله ابن خلكان عن ابن زولاق،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للقاضي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اختلاف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ينتصر فيه لأهل البيت فليس دليلاً على ما يتبنّاه لأنّ الفرق الثلاث كلّهم ينتمون إلى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روايته عن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و الرضا عليه السّلام ففي كتاب الوصايا عن ابن أبي عمير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على باب أبي جعفر عليه السّلام إذ أقبلت امرأة،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لي على أبي جعفر عليه السّلام، 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تريدين منه؟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أردت أن أسأله عن مسألة، 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الحكم، فقيه أهل العراق فاسأليه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زوجي هلك و ترك ألف درهم، و كان لي عليه من صداق خمسمائة درهم، فأخذت صداقي، و أخذت ميراثي، ثمّ جاء رجل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ألف درهم و كنت أعرف له ذلك، فشهدت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اصبري حتى أتدبر في مسألتك و أحسبها و جعل يحسب، فخرج إليه أبو جعفر عليه السّلام و هو على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الذي تحرك أصابعك يا حكم؟ فأخبره فما أتم الكلام حتى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أقرت له بثلثي ما بيديها، و لا ميراث له حتى تقضي</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المحدّث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أبي جعفر هو الإمام الجواد، لأنّ ابن أبي عمير لم يدرك الصادق فضلاً عن الباقر عليه السّلام</w:t>
      </w:r>
      <w:r>
        <w:rPr>
          <w:rFonts w:eastAsia="Amiri" w:cs="Amiri" w:ascii="Amiri" w:hAnsi="Amiri"/>
          <w:color w:val="111111"/>
          <w:sz w:val="28"/>
          <w:szCs w:val="28"/>
          <w:rtl w:val="true"/>
          <w:lang w:bidi="ar-SA"/>
        </w:rPr>
        <w:t>.</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النسخة الموجودة عند المحدّث النوري كانت مغلوطة محرّفة، و قد جاءت الرواية في كتاب دعائم الإسلام في مصر بتحقيق آصف بن علي أصغر فيضي، بالنحو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الحكم بن عيينة</w:t>
      </w:r>
      <w:r>
        <w:rPr>
          <w:rStyle w:val="FootnoteAnchor"/>
          <w:rtl w:val="true"/>
        </w:rPr>
        <w:footnoteReference w:id="45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على باب أبي جعفر و ذكر الحديث</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الشاهد على أنّ الجالس كان هو الحكم بن عتيبة لا ابن أبي عمير ما في متن الرواية حيث 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الحكم فقيه أهل العراق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روى في كتاب الميراث عن حذيفة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أخ لي و ترك ابنته فأمرت إسماعيل بن جابر أن يسأل أبا الحسن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كلّه للابنة</w:t>
      </w:r>
      <w:r>
        <w:rPr>
          <w:rFonts w:eastAsia="Amiri" w:cs="Amiri" w:ascii="Amiri" w:hAnsi="Amiri"/>
          <w:color w:val="111111"/>
          <w:sz w:val="28"/>
          <w:szCs w:val="28"/>
          <w:rtl w:val="true"/>
          <w:lang w:bidi="ar-SA"/>
        </w:rPr>
        <w:t>.</w:t>
      </w:r>
      <w:r>
        <w:rPr>
          <w:rStyle w:val="FootnoteAnchor"/>
          <w:rtl w:val="true"/>
        </w:rPr>
        <w:footnoteReference w:id="452"/>
      </w:r>
      <w:r>
        <w:rPr>
          <w:rFonts w:ascii="Amiri" w:hAnsi="Amiri" w:eastAsia="Amiri" w:cs="Amiri"/>
          <w:color w:val="111111"/>
          <w:sz w:val="28"/>
          <w:sz w:val="28"/>
          <w:szCs w:val="28"/>
          <w:rtl w:val="true"/>
          <w:lang w:bidi="ar-SA"/>
        </w:rPr>
        <w:t>و قد تصفحنا كتاب الفرائض من الدعائم المطبوع بمصر فلم نعثر على الحديث</w:t>
      </w:r>
      <w:r>
        <w:rPr>
          <w:rFonts w:eastAsia="Amiri" w:cs="Amiri" w:ascii="Amiri" w:hAnsi="Amiri"/>
          <w:color w:val="111111"/>
          <w:sz w:val="28"/>
          <w:szCs w:val="28"/>
          <w:rtl w:val="true"/>
          <w:lang w:bidi="ar-SA"/>
        </w:rPr>
        <w:t>.</w:t>
      </w:r>
      <w:r>
        <w:rPr>
          <w:rStyle w:val="FootnoteAnchor"/>
          <w:rtl w:val="true"/>
        </w:rPr>
        <w:footnoteReference w:id="45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في كتاب الوقوف عن أبي جعفر محمد بن علي عليهما السّلام أنّ بعض أصحابه كتب إليه أنّ فلاناً ابتاع ضيعة و جعل لك في الوقف الخمس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الخبر مروي في الكافي و التهذيب و الفقيه مسنداً عن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جعفر الخ، و علي بن مهزيار من أصحاب الجواد و الرضا عليهما السّلام لم يدرك قبلهما من الأئمّة أحداً</w:t>
      </w:r>
      <w:r>
        <w:rPr>
          <w:rFonts w:eastAsia="Amiri" w:cs="Amiri" w:ascii="Amiri" w:hAnsi="Amiri"/>
          <w:color w:val="111111"/>
          <w:sz w:val="28"/>
          <w:szCs w:val="28"/>
          <w:rtl w:val="true"/>
          <w:lang w:bidi="ar-SA"/>
        </w:rPr>
        <w:t>.</w:t>
      </w:r>
      <w:r>
        <w:rPr>
          <w:rStyle w:val="FootnoteAnchor"/>
          <w:rtl w:val="true"/>
        </w:rPr>
        <w:footnoteReference w:id="454"/>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نقله عن علي بن مهزيار، و رواه الكليني في كتاب الوصايا</w:t>
      </w:r>
      <w:r>
        <w:rPr>
          <w:rStyle w:val="FootnoteAnchor"/>
          <w:rtl w:val="true"/>
        </w:rPr>
        <w:footnoteReference w:id="455"/>
      </w:r>
      <w:r>
        <w:rPr>
          <w:rFonts w:ascii="IRNazanin" w:hAnsi="IRNazanin" w:eastAsia="IRNazanin"/>
          <w:color w:val="111111"/>
          <w:sz w:val="28"/>
          <w:sz w:val="28"/>
          <w:szCs w:val="28"/>
          <w:rtl w:val="true"/>
          <w:lang w:bidi="fa-IR"/>
        </w:rPr>
        <w:t xml:space="preserve">، و رواه </w:t>
      </w:r>
    </w:p>
    <w:p>
      <w:pPr>
        <w:pStyle w:val="BookText"/>
        <w:rPr/>
      </w:pPr>
      <w:r>
        <w:rPr>
          <w:rFonts w:ascii="Amiri" w:hAnsi="Amiri" w:eastAsia="Amiri" w:cs="Amiri"/>
          <w:color w:val="111111"/>
          <w:sz w:val="28"/>
          <w:sz w:val="28"/>
          <w:szCs w:val="28"/>
          <w:rtl w:val="true"/>
          <w:lang w:bidi="ar-SA"/>
        </w:rPr>
        <w:t>الشيخ في التهذيب</w:t>
      </w:r>
      <w:r>
        <w:rPr>
          <w:rStyle w:val="FootnoteAnchor"/>
          <w:rtl w:val="true"/>
        </w:rPr>
        <w:footnoteReference w:id="456"/>
      </w:r>
      <w:r>
        <w:rPr>
          <w:rFonts w:ascii="Amiri" w:hAnsi="Amiri" w:eastAsia="Amiri" w:cs="Amiri"/>
          <w:color w:val="111111"/>
          <w:sz w:val="28"/>
          <w:sz w:val="28"/>
          <w:szCs w:val="28"/>
          <w:rtl w:val="true"/>
          <w:lang w:bidi="ar-SA"/>
        </w:rPr>
        <w:t>و رواه الصدوق في الفقيه</w:t>
      </w:r>
      <w:r>
        <w:rPr>
          <w:rFonts w:eastAsia="Amiri" w:cs="Amiri" w:ascii="Amiri" w:hAnsi="Amiri"/>
          <w:color w:val="111111"/>
          <w:sz w:val="28"/>
          <w:szCs w:val="28"/>
          <w:rtl w:val="true"/>
          <w:lang w:bidi="ar-SA"/>
        </w:rPr>
        <w:t>.</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هذا في كتبنا و أمّا الدعائم، فقد رواه في كتاب الصدقة، بالنحو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جعفر محمد بن علي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الحسين بن علي بدار، فقال له الحسن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تحوّل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أنّ بعض أصحابه 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فلاناً ابتاع ضَيعةً فأوقفها، و جعل لك في الوقف الخمس</w:t>
      </w:r>
      <w:r>
        <w:rPr>
          <w:rFonts w:eastAsia="Amiri" w:cs="Amiri" w:ascii="Amiri" w:hAnsi="Amiri"/>
          <w:color w:val="111111"/>
          <w:sz w:val="28"/>
          <w:szCs w:val="28"/>
          <w:rtl w:val="true"/>
          <w:lang w:bidi="ar-SA"/>
        </w:rPr>
        <w:t>....</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غير أنّ المتبادر من أبي جعفر بقرينة مضمون الحديث حيث يحكي فعل الحسن بن علي هو الإمام الباقر عليه السّلام، و هو في كتابه يكرر النقل عن أبي جعفر و يذكر اسمه بعده،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و مراده الإمام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ذلك فالضمير في الحديث الثاني يرجع إلى الإمام الباقر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بقي هنا شيء و هو تقارب ما روي في الدعائم مع ما روي في جوامعنا في مضمون الخبر، و هو قابل للتأمّل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في الدعاء بعد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روينا عن الأئمّة، أنّهم أمروا بالتقرّب بعد كلّ صلاة فريضة، إذا سلّم المصلي بسط يديه و رفع باطنهما،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أتقرب إليك بمحمد رسولك و نبيك، و بوصيّه علي وليّك، و بالأئمّة من ولده الطاهرين، الحسن، و الحسين، و علي بن الحسين، و محمد بن علي، و جعفر بن محمد و يُسمّي الأئمة إماماً إماماً إلى أن ينتهي لإمام عصره</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أتقرّب إليك بهم</w:t>
      </w:r>
      <w:r>
        <w:rPr>
          <w:rFonts w:eastAsia="Amiri" w:cs="Amiri" w:ascii="Amiri" w:hAnsi="Amiri"/>
          <w:color w:val="111111"/>
          <w:sz w:val="28"/>
          <w:szCs w:val="28"/>
          <w:rtl w:val="true"/>
          <w:lang w:bidi="ar-SA"/>
        </w:rPr>
        <w:t>.</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قال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خفي على المنصف أنّه لو كان إسماعيلياً، لذكر بعده إسماعيل بن جعفر بن محمد بن إسماعيل إلىٰ إمام عصره المنصور باللّٰه و المهدي باللّٰه</w:t>
      </w:r>
      <w:r>
        <w:rPr>
          <w:rFonts w:eastAsia="Amiri" w:cs="Amiri" w:ascii="Amiri" w:hAnsi="Amiri"/>
          <w:color w:val="111111"/>
          <w:sz w:val="28"/>
          <w:szCs w:val="28"/>
          <w:rtl w:val="true"/>
          <w:lang w:bidi="ar-SA"/>
        </w:rPr>
        <w:t>.</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يذكر أسماءهم إمّا لكثرتهم، أو لإخفاء سرّهم كما ذكره في منظومته،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يكن يمنعني من ذكرهم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احتفاظي بمصون سرّهم</w:t>
      </w:r>
    </w:p>
    <w:p>
      <w:pPr>
        <w:pStyle w:val="BookText"/>
        <w:rPr/>
      </w:pPr>
      <w:r>
        <w:rPr>
          <w:rFonts w:ascii="Amiri" w:hAnsi="Amiri" w:eastAsia="Amiri" w:cs="Amiri"/>
          <w:color w:val="111111"/>
          <w:sz w:val="28"/>
          <w:sz w:val="28"/>
          <w:szCs w:val="28"/>
          <w:rtl w:val="true"/>
          <w:lang w:bidi="ar-SA"/>
        </w:rPr>
        <w:t xml:space="preserve">و ليس لي بأن أقول جهراً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قد أُدّي إليَّ سِرّا</w:t>
      </w:r>
    </w:p>
    <w:p>
      <w:pPr>
        <w:pStyle w:val="BookText"/>
        <w:rPr/>
      </w:pPr>
      <w:r>
        <w:rPr>
          <w:rFonts w:ascii="Amiri" w:hAnsi="Amiri" w:eastAsia="Amiri" w:cs="Amiri"/>
          <w:color w:val="111111"/>
          <w:sz w:val="28"/>
          <w:sz w:val="28"/>
          <w:szCs w:val="28"/>
          <w:rtl w:val="true"/>
          <w:lang w:bidi="ar-SA"/>
        </w:rPr>
        <w:t xml:space="preserve">و هم على الجملة كانوا استتروا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يكونوا إذ تولوا ظهروا</w:t>
      </w:r>
    </w:p>
    <w:p>
      <w:pPr>
        <w:pStyle w:val="BookText"/>
        <w:rPr/>
      </w:pPr>
      <w:r>
        <w:rPr>
          <w:rFonts w:ascii="Amiri" w:hAnsi="Amiri" w:eastAsia="Amiri" w:cs="Amiri"/>
          <w:color w:val="111111"/>
          <w:sz w:val="28"/>
          <w:sz w:val="28"/>
          <w:szCs w:val="28"/>
          <w:rtl w:val="true"/>
          <w:lang w:bidi="ar-SA"/>
        </w:rPr>
        <w:t xml:space="preserve">بل دخلوا في جملة السواد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لخوفهم من سطوة الأعادي</w:t>
      </w:r>
    </w:p>
    <w:p>
      <w:pPr>
        <w:pStyle w:val="BookText"/>
        <w:rPr/>
      </w:pPr>
      <w:r>
        <w:rPr>
          <w:rFonts w:ascii="Amiri" w:hAnsi="Amiri" w:eastAsia="Amiri" w:cs="Amiri"/>
          <w:color w:val="111111"/>
          <w:sz w:val="28"/>
          <w:sz w:val="28"/>
          <w:szCs w:val="28"/>
          <w:rtl w:val="true"/>
          <w:lang w:bidi="ar-SA"/>
        </w:rPr>
        <w:t xml:space="preserve">حتى إذا انتهى الكتاب أجله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صار أمر اللّٰه فيمن جعله</w:t>
      </w:r>
    </w:p>
    <w:p>
      <w:pPr>
        <w:pStyle w:val="BookText"/>
        <w:rPr/>
      </w:pPr>
      <w:r>
        <w:rPr>
          <w:rFonts w:ascii="Amiri" w:hAnsi="Amiri" w:eastAsia="Amiri" w:cs="Amiri"/>
          <w:color w:val="111111"/>
          <w:sz w:val="28"/>
          <w:sz w:val="28"/>
          <w:szCs w:val="28"/>
          <w:rtl w:val="true"/>
          <w:lang w:bidi="ar-SA"/>
        </w:rPr>
        <w:t xml:space="preserve">بمنه مفتاح قفل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أيّده بالنصر و التمكين</w:t>
      </w:r>
    </w:p>
    <w:p>
      <w:pPr>
        <w:pStyle w:val="BookText"/>
        <w:rPr/>
      </w:pPr>
      <w:r>
        <w:rPr>
          <w:rFonts w:ascii="Amiri" w:hAnsi="Amiri" w:eastAsia="Amiri" w:cs="Amiri"/>
          <w:color w:val="111111"/>
          <w:sz w:val="28"/>
          <w:sz w:val="28"/>
          <w:szCs w:val="28"/>
          <w:rtl w:val="true"/>
          <w:lang w:bidi="ar-SA"/>
        </w:rPr>
        <w:t xml:space="preserve">فقام عبد اللّٰه و هو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مهدينا صلى عليه الخالق</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إلى آخر ما ذكره، و مراده من المهدي، هو عبيد اللّٰه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تبيّن أنّه لا دليل علىٰ كون الرجل اثني عشرياً إلى آخر عمره، أو كان اثني عشرياً، و عدل عنها إلى الإسماعيليّة</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بقي هنا شيء و هو أنّه ذكر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الارجوزة المختارة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الشيعة، و ردَّ على الرونديّة، و الزيديّة، و الجاروديّة، و البتريّة، و المغيريّة، و الكيسانيّة، و الكربيّة، و البيانيّة، و المختارية و الحارثيّة، و العباسيّة، و الرزاميّة، و لم يذكر شيئاً ما عن الإماميّة الاثني عشريّة</w:t>
      </w:r>
      <w:r>
        <w:rPr>
          <w:rFonts w:eastAsia="Amiri" w:cs="Amiri" w:ascii="Amiri" w:hAnsi="Amiri"/>
          <w:color w:val="111111"/>
          <w:sz w:val="28"/>
          <w:szCs w:val="28"/>
          <w:rtl w:val="true"/>
          <w:lang w:bidi="ar-SA"/>
        </w:rPr>
        <w:t xml:space="preserve">. </w:t>
      </w:r>
      <w:bookmarkStart w:id="624" w:name="pg11557_101468"/>
    </w:p>
    <w:p>
      <w:pPr>
        <w:pStyle w:val="BookText"/>
        <w:rPr/>
      </w:pPr>
      <w:bookmarkEnd w:id="624"/>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أُصول قول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حكيت معها فروعه</w:t>
      </w:r>
    </w:p>
    <w:p>
      <w:pPr>
        <w:pStyle w:val="BookText"/>
        <w:rPr/>
      </w:pPr>
      <w:r>
        <w:rPr>
          <w:rFonts w:ascii="Amiri" w:hAnsi="Amiri" w:eastAsia="Amiri" w:cs="Amiri"/>
          <w:color w:val="111111"/>
          <w:sz w:val="28"/>
          <w:sz w:val="28"/>
          <w:szCs w:val="28"/>
          <w:rtl w:val="true"/>
          <w:lang w:bidi="ar-SA"/>
        </w:rPr>
        <w:t xml:space="preserve">لاتّسع القول بغير 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الحجة فيه واحدة</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و هذا من العجب، مع أنّ الاثني عشريّة، من أشهر الفرق، و هذا يدفعنا إلى القول، بأنّه كان يميل إليها بعض الميل، و اللّٰه العالم</w:t>
      </w:r>
      <w:r>
        <w:rPr>
          <w:rFonts w:eastAsia="Amiri" w:cs="Amiri" w:ascii="Amiri" w:hAnsi="Amiri"/>
          <w:color w:val="111111"/>
          <w:sz w:val="28"/>
          <w:szCs w:val="28"/>
          <w:rtl w:val="true"/>
          <w:lang w:bidi="ar-SA"/>
        </w:rPr>
        <w:t>.</w:t>
      </w:r>
    </w:p>
    <w:p>
      <w:pPr>
        <w:pStyle w:val="Heading4"/>
        <w:numPr>
          <w:ilvl w:val="3"/>
          <w:numId w:val="1"/>
        </w:numPr>
        <w:rPr/>
      </w:pPr>
      <w:bookmarkStart w:id="625" w:name="__RefHeading___Toc4284483_73709187"/>
      <w:bookmarkStart w:id="626" w:name="_Toc225"/>
      <w:bookmarkEnd w:id="625"/>
      <w:r>
        <w:rPr>
          <w:rtl w:val="true"/>
        </w:rPr>
        <w:t>نظرة في كتاب الدعائم</w:t>
      </w:r>
      <w:bookmarkEnd w:id="626"/>
    </w:p>
    <w:p>
      <w:pPr>
        <w:pStyle w:val="BookText"/>
        <w:rPr/>
      </w:pPr>
      <w:r>
        <w:rPr>
          <w:rFonts w:ascii="Amiri" w:hAnsi="Amiri" w:eastAsia="Amiri" w:cs="Amiri"/>
          <w:color w:val="111111"/>
          <w:sz w:val="28"/>
          <w:sz w:val="28"/>
          <w:szCs w:val="28"/>
          <w:rtl w:val="true"/>
          <w:lang w:bidi="ar-SA"/>
        </w:rPr>
        <w:t>نرى في كتاب الدعائم أنّ قاضي القضاة حفظ السنة المرويّة عن طريق أئمّة أهل البيت، و أنّه أكثر الرواية عن الصادقين عليهما السّلام، غير أنّه لم تكن له صلة بعلماء المذهب الاثني عشري، و لذلك خالفهم في نفس كتاب الإرث في موارد عديدة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ممّا روي عن علي أنّه قضى في رجل هلك، و لم يخلّف وارثاً غير امرأته، فقضىٰ لها بالميراث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امرأة هلكت و لم تدع وارثاً غير زوج لها، فقضىٰ له بالميراث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فزعم أنّه يخالف ظاهر نص الكتاب، و ثابت السنة</w:t>
      </w:r>
      <w:r>
        <w:rPr>
          <w:rFonts w:eastAsia="Amiri" w:cs="Amiri" w:ascii="Amiri" w:hAnsi="Amiri"/>
          <w:color w:val="111111"/>
          <w:sz w:val="28"/>
          <w:szCs w:val="28"/>
          <w:rtl w:val="true"/>
          <w:lang w:bidi="ar-SA"/>
        </w:rPr>
        <w:t>.</w:t>
      </w:r>
      <w:r>
        <w:rPr>
          <w:rStyle w:val="FootnoteAnchor"/>
          <w:rtl w:val="true"/>
        </w:rPr>
        <w:footnoteReference w:id="46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روي عن أبي جعفر و أبي عبد اللّٰه،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يرث النساء من الأرض شيئاً، و إنّما تعطى المرأة قيمة النقض</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أيضاً لو حمل على ظاهره و على العموم، لكان يخالف كتاب اللّٰه </w:t>
      </w:r>
      <w:bookmarkStart w:id="627" w:name="pg11557_101469"/>
    </w:p>
    <w:p>
      <w:pPr>
        <w:pStyle w:val="BookText"/>
        <w:rPr/>
      </w:pPr>
      <w:bookmarkEnd w:id="627"/>
      <w:r>
        <w:rPr>
          <w:rFonts w:ascii="Amiri" w:hAnsi="Amiri" w:eastAsia="Amiri" w:cs="Amiri"/>
          <w:color w:val="111111"/>
          <w:sz w:val="28"/>
          <w:sz w:val="28"/>
          <w:szCs w:val="28"/>
          <w:rtl w:val="true"/>
          <w:lang w:bidi="ar-SA"/>
        </w:rPr>
        <w:t>جلّ ذكره، و السنّة و إجماع الأئمّة و الأُمة</w:t>
      </w:r>
      <w:r>
        <w:rPr>
          <w:rFonts w:eastAsia="Amiri" w:cs="Amiri" w:ascii="Amiri" w:hAnsi="Amiri"/>
          <w:color w:val="111111"/>
          <w:sz w:val="28"/>
          <w:szCs w:val="28"/>
          <w:rtl w:val="true"/>
          <w:lang w:bidi="ar-SA"/>
        </w:rPr>
        <w:t>.</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و ما روي عن أئمّة أهل البيت، في عدم إرث النساء من الأرض، مُخصص للقرآن و السنّة، و ليس مخالفاً؛ و المخالف هو المتباين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الردّ ما زاد على الثمن و الربع، في الفرع الأوّل إلى الزوج و الزوجة، لا يُعدّ مخالفاً للكتاب، لأنّ الكتاب ساكت عن حكم ما زاد على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نسب إليه المحدّث النوري، أنّه ممّن يُحرّم المتعة و لكنّ الوارد في النسخة المطبوعة خلافه، 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 الرجل المرأة بصداق إلى أجل، فالنكاح جائز، و لكن لا بدّ أن يعطيها شيئاً قبل أن يدخل بها، فيحل له نكاحها، و لو أن يعطيها ثوباً أو شيئاً يسيراً، فإن لم يجد شيئاً، فلا شيء عليه، و له أن يدخل بها، و يبقى الصداق ديناً عليه</w:t>
      </w:r>
      <w:r>
        <w:rPr>
          <w:rFonts w:eastAsia="Amiri" w:cs="Amiri" w:ascii="Amiri" w:hAnsi="Amiri"/>
          <w:color w:val="111111"/>
          <w:sz w:val="28"/>
          <w:szCs w:val="28"/>
          <w:rtl w:val="true"/>
          <w:lang w:bidi="ar-SA"/>
        </w:rPr>
        <w:t>.</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و في خاتمة المطاف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طالع كتبه التي أومأنا إليها، يقف على أنّ الرجل فقيه إسماعيليّ، يدافع عن المذهب، و خلافة الخلفاء الفاطميين بحماس، خصوصاً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افتتاح الدعوة في ظهور الدعوة العبيدية الفاطمية</w:t>
      </w:r>
      <w:r>
        <w:rPr>
          <w:rFonts w:eastAsia="Amiri" w:cs="Amiri" w:ascii="Amiri" w:hAnsi="Amiri"/>
          <w:color w:val="111111"/>
          <w:sz w:val="28"/>
          <w:szCs w:val="28"/>
          <w:rtl w:val="true"/>
          <w:lang w:bidi="ar-SA"/>
        </w:rPr>
        <w:t>».</w:t>
      </w:r>
    </w:p>
    <w:p>
      <w:pPr>
        <w:pStyle w:val="Heading3"/>
        <w:numPr>
          <w:ilvl w:val="2"/>
          <w:numId w:val="1"/>
        </w:numPr>
        <w:rPr/>
      </w:pPr>
      <w:bookmarkStart w:id="628" w:name="__RefHeading___Toc4284485_73709187"/>
      <w:bookmarkStart w:id="629" w:name="_Toc226"/>
      <w:bookmarkEnd w:id="628"/>
      <w:r>
        <w:rPr>
          <w:rtl w:val="true"/>
        </w:rPr>
        <w:t>(</w:t>
      </w:r>
      <w:r>
        <w:rPr/>
        <w:t>5</w:t>
      </w:r>
      <w:r>
        <w:rPr>
          <w:rtl w:val="true"/>
        </w:rPr>
        <w:t xml:space="preserve">) </w:t>
      </w:r>
      <w:r>
        <w:rPr>
          <w:rtl w:val="true"/>
        </w:rPr>
        <w:t xml:space="preserve">أحمد بن حميد الدّين بن عبد اللّٰه الكرماني </w:t>
      </w:r>
      <w:r>
        <w:rPr>
          <w:rtl w:val="true"/>
        </w:rPr>
        <w:t>(</w:t>
      </w:r>
      <w:r>
        <w:rPr/>
        <w:t>352</w:t>
      </w:r>
      <w:r>
        <w:rPr>
          <w:rtl w:val="true"/>
        </w:rPr>
        <w:t xml:space="preserve"> - </w:t>
      </w:r>
      <w:r>
        <w:rPr>
          <w:rtl w:val="true"/>
        </w:rPr>
        <w:t xml:space="preserve">كان حيّاً سنة </w:t>
      </w:r>
      <w:r>
        <w:rPr/>
        <w:t>411</w:t>
      </w:r>
      <w:r>
        <w:rPr>
          <w:rtl w:val="true"/>
        </w:rPr>
        <w:t xml:space="preserve"> </w:t>
      </w:r>
      <w:r>
        <w:rPr>
          <w:rtl w:val="true"/>
        </w:rPr>
        <w:t>ه</w:t>
      </w:r>
      <w:r>
        <w:rPr>
          <w:rtl w:val="true"/>
        </w:rPr>
        <w:t>)</w:t>
      </w:r>
      <w:bookmarkEnd w:id="629"/>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حميد الدّين، أحمد بن عبد اللّٰه الكرماني الداعي في عهد الحاكم باللّٰه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الملقّب بحُجّة العراقين، و كبير دعاة الإسماعيليّة في جزيرة العراق، </w:t>
      </w:r>
    </w:p>
    <w:p>
      <w:pPr>
        <w:pStyle w:val="BookText"/>
        <w:rPr/>
      </w:pPr>
      <w:r>
        <w:rPr>
          <w:rFonts w:ascii="Amiri" w:hAnsi="Amiri" w:eastAsia="Amiri" w:cs="Amiri"/>
          <w:color w:val="111111"/>
          <w:sz w:val="28"/>
          <w:sz w:val="28"/>
          <w:szCs w:val="28"/>
          <w:rtl w:val="true"/>
          <w:lang w:bidi="ar-SA"/>
        </w:rPr>
        <w:t>و صاحب التآليف العديدة في المذهب الإسماعيلي و إثبات الإمامة للفاطميين، و الردّ على مخالفيهم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ظهر أثره و عظم شأنه في عهد الخليفة الفاطمي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 بأمر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لقبه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العراقين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 كان مسئولاً عن شئون الدعوة الثقافيّة في فارس و العراق، و في القاهرة كان مركزه كمقام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جزيرة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أحد الحجج الاثني عشر، المكلّفين بإدارة شئون الدعوة الإسماعيليّة في العالم، ثمّ استخدم بعد ذلك كرئيس لدار الحكمة في القاهرة، و هي المؤسسة الثقافيّة التي نستطيع أن نقول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أوّل جامعة انشئت في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وفد على القاهرة سنة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بناءً على طلب المأمون افتكين الضيف داعي دعاة الدولة الفاطميّة في عهد الحاكم بأمر اللّٰه، عند ما حَمي وطيس المعارك الدينيّة، و قامت الدعوات الجديدة و راج سوق البدع التي كانت تهدف إلى الغلو و الانحراف عن واقع و أُسس الدعوة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 كثيراً من الكتب أشهرها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الرسالة الواعظة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الردّ على الحسن الفرغاني، القائل بألوهيّة الحاكم بأمر اللّٰه،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البشارات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المضيئة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المصابيح في إثبات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 الهادي و المستهدي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راحة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التوحيد في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الأقوال الذهبية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المعاد</w:t>
      </w:r>
      <w:r>
        <w:rPr>
          <w:rFonts w:eastAsia="Amiri" w:cs="Amiri" w:ascii="Amiri" w:hAnsi="Amiri"/>
          <w:color w:val="111111"/>
          <w:sz w:val="28"/>
          <w:szCs w:val="28"/>
          <w:rtl w:val="true"/>
          <w:lang w:bidi="ar-SA"/>
        </w:rPr>
        <w:t>».</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الرياض في الحكم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صاحبي الإصلاح و النصرة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مطبوع، إلىٰ غيرها من المؤلفات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ظلت سنة وفاته مجهولة بالرغم من وصول أكثر مؤلفاته و آثاره إلينا</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الكرماني عن نفسه في مقدمة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راحة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مؤلفه حميد الدين، أحمد بن عبد اللّٰه الداعي في جزيرة العراق و ما وليها، من جهة الإمام </w:t>
      </w:r>
    </w:p>
    <w:p>
      <w:pPr>
        <w:pStyle w:val="BookText"/>
        <w:rPr/>
      </w:pPr>
      <w:r>
        <w:rPr>
          <w:rFonts w:ascii="Amiri" w:hAnsi="Amiri" w:eastAsia="Amiri" w:cs="Amiri"/>
          <w:color w:val="111111"/>
          <w:sz w:val="28"/>
          <w:sz w:val="28"/>
          <w:szCs w:val="28"/>
          <w:rtl w:val="true"/>
          <w:lang w:bidi="ar-SA"/>
        </w:rPr>
        <w:t xml:space="preserve">الحاكم بأمر اللّٰه أمير المؤمنين، المنصوص عليه من جهة القائمين مقام الرسول صلّى الله عليه و آله و سلّم علىٰ ما بيّناه في كتبنا المعروفة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المصابيح في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مباسم البشارات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الكافية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 الهادي و المستهدي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ألّفه في سنة إحدىٰ عشرة و أربعمائة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ديار العراق</w:t>
      </w:r>
      <w:r>
        <w:rPr>
          <w:rFonts w:eastAsia="Amiri" w:cs="Amiri" w:ascii="Amiri" w:hAnsi="Amiri"/>
          <w:color w:val="111111"/>
          <w:sz w:val="28"/>
          <w:szCs w:val="28"/>
          <w:rtl w:val="true"/>
          <w:lang w:bidi="ar-SA"/>
        </w:rPr>
        <w:t>.</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و هذا النصّ يدل علىٰ أنّه كان حيّاً في تلك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ذكره ايفانوف، من أنّه توفي بعد سنة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بقليل ليس تامّاً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راحة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أشهر مؤلفاته، و قد حاول فيه أن يوفّق بين الفلسفة اليونانيّة و ما دانت به الإسماعيليّة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ذكرنا شيئاً من خصوصيات كتابه عند البحث عن عقائد الإسماعيليّة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محقق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 الكرماني بحق شيخ فلاسفة الإسماعيليّة فنحن نعلم أنّ الدعاة قبله كانوا مختلفين أشدَّ الاختلاف في مسائل كثيرة، فالداعي النخشبي وضع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فلسفة المذهب، و جاء بعده أبو حاتم الرازي فوضع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خالف فيه أقوال من سبقه، ثمّ جاء أبو يعقوب السجستاني أُستاذ الكرماني فانتصر للنخشبي، و خالف أبا حاتم، ثمّ جاء الكرماني الذي استطاع أن يوفّق بين آراء شيخه، و بين آراء أبي حاتم، و لا نكاد نجد خلافاً يُذكر بين علماء الدعوة الإسماعيليّة في فلسفة المذهب، بعد أقوال الكرماني، و إن كنّا نجد خلافاً شديداً بينهم في المسائل التأويليّة، لأنّ التأويل شخصي يختلف باختلاف الداعي، و كل كتب الدعاة بعد الكرماني تتفق مع ما ورد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راحة العقل</w:t>
      </w:r>
      <w:r>
        <w:rPr>
          <w:rFonts w:eastAsia="Amiri" w:cs="Amiri" w:ascii="Amiri" w:hAnsi="Amiri"/>
          <w:color w:val="111111"/>
          <w:sz w:val="28"/>
          <w:szCs w:val="28"/>
          <w:rtl w:val="true"/>
          <w:lang w:bidi="ar-SA"/>
        </w:rPr>
        <w:t>».</w:t>
      </w:r>
      <w:r>
        <w:rPr>
          <w:rStyle w:val="FootnoteAnchor"/>
          <w:rtl w:val="true"/>
        </w:rPr>
        <w:footnoteReference w:id="468"/>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ترجمه مصطفىٰ غالب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الدعوة الإسماعيليّة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ترجمة سيرة الحاكم باللّٰه، و أنهى كتبه إلى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و ذكر منها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الإصابة في </w:t>
      </w:r>
      <w:bookmarkStart w:id="630" w:name="pg11557_101472"/>
    </w:p>
    <w:p>
      <w:pPr>
        <w:pStyle w:val="BookText"/>
        <w:rPr/>
      </w:pPr>
      <w:bookmarkEnd w:id="630"/>
      <w:r>
        <w:rPr>
          <w:rFonts w:ascii="Amiri" w:hAnsi="Amiri" w:eastAsia="Amiri" w:cs="Amiri"/>
          <w:color w:val="111111"/>
          <w:sz w:val="28"/>
          <w:sz w:val="28"/>
          <w:szCs w:val="28"/>
          <w:rtl w:val="true"/>
          <w:lang w:bidi="ar-SA"/>
        </w:rPr>
        <w:t>تفضيل علي على الصحابة</w:t>
      </w:r>
      <w:r>
        <w:rPr>
          <w:rFonts w:eastAsia="Amiri" w:cs="Amiri" w:ascii="Amiri" w:hAnsi="Amiri"/>
          <w:color w:val="111111"/>
          <w:sz w:val="28"/>
          <w:szCs w:val="28"/>
          <w:rtl w:val="true"/>
          <w:lang w:bidi="ar-SA"/>
        </w:rPr>
        <w:t>».</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كما و ترجمه خير الدّين الزركلي، و لم يأت بشيء جديد</w:t>
      </w:r>
      <w:r>
        <w:rPr>
          <w:rFonts w:eastAsia="Amiri" w:cs="Amiri" w:ascii="Amiri" w:hAnsi="Amiri"/>
          <w:color w:val="111111"/>
          <w:sz w:val="28"/>
          <w:szCs w:val="28"/>
          <w:rtl w:val="true"/>
          <w:lang w:bidi="ar-SA"/>
        </w:rPr>
        <w:t>.</w:t>
      </w:r>
      <w:r>
        <w:rPr>
          <w:rStyle w:val="FootnoteAnchor"/>
          <w:rtl w:val="true"/>
        </w:rPr>
        <w:footnoteReference w:id="470"/>
      </w:r>
    </w:p>
    <w:p>
      <w:pPr>
        <w:pStyle w:val="Heading3"/>
        <w:numPr>
          <w:ilvl w:val="2"/>
          <w:numId w:val="1"/>
        </w:numPr>
        <w:rPr/>
      </w:pPr>
      <w:bookmarkStart w:id="631" w:name="__RefHeading___Toc4284487_73709187"/>
      <w:bookmarkStart w:id="632" w:name="_Toc227"/>
      <w:bookmarkEnd w:id="631"/>
      <w:r>
        <w:rPr>
          <w:rtl w:val="true"/>
        </w:rPr>
        <w:t>(</w:t>
      </w:r>
      <w:r>
        <w:rPr/>
        <w:t>6</w:t>
      </w:r>
      <w:r>
        <w:rPr>
          <w:rtl w:val="true"/>
        </w:rPr>
        <w:t xml:space="preserve">) </w:t>
      </w:r>
      <w:r>
        <w:rPr>
          <w:rtl w:val="true"/>
        </w:rPr>
        <w:t xml:space="preserve">المؤيّد في الدين </w:t>
      </w:r>
      <w:r>
        <w:rPr>
          <w:rtl w:val="true"/>
        </w:rPr>
        <w:t>(</w:t>
      </w:r>
      <w:r>
        <w:rPr>
          <w:rtl w:val="true"/>
        </w:rPr>
        <w:t xml:space="preserve">حدود </w:t>
      </w:r>
      <w:r>
        <w:rPr/>
        <w:t>390</w:t>
      </w:r>
      <w:r>
        <w:rPr>
          <w:rtl w:val="true"/>
        </w:rPr>
        <w:t>-</w:t>
      </w:r>
      <w:r>
        <w:rPr/>
        <w:t>470</w:t>
      </w:r>
      <w:r>
        <w:rPr>
          <w:rtl w:val="true"/>
        </w:rPr>
        <w:t xml:space="preserve"> </w:t>
      </w:r>
      <w:r>
        <w:rPr>
          <w:rtl w:val="true"/>
        </w:rPr>
        <w:t>ه</w:t>
      </w:r>
      <w:r>
        <w:rPr>
          <w:rtl w:val="true"/>
        </w:rPr>
        <w:t>)</w:t>
      </w:r>
      <w:bookmarkEnd w:id="632"/>
    </w:p>
    <w:p>
      <w:pPr>
        <w:pStyle w:val="BookText"/>
        <w:rPr/>
      </w:pPr>
      <w:r>
        <w:rPr>
          <w:rFonts w:ascii="Amiri" w:hAnsi="Amiri" w:eastAsia="Amiri" w:cs="Amiri"/>
          <w:color w:val="111111"/>
          <w:sz w:val="28"/>
          <w:sz w:val="28"/>
          <w:szCs w:val="28"/>
          <w:rtl w:val="true"/>
          <w:lang w:bidi="ar-SA"/>
        </w:rPr>
        <w:t>هبة اللّٰه بن موسى بن داود الشيرازي، المؤيّد في الدّين، داعي الدعاة من زعماء الإسماعيليّة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بشيراز سنة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نشأ و تعلّم فيها، و كان له و لأبيه دورٌ هامٌّ في بث الدّعوة الفاطميّة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غادر مدينته خوفاً من السلطان أبي كاليجار فخرج متنكراً إلى الأهواز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توجّه إلى حلّة منصور بن الحسين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توجه إلى مصر، فخدم المستنصر الفاطمي، في ديوان الإنشاء و تقدّم إلىٰ أن صار إليه أمر الدّعوة الفاطميّة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لقب بداعي الدعاة، و باب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نُحّي و أُبعد إلى الشام، و عاد إلىٰ مصر فتوفي بها، عن نحو ثمانين عاماً، و صلّى عليه المستنصر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استطاع أن يدخل الملك أبي كاليجار في المذهب الإسماعيليّ، كما أدخل غيره من الوزراء و الأُمراء، و كان يفحمهم و يقنعهم بغزارة علمه، و شدّة معرفته، في أُصول العقائد الإسماعيليّة، و خاصّة نبوغه في علم التأويل الذي ترتكز عليه العقائد الفلسفيّة الإسماعيليّة</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عظم أمر المؤيد، في تلك البلاد فسارت سيرته في الآفاق، و لقد استدعي إلىٰ بيت الدعوة في مصر، نحو عام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 ليلقي بعض المجالس التأويليّة، </w:t>
      </w:r>
    </w:p>
    <w:p>
      <w:pPr>
        <w:pStyle w:val="BookText"/>
        <w:rPr/>
      </w:pPr>
      <w:r>
        <w:rPr>
          <w:rFonts w:ascii="Amiri" w:hAnsi="Amiri" w:eastAsia="Amiri" w:cs="Amiri"/>
          <w:color w:val="111111"/>
          <w:sz w:val="28"/>
          <w:sz w:val="28"/>
          <w:szCs w:val="28"/>
          <w:rtl w:val="true"/>
          <w:lang w:bidi="ar-SA"/>
        </w:rPr>
        <w:t>و ليتدرب التدريب النهائي علىٰ يدي الإمام، فوصل القاهرة و دخل القصر معززاً مكرماً</w:t>
      </w:r>
      <w:r>
        <w:rPr>
          <w:rFonts w:eastAsia="Amiri" w:cs="Amiri" w:ascii="Amiri" w:hAnsi="Amiri"/>
          <w:color w:val="111111"/>
          <w:sz w:val="28"/>
          <w:szCs w:val="28"/>
          <w:rtl w:val="true"/>
          <w:lang w:bidi="ar-SA"/>
        </w:rPr>
        <w:t>.</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و له تصانيف عديدة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المرشد إلى أدب الإسماعيليّة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المجالس المؤيديّة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السيرة المؤيديّة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المؤيد في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أساس التأويل، كتبه بالفارسيّة ترجمه عن العربيّة، و أصل الكتاب للقاضي النعمان</w:t>
      </w:r>
      <w:r>
        <w:rPr>
          <w:rFonts w:eastAsia="Amiri" w:cs="Amiri" w:ascii="Amiri" w:hAnsi="Amiri"/>
          <w:color w:val="111111"/>
          <w:sz w:val="28"/>
          <w:szCs w:val="28"/>
          <w:rtl w:val="true"/>
          <w:lang w:bidi="ar-SA"/>
        </w:rPr>
        <w:t>.</w:t>
      </w:r>
      <w:r>
        <w:rPr>
          <w:rStyle w:val="FootnoteAnchor"/>
          <w:rtl w:val="true"/>
        </w:rPr>
        <w:footnoteReference w:id="47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العماد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الحقائق في تحريم اللحوم و الألبان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القصيدة الاسكندريّة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تأويل الأرواح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قصيدة يذكر فيها حديث غدير خم نقتطف منها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أرادوا حقيقة الدّين 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للذي أقام الرسولُ</w:t>
      </w:r>
    </w:p>
    <w:p>
      <w:pPr>
        <w:pStyle w:val="BookText"/>
        <w:rPr/>
      </w:pPr>
      <w:r>
        <w:rPr>
          <w:rFonts w:ascii="Amiri" w:hAnsi="Amiri" w:eastAsia="Amiri" w:cs="Amiri"/>
          <w:color w:val="111111"/>
          <w:sz w:val="28"/>
          <w:sz w:val="28"/>
          <w:szCs w:val="28"/>
          <w:rtl w:val="true"/>
          <w:lang w:bidi="ar-SA"/>
        </w:rPr>
        <w:t xml:space="preserve">و أتت فيه آيةُ النصّ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أتىٰ جبريل</w:t>
      </w:r>
    </w:p>
    <w:p>
      <w:pPr>
        <w:pStyle w:val="BookText"/>
        <w:rPr/>
      </w:pPr>
      <w:r>
        <w:rPr>
          <w:rFonts w:ascii="Amiri" w:hAnsi="Amiri" w:eastAsia="Amiri" w:cs="Amiri"/>
          <w:color w:val="111111"/>
          <w:sz w:val="28"/>
          <w:sz w:val="28"/>
          <w:szCs w:val="28"/>
          <w:rtl w:val="true"/>
          <w:lang w:bidi="ar-SA"/>
        </w:rPr>
        <w:t xml:space="preserve">ذاكم المرتضىٰ عليٌّ بحق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فبعلياه ينطق التنزيل</w:t>
      </w:r>
    </w:p>
    <w:p>
      <w:pPr>
        <w:pStyle w:val="BookText"/>
        <w:rPr/>
      </w:pPr>
      <w:r>
        <w:rPr>
          <w:rFonts w:ascii="Amiri" w:hAnsi="Amiri" w:eastAsia="Amiri" w:cs="Amiri"/>
          <w:color w:val="111111"/>
          <w:sz w:val="28"/>
          <w:sz w:val="28"/>
          <w:szCs w:val="28"/>
          <w:rtl w:val="true"/>
          <w:lang w:bidi="ar-SA"/>
        </w:rPr>
        <w:t xml:space="preserve">أهلُ بيت عليهم نزل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التحريم و التحليل</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 أمان من العمىٰ و صراط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مستقيم لنا و ظل ظليل </w:t>
      </w:r>
      <w:bookmarkStart w:id="633" w:name="pg11557_101474"/>
    </w:p>
    <w:p>
      <w:pPr>
        <w:pStyle w:val="BookText"/>
        <w:rPr/>
      </w:pPr>
      <w:bookmarkEnd w:id="633"/>
      <w:r>
        <w:rPr>
          <w:rFonts w:ascii="Amiri" w:hAnsi="Amiri" w:eastAsia="Amiri" w:cs="Amiri"/>
          <w:color w:val="111111"/>
          <w:sz w:val="28"/>
          <w:sz w:val="28"/>
          <w:szCs w:val="28"/>
          <w:rtl w:val="true"/>
          <w:lang w:bidi="ar-SA"/>
        </w:rPr>
        <w:t xml:space="preserve">كما و توجد ترجمة له بقلمه، في كتاب أفرده في سيرته بين سنة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سنة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xml:space="preserve">، و هو المصدر الوحيد للباحثين عن ترجمته، طبع بمصر في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للأُستاذ محمد كامل حسين المصري، بكلّية الآداب، دراسة ضافية حول حياة المُترجَم، بحث عنها من شتّى النواحي في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و جعلها مقدمة لديوانه المطبوع بمصر، ففي الكتابين غنى، و كفاية عن التبسط في ترجمة المؤيد</w:t>
      </w:r>
      <w:r>
        <w:rPr>
          <w:rFonts w:eastAsia="Amiri" w:cs="Amiri" w:ascii="Amiri" w:hAnsi="Amiri"/>
          <w:color w:val="111111"/>
          <w:sz w:val="28"/>
          <w:szCs w:val="28"/>
          <w:rtl w:val="true"/>
          <w:lang w:bidi="ar-SA"/>
        </w:rPr>
        <w:t>.</w:t>
      </w:r>
      <w:r>
        <w:rPr>
          <w:rStyle w:val="FootnoteAnchor"/>
          <w:rtl w:val="true"/>
        </w:rPr>
        <w:footnoteReference w:id="473"/>
      </w:r>
    </w:p>
    <w:p>
      <w:pPr>
        <w:pStyle w:val="Heading3"/>
        <w:numPr>
          <w:ilvl w:val="2"/>
          <w:numId w:val="1"/>
        </w:numPr>
        <w:rPr/>
      </w:pPr>
      <w:bookmarkStart w:id="634" w:name="__RefHeading___Toc4284489_73709187"/>
      <w:bookmarkStart w:id="635" w:name="_Toc228"/>
      <w:bookmarkEnd w:id="634"/>
      <w:r>
        <w:rPr>
          <w:rtl w:val="true"/>
        </w:rPr>
        <w:t>(</w:t>
      </w:r>
      <w:r>
        <w:rPr/>
        <w:t>7</w:t>
      </w:r>
      <w:r>
        <w:rPr>
          <w:rtl w:val="true"/>
        </w:rPr>
        <w:t xml:space="preserve">) </w:t>
      </w:r>
      <w:r>
        <w:rPr>
          <w:rtl w:val="true"/>
        </w:rPr>
        <w:t xml:space="preserve">ناصر خسرو </w:t>
      </w:r>
      <w:r>
        <w:rPr>
          <w:rtl w:val="true"/>
        </w:rPr>
        <w:t>(</w:t>
      </w:r>
      <w:r>
        <w:rPr>
          <w:rtl w:val="true"/>
        </w:rPr>
        <w:t>الرحالة المعروف</w:t>
      </w:r>
      <w:r>
        <w:rPr>
          <w:rtl w:val="true"/>
        </w:rPr>
        <w:t>) (</w:t>
      </w:r>
      <w:r>
        <w:rPr/>
        <w:t>394</w:t>
      </w:r>
      <w:r>
        <w:rPr>
          <w:rtl w:val="true"/>
        </w:rPr>
        <w:t>-</w:t>
      </w:r>
      <w:r>
        <w:rPr/>
        <w:t>481</w:t>
      </w:r>
      <w:r>
        <w:rPr>
          <w:rtl w:val="true"/>
        </w:rPr>
        <w:t xml:space="preserve"> </w:t>
      </w:r>
      <w:r>
        <w:rPr>
          <w:rtl w:val="true"/>
        </w:rPr>
        <w:t>ه</w:t>
      </w:r>
      <w:r>
        <w:rPr>
          <w:rtl w:val="true"/>
        </w:rPr>
        <w:t>)</w:t>
      </w:r>
      <w:bookmarkEnd w:id="635"/>
    </w:p>
    <w:p>
      <w:pPr>
        <w:pStyle w:val="BookText"/>
        <w:rPr/>
      </w:pPr>
      <w:r>
        <w:rPr>
          <w:rFonts w:ascii="Amiri" w:hAnsi="Amiri" w:eastAsia="Amiri" w:cs="Amiri"/>
          <w:color w:val="111111"/>
          <w:sz w:val="28"/>
          <w:sz w:val="28"/>
          <w:szCs w:val="28"/>
          <w:rtl w:val="true"/>
          <w:lang w:bidi="ar-SA"/>
        </w:rPr>
        <w:t xml:space="preserve">ناصر بن خسرو، من أحفاد الإمام علي بن موسى الرضا عليه السّلام، ولد في ذي القعدة عام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قصبة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قباذيان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أعمال بلخ، و توفي عام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هو خراساني الأصل، بلخي المنشأ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أُسرته من الأُسر الغنيّة، و قد اهتمّ والد المترجم بتربية ابنه و تعليمه، فحفظ القرآن و هو لم يبلغ بعدُ التاسعة من العمر، و درس اللغة العربيّة و آدابها، و العلوم الإسلاميّة، و علوم النجوم و الفلك و الحساب و الهندسة و الجبر و تضلع في الفلسفة، إلى أن أُطلق عليه الحكيم</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شاعراً فحلاً في اللغة الفارسيّة، و كان رحّالاً، ترك الإقامة في موطنه و اعتزم القيام برحلات في بعض الأمصار، قاصداً فيها مكّة، يرافقه أخوه أبو سعيد خسرو العلوي، و غلام هندي، فقد شرع برحلته في شهر شعبان عام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فترك مرو و سافر إلىٰ إقليم آذربيجان مارّاً بنيسابور، فدامغان، فسمنان، فالري، فقزوين، </w:t>
      </w:r>
    </w:p>
    <w:p>
      <w:pPr>
        <w:pStyle w:val="BookText"/>
        <w:rPr/>
      </w:pPr>
      <w:r>
        <w:rPr>
          <w:rFonts w:ascii="Amiri" w:hAnsi="Amiri" w:eastAsia="Amiri" w:cs="Amiri"/>
          <w:color w:val="111111"/>
          <w:sz w:val="28"/>
          <w:sz w:val="28"/>
          <w:szCs w:val="28"/>
          <w:rtl w:val="true"/>
          <w:lang w:bidi="ar-SA"/>
        </w:rPr>
        <w:t xml:space="preserve">ثمّ تبريز، و قد وصلها في عشرين صفر عام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بعد أن أتمّ رحلته عام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قد بلغ من العمر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و قطع في رحلته هذه التي طالت سبع سنوات، مسافة </w:t>
      </w:r>
      <w:r>
        <w:rPr>
          <w:rFonts w:eastAsia="Amiri" w:cs="Amiri" w:ascii="Amiri" w:hAnsi="Amiri"/>
          <w:color w:val="111111"/>
          <w:sz w:val="28"/>
          <w:szCs w:val="28"/>
          <w:lang w:bidi="ar-SA"/>
        </w:rPr>
        <w:t>2220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ساقه القضاء إلىٰ مصر، و توطّدت الصلة بينه و بين الخليفة الفاطمي بمصر، المستنصر باللّٰه، أبو تميم معد بن علي، الذي حكم مصر من سنة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إلىٰ سنة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قد أثرت فيه دعوتهم له، فاعتنق مذهبهم علىٰ يد أحد حُجّاب الدعوة في القاهرة، و سمّاه بالباب و اجتاز المقامات، و الدرجات الخاصّة بكبار قادة هذا المذهب، حتىٰ بلغ درجة الحُجّة، و اعتبر أحد الحجج الاثني عشر، في إحدىٰ الجزر الاثني عشر، حسب تقسيمات الفاطميين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عاد إلىٰ بلخ، و صار بينه و بين علماء المذهب السني نقاش و معارضة، إلى أن هرب من بلخ قبيل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يزل ينتقل من مدينة إلى مدينة، إلى أن انتهىٰ به المطاف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غار يمكان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الواقعة قرب مدينة بدخشان، و أقام فيها مختفياً إلىٰ أن وافاه الأجل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فدفن هناك، و قبره اليوم مزار للإسماعيليّين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ترك آثاراً كثيرةً نشير إلىٰ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زاد المسافرين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انتهىٰ منه في سنة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هو من أضخم مؤلفاته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وجه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عقائد الإسماعيليّة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خوان اخوان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دليل المتحيّرين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أراد أن يثبت فيه أحقّية المذهب الفاطمي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إكسير أعظم في المنطق، أو الفلسفة</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المستوفي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 الإسماعيلي</w:t>
      </w:r>
      <w:r>
        <w:rPr>
          <w:rFonts w:eastAsia="Amiri" w:cs="Amiri" w:ascii="Amiri" w:hAnsi="Amiri"/>
          <w:color w:val="111111"/>
          <w:sz w:val="28"/>
          <w:szCs w:val="28"/>
          <w:rtl w:val="true"/>
          <w:lang w:bidi="ar-SA"/>
        </w:rPr>
        <w:t>.</w:t>
      </w:r>
      <w:r>
        <w:rPr>
          <w:rStyle w:val="FootnoteAnchor"/>
          <w:rtl w:val="true"/>
        </w:rPr>
        <w:footnoteReference w:id="474"/>
      </w:r>
      <w:bookmarkStart w:id="636" w:name="pg11557_101476"/>
    </w:p>
    <w:p>
      <w:pPr>
        <w:pStyle w:val="Heading3"/>
        <w:numPr>
          <w:ilvl w:val="2"/>
          <w:numId w:val="1"/>
        </w:numPr>
        <w:rPr/>
      </w:pPr>
      <w:bookmarkStart w:id="637" w:name="__RefHeading___Toc4284491_73709187"/>
      <w:bookmarkStart w:id="638" w:name="_Toc229"/>
      <w:bookmarkEnd w:id="636"/>
      <w:bookmarkEnd w:id="637"/>
      <w:r>
        <w:rPr>
          <w:rtl w:val="true"/>
        </w:rPr>
        <w:t>(</w:t>
      </w:r>
      <w:r>
        <w:rPr/>
        <w:t>8</w:t>
      </w:r>
      <w:r>
        <w:rPr>
          <w:rtl w:val="true"/>
        </w:rPr>
        <w:t xml:space="preserve">) </w:t>
      </w:r>
      <w:r>
        <w:rPr>
          <w:rtl w:val="true"/>
        </w:rPr>
        <w:t xml:space="preserve">محمد بن علي بن حسن الصوري </w:t>
      </w:r>
      <w:r>
        <w:rPr>
          <w:rtl w:val="true"/>
        </w:rPr>
        <w:t>(</w:t>
      </w:r>
      <w:r>
        <w:rPr>
          <w:rtl w:val="true"/>
        </w:rPr>
        <w:t>من علماء القرن الخامس</w:t>
      </w:r>
      <w:r>
        <w:rPr>
          <w:rtl w:val="true"/>
        </w:rPr>
        <w:t>)</w:t>
      </w:r>
      <w:bookmarkEnd w:id="638"/>
    </w:p>
    <w:p>
      <w:pPr>
        <w:pStyle w:val="BookText"/>
        <w:rPr/>
      </w:pPr>
      <w:r>
        <w:rPr>
          <w:rFonts w:ascii="Amiri" w:hAnsi="Amiri" w:eastAsia="Amiri" w:cs="Amiri"/>
          <w:color w:val="111111"/>
          <w:sz w:val="28"/>
          <w:sz w:val="28"/>
          <w:szCs w:val="28"/>
          <w:rtl w:val="true"/>
          <w:lang w:bidi="ar-SA"/>
        </w:rPr>
        <w:t>ولد في مدينة صور، و عاش رَدْحاً من الزمن في مدينة طرابلس، داعياً للفاطميين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هبط القاهرة في عهد الإمام المستنصر باللّٰه الفاطمي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صنّف قصائد كثيرة و رسائل عديدة، أشهرها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التحفة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نفحات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رجّح عارف تامر، أنّه مات في حصون الدعوة الإسماعيليّة الصوريّة بجبال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تعيينه داعية للمذهب الإسماعيلي فيها من قبل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المستنصر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أبرز تأليفاته، القصيدة الصورية، و قد ألّفها في عصر ازدهر فيه الأدب، و برز إلىٰ ميدان العلم و الأدب ثلّة من العلماء، و الأُدباء، الذين قَدَّموا للمكتبة الإسلامية العديد من المؤلفات، و جادت قرائح الشعراء بالشعر العربي الفاطمي، الذي كان في ذلك العصر وسيلة من وسائل الدّعاية الدينيّة، و داعياً للتعبير عن التعاليم الفلسفيّة و تعدُّ القصيدة الصورية من أقدم المصادر عن الإسماعيليّة، و من أهم الرسائل المعبَّرة عن العقائد الإسماعيليّة، أو بالأحرى، من الرسائل التي تُشكّل عنصراً هامّاً في العقائد الباطنيّة، و مرجعاً يرجع إليه عند اختلاف و جهات النظر، و لذلك فقد تناقلتها الدعاة و حافظوا على سرّيتها و عدم تسرّبها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مقاطع من قصيدته يشير فيها إلى تلك العقائد الباطنيّة، منها</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الأسماء و الصفات ليس للّٰه سبحانه، بل للمبدأ الأوّل</w:t>
      </w:r>
      <w:r>
        <w:rPr>
          <w:rFonts w:eastAsia="Amiri" w:cs="Amiri" w:ascii="Amiri" w:hAnsi="Amiri"/>
          <w:color w:val="111111"/>
          <w:sz w:val="28"/>
          <w:szCs w:val="28"/>
          <w:rtl w:val="true"/>
          <w:lang w:bidi="ar-SA"/>
        </w:rPr>
        <w:t xml:space="preserve">: </w:t>
      </w:r>
      <w:bookmarkStart w:id="639" w:name="pg11557_101477"/>
    </w:p>
    <w:p>
      <w:pPr>
        <w:pStyle w:val="BookText"/>
        <w:rPr/>
      </w:pPr>
      <w:bookmarkEnd w:id="639"/>
      <w:r>
        <w:rPr>
          <w:rFonts w:ascii="Amiri" w:hAnsi="Amiri" w:eastAsia="Amiri" w:cs="Amiri"/>
          <w:color w:val="111111"/>
          <w:sz w:val="28"/>
          <w:sz w:val="28"/>
          <w:szCs w:val="28"/>
          <w:rtl w:val="true"/>
          <w:lang w:bidi="ar-SA"/>
        </w:rPr>
        <w:t xml:space="preserve">و العلم بالتوحيد أسمى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فاصغ لما قد نال منه فهمي</w:t>
      </w:r>
    </w:p>
    <w:p>
      <w:pPr>
        <w:pStyle w:val="BookText"/>
        <w:rPr/>
      </w:pPr>
      <w:r>
        <w:rPr>
          <w:rFonts w:ascii="Amiri" w:hAnsi="Amiri" w:eastAsia="Amiri" w:cs="Amiri"/>
          <w:color w:val="111111"/>
          <w:sz w:val="28"/>
          <w:sz w:val="28"/>
          <w:szCs w:val="28"/>
          <w:rtl w:val="true"/>
          <w:lang w:bidi="ar-SA"/>
        </w:rPr>
        <w:t xml:space="preserve">فكلّما يجري على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سائر الأفكار و الأديان</w:t>
      </w:r>
    </w:p>
    <w:p>
      <w:pPr>
        <w:pStyle w:val="BookText"/>
        <w:rPr/>
      </w:pPr>
      <w:r>
        <w:rPr>
          <w:rFonts w:ascii="IRNazanin" w:hAnsi="IRNazanin" w:eastAsia="IRNazanin"/>
          <w:color w:val="111111"/>
          <w:sz w:val="28"/>
          <w:sz w:val="28"/>
          <w:szCs w:val="28"/>
          <w:rtl w:val="true"/>
          <w:lang w:bidi="fa-IR"/>
        </w:rPr>
        <w:t xml:space="preserve">و سائر الأسماء و الصفات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للمُبدع الأوّل لا للذات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توحيده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وسائل يسأل هل هو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أَحدُ حتىٰ يصح الشاهد</w:t>
      </w:r>
    </w:p>
    <w:p>
      <w:pPr>
        <w:pStyle w:val="BookText"/>
        <w:rPr/>
      </w:pPr>
      <w:r>
        <w:rPr>
          <w:rFonts w:ascii="Amiri" w:hAnsi="Amiri" w:eastAsia="Amiri" w:cs="Amiri"/>
          <w:color w:val="111111"/>
          <w:sz w:val="28"/>
          <w:sz w:val="28"/>
          <w:szCs w:val="28"/>
          <w:rtl w:val="true"/>
          <w:lang w:bidi="ar-SA"/>
        </w:rPr>
        <w:t xml:space="preserve">قلنا له الواحد مبدأ للعدد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الأحد المبدي له الفرد الصمد</w:t>
      </w:r>
    </w:p>
    <w:p>
      <w:pPr>
        <w:pStyle w:val="BookText"/>
        <w:rPr/>
      </w:pPr>
      <w:r>
        <w:rPr>
          <w:rFonts w:ascii="IRNazanin" w:hAnsi="IRNazanin" w:eastAsia="IRNazanin"/>
          <w:color w:val="111111"/>
          <w:sz w:val="28"/>
          <w:sz w:val="28"/>
          <w:szCs w:val="28"/>
          <w:rtl w:val="true"/>
          <w:lang w:bidi="fa-IR"/>
        </w:rPr>
        <w:t xml:space="preserve">و الأحد المبدع و هو الأزل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الواحد المبدع و هو الأوّل</w:t>
      </w:r>
    </w:p>
    <w:p>
      <w:pPr>
        <w:pStyle w:val="BookText"/>
        <w:rPr/>
      </w:pPr>
      <w:r>
        <w:rPr>
          <w:rFonts w:ascii="Amiri" w:hAnsi="Amiri" w:eastAsia="Amiri" w:cs="Amiri"/>
          <w:color w:val="111111"/>
          <w:sz w:val="28"/>
          <w:sz w:val="28"/>
          <w:szCs w:val="28"/>
          <w:rtl w:val="true"/>
          <w:lang w:bidi="ar-SA"/>
        </w:rPr>
        <w:t xml:space="preserve">أوّل من قام بتوحيد الأحد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 بالعلم عليه من جحد</w:t>
      </w:r>
    </w:p>
    <w:p>
      <w:pPr>
        <w:pStyle w:val="BookText"/>
        <w:rPr/>
      </w:pPr>
      <w:r>
        <w:rPr>
          <w:rFonts w:ascii="IRNazanin" w:hAnsi="IRNazanin" w:eastAsia="IRNazanin"/>
          <w:color w:val="111111"/>
          <w:sz w:val="28"/>
          <w:sz w:val="28"/>
          <w:szCs w:val="28"/>
          <w:rtl w:val="true"/>
          <w:lang w:bidi="fa-IR"/>
        </w:rPr>
        <w:t xml:space="preserve">و صار للأعداد أصلاً صدرت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و منه انبجست إذ ظهرت</w:t>
      </w:r>
      <w:r>
        <w:rPr>
          <w:rStyle w:val="FootnoteAnchor"/>
          <w:rtl w:val="true"/>
        </w:rPr>
        <w:footnoteReference w:id="475"/>
      </w:r>
    </w:p>
    <w:p>
      <w:pPr>
        <w:pStyle w:val="Heading3"/>
        <w:numPr>
          <w:ilvl w:val="2"/>
          <w:numId w:val="1"/>
        </w:numPr>
        <w:rPr/>
      </w:pPr>
      <w:bookmarkStart w:id="640" w:name="__RefHeading___Toc4284493_73709187"/>
      <w:bookmarkStart w:id="641" w:name="_Toc230"/>
      <w:bookmarkEnd w:id="640"/>
      <w:r>
        <w:rPr>
          <w:rtl w:val="true"/>
        </w:rPr>
        <w:t>(</w:t>
      </w:r>
      <w:r>
        <w:rPr/>
        <w:t>9</w:t>
      </w:r>
      <w:r>
        <w:rPr>
          <w:rtl w:val="true"/>
        </w:rPr>
        <w:t xml:space="preserve">) </w:t>
      </w:r>
      <w:r>
        <w:rPr>
          <w:rtl w:val="true"/>
        </w:rPr>
        <w:t xml:space="preserve">إبراهيم بن الحسين الحامدي </w:t>
      </w:r>
      <w:r>
        <w:rPr>
          <w:rtl w:val="true"/>
        </w:rPr>
        <w:t xml:space="preserve">(... - </w:t>
      </w:r>
      <w:r>
        <w:rPr/>
        <w:t>557</w:t>
      </w:r>
      <w:r>
        <w:rPr>
          <w:rtl w:val="true"/>
        </w:rPr>
        <w:t xml:space="preserve"> </w:t>
      </w:r>
      <w:r>
        <w:rPr>
          <w:rtl w:val="true"/>
        </w:rPr>
        <w:t>ه</w:t>
      </w:r>
      <w:r>
        <w:rPr>
          <w:rtl w:val="true"/>
        </w:rPr>
        <w:t>)</w:t>
      </w:r>
      <w:bookmarkEnd w:id="641"/>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إبراهيم بن الحسين الهمداني الحامدي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دعاة الإسماعيليّة و علمائهم في اليمن، عاصر الدّولة الصليحيّة فحينما قرّرت السيدة الحرّة أروىٰ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أميرات الدّولة الصليحيّة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تُفصل الدعوة عن الدّولة فصلاً تامّاً، عقدت مؤتمراً لكبار السلاطين و الدّعاة لانتخاب من يتولّىٰ رئاسة الدّعوة، فوقع الاختيار على الداعي الذؤيب بن موسى الوادعي الهمداني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476"/>
      </w:r>
      <w:r>
        <w:rPr>
          <w:rFonts w:ascii="Amiri" w:hAnsi="Amiri" w:eastAsia="Amiri" w:cs="Amiri"/>
          <w:color w:val="111111"/>
          <w:sz w:val="28"/>
          <w:sz w:val="28"/>
          <w:szCs w:val="28"/>
          <w:rtl w:val="true"/>
          <w:lang w:bidi="ar-SA"/>
        </w:rPr>
        <w:t>ليتولّىٰ هذه المهمّة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بعد أُفول نجم الدّولة الصليحيّة بوفاة السيّدة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الدّعوة منظّمة دينيّة بحتة يرأسها الداعي ذؤيب بن موسى، و من الطبيعي حسب ترتيبات الدّعوة الإسماعيليّة أن يختار من بين الدعاة داعياً مأذوناً له يساعده في أعماله، فاختار إبراهيم بن الحسين بن أبي السعود الحامدي الهمداني، و هو من كبار الدعاة العلماء الذين أوجدتهم مدارس الدّعوة الإسماعيليّة المستعلية الطيبية في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توفي الذؤيب خلفه مأذونه إبراهيم داعياً مطلقاً للإمام المستور، الطيّب ابن الآمر في اليمن و ما جاورها من البلاد و الهند و السند و ذلك سنة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الشيخ علي بن الحسين بن جعفر الانف القريشي العبثمي، مأذوناً له، فكان له معاضداً علىٰ أمره، قائماً بنشر الدّعوة في سرّه و جهره، و لم يعمّر علي بن الحسين طويلاً فقد وافته المنية في سنة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فاستعان الحامدي بابنه حاتم، حيث اتخذه مأذوناً له، و نقل مقرّه إلى صَنعاء، ثمّ أعلن عدم تدخله في سياسة الدولة، و واظب علىٰ دراسة العلوم، و نقل التراث العلمي الإسماعيلي، و جمعه و تدريسه للدعاة التابعين لمدرسته، و وزّع الدعاة في بلاد اليمن و الهند و السند، و فيه يقول الشاعر الحارثي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أبا حسن أنقذت بالعلم انفسا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أمّنتها من طارق الحدثان</w:t>
      </w:r>
    </w:p>
    <w:p>
      <w:pPr>
        <w:pStyle w:val="BookText"/>
        <w:rPr/>
      </w:pPr>
      <w:r>
        <w:rPr>
          <w:rFonts w:ascii="Amiri" w:hAnsi="Amiri" w:eastAsia="Amiri" w:cs="Amiri"/>
          <w:color w:val="111111"/>
          <w:sz w:val="28"/>
          <w:sz w:val="28"/>
          <w:szCs w:val="28"/>
          <w:rtl w:val="true"/>
          <w:lang w:bidi="ar-SA"/>
        </w:rPr>
        <w:t xml:space="preserve">فجوزيت بالحسنىٰ و كوفيت بالمنىٰ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دمت سعيداً في أعزّ مكان</w:t>
      </w:r>
    </w:p>
    <w:p>
      <w:pPr>
        <w:pStyle w:val="BookText"/>
        <w:rPr/>
      </w:pPr>
      <w:r>
        <w:rPr>
          <w:rFonts w:ascii="Amiri" w:hAnsi="Amiri" w:eastAsia="Amiri" w:cs="Amiri"/>
          <w:color w:val="111111"/>
          <w:sz w:val="28"/>
          <w:sz w:val="28"/>
          <w:szCs w:val="28"/>
          <w:rtl w:val="true"/>
          <w:lang w:bidi="ar-SA"/>
        </w:rPr>
        <w:t xml:space="preserve">عمرت بصنعا دعوة طيبية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لها أسّاً و شُدت مباني</w:t>
      </w:r>
    </w:p>
    <w:p>
      <w:pPr>
        <w:pStyle w:val="BookText"/>
        <w:rPr/>
      </w:pPr>
      <w:r>
        <w:rPr>
          <w:rFonts w:ascii="Amiri" w:hAnsi="Amiri" w:eastAsia="Amiri" w:cs="Amiri"/>
          <w:color w:val="111111"/>
          <w:sz w:val="28"/>
          <w:sz w:val="28"/>
          <w:szCs w:val="28"/>
          <w:rtl w:val="true"/>
          <w:lang w:bidi="ar-SA"/>
        </w:rPr>
        <w:t>من كتبه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كنز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الابتداء و الانتهاء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تسع و تسعين مسألة في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 الشريفة في المعاني اللطيفة</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عهد هذا الداعي الأجل تعرضت الدّعوة المستعلية الطيبية إلى هزّات عنيفة قاسيّة، لأنّ ملوك آل زريع في عدن مالوا إلى الدعوة المستعلية المجيديّة، </w:t>
      </w:r>
    </w:p>
    <w:p>
      <w:pPr>
        <w:pStyle w:val="BookText"/>
        <w:rPr/>
      </w:pPr>
      <w:r>
        <w:rPr>
          <w:rFonts w:ascii="Amiri" w:hAnsi="Amiri" w:eastAsia="Amiri" w:cs="Amiri"/>
          <w:color w:val="111111"/>
          <w:sz w:val="28"/>
          <w:sz w:val="28"/>
          <w:szCs w:val="28"/>
          <w:rtl w:val="true"/>
          <w:lang w:bidi="ar-SA"/>
        </w:rPr>
        <w:t>التي أخذت تنتشر بقوّة في أنحاء اليمن حتىٰ أصبح لها دعاة نشيطون في قلب تنظيمات الدّعوة الطيبية، و في معاقلها، كحراز، و نجران، و اليمن الأسفل، و كذلك أعلن ملوك همدان الياميون في صنعاء، و بلاد همدان، عن تنصّلهم من جميع الدّعوات و المذاهب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 كلّ هذا فقد ظلّ الداعي إبراهيم بن الحسين الحامدي، علىٰ إخلاصه للدّعوة الطيبية، مواصلاً نشاطه حتىٰ توفّاه اللّٰه في صنعاء، في شهر شعبان سنة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 xml:space="preserve">و قد طبع للمترجم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بتحقيق مصطفى غالب عام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نشرته جمعيّة المستشرقين الألمانيّة، و الكتاب يتألف من أربعة عشر باباً، و قد استهل المقدّمة علىٰ عادة كتّاب العصر، بالاستعانة و التوكل، و الشهادة، و السلام، ثمّ يذكر موضوع الكتاب و الأسباب الداعية لتأليفه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هداك اللّٰه لأوضح المسالك و نجّاك عن المهالك، أنّ لكلّ رابع من الانماء قوّة و تأييداً، و استطالة و تشديداً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سابع، أعظم و أعلى و أقوم، يقوم مقام النطق، و نحن في دور سابع الأشهاد، المتوجّه نحوه ملاحم آبائه و أجداده، و الاشارات و الرموز في أسانيدهم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البشارات الموصوفة بالبركات و النعم و الخيرات بظهور العلوم و المعجزات، و إشراق النور، و بنبوع الأنهار، و ازهرار الأشجار، بالخضرة و النوار، حتى تتصل أنواره بنور القائم عليه السّلام على أتمّ تمام و أحسن نظام</w:t>
      </w:r>
      <w:r>
        <w:rPr>
          <w:rFonts w:eastAsia="Amiri" w:cs="Amiri" w:ascii="Amiri" w:hAnsi="Amiri"/>
          <w:color w:val="111111"/>
          <w:sz w:val="28"/>
          <w:szCs w:val="28"/>
          <w:rtl w:val="true"/>
          <w:lang w:bidi="ar-SA"/>
        </w:rPr>
        <w:t>.</w:t>
      </w:r>
      <w:r>
        <w:rPr>
          <w:rStyle w:val="FootnoteAnchor"/>
          <w:rtl w:val="true"/>
        </w:rPr>
        <w:footnoteReference w:id="478"/>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يظهر منه أنّ الإمام السابع يقوم مقام النطق، أي يكون مع كونه إماماً، رسولاً ناطقاً فعليه يكون محمد بن إسماعيل مع كونه إماماً سابعاً، رسولاً ناطقاً، بادئاً للدور السابع، و أمّا عدّ نفسه بأنّه في دور سابع الأشهاد، مع أنّه كان في </w:t>
      </w:r>
    </w:p>
    <w:p>
      <w:pPr>
        <w:pStyle w:val="BookText"/>
        <w:rPr/>
      </w:pPr>
      <w:r>
        <w:rPr>
          <w:rFonts w:ascii="Amiri" w:hAnsi="Amiri" w:eastAsia="Amiri" w:cs="Amiri"/>
          <w:color w:val="111111"/>
          <w:sz w:val="28"/>
          <w:sz w:val="28"/>
          <w:szCs w:val="28"/>
          <w:rtl w:val="true"/>
          <w:lang w:bidi="ar-SA"/>
        </w:rPr>
        <w:t xml:space="preserve">الدور الثامن، لأنّ الدّور السابع ليس لمدّته أمد محدود، كما صرّح به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في الإسلام</w:t>
      </w:r>
      <w:r>
        <w:rPr>
          <w:rFonts w:eastAsia="Amiri" w:cs="Amiri" w:ascii="Amiri" w:hAnsi="Amiri"/>
          <w:color w:val="111111"/>
          <w:sz w:val="28"/>
          <w:szCs w:val="28"/>
          <w:rtl w:val="true"/>
          <w:lang w:bidi="ar-SA"/>
        </w:rPr>
        <w:t>».</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و أمّا فهرس أبواب كتابه هذا، فهي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القول على التوحيد، من غير تشبيه و لا تعطيل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القول على الإبداع الذي هو المبدع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القول على المنبعثين عن المبدع الأوّل معاً، و تباينهما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القول على المنبعث الأوّل القائم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ذلك الفعل؟</w:t>
      </w:r>
    </w:p>
    <w:p>
      <w:pPr>
        <w:pStyle w:val="BookText"/>
        <w:rPr/>
      </w:pP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القول على المنبعث الثاني القائم بالقوّة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سبب ذلك؟</w:t>
      </w:r>
    </w:p>
    <w:p>
      <w:pPr>
        <w:pStyle w:val="BookText"/>
        <w:rPr/>
      </w:pPr>
      <w:r>
        <w:rPr>
          <w:rFonts w:ascii="Amiri" w:hAnsi="Amiri" w:eastAsia="Amiri" w:cs="Amiri"/>
          <w:color w:val="111111"/>
          <w:sz w:val="28"/>
          <w:sz w:val="28"/>
          <w:szCs w:val="28"/>
          <w:rtl w:val="true"/>
          <w:lang w:bidi="ar-SA"/>
        </w:rPr>
        <w:t>الباب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القول على الهيولى و الصورة و ما هما في ذاتهما، و سبب تكثفهما و امتزاجهما؟</w:t>
      </w:r>
    </w:p>
    <w:p>
      <w:pPr>
        <w:pStyle w:val="BookText"/>
        <w:rPr/>
      </w:pPr>
      <w:r>
        <w:rPr>
          <w:rFonts w:ascii="Amiri" w:hAnsi="Amiri" w:eastAsia="Amiri" w:cs="Amiri"/>
          <w:color w:val="111111"/>
          <w:sz w:val="28"/>
          <w:sz w:val="28"/>
          <w:szCs w:val="28"/>
          <w:rtl w:val="true"/>
          <w:lang w:bidi="ar-SA"/>
        </w:rPr>
        <w:t>الباب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القول علىٰ ظهور المواليد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المعدن، و النبات، و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القول علىٰ ظهور الشخص البشري أوّلاً، و في كلّ ظهور بعد وفاء الكور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القول علٰى ظهور الشخص الفاضل من تحت خط الاعتدال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القول على الارتقاء و الصعود إلىٰ دار المعاد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القول علىٰ معرفة الحدود العلويّة و السفليّة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القول على الثواب و الارتقاء في الدرج إلى الجنّة الدانية و العالية،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القول على اتصال المستفيد بالمفيد و ارتقائه إليه و اتّصاله به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القول على العذاب بحقيقته و كيفيته نعوذ باللّٰه منه</w:t>
      </w:r>
      <w:r>
        <w:rPr>
          <w:rFonts w:eastAsia="Amiri" w:cs="Amiri" w:ascii="Amiri" w:hAnsi="Amiri"/>
          <w:color w:val="111111"/>
          <w:sz w:val="28"/>
          <w:szCs w:val="28"/>
          <w:rtl w:val="true"/>
          <w:lang w:bidi="ar-SA"/>
        </w:rPr>
        <w:t xml:space="preserve">. </w:t>
      </w:r>
      <w:bookmarkStart w:id="642" w:name="pg11557_101481"/>
    </w:p>
    <w:p>
      <w:pPr>
        <w:pStyle w:val="Heading3"/>
        <w:numPr>
          <w:ilvl w:val="2"/>
          <w:numId w:val="1"/>
        </w:numPr>
        <w:rPr/>
      </w:pPr>
      <w:bookmarkStart w:id="643" w:name="__RefHeading___Toc4284495_73709187"/>
      <w:bookmarkStart w:id="644" w:name="_Toc231"/>
      <w:bookmarkEnd w:id="642"/>
      <w:bookmarkEnd w:id="643"/>
      <w:r>
        <w:rPr>
          <w:rtl w:val="true"/>
        </w:rPr>
        <w:t>(</w:t>
      </w:r>
      <w:r>
        <w:rPr/>
        <w:t>10</w:t>
      </w:r>
      <w:r>
        <w:rPr>
          <w:rtl w:val="true"/>
        </w:rPr>
        <w:t xml:space="preserve">) </w:t>
      </w:r>
      <w:r>
        <w:rPr>
          <w:rtl w:val="true"/>
        </w:rPr>
        <w:t xml:space="preserve">علي بن محمد الوليد </w:t>
      </w:r>
      <w:r>
        <w:rPr>
          <w:rtl w:val="true"/>
        </w:rPr>
        <w:t>(</w:t>
      </w:r>
      <w:r>
        <w:rPr/>
        <w:t>522</w:t>
      </w:r>
      <w:r>
        <w:rPr>
          <w:rtl w:val="true"/>
        </w:rPr>
        <w:t>-</w:t>
      </w:r>
      <w:r>
        <w:rPr/>
        <w:t>612</w:t>
      </w:r>
      <w:r>
        <w:rPr>
          <w:rtl w:val="true"/>
        </w:rPr>
        <w:t xml:space="preserve"> </w:t>
      </w:r>
      <w:r>
        <w:rPr>
          <w:rtl w:val="true"/>
        </w:rPr>
        <w:t>ه</w:t>
      </w:r>
      <w:r>
        <w:rPr>
          <w:rtl w:val="true"/>
        </w:rPr>
        <w:t>)</w:t>
      </w:r>
      <w:bookmarkEnd w:id="6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الوليد الأنف العبشي القرشي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الداعي المطلق الخامس للإسماعيليّة المستعلية في اليمن، المولود سنة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المتوفى سنة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المنحدر من أُسرة عربيّة عريقة، كان لها شأن في مجالات الأدب و الفلسفة، و قد لعب دوراً أدبيّاً فلسفيّاً هامّاً، في القرن السادس الهجري، و بالرغم من المصادر القليلة عن تاريخ حياته، إلّا انّه يمكننا القول بأنّه ينحدر من أُسرة معروفة بإخلاصها للأئمّة الفاطميين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يدلنا علىٰ ذلك والده الذي كان يلقب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تيمّناً بأبرز عضو في وجه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كان الداعي يتمتع بسمعة طيبة و علم وافر فقد تحسنت أُمور الاتباع و أقبلوا عليه من كل حدب و صوب لسماع محاضراته و التزود من علومه و الدراسة عليه و أيده السلاطين و الأُمراء من همدان و جعل مقره مدينة صنعاء حيث اعتكف على الدراسة و التصنيف و كتابة الكتب و الرسائل و المقالات التي يدافع فيها عن الدعوة و يشرح عقائدها و معارفها الفكرية</w:t>
      </w:r>
    </w:p>
    <w:p>
      <w:pPr>
        <w:pStyle w:val="BookText"/>
        <w:rPr/>
      </w:pPr>
      <w:r>
        <w:rPr>
          <w:rFonts w:ascii="Amiri" w:hAnsi="Amiri" w:eastAsia="Amiri" w:cs="Amiri"/>
          <w:color w:val="111111"/>
          <w:sz w:val="28"/>
          <w:sz w:val="28"/>
          <w:szCs w:val="28"/>
          <w:rtl w:val="true"/>
          <w:lang w:bidi="ar-SA"/>
        </w:rPr>
        <w:t>و كان علي بن الوليد أيضاً من الشعراء البارزين، ففي ديوانه القوافي العذبة و التأملات، التي تدلّ على عراقته بفن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العمر إن طال للإنسان أو قصرا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بنافع في غد أو دافعٍ ضرراً</w:t>
      </w:r>
    </w:p>
    <w:p>
      <w:pPr>
        <w:pStyle w:val="BookText"/>
        <w:rPr/>
      </w:pPr>
      <w:r>
        <w:rPr>
          <w:rFonts w:ascii="Amiri" w:hAnsi="Amiri" w:eastAsia="Amiri" w:cs="Amiri"/>
          <w:color w:val="111111"/>
          <w:sz w:val="28"/>
          <w:sz w:val="28"/>
          <w:szCs w:val="28"/>
          <w:rtl w:val="true"/>
          <w:lang w:bidi="ar-SA"/>
        </w:rPr>
        <w:t xml:space="preserve">و لا حياة الفتىٰ تُغني إذا هو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 بها قاضياً في دينه وطرا</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يمتْ جاهلاً ما ذا أُريد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فبالحقيقة في الدارين قد خسرا </w:t>
      </w:r>
    </w:p>
    <w:p>
      <w:pPr>
        <w:pStyle w:val="BookText"/>
        <w:rPr/>
      </w:pPr>
      <w:r>
        <w:rPr>
          <w:rFonts w:ascii="Amiri" w:hAnsi="Amiri" w:eastAsia="Amiri" w:cs="Amiri"/>
          <w:color w:val="111111"/>
          <w:sz w:val="28"/>
          <w:sz w:val="28"/>
          <w:szCs w:val="28"/>
          <w:rtl w:val="true"/>
          <w:lang w:bidi="ar-SA"/>
        </w:rPr>
        <w:t>أمّا مؤلفاته فنشير إلى بعض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تاج العقائد و معدن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مائة مسألة في معتقدات مذهب الإسماعيليّة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دافع الباطل و حتف المناضل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ألفه رداً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المستظهري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أوّل كتاب ردٍّ للغزالي على الباطنيّة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مختصر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يشمل شرح المقالات و كيفية انقسامها و الردّ على الفلاسفة و بعض الفرق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 الوجود في ترتيب الحدود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 و التبيين في كيفية تسلسل ولادتي الجسم و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المرتاد و غصَّة الأضداد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الرد على الفرقة المجيدية و إثبات إمامة الطيب بن الآمر و ذكر تسلسل الإمامة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لبّ الفوائد و صفو العقائد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المبدأ و المعاد</w:t>
      </w:r>
      <w:r>
        <w:rPr>
          <w:rFonts w:eastAsia="Amiri" w:cs="Amiri" w:ascii="Amiri" w:hAnsi="Amiri"/>
          <w:color w:val="111111"/>
          <w:sz w:val="28"/>
          <w:szCs w:val="28"/>
          <w:rtl w:val="true"/>
          <w:lang w:bidi="ar-SA"/>
        </w:rPr>
        <w:t>.</w:t>
      </w:r>
      <w:r>
        <w:rPr>
          <w:rStyle w:val="FootnoteAnchor"/>
          <w:rtl w:val="true"/>
        </w:rPr>
        <w:footnoteReference w:id="480"/>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شعر و فيه أشعاره في الردّ على المخالفين و في مدائح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وفاة هذا الداعي يوم الأحد السابع و العشرين من شهر شعبان سنة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عن عمر ناهز التسعين عاماً و دامت أيام دعوته ست سنين و تسعة أشهر و ثلاثة أيّام</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أخذنا شيئاً من عقائدهم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يُعد أوضح كتاب وضع في بيان عقائد تلك الطائفة، و الكتاب واضح العبارة جداً، بعيد عن الانحراف و الاعتساف، إلّا ما ندر، و هو يدل علىٰ أنّ طائفة الإسماعيليّة القاطنة في اليمن كانوا بمعزل عن كثير من الزلّات المشاهدة عند غيرهم</w:t>
      </w:r>
      <w:r>
        <w:rPr>
          <w:rFonts w:eastAsia="Amiri" w:cs="Amiri" w:ascii="Amiri" w:hAnsi="Amiri"/>
          <w:color w:val="111111"/>
          <w:sz w:val="28"/>
          <w:szCs w:val="28"/>
          <w:rtl w:val="true"/>
          <w:lang w:bidi="ar-SA"/>
        </w:rPr>
        <w:t xml:space="preserve">.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5" w:name="pg11557_101484"/>
      <w:bookmarkStart w:id="646" w:name="pg11557_101484"/>
      <w:bookmarkEnd w:id="646"/>
    </w:p>
    <w:p>
      <w:pPr>
        <w:pStyle w:val="Heading2"/>
        <w:numPr>
          <w:ilvl w:val="1"/>
          <w:numId w:val="1"/>
        </w:numPr>
        <w:rPr/>
      </w:pPr>
      <w:bookmarkStart w:id="647" w:name="pg11557_101484"/>
      <w:bookmarkStart w:id="648" w:name="__RefHeading___Toc4284497_73709187"/>
      <w:bookmarkStart w:id="649" w:name="_Toc232"/>
      <w:bookmarkEnd w:id="647"/>
      <w:bookmarkEnd w:id="648"/>
      <w:r>
        <w:rPr>
          <w:rtl w:val="true"/>
        </w:rPr>
        <w:t>الفصل الرابع عشر</w:t>
      </w:r>
      <w:r>
        <w:rPr>
          <w:rtl w:val="true"/>
        </w:rPr>
        <w:t xml:space="preserve">: </w:t>
      </w:r>
      <w:r>
        <w:rPr>
          <w:rtl w:val="true"/>
        </w:rPr>
        <w:t>في التنظيمات السرّية الإسماعيلية</w:t>
      </w:r>
      <w:bookmarkEnd w:id="649"/>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50" w:name="__RefHeading___Toc4284499_73709187"/>
      <w:bookmarkStart w:id="651" w:name="_Toc233"/>
      <w:bookmarkEnd w:id="650"/>
      <w:r>
        <w:rPr>
          <w:rtl w:val="true"/>
        </w:rPr>
        <w:t>اشارة</w:t>
      </w:r>
      <w:bookmarkEnd w:id="651"/>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2" w:name="pg11557_101486"/>
      <w:bookmarkStart w:id="653" w:name="pg11557_101486"/>
      <w:bookmarkEnd w:id="653"/>
    </w:p>
    <w:p>
      <w:pPr>
        <w:pStyle w:val="Heading3"/>
        <w:numPr>
          <w:ilvl w:val="2"/>
          <w:numId w:val="1"/>
        </w:numPr>
        <w:rPr/>
      </w:pPr>
      <w:bookmarkStart w:id="654" w:name="pg11557_101486"/>
      <w:bookmarkStart w:id="655" w:name="__RefHeading___Toc4284501_73709187"/>
      <w:bookmarkStart w:id="656" w:name="_Toc234"/>
      <w:bookmarkEnd w:id="654"/>
      <w:bookmarkEnd w:id="655"/>
      <w:r>
        <w:rPr>
          <w:rtl w:val="true"/>
        </w:rPr>
        <w:t>التنظيمات السرّية الإسماعيلية</w:t>
      </w:r>
      <w:bookmarkEnd w:id="656"/>
    </w:p>
    <w:p>
      <w:pPr>
        <w:pStyle w:val="BookText"/>
        <w:rPr/>
      </w:pPr>
      <w:r>
        <w:rPr>
          <w:rFonts w:ascii="Amiri" w:hAnsi="Amiri" w:eastAsia="Amiri" w:cs="Amiri"/>
          <w:color w:val="111111"/>
          <w:sz w:val="28"/>
          <w:sz w:val="28"/>
          <w:szCs w:val="28"/>
          <w:rtl w:val="true"/>
          <w:lang w:bidi="ar-SA"/>
        </w:rPr>
        <w:t>إنّ طابَع الأقلّية يستدعي امتلاك تنظيمات سرية يسودها التكاتف و التعاون لتصمد أمام العواصف التي تهددهم من جانب الأكثرية، و لو لا ذلك لتفكّكت و انفصمت عرى حياتهم و لانصهر كيانهم المستقل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ظهرت الإسماعيلية على مسرح الحياة في زمان ساده روح العداء لأهل البيت عليهم السّلام و أتباعهم، و كانت الشيعة قذى في عيون الخلافة العباسية، لما يسودها من روح العصيان على السلطة و الخروج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ما شابهه صار سبباً لدخول أئمتهم في كهف الاستتار و التقية و إحداث تنظيمات سرية في مختلف الأدوار لتكون حصناً حصيناً لهم و لأتباعهم، و قد ذكر التاريخ شيئاً كثيراً من تنظيماتهم و مخططاتهم المبتكرة و التي قلّما يشهد التاريخ لها من مثيل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الكاتب الإسماعيلي مصطفى غالب يشرح لنا الصورة الدقيقة عن التنظيمات السرية في أدوار الستر و في عهد الدولة الإسماعيلية في مصر و المغرب حيث يقول</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أردنا أن نقارن تلك التنظيمات مع أحدث التنظيمات و التخطيطات الدعاوية العصرية المعروفة اليوم، لتبين لنا انّ الإسماعيليين كان لهم القدح المعلّى في هذا المضمار، من حيث ابتكار الأساليب المبنية على أُسس مكينة مستوحاة من عقائدهم الصميمة، و تظهر عبقريتهم بوضوح من جهة البراعة في تنظيم أجهزتهم الدعاوية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قلّة الوسائل في تلك 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جعلهم يستطيعون الإشراف بسرعة فائقة على تنسم أخبار أتباعهم في الأبعاد المتناهية، و ذلك بما ابتكروا من أساليب </w:t>
      </w:r>
    </w:p>
    <w:p>
      <w:pPr>
        <w:pStyle w:val="BookText"/>
        <w:rPr/>
      </w:pPr>
      <w:r>
        <w:rPr>
          <w:rFonts w:ascii="Amiri" w:hAnsi="Amiri" w:eastAsia="Amiri" w:cs="Amiri"/>
          <w:color w:val="111111"/>
          <w:sz w:val="28"/>
          <w:sz w:val="28"/>
          <w:szCs w:val="28"/>
          <w:rtl w:val="true"/>
          <w:lang w:bidi="ar-SA"/>
        </w:rPr>
        <w:t>و أحدثوا من وسائل، و قد كان للحمام الزاجل الذي برع في استخدامه الدعاة، أثره الفعّال في نقل الأخبار و المراسلات السرية الهامة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كان الإمام الإسماعيلي الذي يعتبر رئيس الدعوة قد وفق بين جهاز الدعاية الذي نظّمه خير تنظيم، و بين نظام الفلك و دورته، و جعل العالم الذي كان معروفاً في تلك الأيام مثل السنة الزمنية، فالسنة كما هو معروف مقسمة إلى اثني عشر شهراً، و لذلك يجب أن يقسم العالم إلى اثني عشر قسماً، أطلق على كل قسم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على كل جزيرة من هذه الجزر داعياً، هو المسئول الأوّل عن الدعاية فيها، و لقب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داعي دعاة الجزيرة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الجزيرة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الدعوة لا يمكن استقامتها إلّا باثني عشر داعياً يتولون إدارتها، فكان الإمام ينتخب الدعاة من ذوي المواهب الخارقة، و القدرة الفائقة في بث الدعوة و العمل على نشرها بين مختلف الطبقات و قد جعل الدعاة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حدود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إمعاناً في إسباغ الفضائل عليهم، ليتمكنوا من نشر الدعوة و توجيه الأتباع دون ما أيّة معارضة أو مخالفة، لأنّ مخالفتهم و معارضتهم تعتبر بنظر الإمام مروقاً عن الدين، و خروجاً عن طاعة الإمام نفسه، لأنّهم من صلب العقيدة و حدودها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الشهر ثلاثون يوماً لذلك كان لكل داعي جزيرة ثلاثون داعياً نقيباً لمساعدته في نشر الدعوة، و هم قوته التي يستعين بها في مجابهة الخصوم، و هم عيونه التي بها يعرف أسرار الخاصة و العامة، فكانوا بمثابة وزرائه و مستشاريه في كلّ ما يتعلّق بجزيرته</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كان اليوم أربع و عشرين ساعة، اثنتي عشر ساعة بالليل، و اثنتي عشر ساعة بالنهار، وجب لكلّ داع نقيب أربعة و عشرين داعياً، منهم اثني عشر داعياً ظاهراً كظهور الشمس بالنهار، و اثني عشر داعياً محجوباً مستتراً استتار الشمس بالليل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بعملية حسابية بسيطة نجد انّ عدد الدعاة الذين بثهم الإمام الإسماعيلي في العالم كان حوالي </w:t>
      </w:r>
      <w:r>
        <w:rPr>
          <w:rFonts w:eastAsia="Amiri" w:cs="Amiri" w:ascii="Amiri" w:hAnsi="Amiri"/>
          <w:color w:val="111111"/>
          <w:sz w:val="28"/>
          <w:szCs w:val="28"/>
          <w:lang w:bidi="ar-SA"/>
        </w:rPr>
        <w:t>8640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داعياً في وقت واحد</w:t>
      </w:r>
      <w:r>
        <w:rPr>
          <w:rFonts w:eastAsia="Amiri" w:cs="Amiri" w:ascii="Amiri" w:hAnsi="Amiri"/>
          <w:color w:val="111111"/>
          <w:sz w:val="28"/>
          <w:szCs w:val="28"/>
          <w:rtl w:val="true"/>
          <w:lang w:bidi="ar-SA"/>
        </w:rPr>
        <w:t xml:space="preserve">. </w:t>
      </w:r>
      <w:bookmarkStart w:id="657" w:name="pg11557_101488"/>
    </w:p>
    <w:p>
      <w:pPr>
        <w:pStyle w:val="Heading3"/>
        <w:numPr>
          <w:ilvl w:val="2"/>
          <w:numId w:val="1"/>
        </w:numPr>
        <w:rPr/>
      </w:pPr>
      <w:bookmarkStart w:id="658" w:name="__RefHeading___Toc4284503_73709187"/>
      <w:bookmarkStart w:id="659" w:name="_Toc235"/>
      <w:bookmarkEnd w:id="657"/>
      <w:bookmarkEnd w:id="658"/>
      <w:r>
        <w:rPr>
          <w:rtl w:val="true"/>
        </w:rPr>
        <w:t>التنظيمات السّرية للدعوة الإسماعيليّة النزارية</w:t>
      </w:r>
      <w:bookmarkEnd w:id="659"/>
    </w:p>
    <w:p>
      <w:pPr>
        <w:pStyle w:val="BookText"/>
        <w:rPr/>
      </w:pPr>
      <w:r>
        <w:rPr>
          <w:rFonts w:ascii="Amiri" w:hAnsi="Amiri" w:eastAsia="Amiri" w:cs="Amiri"/>
          <w:color w:val="111111"/>
          <w:sz w:val="28"/>
          <w:sz w:val="28"/>
          <w:szCs w:val="28"/>
          <w:rtl w:val="true"/>
          <w:lang w:bidi="ar-SA"/>
        </w:rPr>
        <w:t>و لما انتقلت الدعوة الإسماعيلية النزارية إلى فارس، أجرى الإمام النزاري بعض التعديلات، و أوجد تنظيمات تتناسب مع ظروفه و عصره و هي علىٰ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القسم الخاص بالدعاية الدينية و الذي ظل قريب الشبه من النظام السابق، و لو انّ عدد الدعاة تقلص و نقص، لأنّ الإمام النزاري جعل رتبة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دعوته بدلاً من رتبة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داعي الدعاة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عيّن في كلّ منطقة من المناطق الإسماعيلية له نواباً، و ألحق بهؤلاء النواب عدداً غير محدود من الدعاة الذين كانوا يدعون الناس للمذهب الإسماعيلي النزاري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القسم الثاني فهو خاص بالفدائية و الجيش، و هؤلاء كانوا يتبعون مباشرة مركز الإمامة أو نائب الإمام في قطره، و يتلقّون الأوامر و المهمات السرية منه 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الفدائية على ثلاث 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الرفاق أو المقدمون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قادة الجيش و الفدائية و لهم مهمّة الإشراف على التدريب، و السهر على تنفيذ المهمات العسكرية و غير العسكرية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 الفدائيين الذين ينتقون من العناصر المخلصة المعروفة بالتضحية و الإقدام و الشجاعة النادرة، و الجرأة الخارقة فيكلَّفون بالتضحيات الجسدية، و بتنفيذ أوامر الإمام أو نائبه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المستجيبون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الذين يقضون دور التدريب و التعليم، و هؤلاء يدخلون مدارس الفدائية، و هم في سن مبكرة و يتلقون التدريب و التعليم في المدارس الخاصة بهم، على أيدي كبار المقدمين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يسهر الإمام نفسه أو نائبه الشيخ على تدريبهم و تعليمهم</w:t>
      </w:r>
      <w:r>
        <w:rPr>
          <w:rFonts w:eastAsia="Amiri" w:cs="Amiri" w:ascii="Amiri" w:hAnsi="Amiri"/>
          <w:color w:val="111111"/>
          <w:sz w:val="28"/>
          <w:szCs w:val="28"/>
          <w:rtl w:val="true"/>
          <w:lang w:bidi="ar-SA"/>
        </w:rPr>
        <w:t>.</w:t>
      </w:r>
      <w:r>
        <w:rPr>
          <w:rStyle w:val="FootnoteAnchor"/>
          <w:rtl w:val="true"/>
        </w:rPr>
        <w:footnoteReference w:id="481"/>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0" w:name="pg11557_101490"/>
      <w:bookmarkStart w:id="661" w:name="pg11557_101490"/>
      <w:bookmarkEnd w:id="661"/>
    </w:p>
    <w:p>
      <w:pPr>
        <w:pStyle w:val="Heading2"/>
        <w:numPr>
          <w:ilvl w:val="1"/>
          <w:numId w:val="1"/>
        </w:numPr>
        <w:rPr/>
      </w:pPr>
      <w:bookmarkStart w:id="662" w:name="pg11557_101490"/>
      <w:bookmarkStart w:id="663" w:name="__RefHeading___Toc4284505_73709187"/>
      <w:bookmarkStart w:id="664" w:name="_Toc236"/>
      <w:bookmarkEnd w:id="662"/>
      <w:bookmarkEnd w:id="663"/>
      <w:r>
        <w:rPr>
          <w:rtl w:val="true"/>
        </w:rPr>
        <w:t>الفصل الخامس عشر</w:t>
      </w:r>
      <w:r>
        <w:rPr>
          <w:rtl w:val="true"/>
        </w:rPr>
        <w:t xml:space="preserve">: </w:t>
      </w:r>
      <w:r>
        <w:rPr>
          <w:rtl w:val="true"/>
        </w:rPr>
        <w:t>في القرامطة</w:t>
      </w:r>
      <w:bookmarkEnd w:id="664"/>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65" w:name="__RefHeading___Toc4284507_73709187"/>
      <w:bookmarkStart w:id="666" w:name="_Toc237"/>
      <w:bookmarkEnd w:id="665"/>
      <w:r>
        <w:rPr>
          <w:rtl w:val="true"/>
        </w:rPr>
        <w:t>اشارة</w:t>
      </w:r>
      <w:bookmarkEnd w:id="666"/>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لقد ذكرنا في الفصل الثاني من هذا الكتاب أنّ الحركات الباطنيّة نشطت في أواسط القرن الثاني، و كان زعيمها هو أبو الخطاب، محمد بن مقلاص، فلمّا قتل انتهى أمرهم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الاجتماع حول محمد بن إسماعيل، و وجدوه مرتعاً خصباً لنشر أفكارهم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فارتكزت الدّعوة الإسماعيليّة علىٰ تلك الأفكار في بادئ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نتيجة ذلك التحرك 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اتخذ الأئمّة المستورون سوريا، و أخصّ بالذكر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حولَها مركزاً للدّعوة، و منها انتشرت إلى سائر الأمصار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انتشرت الدّعوة في اليمن بزعامة ابن حوشب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منصور اليمن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أرسل ابن حوشب، أبا عبد اللّٰه الشيعي إلىٰ إفريقية حيث آلت الأحداث بعدها إلىٰ تأسيس الخلافة الفاطميّة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ظهور حركة القرامطة، و هذا ما سنبحثه في هذا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الإسماعيليّة فرقة باسم المباركيّة قالوا بإمامة محمد بن إسماعيل، بدل إسماعيل، و قد تشعبت منهم فرقة باسم القرامطة، كان لهم دورٌ مهم على الساحة السياسية و العقائدية أيّام عبيد اللّٰه المهدي، حسب ما يذكره التاريخ و ما يزال الغموض يكتنف عقائدهم، و تاريخهم و الجرائم التي قاموا بها، في أواخر القرن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أجل تسليط الضوء على جانب من جوانب عقائدهم نستعرض ما ذكره أصحاب المقالات</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النوبختي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سُمّيت بهذا لرئيس لهم من أهل السواد من أهل الأنباط كان يلقب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قرمطويه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كانوا في الأصل علىٰ مقالة المباركيّة، ثمّ خالفوهم، </w:t>
      </w:r>
    </w:p>
    <w:p>
      <w:pPr>
        <w:pStyle w:val="BookText"/>
        <w:rPr/>
      </w:pPr>
      <w:r>
        <w:rPr>
          <w:rFonts w:ascii="Amiri" w:hAnsi="Amiri" w:eastAsia="Amiri" w:cs="Amiri"/>
          <w:color w:val="111111"/>
          <w:sz w:val="28"/>
          <w:sz w:val="28"/>
          <w:szCs w:val="28"/>
          <w:rtl w:val="true"/>
          <w:lang w:bidi="ar-SA"/>
        </w:rPr>
        <w:t>فقالوا لا يكون بعد محمد النبي صلّى اللّٰه عليه و آله و سلّم إلّا سبعة أئمّة، علي بن أبي طالب و هو إمامٌ رسولٌ، و الحسن و الحسين، و علي بن الحسين، و محمد بن علي، و جعفر بن محمد، و محمد بن إسماعيل بن جعفر، و هو الإمام القائم المهدي، و هو 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زعموا أنّ النبيّ صلّى اللّٰه عليه و آله و سلّم انقطعت عنه الرسالة في حياته، في اليوم الذي أُمر فيه بنصب علي بن أبي طالب عليه السّلام للناس بغدير خم، فصارت الرسالة في ذلك اليوم في علي بن أبي طالب، و اعتلّوا في ذلك بقول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هذا القول منه خروج من الرسالة و النبوّة، و تسليم منه في ذلك لعلي بن أبي طالب، بأمر اللّٰه عزّ و جلّ و انّ النبيّ صلّى اللّٰه عليه و آله و سلّم بعد ذلك كان مأموماً لعليّ، محجوجاً به، فلمّا مضىٰ عليٌّ صارت الإمامة في الحسن، كما صارت من الحسن في الحسين ثمّ في علي بن الحسين، ثمّ في محمد بن علي، ثمّ كانت في جعفر بن محمد، ثمّ انقطعت عن جعفر في حياته، فصارت في إسماعيل بن جعفر، كما انقطعت الرسالة عن محمد صلّى اللّٰه عليه و آله و سلّم في حياته، ثمّ إنّ اللّٰه عزّ و جلّ بدا له في إمامة جعفر، و إسماعيل، فصيّرها في محمد بن إسماعيل، 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زعموا أنّ محمد بن إسماعيل حيٌّ، لم يمت، و أنّه في بلاد الروم، و أنّه القائم المهدي، و معنى القائم عندهم، انّه يبعث بالرسالة و بشريعة جديدة، ينسخ بها شريعة محمد، و انّ محمد بن إسماعيل من أولي العزم، و أولي العزم عندهم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 و إبراهيم، و موسى، و عيسى، و محمد صلّى اللّٰه عليه و آله و سلّم و علي عليه السّلام، و محمد بن إسماعيل، على معنىً</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السماوات سبع و إنّ الأرضين سبع و إنّ الإنسان بدنه 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يداه، و رجلاه، و ظهره، و بطنه، و قلبه، و إنّ رأسه 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عيناه، أُذناه، منخراه، و فمه، و فيه لسانه، كصدره الذي فيه قلبه، و إنّ الأئمّة كذلك، و قلبهم محمد بن إسماعيل و اعتلوا في نسخه شريعة محمد صلّى اللّٰه عليه و آله و سلّم و تبديلها، بأخبار، رووها عن أبي عبد اللّٰه جعفر ابن محمد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قام قائمنا علمتم بالقرآن جديداً، و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الإسلام </w:t>
      </w:r>
    </w:p>
    <w:p>
      <w:pPr>
        <w:pStyle w:val="BookText"/>
        <w:rPr/>
      </w:pPr>
      <w:r>
        <w:rPr>
          <w:rFonts w:ascii="Amiri" w:hAnsi="Amiri" w:eastAsia="Amiri" w:cs="Amiri"/>
          <w:color w:val="111111"/>
          <w:sz w:val="28"/>
          <w:sz w:val="28"/>
          <w:szCs w:val="28"/>
          <w:rtl w:val="true"/>
          <w:lang w:bidi="ar-SA"/>
        </w:rPr>
        <w:t>بدأ غريباً و سيعود غريباً كما بدا، فطوبىٰ للغرباء، و نحو ذلك من أخبار القائم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 اللّٰه جعل لمحمد بن إسماعيل جنّة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معناها عندهم الإباحة للمحارم، و جميع ما خلق في الدنيا، و هو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كُلاٰ مِنْهٰا رَغَداً حَيْثُ شِئْتُمٰا وَ لاٰ تَقْرَبٰا هٰذِهِ اَلشَّجَرَةَ</w:t>
      </w:r>
      <w:r>
        <w:rPr>
          <w:rFonts w:eastAsia="Amiri" w:cs="Amiri" w:ascii="Amiri" w:hAnsi="Amiri"/>
          <w:color w:val="111111"/>
          <w:sz w:val="28"/>
          <w:szCs w:val="28"/>
          <w:rtl w:val="true"/>
          <w:lang w:bidi="ar-SA"/>
        </w:rPr>
        <w:t>»</w:t>
      </w:r>
      <w:r>
        <w:rPr>
          <w:rStyle w:val="FootnoteAnchor"/>
          <w:rtl w:val="true"/>
        </w:rPr>
        <w:footnoteReference w:id="482"/>
      </w:r>
      <w:r>
        <w:rPr>
          <w:rFonts w:ascii="Amiri" w:hAnsi="Amiri" w:eastAsia="Amiri" w:cs="Amiri"/>
          <w:color w:val="111111"/>
          <w:sz w:val="28"/>
          <w:sz w:val="28"/>
          <w:szCs w:val="28"/>
          <w:rtl w:val="true"/>
          <w:lang w:bidi="ar-SA"/>
        </w:rPr>
        <w:t>أي موسى بن جعفر بن محمد، و ولده من بعده من ادّعىٰ منهم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زعموا أنّ محمد بن إسماعيل، هو خاتم النبيين، الذي حكاه اللّٰه عزّ و جلّ في كتابه، و أنّ الدّنيا اثنا عشر جزيرة، في كلّ جزيرة حُجّة و أنّ الحجج اثنا عشر، و لكلّ حجّة داعية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داعية يد، يعنون بذلك أنّ اليد رَجلٌ له دلائل و براهين يقيمها، و يُسمّون الحُجّة الأب، و الدّاعية الأُم، و اليد الابن، يضاهون قول النصارىٰ في ثالث ثلاثة، إنّ اللّٰه الأب جل جلاله، و المسيح عليه السّلام الابن، و أُمّه مريم، و الحُجّة الأكبر هو الربّ و هو الأب و الدّاعية هي الأُم، و اليد هو الابن</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زعموا أنّ جميع الأشياء التي فرض اللّٰه تعالى علىٰ عباده و سنّها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بها، لها ظاهر و باطن، و أنّ جميع ما استعبد اللّٰه به العباد في الظاهر من الكتاب و السنة، أمثال مضروبة و تحتها معان هي بطونها، و عليه العمل و فيه النجاة، و أنّ ما ظهر منها ففي استعماله الهلاك و الشقاء، و هي جزء من العقاب الأدنىٰ، عذّب اللّٰه به قوماً إذ لم يعرفوا الحقّ و لم يقولوا به، و هذا أيضاً مذهب عامّة أصحاب أبي الخطاب، و استحلّوا استعراض الناسَ بالسيف و قتلهم علىٰ مذهب الخوارج في قتل أهل القبلة، و أخذ أموالهم، و الشهادة عليهم بالكفر، و اعتلّوا في ذلك بقول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فَاقْتُلُوا اَلْمُشْرِكِينَ حَيْثُ وَجَدْتُمُوهُمْ</w:t>
      </w:r>
      <w:r>
        <w:rPr>
          <w:rFonts w:eastAsia="Amiri" w:cs="Amiri" w:ascii="Amiri" w:hAnsi="Amiri"/>
          <w:color w:val="111111"/>
          <w:sz w:val="28"/>
          <w:szCs w:val="28"/>
          <w:rtl w:val="true"/>
          <w:lang w:bidi="ar-SA"/>
        </w:rPr>
        <w:t>»</w:t>
      </w:r>
      <w:r>
        <w:rPr>
          <w:rStyle w:val="FootnoteAnchor"/>
          <w:rtl w:val="true"/>
        </w:rPr>
        <w:footnoteReference w:id="483"/>
      </w:r>
      <w:r>
        <w:rPr>
          <w:rFonts w:ascii="Amiri" w:hAnsi="Amiri" w:eastAsia="Amiri" w:cs="Amiri"/>
          <w:color w:val="111111"/>
          <w:sz w:val="28"/>
          <w:sz w:val="28"/>
          <w:szCs w:val="28"/>
          <w:rtl w:val="true"/>
          <w:lang w:bidi="ar-SA"/>
        </w:rPr>
        <w:t>و رأوا سبي النساء و قتل الأطفال، و اعتلّوا في ذلك بقول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تَذَرْ عَلَى اَلْأَرْضِ مِنَ اَلْكٰافِرِينَ دَيّٰاراً</w:t>
      </w:r>
      <w:r>
        <w:rPr>
          <w:rFonts w:eastAsia="Amiri" w:cs="Amiri" w:ascii="Amiri" w:hAnsi="Amiri"/>
          <w:color w:val="111111"/>
          <w:sz w:val="28"/>
          <w:szCs w:val="28"/>
          <w:rtl w:val="true"/>
          <w:lang w:bidi="ar-SA"/>
        </w:rPr>
        <w:t>».</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و زعموا أنّه يجب عليهم أن يبدءوا بقتل مَنْ قال بالإمامة مِمّنْ ليس علىٰ قولهم، و خاصّة من قال بإمامة موسى بن جعفر، و ولده من بعده؛ و تأوّلوا في ذلك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قٰاتِلُوا اَلَّذِينَ يَلُونَكُمْ مِنَ اَلْكُفّٰارِ وَ لْيَجِدُوا فِيكُمْ غِلْظَةً</w:t>
      </w:r>
      <w:r>
        <w:rPr>
          <w:rFonts w:eastAsia="Amiri" w:cs="Amiri" w:ascii="Amiri" w:hAnsi="Amiri"/>
          <w:color w:val="111111"/>
          <w:sz w:val="28"/>
          <w:szCs w:val="28"/>
          <w:rtl w:val="true"/>
          <w:lang w:bidi="ar-SA"/>
        </w:rPr>
        <w:t xml:space="preserve">» </w:t>
      </w:r>
      <w:r>
        <w:rPr>
          <w:rStyle w:val="FootnoteAnchor"/>
          <w:rtl w:val="true"/>
        </w:rPr>
        <w:footnoteReference w:id="485"/>
      </w:r>
      <w:r>
        <w:rPr>
          <w:rFonts w:ascii="Amiri" w:hAnsi="Amiri" w:eastAsia="Amiri" w:cs="Amiri"/>
          <w:color w:val="111111"/>
          <w:sz w:val="28"/>
          <w:sz w:val="28"/>
          <w:szCs w:val="28"/>
          <w:rtl w:val="true"/>
          <w:lang w:bidi="ar-SA"/>
        </w:rPr>
        <w:t>فالواجب أن يُبدأ بهؤلاء، ثمّ بسائر الناس؛ و عددهم كثير، إلّا أنّه لا شوكة لهم و لا قوّة، و هم بسواد الكوفة و اليمن أكثر و لعلّهم أن يكونوا زُهاء مائة ألف</w:t>
      </w:r>
      <w:r>
        <w:rPr>
          <w:rFonts w:eastAsia="Amiri" w:cs="Amiri" w:ascii="Amiri" w:hAnsi="Amiri"/>
          <w:color w:val="111111"/>
          <w:sz w:val="28"/>
          <w:szCs w:val="28"/>
          <w:rtl w:val="true"/>
          <w:lang w:bidi="ar-SA"/>
        </w:rPr>
        <w:t>.</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النوبختي أقدم مَن كتب عنهم من أصحاب المقالات، و قد عاصرهم، حيث إنّ القرامطة ظهرت سنة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توفي النوبختي في أوائل القرن الرابع حوالي سنة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فما ذكره عنهم أدقّ ممّا ذكره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القرامطة يزعمون أنّ النبيّ نصّ علىٰ إمامة ابنه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ينقل نصّ كلّ إمام على الإمام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وصلت النوبة إلىٰ نصّ جعفر علىٰ إمامة ابن ابنه محمد بن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زعموا أنّ محمد بن إسماعيل حيٌّ إلىٰ اليوم، و لم يمت و لا يموت حتّى يملك الأرض، و أنّه هو المهدي الذي تقدّمت البشارة به، و احتجوا في ذلك بأخبار رووها عن أسلافهم يخبرون فيها أنّ سابع الأئمّة قائمهم</w:t>
      </w:r>
      <w:r>
        <w:rPr>
          <w:rFonts w:eastAsia="Amiri" w:cs="Amiri" w:ascii="Amiri" w:hAnsi="Amiri"/>
          <w:color w:val="111111"/>
          <w:sz w:val="28"/>
          <w:szCs w:val="28"/>
          <w:rtl w:val="true"/>
          <w:lang w:bidi="ar-SA"/>
        </w:rPr>
        <w:t>.</w:t>
      </w:r>
      <w:r>
        <w:rPr>
          <w:rStyle w:val="FootnoteAnchor"/>
          <w:rtl w:val="true"/>
        </w:rPr>
        <w:footnoteReference w:id="487"/>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عبد القاهر البغدادي فلم يذكر القرامطة بالاسم، لكن نقل ما ذكره الإمام الأشعري في المقالات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فرقة قالت كان الإمام بعد جعفر سبطه محمد بن إسماعيل بن جعفر، حيث إنّ جعفراً نصب ابنه إسماعيل للإمامة بعده، فلمّا مات إسماعيل في حياة أبيه، علمنا أنّه إنّما نصب ابنه إسماعيل للدلالة علىٰ إمامة ابنه محمد بن إسماعيل</w:t>
      </w:r>
      <w:r>
        <w:rPr>
          <w:rFonts w:eastAsia="Amiri" w:cs="Amiri" w:ascii="Amiri" w:hAnsi="Amiri"/>
          <w:color w:val="111111"/>
          <w:sz w:val="28"/>
          <w:szCs w:val="28"/>
          <w:rtl w:val="true"/>
          <w:lang w:bidi="ar-SA"/>
        </w:rPr>
        <w:t>.</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 xml:space="preserve">يظهر ممّا ذكره النوبختي في فرق الشيعة أنّهم كانوا يكفّرون جميع المسلمين حسب عقيدتهم، و لأجله قاموا بقتل حجاج بيت اللّٰه الحرام عام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عهد المقتدر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ابن الأثير أنّه حج بالناس في هذه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المنصور الدّيلمي، و صار بهم من بغداد إلىٰ مكّة فسلّموا في الطريق فوافاهم أبو طاهر القرمطي بمكّة، يوم التروية، فنهبَ هو و أصحابُه أموال الحُجّاج، و قتلوهم حتى في المسجد الحرام و في البيت نفسه، و قلع الحجر الأسود و نفذه إلىٰ هجر فخرج إليه ابن محلب، أمير مكّة في جماعة من الأشراف، فسألوه في أموالهم فلم يشفعهم، فقاتلوه فقتلهم أجمعين، و قلع باب البيت و أصعد رجلاً ليقلع الميزاب فسقط فمات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طرح القتلىٰ في بئر زمزم، و دفن الباقين في المسجد الحرام، حيث قُتلوا بغير كفن و لا غُسل، و لا صلى علىٰ أحد منهم، و أخذ كسوة البيت، فقسّمها بين أصحابه، و نهب دُورَ أهل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 ذلك المهدي أبا محمد عبيد اللّٰه العلوي بإفريقية، كتب إليه، يُنكر عليه ذلك و يلومه و يلعنه و يقيم عليه القيامة،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حققت علىٰ شيعتنا و دعاة دولتنا اسم الكفر و الإلحاد بما فعلت، و إن لم ترد علىٰ أهل مكّة و على الحجّاج و غيرهم، ما أخذت منهم، و تردّ الحجر الأسود إلى مكانه، و تردّ كسوة الكعبة، فأنا بريء منك في الدنيا و الآخرة</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وصله هذا الكتاب أعاد الحجر الأسود، و استعاد ما أمكنه من الأموال من أهل مكّة فردّه،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اقتسموا كسوة الكعبة، و أموال الحجاج و لا أقدر علىٰ منعهم</w:t>
      </w:r>
      <w:r>
        <w:rPr>
          <w:rFonts w:eastAsia="Amiri" w:cs="Amiri" w:ascii="Amiri" w:hAnsi="Amiri"/>
          <w:color w:val="111111"/>
          <w:sz w:val="28"/>
          <w:szCs w:val="28"/>
          <w:rtl w:val="true"/>
          <w:lang w:bidi="ar-SA"/>
        </w:rPr>
        <w:t>.</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من هذا المقطع الذي ذكرناه من كلام ابن الأثير يظهر أنّ عبيد اللّٰه المهدي ينكر عليهم ما ارتكبوه من جرائم شنيعة، و أنّهم بأعمالهم الوحشيّة هذه مهّدوا الطريق للأعداء، ليتّهموهم بالإلحاد، و الخروج عن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ممّا يوجب على الباحث العلمي إذا أراد أن يخرج بنتيجة إيجابية أن يجعل للقرامطة حساباً خاصاً و أن يدرسهم دراسة موضوعية تتسم بالعلميّة و عدم الخلط</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للإسماعيليّة التي كانت الخلافة الفاطميّة في مصر تتبناها حساباً آخر و لا يضربهما بسهم واحد</w:t>
      </w:r>
      <w:r>
        <w:rPr>
          <w:rFonts w:eastAsia="Amiri" w:cs="Amiri" w:ascii="Amiri" w:hAnsi="Amiri"/>
          <w:color w:val="111111"/>
          <w:sz w:val="28"/>
          <w:szCs w:val="28"/>
          <w:rtl w:val="true"/>
          <w:lang w:bidi="ar-SA"/>
        </w:rPr>
        <w:t xml:space="preserve">. </w:t>
      </w:r>
      <w:bookmarkStart w:id="667" w:name="pg11557_101498"/>
    </w:p>
    <w:p>
      <w:pPr>
        <w:pStyle w:val="Heading3"/>
        <w:numPr>
          <w:ilvl w:val="2"/>
          <w:numId w:val="1"/>
        </w:numPr>
        <w:rPr/>
      </w:pPr>
      <w:bookmarkStart w:id="668" w:name="__RefHeading___Toc4284509_73709187"/>
      <w:bookmarkStart w:id="669" w:name="_Toc238"/>
      <w:bookmarkEnd w:id="667"/>
      <w:bookmarkEnd w:id="668"/>
      <w:r>
        <w:rPr>
          <w:rtl w:val="true"/>
        </w:rPr>
        <w:t>الملامح العامّة للقرامطة</w:t>
      </w:r>
      <w:bookmarkEnd w:id="669"/>
    </w:p>
    <w:p>
      <w:pPr>
        <w:pStyle w:val="BookText"/>
        <w:rPr/>
      </w:pPr>
      <w:r>
        <w:rPr>
          <w:rFonts w:ascii="Amiri" w:hAnsi="Amiri" w:eastAsia="Amiri" w:cs="Amiri"/>
          <w:color w:val="111111"/>
          <w:sz w:val="28"/>
          <w:sz w:val="28"/>
          <w:szCs w:val="28"/>
          <w:rtl w:val="true"/>
          <w:lang w:bidi="ar-SA"/>
        </w:rPr>
        <w:t xml:space="preserve">قد تعرّفت على الفرق الإسماعيلية، و إنّ منها القرامطة الّذين قالوا بإمامة محمد بن إسماعيل و غيبته، و بذلك عطّلوا الإمامة، و انقطعوا عن الركب الإمامي، و حيث إنّه كان لهم دور في الأعصار الغابرة لا بأس بذكر ملامحهم العامّة، و فرقهم، و عقائدهم، و ما قاموا به من الأحداث الإرهابيّة، و قد وجدنا أنّ ما كتبه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 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تلك الفرقة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القرامطة أوّل حركة اشتراكية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أبسط ما كتب عنهم، فقمنا بتلخيص ما جاء في هذا الكتاب من المواضيع الهامّة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القرامطة من إحدى الفرق الباطنية الّتي شغلت السلطات العباسيّة قُرابة قرن من الزمن، و أشاعت الاضطرابَ و القلقَ في الشرق العربي، بما خَلَقْته من أفكار ثوريّة، ما تزال آثارها باقية إلى أيّامنا الحاضرة، عبر الطوائف الدينية التي تحمل أسماءً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القرامطة جاءت من معنى لغويّ و هو قَرمطَ الرجلُ في خَطْوه، إذا قارب بين السطور في كتابته،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حمدانَ بن الأشعث مؤسّس هذه الفرقة سُمي قرمط لقصر قامته و رجليه</w:t>
      </w:r>
      <w:r>
        <w:rPr>
          <w:rFonts w:eastAsia="Amiri" w:cs="Amiri" w:ascii="Amiri" w:hAnsi="Amiri"/>
          <w:color w:val="111111"/>
          <w:sz w:val="28"/>
          <w:szCs w:val="28"/>
          <w:rtl w:val="true"/>
          <w:lang w:bidi="ar-SA"/>
        </w:rPr>
        <w:t>.</w:t>
      </w:r>
    </w:p>
    <w:p>
      <w:pPr>
        <w:pStyle w:val="Heading3"/>
        <w:numPr>
          <w:ilvl w:val="2"/>
          <w:numId w:val="1"/>
        </w:numPr>
        <w:rPr/>
      </w:pPr>
      <w:bookmarkStart w:id="670" w:name="__RefHeading___Toc4284511_73709187"/>
      <w:bookmarkStart w:id="671" w:name="_Toc239"/>
      <w:bookmarkEnd w:id="670"/>
      <w:r>
        <w:rPr>
          <w:rtl w:val="true"/>
        </w:rPr>
        <w:t>أسباب نشوء الحركة القرمطيّة و مؤسّسها</w:t>
      </w:r>
      <w:r>
        <w:rPr>
          <w:rtl w:val="true"/>
        </w:rPr>
        <w:t>:</w:t>
      </w:r>
      <w:bookmarkEnd w:id="671"/>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كلمة قَرمط بدأت بحمدان بن الأشعث، و هو الذي نزل عنده الداعي المؤسِّس لهذه الفرقة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الأهوازي، الذي جاء من ناحية خوزستان، و هذه التسمية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القرامطة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تتخذها هذه الفرقة الباطنيّة لنفسها، و إنّما أطلقها أعداؤها عليها في العهود المبكِّرة لقيامها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الحديث عن العوامل التي أدّت إلىٰ نشوء الحركة القرمطية، و قيام دولة القرامطة، ذو شجون، و الخوض فيه يحتاج إلىٰ تفصيلات، لا يتسع لها مجال هذه الدراسة، التي قصدنا بها التعريف بالقرامطة، و حركتهم بأكثر ما أمكننا من الإيجاز، دون الدخول في التناقضات التي تميّزت بها أقوال المحققين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المجتمعُ الإسلامي، في أواخر العهد الأُموي يسير في طريق مُظلم، و أنّ الدولة الأُمويّة الحاكمة، العربيّة النزعة و الطابع، كما هو جليّ و واضح في تاريخها لم تكن تعتمد إلّا على العناصر الخالصة التي تنحدر من أصل عربي فلم يُعِنْ بنو أُمية بغير قومهم العرب، فمنهم الولاة و القوّاد، و رؤساء الدولة، و العمال و حكّام الأقاليم، و المقاطعات، فضلاً عن أنّ زمام الأسواق التجارية و المهنيّة و الزراعيّة، و النفوذ و الجاه، كان أيضاً بأيديهم، و بأيدي أنصارهم، و لهذا كره الموالي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حكمهم، و عملوا علىٰ إسقاطهم و كانوا معاول هدم في كيان الدّولة الأُمويّة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المجتمع الأُموي كان يقوم علىٰ سيادة العنصر العربيّ، فكان لا يتمكن أيُّ إنسان من الانتساب إلىٰ صفوفه إلّا بطريق الولادة، و لم يكن أفراده يدفعون الضرائب عن أراضيهم، و كانوا وحدهم أصحاب الحقّ، بأن يتجنّدوا في الأمصار، و يقبضوا الرواتب الشهرية المغرية، فضلاً عن حقّهم بالأعطية من غنائم الفتوح، و لم يكن حلول العباسيين محلّ الأُمويين أكثر من مجرد تغيير الأُسرة الحاكمة</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بذلك تبين أنّ الأسباب التي أدّت إلىٰ قيام الحركة القرمطية كانت هي أيضاً في جوهرها حركة قوميّة إقليميّة و اقتصاديّة و اجتماعيّة، و لعلّنا لا نأتي بجديد حين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الأُمويين بسياستهم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مهّدوا الطريق لمن يريد ضرب الدّولة الإسلامية، و كان أفضل وسيلة للمنفعلين بهذه الأسباب أن اتخذوا من الصراع العقائدي بين بني أُميّة و بين بني هاشم، ذريعة لتقويض الحكم العربي العنصريّ، و نقض التعاليم الإسلاميّة، و ذلك بادّعائهم الولاء للهاشميين في مطالبتهم </w:t>
      </w:r>
      <w:bookmarkStart w:id="672" w:name="pg11557_101500"/>
    </w:p>
    <w:p>
      <w:pPr>
        <w:pStyle w:val="BookText"/>
        <w:rPr/>
      </w:pPr>
      <w:bookmarkEnd w:id="672"/>
      <w:r>
        <w:rPr>
          <w:rFonts w:ascii="Amiri" w:hAnsi="Amiri" w:eastAsia="Amiri" w:cs="Amiri"/>
          <w:color w:val="111111"/>
          <w:sz w:val="28"/>
          <w:sz w:val="28"/>
          <w:szCs w:val="28"/>
          <w:rtl w:val="true"/>
          <w:lang w:bidi="ar-SA"/>
        </w:rPr>
        <w:t>بحقّهم بالخلافة دون الأُمويين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تكون كلّ الحركات الباطنيّة توسلتْ بشعار الولاء لآل البيت النبوي، من أجل الوصول إلى هدف واحد و هو الثأر من حكام الوقت الّذين أشاعوا البدع الجاهليّة، تحت غطاء الإسلام، و منها التركيز على العنصر العربي، و الحط من الموالي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ابتداء الدّعوة القرمطيّة في البحرين عن طريق رجل يُعرف بيحيى بن المهدي، الذي قصد بلدة القطيف، و حلّ فيها ضيفاً علىٰ رجل يُعرف بعلي بن المعلىٰ بن حمدان، مولى الزياديّين، فأظهر له يحيىٰ أنّه رسولُ المهدي، و كان ذلك في سنة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ذكر أنّه خرج إلىٰ شيعته في البلاد، يدعوهم إلىٰ أمره و أنّ ظهوره قد قَرُب، فأخبر عليُّ بن المعلىٰ، الشيعةَ من أهل القطيف، و قرأ عليهم الكتاب، الذي مع يحيى بن المهدي، المرسل إليهم من المهديّ، فأجابوه، و أنّهم خارجون معه، إذا ظهر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إلى سائر قرى البحرين بمثل ذلك، فأجابوه و كان أبو سعيد الجنابيّ يبيع للناس الطعامَ و يحسب لهم بيعهم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يقول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البحرين عِبر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حمدان قرمط ابن الأشعث، هو مؤسّس حركة القرمطيين في واسط بين الكوفة و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أنشأ داراً للهجرة، و جعلها مركزاً لبث الدّعوة، ثمّ كلّف دعاته بإنشاء فروع للحركة، أهمّها على الإطلاق فرعُ البحرين الذي أقامه أبو سعيد الجنابي</w:t>
      </w:r>
      <w:r>
        <w:rPr>
          <w:rFonts w:eastAsia="Amiri" w:cs="Amiri" w:ascii="Amiri" w:hAnsi="Amiri"/>
          <w:color w:val="111111"/>
          <w:sz w:val="28"/>
          <w:szCs w:val="28"/>
          <w:rtl w:val="true"/>
          <w:lang w:bidi="ar-SA"/>
        </w:rPr>
        <w:t>.</w:t>
      </w:r>
    </w:p>
    <w:p>
      <w:pPr>
        <w:pStyle w:val="Heading3"/>
        <w:numPr>
          <w:ilvl w:val="2"/>
          <w:numId w:val="1"/>
        </w:numPr>
        <w:rPr/>
      </w:pPr>
      <w:bookmarkStart w:id="673" w:name="__RefHeading___Toc4284513_73709187"/>
      <w:bookmarkStart w:id="674" w:name="_Toc240"/>
      <w:bookmarkEnd w:id="673"/>
      <w:r>
        <w:rPr>
          <w:rtl w:val="true"/>
        </w:rPr>
        <w:t>فرق القرامطة</w:t>
      </w:r>
      <w:r>
        <w:rPr>
          <w:rtl w:val="true"/>
        </w:rPr>
        <w:t>:</w:t>
      </w:r>
      <w:bookmarkEnd w:id="674"/>
    </w:p>
    <w:p>
      <w:pPr>
        <w:pStyle w:val="BookText"/>
        <w:rPr/>
      </w:pPr>
      <w:r>
        <w:rPr>
          <w:rFonts w:ascii="Amiri" w:hAnsi="Amiri" w:eastAsia="Amiri" w:cs="Amiri"/>
          <w:color w:val="111111"/>
          <w:sz w:val="28"/>
          <w:sz w:val="28"/>
          <w:szCs w:val="28"/>
          <w:rtl w:val="true"/>
          <w:lang w:bidi="ar-SA"/>
        </w:rPr>
        <w:t>القرامطة توزّعوا في أيّام ظهورهم إلىٰ ثلاث فرق، و مرّوا في ثلاث مراحل، و تقلّبوا في ثلاثة أدوار</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الفرقة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قرامطة السّواد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سواد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أطلق لفظُ السواد علىٰ هذه المنطقة لكثرة النخيل الذي يُغَطِّي أرضها، و يطلق على هذه الفرقة </w:t>
      </w:r>
      <w:bookmarkStart w:id="675" w:name="pg11557_101501"/>
    </w:p>
    <w:p>
      <w:pPr>
        <w:pStyle w:val="BookText"/>
        <w:rPr/>
      </w:pPr>
      <w:bookmarkEnd w:id="675"/>
      <w:r>
        <w:rPr>
          <w:rFonts w:ascii="Amiri" w:hAnsi="Amiri" w:eastAsia="Amiri" w:cs="Amiri"/>
          <w:color w:val="111111"/>
          <w:sz w:val="28"/>
          <w:sz w:val="28"/>
          <w:szCs w:val="28"/>
          <w:rtl w:val="true"/>
          <w:lang w:bidi="ar-SA"/>
        </w:rPr>
        <w:t xml:space="preserve">كذلك، اسم قرامطة الشمال، و أبرز دعاتهم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مهرويه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قرامطة البحرين أو الخليج في شطه الغربي، و أبرزُ دعاتهم آل الجنابي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قرامطة القطيف و جنوبي البصرة، و أبرز دعاتهم أبو حاتم البوراني، و أبو الفوارس، و هذا يُعدُّ من كبارهم، و له مع الخليفة العباسي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محاورة مشهورة، و يُعتبر من أقوى الدعاة الّذين عرفهم القرامطة في تاريخهم</w:t>
      </w:r>
      <w:r>
        <w:rPr>
          <w:rFonts w:eastAsia="Amiri" w:cs="Amiri" w:ascii="Amiri" w:hAnsi="Amiri"/>
          <w:color w:val="111111"/>
          <w:sz w:val="28"/>
          <w:szCs w:val="28"/>
          <w:rtl w:val="true"/>
          <w:lang w:bidi="ar-SA"/>
        </w:rPr>
        <w:t>.</w:t>
      </w:r>
    </w:p>
    <w:p>
      <w:pPr>
        <w:pStyle w:val="Heading3"/>
        <w:numPr>
          <w:ilvl w:val="2"/>
          <w:numId w:val="1"/>
        </w:numPr>
        <w:rPr/>
      </w:pPr>
      <w:bookmarkStart w:id="676" w:name="__RefHeading___Toc4284515_73709187"/>
      <w:bookmarkStart w:id="677" w:name="_Toc241"/>
      <w:bookmarkEnd w:id="676"/>
      <w:r>
        <w:rPr>
          <w:rtl w:val="true"/>
        </w:rPr>
        <w:t>انقسام القرامطة إلى حركتين بعد ما كانت حركة واحدة</w:t>
      </w:r>
      <w:bookmarkEnd w:id="677"/>
    </w:p>
    <w:p>
      <w:pPr>
        <w:pStyle w:val="BookText"/>
        <w:rPr/>
      </w:pPr>
      <w:r>
        <w:rPr>
          <w:rFonts w:ascii="Amiri" w:hAnsi="Amiri" w:eastAsia="Amiri" w:cs="Amiri"/>
          <w:color w:val="111111"/>
          <w:sz w:val="28"/>
          <w:sz w:val="28"/>
          <w:szCs w:val="28"/>
          <w:rtl w:val="true"/>
          <w:lang w:bidi="ar-SA"/>
        </w:rPr>
        <w:t xml:space="preserve">عند ما هلك سليمان بن الحسن الجنابي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زعيم الدولة القرمطية في البحرين، الذي هتك حرمة الكعبة، و قتل الكثير من الحجاج، ترك أولاداً غير أكفاء لخلافته في الزعامة، فتنافس أخواه سعيد و أحمد على الولاية، و أدّى هذا التنافس إلى انقسام جماعة القرامطة إلى حركتين متعاديتين بعدَ أن كانوا حركة واحدة متجانسة، و كان على رأس إحدى هاتين الحركتين أبناء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طاهر الجنابي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معهم سابور، و عمه أحمد، و انضم إليهم كبار هذه الطائفة، و كان هؤلاء خاضعين للعُبيديين في المغرب يتلقون منهم التوجيه و ينفِّذون تعاليمهم، و قد أطلقوا على أنفسهم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الفرقة العقدانية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أصحاب العقيدة</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رأس الحركة الثانية، سعيد المذكور الذي رفض التبعية للعُبيديين و آثر الاستقلال بشئونه، و لأجل تقوية مركزه ضد العبيديّين، الذين لم يعترفوا به، اتجه لمصانعة العباسيين الذين سارعوا لموازرته بهدف تعميق الانقسام في صفوف هؤلاء القرامطة، لكي يسهل التخلص منهم جميعاً، و قد أدّى هذا الانقسام الذي رافقته حروب دامية بين الحركتين إلى التعجيل بنهاية القرامطة كقوة سياسية و مذهبية</w:t>
      </w:r>
      <w:r>
        <w:rPr>
          <w:rFonts w:eastAsia="Amiri" w:cs="Amiri" w:ascii="Amiri" w:hAnsi="Amiri"/>
          <w:color w:val="111111"/>
          <w:sz w:val="28"/>
          <w:szCs w:val="28"/>
          <w:rtl w:val="true"/>
          <w:lang w:bidi="ar-SA"/>
        </w:rPr>
        <w:t xml:space="preserve">. </w:t>
      </w:r>
      <w:bookmarkStart w:id="678" w:name="pg11557_101502"/>
    </w:p>
    <w:p>
      <w:pPr>
        <w:pStyle w:val="Heading3"/>
        <w:numPr>
          <w:ilvl w:val="2"/>
          <w:numId w:val="1"/>
        </w:numPr>
        <w:rPr/>
      </w:pPr>
      <w:bookmarkStart w:id="679" w:name="__RefHeading___Toc4284517_73709187"/>
      <w:bookmarkStart w:id="680" w:name="_Toc242"/>
      <w:bookmarkEnd w:id="678"/>
      <w:bookmarkEnd w:id="679"/>
      <w:r>
        <w:rPr>
          <w:rtl w:val="true"/>
        </w:rPr>
        <w:t>عقائد القرامطة</w:t>
      </w:r>
      <w:bookmarkEnd w:id="680"/>
    </w:p>
    <w:p>
      <w:pPr>
        <w:pStyle w:val="Heading4"/>
        <w:numPr>
          <w:ilvl w:val="3"/>
          <w:numId w:val="1"/>
        </w:numPr>
        <w:rPr/>
      </w:pPr>
      <w:bookmarkStart w:id="681" w:name="__RefHeading___Toc4284519_73709187"/>
      <w:bookmarkStart w:id="682" w:name="_Toc243"/>
      <w:bookmarkEnd w:id="681"/>
      <w:r>
        <w:rPr>
          <w:rtl w:val="true"/>
        </w:rPr>
        <w:t>اشارة</w:t>
      </w:r>
      <w:bookmarkEnd w:id="682"/>
    </w:p>
    <w:p>
      <w:pPr>
        <w:pStyle w:val="BookText"/>
        <w:rPr/>
      </w:pPr>
      <w:r>
        <w:rPr>
          <w:rFonts w:ascii="Amiri" w:hAnsi="Amiri" w:eastAsia="Amiri" w:cs="Amiri"/>
          <w:color w:val="111111"/>
          <w:sz w:val="28"/>
          <w:sz w:val="28"/>
          <w:szCs w:val="28"/>
          <w:rtl w:val="true"/>
          <w:lang w:bidi="ar-SA"/>
        </w:rPr>
        <w:t>إنّ عقائد القرامطة، هي مزيج من الحق و الباطل شأن كلّ فرقة زائفة، فأخذت بتبنّي الإمامة لأئمّة أهل البيت و إظهار الإخلاص لهم، و رفض الحكومات الأُموية و العباسية المخالفة للقرآن و السنّة و 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إليك بعض عقائدهم بشكل موجز</w:t>
      </w:r>
      <w:r>
        <w:rPr>
          <w:rFonts w:eastAsia="Amiri" w:cs="Amiri" w:ascii="Amiri" w:hAnsi="Amiri"/>
          <w:color w:val="111111"/>
          <w:sz w:val="28"/>
          <w:szCs w:val="28"/>
          <w:rtl w:val="true"/>
          <w:lang w:bidi="ar-SA"/>
        </w:rPr>
        <w:t>:</w:t>
      </w:r>
    </w:p>
    <w:p>
      <w:pPr>
        <w:pStyle w:val="Heading4"/>
        <w:numPr>
          <w:ilvl w:val="3"/>
          <w:numId w:val="1"/>
        </w:numPr>
        <w:rPr/>
      </w:pPr>
      <w:bookmarkStart w:id="683" w:name="__RefHeading___Toc4284521_73709187"/>
      <w:bookmarkStart w:id="684" w:name="_Toc244"/>
      <w:bookmarkEnd w:id="683"/>
      <w:r>
        <w:rPr/>
        <w:t>1</w:t>
      </w:r>
      <w:r>
        <w:rPr>
          <w:rtl w:val="true"/>
        </w:rPr>
        <w:t xml:space="preserve"> - </w:t>
      </w:r>
      <w:r>
        <w:rPr>
          <w:rtl w:val="true"/>
        </w:rPr>
        <w:t>نظرية الحلول عند القرامطة</w:t>
      </w:r>
      <w:bookmarkEnd w:id="684"/>
    </w:p>
    <w:p>
      <w:pPr>
        <w:pStyle w:val="BookText"/>
        <w:rPr/>
      </w:pPr>
      <w:r>
        <w:rPr>
          <w:rFonts w:ascii="Amiri" w:hAnsi="Amiri" w:eastAsia="Amiri" w:cs="Amiri"/>
          <w:color w:val="111111"/>
          <w:sz w:val="28"/>
          <w:sz w:val="28"/>
          <w:szCs w:val="28"/>
          <w:rtl w:val="true"/>
          <w:lang w:bidi="ar-SA"/>
        </w:rPr>
        <w:t>و القرامطة، قالوا بنظرية الحلول أو ما يسمى عند بعض الطوائف المعاصرة باسم حلول اللاهوت بالناسوت، فذهبوا إلىٰ أنّ أئمّتهم حلّت فيهم شخصيات الأنبياء السابقين الذين بعثهم اللّٰه في الأُمم الغابرة ابتداءً من آدم و انتهاءً بمحمّد صلّى اللّٰه عليه و آله و سلّم بل أنّهم تجاوزوا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دخل عبيد اللّٰه المهدي إلى رقادة بالمغرب مدحه محمد البديل، أحد موظفي الديوان عند أبي قضاعة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 برقادة المسيح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بها آدم و نوح</w:t>
      </w:r>
    </w:p>
    <w:p>
      <w:pPr>
        <w:pStyle w:val="BookText"/>
        <w:rPr/>
      </w:pPr>
      <w:r>
        <w:rPr>
          <w:rFonts w:ascii="Amiri" w:hAnsi="Amiri" w:eastAsia="Amiri" w:cs="Amiri"/>
          <w:color w:val="111111"/>
          <w:sz w:val="28"/>
          <w:sz w:val="28"/>
          <w:szCs w:val="28"/>
          <w:rtl w:val="true"/>
          <w:lang w:bidi="ar-SA"/>
        </w:rPr>
        <w:t xml:space="preserve">حل بها أحمد المصفّى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بها الكبش و الذبيح</w:t>
      </w:r>
    </w:p>
    <w:p>
      <w:pPr>
        <w:pStyle w:val="BookText"/>
        <w:rPr/>
      </w:pPr>
      <w:r>
        <w:rPr>
          <w:rFonts w:ascii="Amiri" w:hAnsi="Amiri" w:eastAsia="Amiri" w:cs="Amiri"/>
          <w:color w:val="111111"/>
          <w:sz w:val="28"/>
          <w:sz w:val="28"/>
          <w:szCs w:val="28"/>
          <w:rtl w:val="true"/>
          <w:lang w:bidi="ar-SA"/>
        </w:rPr>
        <w:t xml:space="preserve">حل بها ذو 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شيء سواه ريح</w:t>
      </w:r>
    </w:p>
    <w:p>
      <w:pPr>
        <w:pStyle w:val="Heading4"/>
        <w:numPr>
          <w:ilvl w:val="3"/>
          <w:numId w:val="1"/>
        </w:numPr>
        <w:rPr/>
      </w:pPr>
      <w:bookmarkStart w:id="685" w:name="__RefHeading___Toc4284523_73709187"/>
      <w:bookmarkStart w:id="686" w:name="_Toc245"/>
      <w:bookmarkEnd w:id="685"/>
      <w:r>
        <w:rPr/>
        <w:t>2</w:t>
      </w:r>
      <w:r>
        <w:rPr>
          <w:rtl w:val="true"/>
        </w:rPr>
        <w:t xml:space="preserve"> - </w:t>
      </w:r>
      <w:r>
        <w:rPr>
          <w:rtl w:val="true"/>
        </w:rPr>
        <w:t>الغلو عند القرامطة</w:t>
      </w:r>
      <w:bookmarkEnd w:id="686"/>
    </w:p>
    <w:p>
      <w:pPr>
        <w:pStyle w:val="BookText"/>
        <w:rPr/>
      </w:pPr>
      <w:r>
        <w:rPr>
          <w:rFonts w:ascii="Amiri" w:hAnsi="Amiri" w:eastAsia="Amiri" w:cs="Amiri"/>
          <w:color w:val="111111"/>
          <w:sz w:val="28"/>
          <w:sz w:val="28"/>
          <w:szCs w:val="28"/>
          <w:rtl w:val="true"/>
          <w:lang w:bidi="ar-SA"/>
        </w:rPr>
        <w:t>تعتقد القرامطة أنّ الإمام القائم هو محمد بن إسماعيل الذي يبعث بالرسل، و يسن شريعة جديدة ينسخ بها شريعة النبي محمد صلّى اللّٰه عليه و آله و سلّم</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يعتقد القرامطة بأنّ روح اللّٰه تعالى تحل في أجساد أئمتهم فتعصمهم من </w:t>
      </w:r>
      <w:bookmarkStart w:id="687" w:name="pg11557_101503"/>
    </w:p>
    <w:p>
      <w:pPr>
        <w:pStyle w:val="BookText"/>
        <w:rPr/>
      </w:pPr>
      <w:bookmarkEnd w:id="687"/>
      <w:r>
        <w:rPr>
          <w:rFonts w:ascii="IRNazanin" w:hAnsi="IRNazanin" w:eastAsia="IRNazanin"/>
          <w:color w:val="111111"/>
          <w:sz w:val="28"/>
          <w:sz w:val="28"/>
          <w:szCs w:val="28"/>
          <w:rtl w:val="true"/>
          <w:lang w:bidi="fa-IR"/>
        </w:rPr>
        <w:t>الزلل و ترشدهم إلى صالح 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يعتقدون أيضاً أنّ أئمّتهم السبعة هم السبع المثاني الذين أشار القرآن الكريم إليهم، و رفعوهم إلى حدّ المغالاة</w:t>
      </w:r>
      <w:r>
        <w:rPr>
          <w:rFonts w:eastAsia="Amiri" w:cs="Amiri" w:ascii="Amiri" w:hAnsi="Amiri"/>
          <w:color w:val="111111"/>
          <w:sz w:val="28"/>
          <w:szCs w:val="28"/>
          <w:rtl w:val="true"/>
          <w:lang w:bidi="ar-SA"/>
        </w:rPr>
        <w:t>.</w:t>
      </w:r>
    </w:p>
    <w:p>
      <w:pPr>
        <w:pStyle w:val="Heading4"/>
        <w:numPr>
          <w:ilvl w:val="3"/>
          <w:numId w:val="1"/>
        </w:numPr>
        <w:rPr/>
      </w:pPr>
      <w:bookmarkStart w:id="688" w:name="__RefHeading___Toc4284525_73709187"/>
      <w:bookmarkStart w:id="689" w:name="_Toc246"/>
      <w:bookmarkEnd w:id="688"/>
      <w:r>
        <w:rPr/>
        <w:t>3</w:t>
      </w:r>
      <w:r>
        <w:rPr>
          <w:rtl w:val="true"/>
        </w:rPr>
        <w:t xml:space="preserve"> - </w:t>
      </w:r>
      <w:r>
        <w:rPr>
          <w:rtl w:val="true"/>
        </w:rPr>
        <w:t>التأويل الباطني في تفسير القرآن</w:t>
      </w:r>
      <w:bookmarkEnd w:id="689"/>
    </w:p>
    <w:p>
      <w:pPr>
        <w:pStyle w:val="BookText"/>
        <w:rPr/>
      </w:pPr>
      <w:r>
        <w:rPr>
          <w:rFonts w:ascii="Amiri" w:hAnsi="Amiri" w:eastAsia="Amiri" w:cs="Amiri"/>
          <w:color w:val="111111"/>
          <w:sz w:val="28"/>
          <w:sz w:val="28"/>
          <w:szCs w:val="28"/>
          <w:rtl w:val="true"/>
          <w:lang w:bidi="ar-SA"/>
        </w:rPr>
        <w:t>تفردت الباطنية بتفسير القرآن الكريم علىٰ طريقة التأويل الباطني، و هو أن يتجاوز الإنسان المعنى الظاهري للآية و يتجه إلى فهمها عن طريق تفسير كلماتها بما يخيل إليه أنّه المقصود الحقيقي من كلام اللّٰه، و من الطبيعي أن يعتمد الباطنيون هذه الطريقة لتحميل الآيات المعنىٰ الذي يؤيد وجهة نظرهم و أفكارهم المذهبية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التأويل بمعناه الواقعي لدى الإسماعيليين يختلف عن التفسير المعمول به لدى عامة الفرق الإسلامية الأُخرى، و التفسير معناه جلاء المعنى لكلّ كلمة غامضة لا يفهم معناها القارئ و التأويل باطن المعنى أو رمزه أو جوهره و هو حقيقة مستترة وراء لفظة لا تدل عليها، و من هنا أعطى النظام الإسماعيلي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 القرمطي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الفكري صلاحية التفسير للناطق و وهب صلاحية التأويل للإمام، فالناطق اعتبر ممثلاً للشريعة و الأحكام و الفقه و القانون الظاهر، و الإمام اعتبر ممثلاً للحقيقة و التأويل، و الفلسفة و الباطن، و من الواضح أنّ أوّل منهاج دعوا إليه هو نظام التأويل، فإنّهم هذّبوه و صقلوه بأفكارهم و أدخلوا فيه النظرية العقلية التي تشذب الفعل و التسليم ليثبتوا للعالم الإسلامي انّهم من العريقين في فهم الأُصول الإسلامية، فقالوا بالباطن و ضرورته كما قالوا بالظاهر إلى جانبه، فلا يقبل الظاهر دون الباطن، و لا ينفع الباطن دون الظاهر، لأنّ الباطن و الظاهر كالجسد و الروح تولد في اجتماعهما الفوائد و معرفة المقاصد</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للقرآن مدلولاً، ظاهرياً و باطنياً، فالمعنى الظاهري و اللغوي ليس هو المقصود بالذات و التمسك بهذا المعنىٰ يوجب العذاب و المشقة، أمّا الأخذ </w:t>
      </w:r>
      <w:bookmarkStart w:id="690" w:name="pg11557_101504"/>
    </w:p>
    <w:p>
      <w:pPr>
        <w:pStyle w:val="BookText"/>
        <w:rPr/>
      </w:pPr>
      <w:bookmarkEnd w:id="690"/>
      <w:r>
        <w:rPr>
          <w:rFonts w:ascii="Amiri" w:hAnsi="Amiri" w:eastAsia="Amiri" w:cs="Amiri"/>
          <w:color w:val="111111"/>
          <w:sz w:val="28"/>
          <w:sz w:val="28"/>
          <w:szCs w:val="28"/>
          <w:rtl w:val="true"/>
          <w:lang w:bidi="ar-SA"/>
        </w:rPr>
        <w:t xml:space="preserve">بالمعنى الباطني فهو يوجب الانشراح و السعادة، لأنّه يقضي بترك التكاليف و الأعمال الظاهرة و كان ابن ميمون يدس هذه الفكرة بصورة خفية و باطنة و ما كان يتظاهر بها تجاه غير الإسماعيليين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القرامطة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كانت هذه الطريقة مبالغ فيها</w:t>
      </w:r>
      <w:r>
        <w:rPr>
          <w:rFonts w:eastAsia="Amiri" w:cs="Amiri" w:ascii="Amiri" w:hAnsi="Amiri"/>
          <w:color w:val="111111"/>
          <w:sz w:val="28"/>
          <w:szCs w:val="28"/>
          <w:rtl w:val="true"/>
          <w:lang w:bidi="ar-SA"/>
        </w:rPr>
        <w:t>.</w:t>
      </w:r>
    </w:p>
    <w:p>
      <w:pPr>
        <w:pStyle w:val="Heading3"/>
        <w:numPr>
          <w:ilvl w:val="2"/>
          <w:numId w:val="1"/>
        </w:numPr>
        <w:rPr/>
      </w:pPr>
      <w:bookmarkStart w:id="691" w:name="__RefHeading___Toc4284527_73709187"/>
      <w:bookmarkStart w:id="692" w:name="_Toc247"/>
      <w:bookmarkEnd w:id="691"/>
      <w:r>
        <w:rPr>
          <w:rtl w:val="true"/>
        </w:rPr>
        <w:t>نهاية القرامطة سياسياً و عسكرياً</w:t>
      </w:r>
      <w:bookmarkEnd w:id="692"/>
    </w:p>
    <w:p>
      <w:pPr>
        <w:pStyle w:val="Heading4"/>
        <w:numPr>
          <w:ilvl w:val="3"/>
          <w:numId w:val="1"/>
        </w:numPr>
        <w:rPr/>
      </w:pPr>
      <w:bookmarkStart w:id="693" w:name="__RefHeading___Toc4284529_73709187"/>
      <w:bookmarkStart w:id="694" w:name="_Toc248"/>
      <w:bookmarkEnd w:id="693"/>
      <w:r>
        <w:rPr>
          <w:rtl w:val="true"/>
        </w:rPr>
        <w:t>اشارة</w:t>
      </w:r>
      <w:bookmarkEnd w:id="694"/>
    </w:p>
    <w:p>
      <w:pPr>
        <w:pStyle w:val="BookText"/>
        <w:rPr/>
      </w:pPr>
      <w:r>
        <w:rPr>
          <w:rFonts w:ascii="Amiri" w:hAnsi="Amiri" w:eastAsia="Amiri" w:cs="Amiri"/>
          <w:color w:val="111111"/>
          <w:sz w:val="28"/>
          <w:sz w:val="28"/>
          <w:szCs w:val="28"/>
          <w:rtl w:val="true"/>
          <w:lang w:bidi="ar-SA"/>
        </w:rPr>
        <w:t>في منتصف القرن الرابع الهجري دخل القرامطة النهاية لأسباب ذاتية و أُخرى خارجية، و ما لبثوا أن زالوا عن مسرح الصراع في المشرق العربي من الناحيتين السياسية و العسكرية</w:t>
      </w:r>
      <w:r>
        <w:rPr>
          <w:rFonts w:eastAsia="Amiri" w:cs="Amiri" w:ascii="Amiri" w:hAnsi="Amiri"/>
          <w:color w:val="111111"/>
          <w:sz w:val="28"/>
          <w:szCs w:val="28"/>
          <w:rtl w:val="true"/>
          <w:lang w:bidi="ar-SA"/>
        </w:rPr>
        <w:t>.</w:t>
      </w:r>
    </w:p>
    <w:p>
      <w:pPr>
        <w:pStyle w:val="Heading4"/>
        <w:numPr>
          <w:ilvl w:val="3"/>
          <w:numId w:val="1"/>
        </w:numPr>
        <w:rPr/>
      </w:pPr>
      <w:bookmarkStart w:id="695" w:name="__RefHeading___Toc4284531_73709187"/>
      <w:bookmarkStart w:id="696" w:name="_Toc249"/>
      <w:bookmarkEnd w:id="695"/>
      <w:r>
        <w:rPr>
          <w:rtl w:val="true"/>
        </w:rPr>
        <w:t>الأسباب الذاتية</w:t>
      </w:r>
      <w:bookmarkEnd w:id="696"/>
    </w:p>
    <w:p>
      <w:pPr>
        <w:pStyle w:val="BookText"/>
        <w:rPr/>
      </w:pPr>
      <w:r>
        <w:rPr>
          <w:rFonts w:ascii="Amiri" w:hAnsi="Amiri" w:eastAsia="Amiri" w:cs="Amiri"/>
          <w:color w:val="111111"/>
          <w:sz w:val="28"/>
          <w:sz w:val="28"/>
          <w:szCs w:val="28"/>
          <w:rtl w:val="true"/>
          <w:lang w:bidi="ar-SA"/>
        </w:rPr>
        <w:t xml:space="preserve">من الواضح أنّ الحركة القرمطية لم تستطع إخفاء مقاصدها الحقيقية في محاربة العقيدة الإسلامية الصحيحة لا سيما بعد الانتصارات المحلية لبعض زعمائها على السلطة العباسية، فقد أساء المتأخرون من هؤلاء الزعماء التصرف بالنسبة للمجتمع الإسلامي آنذاك، حتى أنّ العبيديين و هم على منوالهم في الاتجاه السياسي و العقائدي اضطروا إلى أن يتبرءوا منهم و أن يهاجموهم عسكرياً في أماكن تواجدهم، حيث أوعزوا إلى قائدهم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جوهر الصقلي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يذيع بياناً يستنكر فيه أعمال القرامطة و يتبرّأ من تصرفاتهم المغايرة للإسلام و الضارة بالمسلمين، علىٰ أنّ جوهر لم يكتف بهذا البيان بل حاربهم فعلاً على أرض فلسطين في الرملة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هذه المعركة بداية النهاية بالنسبة للحركة القرمطية و لأتباعها على مختلف المستويات و في جميع البلدان التي انتشروا فيها بقوة الدعاية التبشيرية أو بقوة السلاح و الأرهاب</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إنّه يمكن القول بأنّ حادثة العدوان الذي قام به القرامطة على مكة </w:t>
      </w:r>
    </w:p>
    <w:p>
      <w:pPr>
        <w:pStyle w:val="BookText"/>
        <w:rPr/>
      </w:pPr>
      <w:r>
        <w:rPr>
          <w:rFonts w:ascii="Amiri" w:hAnsi="Amiri" w:eastAsia="Amiri" w:cs="Amiri"/>
          <w:color w:val="111111"/>
          <w:sz w:val="28"/>
          <w:sz w:val="28"/>
          <w:szCs w:val="28"/>
          <w:rtl w:val="true"/>
          <w:lang w:bidi="ar-SA"/>
        </w:rPr>
        <w:t>المكرمة بقيادة أبي طاهر الجنابي، و ما رافق ذلك من قتل الحجاج، و اقتلاع الحجر الأسود من مكانه، و أخذه إلى هجر، إنّ هذه الحادثة كانت بمثابة القنبلة الموقوتة التي انفجرت بعد حين و دمرت الكيان القرامطي من أساسه، حتى أنّ أبا محمد عبيد اللّٰه الذي أسس الدولة العبيدية و كان هو نفسه قرمطي العقيدة استهول هذه الحادثة و أفزعته مضاعفاتها السلبية في الأوساط الإسلامية، فأرسل كتاباً لنظرائه قرامطة البحرين ينكر فيه عليهم فعلتهم الشنيعة و يلوم أبا طاهر المذكور و يلعنه و يقيم عليه القيامة،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حقّقت على شيعتنا و دعاة دولتنا اسم الكفر و الإلحاد بما فعلت و إن لم ترد علىٰ أهل مكة و على غيرهم من الحجاج ما أخذت منهم، و ترد الحجر الأسود إلى مكانه، و ترد كسوة الكعبة فأنا بريء منك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الحادثة المشئومة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 فإنّنا نرى من الفائدة تسجيل وجهة نظر القرامطة في هذه الحادثة كما عبّر عنها أبو طاهر القرمطي الذي اقترف هذه الجريمة النكراء، و ذلك من خلال الشعر الذي قاله في هذه المناسبة، و الرد الذي أرسله إلى الخليفة العباسي المقتدر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طاهر في تبرير اقتلاع الحجر الأسود و العدوان على البيت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كان هذا البيت للّٰه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لصب علينا النار من فوقنا صبا</w:t>
      </w:r>
    </w:p>
    <w:p>
      <w:pPr>
        <w:pStyle w:val="BookText"/>
        <w:rPr/>
      </w:pPr>
      <w:r>
        <w:rPr>
          <w:rFonts w:ascii="Amiri" w:hAnsi="Amiri" w:eastAsia="Amiri" w:cs="Amiri"/>
          <w:color w:val="111111"/>
          <w:sz w:val="28"/>
          <w:sz w:val="28"/>
          <w:szCs w:val="28"/>
          <w:rtl w:val="true"/>
          <w:lang w:bidi="ar-SA"/>
        </w:rPr>
        <w:t xml:space="preserve">لانّا حججنا حجة 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مجللة لم تبق شرقاً و لا غرباً</w:t>
      </w:r>
    </w:p>
    <w:p>
      <w:pPr>
        <w:pStyle w:val="BookText"/>
        <w:rPr/>
      </w:pPr>
      <w:r>
        <w:rPr>
          <w:rFonts w:ascii="Amiri" w:hAnsi="Amiri" w:eastAsia="Amiri" w:cs="Amiri"/>
          <w:color w:val="111111"/>
          <w:sz w:val="28"/>
          <w:sz w:val="28"/>
          <w:szCs w:val="28"/>
          <w:rtl w:val="true"/>
          <w:lang w:bidi="ar-SA"/>
        </w:rPr>
        <w:t xml:space="preserve">و انّا تركنا بين زمزم و 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كتائب، لا تبغي سوى ربها ربا</w:t>
      </w:r>
    </w:p>
    <w:p>
      <w:pPr>
        <w:pStyle w:val="BookText"/>
        <w:rPr/>
      </w:pPr>
      <w:r>
        <w:rPr>
          <w:rFonts w:ascii="Amiri" w:hAnsi="Amiri" w:eastAsia="Amiri" w:cs="Amiri"/>
          <w:color w:val="111111"/>
          <w:sz w:val="28"/>
          <w:sz w:val="28"/>
          <w:szCs w:val="28"/>
          <w:rtl w:val="true"/>
          <w:lang w:bidi="ar-SA"/>
        </w:rPr>
        <w:t xml:space="preserve">و لكن ربّ العرش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يتخذ بيتاً و لم يتخذ حجبا</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العوامل الذاتية الأُخرى التي أضعفت القرامطة و أدّت إلى ذهاب ريحهم و اضمحلال شوكتهم، الانقسام الذي فرّق أمرهم فيما بينهم، و خاصة بعد موت أبي طاهر سليمان مما اضطرهم إلى تعديل نظام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 العقدانية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تحويله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مجلس السادة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أوهن قيادتهم المركزية، و الحروب التي شنها بعضهم على </w:t>
      </w:r>
      <w:bookmarkStart w:id="697" w:name="pg11557_101506"/>
    </w:p>
    <w:p>
      <w:pPr>
        <w:pStyle w:val="BookText"/>
        <w:rPr/>
      </w:pPr>
      <w:bookmarkEnd w:id="697"/>
      <w:r>
        <w:rPr>
          <w:rFonts w:ascii="Amiri" w:hAnsi="Amiri" w:eastAsia="Amiri" w:cs="Amiri"/>
          <w:color w:val="111111"/>
          <w:sz w:val="28"/>
          <w:sz w:val="28"/>
          <w:szCs w:val="28"/>
          <w:rtl w:val="true"/>
          <w:lang w:bidi="ar-SA"/>
        </w:rPr>
        <w:t xml:space="preserve">بعض في عهدي أبي طاهر و الاعلم خارج مركز قوتهم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كبدهم أموالاً طائلة، و أضعف مواقفهم بعد كل معركة، و أدى إلى قيام حركات انفصالية داخل مجموعتهم لا سيما في عمان و اليمن</w:t>
      </w:r>
      <w:r>
        <w:rPr>
          <w:rFonts w:eastAsia="Amiri" w:cs="Amiri" w:ascii="Amiri" w:hAnsi="Amiri"/>
          <w:color w:val="111111"/>
          <w:sz w:val="28"/>
          <w:szCs w:val="28"/>
          <w:rtl w:val="true"/>
          <w:lang w:bidi="ar-SA"/>
        </w:rPr>
        <w:t>.</w:t>
      </w:r>
    </w:p>
    <w:p>
      <w:pPr>
        <w:pStyle w:val="Heading4"/>
        <w:numPr>
          <w:ilvl w:val="3"/>
          <w:numId w:val="1"/>
        </w:numPr>
        <w:rPr/>
      </w:pPr>
      <w:bookmarkStart w:id="698" w:name="__RefHeading___Toc4284533_73709187"/>
      <w:bookmarkStart w:id="699" w:name="_Toc250"/>
      <w:bookmarkEnd w:id="698"/>
      <w:r>
        <w:rPr>
          <w:rtl w:val="true"/>
        </w:rPr>
        <w:t>الأسباب الخارجية</w:t>
      </w:r>
      <w:bookmarkEnd w:id="699"/>
    </w:p>
    <w:p>
      <w:pPr>
        <w:pStyle w:val="BookText"/>
        <w:rPr/>
      </w:pPr>
      <w:r>
        <w:rPr>
          <w:rFonts w:ascii="Amiri" w:hAnsi="Amiri" w:eastAsia="Amiri" w:cs="Amiri"/>
          <w:color w:val="111111"/>
          <w:sz w:val="28"/>
          <w:sz w:val="28"/>
          <w:szCs w:val="28"/>
          <w:rtl w:val="true"/>
          <w:lang w:bidi="ar-SA"/>
        </w:rPr>
        <w:t>أمّا الأسباب الخارجية التي أدّت إلى زوال الحركة كدولة و نظام و مجتمع، فإنّ المؤرخين يردّون ذلك إلى الظواهر السلبية التي عانوا منها في أُخريات أيامهم و هي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ظهور دولة بني بويه المناوئة للقرامطة التي نجحت في جرهم إلى حروب جانبية خلقت لهم أعداء من كلّ جانب، و خاصة من الدولة العبيدية المصرية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قلة الأموال التي كانت بحوزتهم، فلم يعودوا يتمكنون من الاستمرار في صرف المعتاد من العطايا على البدو ممّا أضعف موالاة هؤلاء لهم، و تحوّلوا عنهم إلى العباسيين لهذا السبب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انقلاب قبائل إقليم البحرين نفسها عليهم،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عقيل و بني تغلب، و نجاح هذه القبائل بالتغلب على بعض أطراف الدولة القرمطية مثل القطيف و ما جاورها</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العوامل الخارجية الأُخرىٰ التي قادت القرامطة إلى نهايتهم و تلاشيهم أنّ أسيادهم و حلفاءهم و رفاقهم في الاتجاه المذهبي و المبادئ العقائدية، نعني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العبيديين حكام القاهرة، انقلبوا عليهم بعد أن ضاقوا ذرعاً بتأرجحهم بين الولاء لبغداد و بين الاستسلام للقاهرة، و بخروجهم عن كلّ حد، و زاد غيّهم و سفكهم للدماء و غزوا مكة و فتكوا بالحاج و اقتحموا البيت الحرام، و لمّا ذهبوا في جرأتهم إلىٰ مهاجمة الدولة الفاطمية ذاتها في الشام و انتزعوا منها دمشق و هاجموها في مصر منزلها الجديد، تنكرت لهم و أنكرت ثورتهم و تبرأت منهم</w:t>
      </w:r>
      <w:r>
        <w:rPr>
          <w:rFonts w:eastAsia="Amiri" w:cs="Amiri" w:ascii="Amiri" w:hAnsi="Amiri"/>
          <w:color w:val="111111"/>
          <w:sz w:val="28"/>
          <w:szCs w:val="28"/>
          <w:rtl w:val="true"/>
          <w:lang w:bidi="ar-SA"/>
        </w:rPr>
        <w:t xml:space="preserve">. </w:t>
      </w:r>
      <w:bookmarkStart w:id="700" w:name="pg11557_101507"/>
    </w:p>
    <w:p>
      <w:pPr>
        <w:pStyle w:val="Heading3"/>
        <w:numPr>
          <w:ilvl w:val="2"/>
          <w:numId w:val="1"/>
        </w:numPr>
        <w:rPr/>
      </w:pPr>
      <w:bookmarkStart w:id="701" w:name="__RefHeading___Toc4284535_73709187"/>
      <w:bookmarkStart w:id="702" w:name="_Toc251"/>
      <w:bookmarkEnd w:id="700"/>
      <w:bookmarkEnd w:id="701"/>
      <w:r>
        <w:rPr>
          <w:rtl w:val="true"/>
        </w:rPr>
        <w:t>نهاية القرامطة</w:t>
      </w:r>
      <w:bookmarkEnd w:id="702"/>
    </w:p>
    <w:p>
      <w:pPr>
        <w:pStyle w:val="Heading4"/>
        <w:numPr>
          <w:ilvl w:val="3"/>
          <w:numId w:val="1"/>
        </w:numPr>
        <w:rPr/>
      </w:pPr>
      <w:bookmarkStart w:id="703" w:name="__RefHeading___Toc4284537_73709187"/>
      <w:bookmarkStart w:id="704" w:name="_Toc252"/>
      <w:bookmarkEnd w:id="703"/>
      <w:r>
        <w:rPr>
          <w:rtl w:val="true"/>
        </w:rPr>
        <w:t>اشارة</w:t>
      </w:r>
      <w:bookmarkEnd w:id="704"/>
    </w:p>
    <w:p>
      <w:pPr>
        <w:pStyle w:val="BookText"/>
        <w:rPr/>
      </w:pPr>
      <w:r>
        <w:rPr>
          <w:rFonts w:ascii="Amiri" w:hAnsi="Amiri" w:eastAsia="Amiri" w:cs="Amiri"/>
          <w:color w:val="111111"/>
          <w:sz w:val="28"/>
          <w:sz w:val="28"/>
          <w:szCs w:val="28"/>
          <w:rtl w:val="true"/>
          <w:lang w:bidi="ar-SA"/>
        </w:rPr>
        <w:t>و قد مرت نهاية القرامطة في مرحلتين</w:t>
      </w:r>
      <w:r>
        <w:rPr>
          <w:rFonts w:eastAsia="Amiri" w:cs="Amiri" w:ascii="Amiri" w:hAnsi="Amiri"/>
          <w:color w:val="111111"/>
          <w:sz w:val="28"/>
          <w:szCs w:val="28"/>
          <w:rtl w:val="true"/>
          <w:lang w:bidi="ar-SA"/>
        </w:rPr>
        <w:t>:</w:t>
      </w:r>
    </w:p>
    <w:p>
      <w:pPr>
        <w:pStyle w:val="Heading4"/>
        <w:numPr>
          <w:ilvl w:val="3"/>
          <w:numId w:val="1"/>
        </w:numPr>
        <w:rPr/>
      </w:pPr>
      <w:bookmarkStart w:id="705" w:name="__RefHeading___Toc4284539_73709187"/>
      <w:bookmarkStart w:id="706" w:name="_Toc253"/>
      <w:bookmarkEnd w:id="705"/>
      <w:r>
        <w:rPr>
          <w:rtl w:val="true"/>
        </w:rPr>
        <w:t>الأُولى</w:t>
      </w:r>
      <w:r>
        <w:rPr>
          <w:rtl w:val="true"/>
        </w:rPr>
        <w:t xml:space="preserve">: </w:t>
      </w:r>
      <w:r>
        <w:rPr>
          <w:rtl w:val="true"/>
        </w:rPr>
        <w:t>يوم طردوا من جزيرة أوال في البحرين</w:t>
      </w:r>
      <w:bookmarkEnd w:id="706"/>
    </w:p>
    <w:p>
      <w:pPr>
        <w:pStyle w:val="BookText"/>
        <w:rPr/>
      </w:pPr>
      <w:r>
        <w:rPr>
          <w:rFonts w:ascii="Amiri" w:hAnsi="Amiri" w:eastAsia="Amiri" w:cs="Amiri"/>
          <w:color w:val="111111"/>
          <w:sz w:val="28"/>
          <w:sz w:val="28"/>
          <w:szCs w:val="28"/>
          <w:rtl w:val="true"/>
          <w:lang w:bidi="ar-SA"/>
        </w:rPr>
        <w:t xml:space="preserve">ففي سنة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خرجت الجزيرة المذكورة عن طاعتهم و والت العباسيين بعد سلسلة الحروب الداخلية التي خاضها المسلمون و المجاعة في هذه الجزيرة، فقد بنى أهل البحرين مسجداً لجذب التجار إلىٰ جزيرتهم، و لمّا فرغوا من بناء هذا المسجد آل أمر الجزيرة إلى العباسيين</w:t>
      </w:r>
      <w:r>
        <w:rPr>
          <w:rFonts w:eastAsia="Amiri" w:cs="Amiri" w:ascii="Amiri" w:hAnsi="Amiri"/>
          <w:color w:val="111111"/>
          <w:sz w:val="28"/>
          <w:szCs w:val="28"/>
          <w:rtl w:val="true"/>
          <w:lang w:bidi="ar-SA"/>
        </w:rPr>
        <w:t>.</w:t>
      </w:r>
    </w:p>
    <w:p>
      <w:pPr>
        <w:pStyle w:val="Heading4"/>
        <w:numPr>
          <w:ilvl w:val="3"/>
          <w:numId w:val="1"/>
        </w:numPr>
        <w:rPr/>
      </w:pPr>
      <w:bookmarkStart w:id="707" w:name="__RefHeading___Toc4284541_73709187"/>
      <w:bookmarkStart w:id="708" w:name="_Toc254"/>
      <w:bookmarkEnd w:id="707"/>
      <w:r>
        <w:rPr>
          <w:rtl w:val="true"/>
        </w:rPr>
        <w:t>الثانية</w:t>
      </w:r>
      <w:r>
        <w:rPr>
          <w:rtl w:val="true"/>
        </w:rPr>
        <w:t xml:space="preserve">: </w:t>
      </w:r>
      <w:r>
        <w:rPr>
          <w:rtl w:val="true"/>
        </w:rPr>
        <w:t>استئصال شأفتهم نهائياً من هذه البلاد</w:t>
      </w:r>
      <w:bookmarkEnd w:id="708"/>
    </w:p>
    <w:p>
      <w:pPr>
        <w:pStyle w:val="BookText"/>
        <w:rPr/>
      </w:pPr>
      <w:r>
        <w:rPr>
          <w:rFonts w:ascii="Amiri" w:hAnsi="Amiri" w:eastAsia="Amiri" w:cs="Amiri"/>
          <w:color w:val="111111"/>
          <w:sz w:val="28"/>
          <w:sz w:val="28"/>
          <w:szCs w:val="28"/>
          <w:rtl w:val="true"/>
          <w:lang w:bidi="ar-SA"/>
        </w:rPr>
        <w:t xml:space="preserve">كانت هزيمة القرامطة في جزيرة أوال ذات أثر سلبي كبير عليهم، إذ عمد سكان الجزيرة إلى الاتصال بالسلاجقة و العباسيين في العراق و في سنة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بعثت بغداد بجيوش ألحقت الهزيمة تلو الهزيمة بالقرامطة، فاضطروا للارتداد إلى الأحساء، فلحقت بهم إلى الأحساء و حرضوا عليهم السكان بالمنشورات التي يستحثونهم فيها على الانضواء تحت لواء العباسيين في جهاد المبطلين القرامطة الملحدين، و في استئصال ذكرهم، و تطهير تلك البقعة من دنس كفرهم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فاستجاب أهالي البلاد لهذه الإثارة و انضموا إلى العساكر العباسيّة، و أصبح القرامطة محاطين بأعدائهم في شمالي الأحساء الذين انتصروا عليهم في معركة الخندق سنة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تعد هذه الواقعة من الوقائع الحاسمة في تاريخ الحركة القرمطية، لأنّها قضت علىٰ دولة القرامطة و ألغت وجودها نهائياً من خارطة العالم الإسلامي</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قد لخصنا هذا المقال من كتاب طه ولي بتصرف يسير لما لمسنا منه من تطرف للحكم العربي المتمثل في الدولة الأُموية و العباسية حيث رأى أنّهما يمثلان الدولة الإسلامية الشرعية المجسدة لأهداف النبي صلّى اللّٰه عليه و آله و سلّم و آماله</w:t>
      </w:r>
      <w:r>
        <w:rPr>
          <w:rFonts w:eastAsia="Amiri" w:cs="Amiri" w:ascii="Amiri" w:hAnsi="Amiri"/>
          <w:color w:val="111111"/>
          <w:sz w:val="28"/>
          <w:szCs w:val="28"/>
          <w:rtl w:val="true"/>
          <w:lang w:bidi="ar-SA"/>
        </w:rPr>
        <w:t xml:space="preserve">. </w:t>
      </w:r>
      <w:bookmarkStart w:id="709" w:name="pg11557_101508"/>
    </w:p>
    <w:p>
      <w:pPr>
        <w:pStyle w:val="Heading2"/>
        <w:numPr>
          <w:ilvl w:val="1"/>
          <w:numId w:val="1"/>
        </w:numPr>
        <w:rPr/>
      </w:pPr>
      <w:bookmarkStart w:id="710" w:name="__RefHeading___Toc4284543_73709187"/>
      <w:bookmarkStart w:id="711" w:name="_Toc255"/>
      <w:bookmarkEnd w:id="709"/>
      <w:bookmarkEnd w:id="710"/>
      <w:r>
        <w:rPr>
          <w:rtl w:val="true"/>
        </w:rPr>
        <w:t>الفصل السادس عشر</w:t>
      </w:r>
      <w:r>
        <w:rPr>
          <w:rtl w:val="true"/>
        </w:rPr>
        <w:t xml:space="preserve">: </w:t>
      </w:r>
      <w:r>
        <w:rPr>
          <w:rtl w:val="true"/>
        </w:rPr>
        <w:t>في فرقة الدروز</w:t>
      </w:r>
      <w:bookmarkEnd w:id="711"/>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12" w:name="__RefHeading___Toc4284545_73709187"/>
      <w:bookmarkStart w:id="713" w:name="_Toc256"/>
      <w:bookmarkEnd w:id="712"/>
      <w:r>
        <w:rPr>
          <w:rtl w:val="true"/>
        </w:rPr>
        <w:t>اشارة</w:t>
      </w:r>
      <w:bookmarkEnd w:id="713"/>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الدروز هي جمع الدرزي، و العامة تتكلّم بضم الدال، و الصحيح هو فتحها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انّ الكلمة تركية بمعنى الخياط، و هي من الكلمات الدخيلة على العربية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درز يدرز درزاً، الثوب، خاطه، و الدرزي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الدروز فرقة من الباطنية لهم عقائد سرية متفرقون بين جبال لبنان و حوران و الجبل الأعلى من أعمال 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يكتب عن الدروز شيء يصح الاعتماد عليه و لا هم من الطوائف التي تنشر عقائدها حتى يجد الباحث ما يعتمد عليه من الوثائق</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كتب عنهم المستشرقون أشياءً لا يمكن الاعتماد عليها، و قد سبق منّا في ترجمة الإمام الحادي عشر الحاكم باللّٰه انّ الإسماعيلية كانت فرقة واحدة و طرأ عليهم الانشقاق بالقول بألوهية الحاكم و غيبته و هم اليوم معروفون بالدروز،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الحاكم استدعى الحمزة بن علي الفارسي الملقّب بالدرزي و أمره أن يذهب إلى بلاد الشام ليتسلم رئاسة الدعوة الإسماعيليّة فيها، و يجعل مقرّه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وادي التيم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لقبه الإمام بالسيد الهادي، و تمكن الدرزيّ في وقت قليل من نشر الدعوة الإسماعيليّة في تلك البلاد إلى أن وصلت إليه وفاة الإمام الحاكم و تصدى ابنه الظاهر لمقام الولاية، و لكن الدرزيّ لم يعترف بوفاة الإمام الحاكم بل ادّعى انّه غاب و بقى متمسكاً بإمامته و منتظراً لعودته، و بذلك انفصلت الدرزية عن الإسماعيليّة و كان ذلك الانشقاق عام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490"/>
      </w:r>
      <w:bookmarkStart w:id="714" w:name="pg11557_101511"/>
    </w:p>
    <w:p>
      <w:pPr>
        <w:pStyle w:val="Heading3"/>
        <w:numPr>
          <w:ilvl w:val="2"/>
          <w:numId w:val="1"/>
        </w:numPr>
        <w:rPr/>
      </w:pPr>
      <w:bookmarkStart w:id="715" w:name="__RefHeading___Toc4284547_73709187"/>
      <w:bookmarkStart w:id="716" w:name="_Toc257"/>
      <w:bookmarkEnd w:id="714"/>
      <w:bookmarkEnd w:id="715"/>
      <w:r>
        <w:rPr>
          <w:rtl w:val="true"/>
        </w:rPr>
        <w:t>الدروز في موسوعات دائرة المعارف</w:t>
      </w:r>
      <w:bookmarkEnd w:id="716"/>
    </w:p>
    <w:p>
      <w:pPr>
        <w:pStyle w:val="Heading4"/>
        <w:numPr>
          <w:ilvl w:val="3"/>
          <w:numId w:val="1"/>
        </w:numPr>
        <w:rPr/>
      </w:pPr>
      <w:bookmarkStart w:id="717" w:name="__RefHeading___Toc4284549_73709187"/>
      <w:bookmarkStart w:id="718" w:name="_Toc258"/>
      <w:bookmarkEnd w:id="717"/>
      <w:r>
        <w:rPr>
          <w:rtl w:val="true"/>
        </w:rPr>
        <w:t>اشارة</w:t>
      </w:r>
      <w:bookmarkEnd w:id="718"/>
    </w:p>
    <w:p>
      <w:pPr>
        <w:pStyle w:val="BookText"/>
        <w:rPr/>
      </w:pPr>
      <w:r>
        <w:rPr>
          <w:rFonts w:ascii="Amiri" w:hAnsi="Amiri" w:eastAsia="Amiri" w:cs="Amiri"/>
          <w:color w:val="111111"/>
          <w:sz w:val="28"/>
          <w:sz w:val="28"/>
          <w:szCs w:val="28"/>
          <w:rtl w:val="true"/>
          <w:lang w:bidi="ar-SA"/>
        </w:rPr>
        <w:t>إنّ الدروز من الفرق الباطنية التي يصعب الاطلاع علىٰ عقائدهم لأنّهم راعوا جانب الحذر و التكتم عليها، و مع ذلك فقد نقل أصحاب دوائر المعارف أُموراً عنهم، و نحن نقتطف مما جاء فيها</w:t>
      </w:r>
      <w:r>
        <w:rPr>
          <w:rFonts w:eastAsia="Amiri" w:cs="Amiri" w:ascii="Amiri" w:hAnsi="Amiri"/>
          <w:color w:val="111111"/>
          <w:sz w:val="28"/>
          <w:szCs w:val="28"/>
          <w:rtl w:val="true"/>
          <w:lang w:bidi="ar-SA"/>
        </w:rPr>
        <w:t>:</w:t>
      </w:r>
    </w:p>
    <w:p>
      <w:pPr>
        <w:pStyle w:val="Heading4"/>
        <w:numPr>
          <w:ilvl w:val="3"/>
          <w:numId w:val="1"/>
        </w:numPr>
        <w:rPr/>
      </w:pPr>
      <w:bookmarkStart w:id="719" w:name="__RefHeading___Toc4284551_73709187"/>
      <w:bookmarkStart w:id="720" w:name="_Toc259"/>
      <w:bookmarkEnd w:id="719"/>
      <w:r>
        <w:rPr/>
        <w:t>1</w:t>
      </w:r>
      <w:r>
        <w:rPr>
          <w:rtl w:val="true"/>
        </w:rPr>
        <w:t xml:space="preserve"> - </w:t>
      </w:r>
      <w:r>
        <w:rPr>
          <w:rtl w:val="true"/>
        </w:rPr>
        <w:t>الدروز في دائرة المعارف البستانية</w:t>
      </w:r>
      <w:bookmarkEnd w:id="7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الدروز في دائرة المعارف البستانية</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بعد أن ذكرت الموسوعة مراكز توطّنهم و عدد نفوسهم و شيئاً من أحوالهم السياسية و الآداب الاجتماعية و ما يزاولوه من المهن كالزراعة و التجارة، و الحروب التي نشبت بينهم و بين غيرهم من الطوائف، قالت عن عقيدتهم ما هذا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إيمان الدروز، أنّ اللّٰه واحد، أحد، لا بداءة له و لا نهاية، و أنّ النفوس مخلّدة تتقمّص بالأجساد البشرية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لها من ثواب و عقاب يوم المعاد بحسب أفعالها، و أنّ الدنيا تكونت بقوله تعالى كوني فكانت، و الأعمار مقدّرة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 يُؤَخِّرَ اَللّٰهُ نَفْساً إِذٰا جٰاءَ أَجَلُهٰا</w:t>
      </w:r>
      <w:r>
        <w:rPr>
          <w:rFonts w:eastAsia="Amiri" w:cs="Amiri" w:ascii="Amiri" w:hAnsi="Amiri"/>
          <w:color w:val="111111"/>
          <w:sz w:val="28"/>
          <w:szCs w:val="28"/>
          <w:rtl w:val="true"/>
          <w:lang w:bidi="ar-SA"/>
        </w:rPr>
        <w:t>»</w:t>
      </w:r>
      <w:r>
        <w:rPr>
          <w:rStyle w:val="FootnoteAnchor"/>
          <w:rtl w:val="true"/>
        </w:rPr>
        <w:footnoteReference w:id="492"/>
      </w:r>
      <w:r>
        <w:rPr>
          <w:rFonts w:ascii="Amiri" w:hAnsi="Amiri" w:eastAsia="Amiri" w:cs="Amiri"/>
          <w:color w:val="111111"/>
          <w:sz w:val="28"/>
          <w:sz w:val="28"/>
          <w:szCs w:val="28"/>
          <w:rtl w:val="true"/>
          <w:lang w:bidi="ar-SA"/>
        </w:rPr>
        <w:t>، و أنّ اللّٰه عارف بكل شيء، و هم يكرمون الأنبياء المذكورين في الكتب المنزلة، و يؤمنون بالسيد المسيح و لكنّهم ينفون عنه الألوهية و الصلب، و أسماء بعض الأنبياء عندهم كأسمائهم في تلك الكتب، و لبعضهم أسماء أُخرى كالقدّيس جرجس، فإنّه عندهم الخضر، و أسماء أنبيائهم شعيب و سليمان و سلمان الفارسي و لقمان و يحيى، و عندهم انّه لا بدّ من العرض و الحساب يوم الحشر و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تنقسم هذه الطائفة إلى</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عقّال و جهّال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فالعقال هم عمدة الطائفة، و لهم رئيسان دينيان يسمّيان بشيخي العقّال، و الأحكام الدينية مفوضة إليهم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عندهم للوصية نفوذ تام، فإنّ الإنسان مختار أن يوصي قبل موته بأملاكه لمن يشاء، قريباً كان أم غريباً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قد منحتهم الدولة العلية منذ القديم قاضي مذهب لدعاوى الوصايا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أمر عقّالهم بتجنّب الشك، و الشرك، و الكذب، و القتل، و الفسق، و الزنا، و السرقة، و الكبرياء، و الرياء، و الغش، و الغضب، و الحقد، و النميمة، و الفساد، و الخبث، و الحسد، و شرب الخمور، و الطمع، و الغيبة، و جميع الشهوات و المحرمات و الشبهات، و رفض كلّ منكر من المآكل و المشارب، و مجانبة التدخين، و الهزل و المساخر و الهزء و المضحكات، و جميع الأفعال المغايرة لإرادته تعالى، و ترك الحلف باللّٰه صدقاً أو كذباً، و السب، و القذف، و الدعاء بما فيه ضرر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عندهم انّه على كلّ مؤمن التحلّي بالعفاف، و الطهارة، و الفعل الجميل، و الكرم بالعلم، و المال، و خوف اللّٰه و طاعته، و الرصانة، و صيانة العرض، و صدق اللسان، و صونه من الإفك و الإثم و الزور و البهتان مع استمرار ذكر اللّٰه و تسبيحه و تقديمه، و تقديم الصلوات و التضرعات و التوسلات لعزته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لعاقل أن يخلو بامرأة، و لا أن يرد تحيّتها ما لم يكن بينهما 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شأنهم التهذيب و كره الزيف و الترف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عاقل ارتكب القتل أو الزنا أو السرقة أو غيرها من الآثام يطرد من مجلس العقال الذين يجلسون فيه للقيام بالفروض الدينية و يبقى مطروداً إلى أن تتحقّق ندامته و توبته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شأن الدروز إكرام الضيف، و الشجاعة، و الاقتصاد بالمعيشة</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يسكنون الآن في جبل لبنان و 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إقليم البلان و الغوطة و الشام و جبل حوران و جبل الكرامل و الجبل الأعلى و مرعش و حلب و الحلة و الكوفة، و منهم عشيرة بني لام في العراق، و في الغرب و الهند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تناولنا من أحد أُدبائهم جملة أُخرى هذا ملخصها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يؤمن الدروز بأنّ الدنيا حادثة و بوجود اللّٰه و ان لا خالق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قديم أزلي، أبدي، عادل، لا غرض لفعله، غني لا يحتاج، و حاكم قادر لا يجب عليه شيء، إن أثاب فبفضله و إن عاقب فبعدله، غير متبعّض، و لا له حد و لا نهاية، و يعتقدون القرآن الشريف اعتقاد السنية إلّا أنّهم يخالفونهم في تفسير بعض آياته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يعتقدون أيضاً أقوال حمزة و تعاليمه و يسمّونها كتب الحكمة؛ و تتضمن علم التوحيد، و كيفية خلق العالم و أسبابه و علله، و ذكر الأنبياء، و أسمائهم و فضائلهم، و الأمر بالمعروف و النهي عن المنكر، و ما يجب على الإنسان و ما لا يجب عليه، و إثبات المعاد و الحساب و العقاب و اعتقاد التناسخ، و كون النفوس معدودة محدودة لا تزيد و لا تنقص باقية أزلية لا تفنى، مستقرة في أمكنتها غارقة في بحر عظمة اللاهوت، تفنى الأجساد القائمة بها و تتلاشى و هي باقية إلى الأبد لا تفنى و لا تتغير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ينقسمون باعتبار الطريقة المذهبية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طائعون و يعرفون بالعقال، و هم السالكون بمقتضى الطريقة المذهبية، كالامتناع عن التدخين و سائر المشروبات الروحية و الابتعاد عن التأنّق في المأكولات و الملبوسات و سائر اللذات الدنيوية و الاقتصار على التقشف في المعيشة</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شراحون و يعرفون بالجهال، و هم المخالفون للعقال في الامتناع عن التدخين و المشروبات الروحية و عن الترفّه في المعيشة و التنعّم باللذات الدنيوية، و لذلك لا يسوغ لهم مطالعة القرآن الشريف، و لا متون الحكمة خلافاً للعقال، لأنّ عندهم كتباً مقدسة لا يمسّها إلّا الطاهرون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الطهارة عندهم الامتناع عن سائر المحرمات و الممنوعات، و إنّما يسوغ لهم تلاوة بعض شروح كتب دينية، و لهذا يقال لهم شراحون</w:t>
      </w:r>
      <w:r>
        <w:rPr>
          <w:rFonts w:eastAsia="Amiri" w:cs="Amiri" w:ascii="Amiri" w:hAnsi="Amiri"/>
          <w:color w:val="111111"/>
          <w:sz w:val="28"/>
          <w:szCs w:val="28"/>
          <w:rtl w:val="true"/>
          <w:lang w:bidi="ar-SA"/>
        </w:rPr>
        <w:t xml:space="preserve">. </w:t>
      </w:r>
      <w:bookmarkStart w:id="721" w:name="pg11557_101514"/>
    </w:p>
    <w:p>
      <w:pPr>
        <w:pStyle w:val="BookText"/>
        <w:rPr/>
      </w:pPr>
      <w:bookmarkEnd w:id="721"/>
      <w:r>
        <w:rPr>
          <w:rFonts w:ascii="Amiri" w:hAnsi="Amiri" w:eastAsia="Amiri" w:cs="Amiri"/>
          <w:color w:val="111111"/>
          <w:sz w:val="28"/>
          <w:sz w:val="28"/>
          <w:szCs w:val="28"/>
          <w:rtl w:val="true"/>
          <w:lang w:bidi="ar-SA"/>
        </w:rPr>
        <w:t>و يمتاز العقال عن الجهلاء بكونهم يتعمّمون بعمامة بيضاء و يلبسون الملابس البسيطة كالقباء و العباءة، و نسبة هؤلاء العقال إلى الجهال عدداً أكثر من ثلاثة أرباع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شعائرهم في ختان الأولاد و الزواج و الطلاق و الصلاة على الجنازة فهي طبق الشعائر الإسلامية غير انّه ليس من عوائدهم أن يتزوج أحدهم بغير امرأة واحدة، لا يسوغ التزوّج بها ثانية بعد الطلاق على الطريقة المعروفة بالرجعة، و لهم عيدان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 رمضان و يسمّونه بالعيد الصغير، وعيد الأضحى و يسمّونه بالكبير، و لهم معابد كثيرة معدّة للصلوات يجتمعون فيها كلّ ليلة جمعة، و لأكثر هذه المعابد أوقاف مخصوصة تنفق حاصلاتها على لوازم تلك المعابد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لهم أيضاً معابد أُخرى معدّة للأشخاص الذين يفرغون أوقاتهم لعبادة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تسمّى هذه المعابد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كالأديرة عند المسيحيين عددها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الجبل و خلافه</w:t>
      </w:r>
      <w:r>
        <w:rPr>
          <w:rFonts w:eastAsia="Amiri" w:cs="Amiri" w:ascii="Amiri" w:hAnsi="Amiri"/>
          <w:color w:val="111111"/>
          <w:sz w:val="28"/>
          <w:szCs w:val="28"/>
          <w:rtl w:val="true"/>
          <w:lang w:bidi="ar-SA"/>
        </w:rPr>
        <w:t>.</w:t>
      </w:r>
      <w:r>
        <w:rPr>
          <w:rStyle w:val="FootnoteAnchor"/>
          <w:rtl w:val="true"/>
        </w:rPr>
        <w:footnoteReference w:id="493"/>
      </w:r>
    </w:p>
    <w:p>
      <w:pPr>
        <w:pStyle w:val="Heading4"/>
        <w:numPr>
          <w:ilvl w:val="3"/>
          <w:numId w:val="1"/>
        </w:numPr>
        <w:rPr/>
      </w:pPr>
      <w:bookmarkStart w:id="722" w:name="__RefHeading___Toc4284553_73709187"/>
      <w:bookmarkStart w:id="723" w:name="_Toc260"/>
      <w:bookmarkEnd w:id="722"/>
      <w:r>
        <w:rPr/>
        <w:t>2</w:t>
      </w:r>
      <w:r>
        <w:rPr>
          <w:rtl w:val="true"/>
        </w:rPr>
        <w:t xml:space="preserve"> - </w:t>
      </w:r>
      <w:r>
        <w:rPr>
          <w:rtl w:val="true"/>
        </w:rPr>
        <w:t>الدروز في دائرة المعارف المصرية</w:t>
      </w:r>
      <w:bookmarkEnd w:id="72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الدروز في دائرة المعارف المصرية</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هذا ما يذكره بطرس البستاني و يصور لهم صورة بيضاء ناصعة و يطهّرهم عن كلّ ما ينسب إليهم من المنكرات، و في الوقت نفسه يصوّر لنا الكاتب محمد فريد وجدي صورة مشوّهة عنهم حينما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ظلت معتقدات الدروز في طي الخفاء حتى استولى إبراهيم باشا بن محمد علي علىٰ معابدهم في جبل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حاصبيا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 في كتبهم كنه مذهبهم تفصيلاً منها كلمة الشهادة عندهم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السماء إله موجود و لا على الأرض ربّ معبود إلّا الحاكم بأمره</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معتقداتهم أنّ الحاكم بأمر اللّٰه هو اللّٰه نفسه و قد ظهر على الأرض عشر </w:t>
      </w:r>
    </w:p>
    <w:p>
      <w:pPr>
        <w:pStyle w:val="BookText"/>
        <w:rPr/>
      </w:pPr>
      <w:r>
        <w:rPr>
          <w:rFonts w:ascii="Amiri" w:hAnsi="Amiri" w:eastAsia="Amiri" w:cs="Amiri"/>
          <w:color w:val="111111"/>
          <w:sz w:val="28"/>
          <w:sz w:val="28"/>
          <w:szCs w:val="28"/>
          <w:rtl w:val="true"/>
          <w:lang w:bidi="ar-SA"/>
        </w:rPr>
        <w:t xml:space="preserve">مرات أُولاها في العلى، ثمّ في البارز إلى أن ظهر عاشر مرة في الحاكم بأمر اللّٰه، و أنّ الحاكم لم يمت بل اختفى حتى إذا خرج يأجوج و مأجوج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يسمّونهم القوم الكرام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تجلّى الحاكم على الركن اليماني من البيت بمكة و دفع إلى حمزة سيفه المذهب فقتل به إبليس و الشيطان، ثمّ يهدمون الكعبة و يفتكون بالنصارى و المسلمين و يملكون الأرض كلّها إلى الأبد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يعتقدون أنّ إبليس ظهر في جسم آدم، ثمّ نوح، ثمّ إبراهيم، ثمّ موسى، ثمّ عيسى، ثمّ محمد، و أنّ الشيطان ظهر في جسم ابن آدم، ثمّ في جسم سام، ثمّ في إسماعيل، ثمّ في يوشع، ثمّ في شمعون الصفا، ثمّ في علي بن أبي طالب، ثمّ في قداح صاحب الدعوة القرمطية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يعتقدون بأنّ عدد الأرواح محدود، فالروح التي تخرج من جسد الميت تعود إلى الدنيا في جسد طفل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يسبون جميع الأنبياء،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الفحشاء و المنكر هما أبو بكر و عمر،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اَلْخَمْرُ وَ اَلْمَيْسِرُ وَ اَلْأَنْصٰابُ وَ اَلْأَزْلاٰمُ رِجْسٌ مِنْ عَمَلِ اَلشَّيْطٰانِ</w:t>
      </w:r>
      <w:r>
        <w:rPr>
          <w:rFonts w:eastAsia="Amiri" w:cs="Amiri" w:ascii="Amiri" w:hAnsi="Amiri"/>
          <w:color w:val="111111"/>
          <w:sz w:val="28"/>
          <w:szCs w:val="28"/>
          <w:rtl w:val="true"/>
          <w:lang w:bidi="ar-SA"/>
        </w:rPr>
        <w:t>»</w:t>
      </w:r>
      <w:r>
        <w:rPr>
          <w:rStyle w:val="FootnoteAnchor"/>
          <w:rtl w:val="true"/>
        </w:rPr>
        <w:footnoteReference w:id="495"/>
      </w:r>
      <w:r>
        <w:rPr>
          <w:rFonts w:ascii="Amiri" w:hAnsi="Amiri" w:eastAsia="Amiri" w:cs="Amiri"/>
          <w:color w:val="111111"/>
          <w:sz w:val="28"/>
          <w:sz w:val="28"/>
          <w:szCs w:val="28"/>
          <w:rtl w:val="true"/>
          <w:lang w:bidi="ar-SA"/>
        </w:rPr>
        <w:t>يراد به الأئمّة الأربعة و انّهم من عمل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يعتقدون بالإنجيل و القرآن، فيختارون منهما ما يستطيعون تأويله و يتركون ما عداه،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أُوحي إلى سلمان الفارسي فأخذه محمد و نسبه لنفسه و يسمّونه في كتبهم المسطور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يعتقدون أنّ الحاكم بأمر اللّٰه تجلّى لهم في أوّل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فأسقط عنهم التكاليف من صلاة و صيام و زكاة و حجّ و جهاد و ولاية و شهادة</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لدى الدروز طبقة تعرف بالمنزهين و هم عباد أهل ورع و زهد، و منهم من لا يتزوج، و من يصوم الدهر، و من لا يذوق اللحم، و لا يشرب الخمر</w:t>
      </w:r>
      <w:r>
        <w:rPr>
          <w:rFonts w:eastAsia="Amiri" w:cs="Amiri" w:ascii="Amiri" w:hAnsi="Amiri"/>
          <w:color w:val="111111"/>
          <w:sz w:val="28"/>
          <w:szCs w:val="28"/>
          <w:rtl w:val="true"/>
          <w:lang w:bidi="ar-SA"/>
        </w:rPr>
        <w:t>.</w:t>
      </w:r>
      <w:r>
        <w:rPr>
          <w:rStyle w:val="FootnoteAnchor"/>
          <w:rtl w:val="true"/>
        </w:rPr>
        <w:footnoteReference w:id="496"/>
      </w:r>
      <w:bookmarkStart w:id="724" w:name="pg11557_101516"/>
    </w:p>
    <w:p>
      <w:pPr>
        <w:pStyle w:val="Heading3"/>
        <w:numPr>
          <w:ilvl w:val="2"/>
          <w:numId w:val="1"/>
        </w:numPr>
        <w:rPr/>
      </w:pPr>
      <w:bookmarkStart w:id="725" w:name="__RefHeading___Toc4284555_73709187"/>
      <w:bookmarkStart w:id="726" w:name="_Toc261"/>
      <w:bookmarkEnd w:id="724"/>
      <w:bookmarkEnd w:id="725"/>
      <w:r>
        <w:rPr>
          <w:rtl w:val="true"/>
        </w:rPr>
        <w:t>عقائد الدروز</w:t>
      </w:r>
      <w:bookmarkEnd w:id="726"/>
    </w:p>
    <w:p>
      <w:pPr>
        <w:pStyle w:val="Heading4"/>
        <w:numPr>
          <w:ilvl w:val="3"/>
          <w:numId w:val="1"/>
        </w:numPr>
        <w:rPr/>
      </w:pPr>
      <w:bookmarkStart w:id="727" w:name="__RefHeading___Toc4284557_73709187"/>
      <w:bookmarkStart w:id="728" w:name="_Toc262"/>
      <w:bookmarkEnd w:id="727"/>
      <w:r>
        <w:rPr>
          <w:rtl w:val="true"/>
        </w:rPr>
        <w:t>اشارة</w:t>
      </w:r>
      <w:bookmarkEnd w:id="728"/>
    </w:p>
    <w:p>
      <w:pPr>
        <w:pStyle w:val="BookText"/>
        <w:rPr/>
      </w:pPr>
      <w:r>
        <w:rPr>
          <w:rFonts w:ascii="Amiri" w:hAnsi="Amiri" w:eastAsia="Amiri" w:cs="Amiri"/>
          <w:color w:val="111111"/>
          <w:sz w:val="28"/>
          <w:sz w:val="28"/>
          <w:szCs w:val="28"/>
          <w:rtl w:val="true"/>
          <w:lang w:bidi="ar-SA"/>
        </w:rPr>
        <w:t xml:space="preserve">و قد تناولت دائرة المعارف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استعرضت شيئاً من أحوالهم و مواطنهم و عاداتهم و حرفهم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جانباً من أبرز جوانب عقيدتهم، و هو اعتقادهم بألوهية الحاكم، ما هذا نصّه</w:t>
      </w:r>
      <w:r>
        <w:rPr>
          <w:rFonts w:eastAsia="Amiri" w:cs="Amiri" w:ascii="Amiri" w:hAnsi="Amiri"/>
          <w:color w:val="111111"/>
          <w:sz w:val="28"/>
          <w:szCs w:val="28"/>
          <w:rtl w:val="true"/>
          <w:lang w:bidi="ar-SA"/>
        </w:rPr>
        <w:t>:</w:t>
      </w:r>
    </w:p>
    <w:p>
      <w:pPr>
        <w:pStyle w:val="Heading4"/>
        <w:numPr>
          <w:ilvl w:val="3"/>
          <w:numId w:val="1"/>
        </w:numPr>
        <w:rPr/>
      </w:pPr>
      <w:bookmarkStart w:id="729" w:name="__RefHeading___Toc4284559_73709187"/>
      <w:bookmarkStart w:id="730" w:name="_Toc263"/>
      <w:bookmarkEnd w:id="729"/>
      <w:r>
        <w:rPr/>
        <w:t>1</w:t>
      </w:r>
      <w:r>
        <w:rPr>
          <w:rtl w:val="true"/>
        </w:rPr>
        <w:t xml:space="preserve"> - </w:t>
      </w:r>
      <w:r>
        <w:rPr>
          <w:rtl w:val="true"/>
        </w:rPr>
        <w:t>اعتقادهم بألوهية الحاكم</w:t>
      </w:r>
      <w:bookmarkEnd w:id="730"/>
    </w:p>
    <w:p>
      <w:pPr>
        <w:pStyle w:val="BookText"/>
        <w:rPr/>
      </w:pPr>
      <w:r>
        <w:rPr>
          <w:rFonts w:ascii="Amiri" w:hAnsi="Amiri" w:eastAsia="Amiri" w:cs="Amiri"/>
          <w:color w:val="111111"/>
          <w:sz w:val="28"/>
          <w:sz w:val="28"/>
          <w:szCs w:val="28"/>
          <w:rtl w:val="true"/>
          <w:lang w:bidi="ar-SA"/>
        </w:rPr>
        <w:t>و قد قام مذهب الدروز على فكرة أنّ اللّٰه قد تجسد في الإنسان في جميع الأزمان و هم يتصورون أنّ اللّٰه ذاته أو على الأقل القوة الخالقة تتكون من مبادئ متكثرة يصدر الواحد منها عن الآخر و يتجسد مبدأ من هذه المبادئ في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فالخليفة الحاكم وفقاً لهذه العقيدة يمثل اللّٰه في وحدانيته و هذا هو السبب في أنّ حمزة قد أطلق على مذهبه اسم مذهب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يعبدون الحاكم و يسمّونه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يفسرون متناقضاته و قسوته تفسيراً رمزياً، فهو آخر من تجسد فيهم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ينكرون وفاته و يقولون إنّه إنّما استتر و سيظهر في يوم ما وفقاً للعقيدة المهدوية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يلي الحاكم في المرتبة خمسة أئمّة كبار تتجسد فيهم المبادئ التي صدرت عن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تجسيد للعقل الكلي، و هو حمزة بن علي بن أحمد الزوزني الملقب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يرمز له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الإمام الأعظم و آدم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تجسيد للنفس الكلية و هو إسماعيل بن محمد بن حامد التميمي الملقب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يرمز له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صهر حمزة و وكيله في الدين</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تجسيد للكلمة التي خرجت من النفس عن طريق العقل، و هو محمد بن وهب القرشي الملقب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يرمز له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سفير القدرة </w:t>
      </w:r>
    </w:p>
    <w:p>
      <w:pPr>
        <w:pStyle w:val="BookText"/>
        <w:rPr/>
      </w:pPr>
      <w:r>
        <w:rPr>
          <w:rFonts w:ascii="Amiri" w:hAnsi="Amiri" w:eastAsia="Amiri" w:cs="Amiri"/>
          <w:color w:val="111111"/>
          <w:sz w:val="28"/>
          <w:sz w:val="28"/>
          <w:szCs w:val="28"/>
          <w:rtl w:val="true"/>
          <w:lang w:bidi="ar-SA"/>
        </w:rPr>
        <w:t>و الشيخ الرضي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 و هو سلامة بن عبد الوهاب السَّمُري الملقب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يرمز له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الجناح الأيمن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التالي و هو بهاء الدين أبو الحسن علي بن أحمد السموكي الملقب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الجناح الأيسر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يرمز له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البنفسجي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آخر الحدود الخمسة و به انغلقت الدعوة الدرزية و صارت سرية لا علنية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يلي هؤلاء الأئمّة الكبار آخرون أدنى منهم مرتبة موزعون على ثلاث طبقات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الداعي، و المأذون، و المكاسر و يعرف أيضاً بالنقيب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يعرف الداعي كذلك بالعمل، و المأذون بالفاتح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معرفة ذات اللّٰه و صفاته و تجلياته في سلسلة المبادئ المتجسدة في الأئمّة و هي عقائد هذا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تتلخص آدابه في سبعة أركان تقوم مقام أركان الإسلام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المؤمنين دون غيرهم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حفظ الإخوان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التبرؤ من العقيدة التي كان يدين بها الدرزي من قبل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الابتعاد عن الشيطان و عن الضالين و الأبالسة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التوحيد للحاكم في كلّ عصر و 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الرضا عن أفعال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أياً كانت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الخضوع التام لإرادته كما تتجلّى في أئمته على ما هو 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القواعد واجبة الطاعة على كلّ درزي رجلاً كان أو امرأة</w:t>
      </w:r>
      <w:r>
        <w:rPr>
          <w:rFonts w:eastAsia="Amiri" w:cs="Amiri" w:ascii="Amiri" w:hAnsi="Amiri"/>
          <w:color w:val="111111"/>
          <w:sz w:val="28"/>
          <w:szCs w:val="28"/>
          <w:rtl w:val="true"/>
          <w:lang w:bidi="ar-SA"/>
        </w:rPr>
        <w:t>.</w:t>
      </w:r>
      <w:r>
        <w:rPr>
          <w:rStyle w:val="FootnoteAnchor"/>
          <w:rtl w:val="true"/>
        </w:rPr>
        <w:footnoteReference w:id="497"/>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قام بعض الباحثين بتأليف رسالة خاصة بعقائدهم أشار فيها إلىٰ جوانب أُخرى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ما نقلناه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إليك نصّ المقال بتلخيص و تصرّف</w:t>
      </w:r>
      <w:r>
        <w:rPr>
          <w:rFonts w:eastAsia="Amiri" w:cs="Amiri" w:ascii="Amiri" w:hAnsi="Amiri"/>
          <w:color w:val="111111"/>
          <w:sz w:val="28"/>
          <w:szCs w:val="28"/>
          <w:rtl w:val="true"/>
          <w:lang w:bidi="ar-SA"/>
        </w:rPr>
        <w:t xml:space="preserve">: </w:t>
      </w:r>
      <w:bookmarkStart w:id="731" w:name="pg11557_101518"/>
    </w:p>
    <w:p>
      <w:pPr>
        <w:pStyle w:val="Heading4"/>
        <w:numPr>
          <w:ilvl w:val="3"/>
          <w:numId w:val="1"/>
        </w:numPr>
        <w:rPr/>
      </w:pPr>
      <w:bookmarkStart w:id="732" w:name="__RefHeading___Toc4284561_73709187"/>
      <w:bookmarkStart w:id="733" w:name="_Toc264"/>
      <w:bookmarkEnd w:id="731"/>
      <w:bookmarkEnd w:id="732"/>
      <w:r>
        <w:rPr/>
        <w:t>2</w:t>
      </w:r>
      <w:r>
        <w:rPr>
          <w:rtl w:val="true"/>
        </w:rPr>
        <w:t xml:space="preserve"> - </w:t>
      </w:r>
      <w:r>
        <w:rPr>
          <w:rtl w:val="true"/>
        </w:rPr>
        <w:t>التحريف الواضح للقرآن و انّ الأنبياء أبالسة جاءوا للظاهر</w:t>
      </w:r>
      <w:bookmarkEnd w:id="733"/>
    </w:p>
    <w:p>
      <w:pPr>
        <w:pStyle w:val="BookText"/>
        <w:rPr/>
      </w:pPr>
      <w:r>
        <w:rPr>
          <w:rFonts w:ascii="Amiri" w:hAnsi="Amiri" w:eastAsia="Amiri" w:cs="Amiri"/>
          <w:color w:val="111111"/>
          <w:sz w:val="28"/>
          <w:sz w:val="28"/>
          <w:szCs w:val="28"/>
          <w:rtl w:val="true"/>
          <w:lang w:bidi="ar-SA"/>
        </w:rPr>
        <w:t xml:space="preserve">كانت عقيدة الدروز بادئ بدء تؤمن بالقرآن و انّه من العلي الأعلى كما تؤمن بالنبي محمد صلّى اللّٰه عليه و آله و سلّم و بقية الأنبياء كموسى و عيسى و إبراهيم عليهم السّلام و تجلّهم كثيراً، لكن بعد ذلك صارت هذه العقيدة لا تؤمن باللّٰه إلّا بالحاكم و لا بالأنبياء بل تعدهم أصل الظاهر يحرفون الناس عن الباطن و الحقيقة، و استطاع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يجمع من متفرقات كثيرة حتى يكتب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المصحف المنفرد بذاته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كثيراً من رسائل الحكمة و التي صارت فيما بعد العقيدة الدرزية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يتظاهرون في المجتمع الإسلامي بأنّهم مسلمون و ينسبون أنفسهم إلى الإسلام و قد يحفظون بعض آيات القرآن و التي وردت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المصحف المنفرد بذاته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يتظاهرون بإيمانهم بالقرآن و الأنبياء، و قد يعطون الرسائل الأربعة الأُولى لرسائل الحكمة التي وجدت على قبر الحاكم بأمر اللّٰه الفاطمي و ذلك للتمويه و التظاهر بانتسابهم إلى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لكنّهم يؤوّلون ما جاء في ذلك إلى مبنى مباين و مغاير تماماً فالمسيح الحقّ هو حمزة، و بسم اللّٰه الرّحمن الرّحيم هي حدود حمزة، و الجنة التوحيد، و النار هي الشرك، و الصدق هم أنبياء الحقّ، و الكذب هم الأبالسة و يقصدون بهم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ثمّ نوح، ثمّ إبراهيم، ثمّ موسى، ثمّ عيسى، ثمّ محمّد</w:t>
      </w:r>
      <w:r>
        <w:rPr>
          <w:rFonts w:eastAsia="Amiri" w:cs="Amiri" w:ascii="Amiri" w:hAnsi="Amiri"/>
          <w:color w:val="111111"/>
          <w:sz w:val="28"/>
          <w:szCs w:val="28"/>
          <w:rtl w:val="true"/>
          <w:lang w:bidi="ar-SA"/>
        </w:rPr>
        <w:t>.</w:t>
      </w:r>
    </w:p>
    <w:p>
      <w:pPr>
        <w:pStyle w:val="Heading4"/>
        <w:numPr>
          <w:ilvl w:val="3"/>
          <w:numId w:val="1"/>
        </w:numPr>
        <w:rPr/>
      </w:pPr>
      <w:bookmarkStart w:id="734" w:name="__RefHeading___Toc4284563_73709187"/>
      <w:bookmarkStart w:id="735" w:name="_Toc265"/>
      <w:bookmarkEnd w:id="734"/>
      <w:r>
        <w:rPr/>
        <w:t>3</w:t>
      </w:r>
      <w:r>
        <w:rPr>
          <w:rtl w:val="true"/>
        </w:rPr>
        <w:t xml:space="preserve"> - </w:t>
      </w:r>
      <w:r>
        <w:rPr>
          <w:rtl w:val="true"/>
        </w:rPr>
        <w:t>إيمانهم بالتناسخ و اعتباره مبدأً أساسياً في عقيدتهم</w:t>
      </w:r>
      <w:bookmarkEnd w:id="735"/>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يؤمنون بالتقمّص حيث تنتقل روح الإنسان بعد موته إلى شخص آخر جديد و هكذا، و يتمسّكون أمام المسلمين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تُخْرِجُ اَلْحَيَّ مِنَ اَلْمَيِّتِ وَ تُخْرِجُ اَلْمَيِّتَ مِنَ اَلْحَيِّ</w:t>
      </w:r>
      <w:r>
        <w:rPr>
          <w:rFonts w:eastAsia="Amiri" w:cs="Amiri" w:ascii="Amiri" w:hAnsi="Amiri"/>
          <w:color w:val="111111"/>
          <w:sz w:val="28"/>
          <w:szCs w:val="28"/>
          <w:rtl w:val="true"/>
          <w:lang w:bidi="ar-SA"/>
        </w:rPr>
        <w:t>»</w:t>
      </w:r>
      <w:r>
        <w:rPr>
          <w:rStyle w:val="FootnoteAnchor"/>
          <w:rtl w:val="true"/>
        </w:rPr>
        <w:footnoteReference w:id="49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أَمَتَّنَا اِثْنَتَيْنِ وَ أَحْيَيْتَنَا اِثْنَتَيْنِ</w:t>
      </w:r>
      <w:r>
        <w:rPr>
          <w:rFonts w:eastAsia="Amiri" w:cs="Amiri" w:ascii="Amiri" w:hAnsi="Amiri"/>
          <w:color w:val="111111"/>
          <w:sz w:val="28"/>
          <w:szCs w:val="28"/>
          <w:rtl w:val="true"/>
          <w:lang w:bidi="ar-SA"/>
        </w:rPr>
        <w:t>»</w:t>
      </w:r>
      <w:r>
        <w:rPr>
          <w:rStyle w:val="FootnoteAnchor"/>
          <w:rtl w:val="true"/>
        </w:rPr>
        <w:footnoteReference w:id="499"/>
      </w:r>
      <w:r>
        <w:rPr>
          <w:rFonts w:ascii="Amiri" w:hAnsi="Amiri" w:eastAsia="Amiri" w:cs="Amiri"/>
          <w:color w:val="111111"/>
          <w:sz w:val="28"/>
          <w:sz w:val="28"/>
          <w:szCs w:val="28"/>
          <w:rtl w:val="true"/>
          <w:lang w:bidi="ar-SA"/>
        </w:rPr>
        <w:t xml:space="preserve">و يوجد في </w:t>
      </w:r>
      <w:bookmarkStart w:id="736" w:name="pg11557_101519"/>
    </w:p>
    <w:p>
      <w:pPr>
        <w:pStyle w:val="BookText"/>
        <w:rPr/>
      </w:pPr>
      <w:bookmarkEnd w:id="7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المصحف المنفرد بذاته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كبرت فرية تخرج من أفواه الذين جحدوا إذ قالوا لن نرجع إلى خلق جديد حتى يوم الحاقة قل اخسئوا في تقلباتكم إن تقولون إلّا كذباً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يعتبرون هذه الحالة وسيلة لوصول كلّ روح إلى درزي، و يتحقق بذلك المجتمع التوحيدي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يعتقدون بمحدودية عدد الأرواح، و شرار الأرواح تتقمّص أجسام الكلاب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ينطلق الدروز في الإيمان بأنّ الجسد هو الذي يموت بينما النفس تبقى خالدة و التقمّص في نظر الموحدين هو انتقال النفس بعد الموت مباشرة من جسد إنسان إلى جسد إنسان آخر و الجسد هو قميص الروح و هذا القميص هو الذي يتغير عند الوفاة منتقلة إلى جسد إنسان آخر</w:t>
      </w:r>
      <w:r>
        <w:rPr>
          <w:rFonts w:eastAsia="Amiri" w:cs="Amiri" w:ascii="Amiri" w:hAnsi="Amiri"/>
          <w:color w:val="111111"/>
          <w:sz w:val="28"/>
          <w:szCs w:val="28"/>
          <w:rtl w:val="true"/>
          <w:lang w:bidi="ar-SA"/>
        </w:rPr>
        <w:t>.</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يقول الشاعر الدرزي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الأُلىٰ هان الممات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الروح تبقى، و القميص يُمزّقُ‌</w:t>
      </w:r>
    </w:p>
    <w:p>
      <w:pPr>
        <w:pStyle w:val="Heading4"/>
        <w:numPr>
          <w:ilvl w:val="3"/>
          <w:numId w:val="1"/>
        </w:numPr>
        <w:rPr/>
      </w:pPr>
      <w:bookmarkStart w:id="737" w:name="__RefHeading___Toc4284565_73709187"/>
      <w:bookmarkStart w:id="738" w:name="_Toc266"/>
      <w:bookmarkEnd w:id="737"/>
      <w:r>
        <w:rPr/>
        <w:t>4</w:t>
      </w:r>
      <w:r>
        <w:rPr>
          <w:rtl w:val="true"/>
        </w:rPr>
        <w:t xml:space="preserve"> - </w:t>
      </w:r>
      <w:r>
        <w:rPr>
          <w:rtl w:val="true"/>
        </w:rPr>
        <w:t>إسقاط التكاليف</w:t>
      </w:r>
      <w:bookmarkEnd w:id="738"/>
    </w:p>
    <w:p>
      <w:pPr>
        <w:pStyle w:val="BookText"/>
        <w:rPr/>
      </w:pPr>
      <w:r>
        <w:rPr>
          <w:rFonts w:ascii="Amiri" w:hAnsi="Amiri" w:eastAsia="Amiri" w:cs="Amiri"/>
          <w:color w:val="111111"/>
          <w:sz w:val="28"/>
          <w:sz w:val="28"/>
          <w:szCs w:val="28"/>
          <w:rtl w:val="true"/>
          <w:lang w:bidi="ar-SA"/>
        </w:rPr>
        <w:t>أمّا الصلاة فهي ساقطة عنهم، و المقصود بها هي الصلة للقلوب مع مولاهم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الزكاة فتعني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المولى الحاكم و تزكية القلوب و تطهيرها</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الصوم فباطنه الصمت لقوله لمريم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فَكُلِي وَ اِشْرَبِي وَ قَرِّي عَيْناً</w:t>
      </w:r>
      <w:r>
        <w:rPr>
          <w:rFonts w:eastAsia="Amiri" w:cs="Amiri" w:ascii="Amiri" w:hAnsi="Amiri"/>
          <w:color w:val="111111"/>
          <w:sz w:val="28"/>
          <w:szCs w:val="28"/>
          <w:rtl w:val="true"/>
          <w:lang w:bidi="ar-SA"/>
        </w:rPr>
        <w:t>»</w:t>
      </w:r>
      <w:r>
        <w:rPr>
          <w:rStyle w:val="FootnoteAnchor"/>
          <w:rtl w:val="true"/>
        </w:rPr>
        <w:footnoteReference w:id="501"/>
      </w:r>
      <w:r>
        <w:rPr>
          <w:rFonts w:ascii="Amiri" w:hAnsi="Amiri" w:eastAsia="Amiri" w:cs="Amiri"/>
          <w:color w:val="111111"/>
          <w:sz w:val="28"/>
          <w:sz w:val="28"/>
          <w:szCs w:val="28"/>
          <w:rtl w:val="true"/>
          <w:lang w:bidi="ar-SA"/>
        </w:rPr>
        <w:t>، و الصوم الحقيقي هو صيانة القلوب بتوحيد المولى الحاكم</w:t>
      </w:r>
      <w:r>
        <w:rPr>
          <w:rFonts w:eastAsia="Amiri" w:cs="Amiri" w:ascii="Amiri" w:hAnsi="Amiri"/>
          <w:color w:val="111111"/>
          <w:sz w:val="28"/>
          <w:szCs w:val="28"/>
          <w:rtl w:val="true"/>
          <w:lang w:bidi="ar-SA"/>
        </w:rPr>
        <w:t xml:space="preserve">. </w:t>
      </w:r>
      <w:bookmarkStart w:id="739" w:name="pg11557_101520"/>
    </w:p>
    <w:p>
      <w:pPr>
        <w:pStyle w:val="BookText"/>
        <w:rPr/>
      </w:pPr>
      <w:bookmarkEnd w:id="739"/>
      <w:r>
        <w:rPr>
          <w:rFonts w:ascii="Amiri" w:hAnsi="Amiri" w:eastAsia="Amiri" w:cs="Amiri"/>
          <w:color w:val="111111"/>
          <w:sz w:val="28"/>
          <w:sz w:val="28"/>
          <w:szCs w:val="28"/>
          <w:rtl w:val="true"/>
          <w:lang w:bidi="ar-SA"/>
        </w:rPr>
        <w:t>أمّا الحج فهو معرفة المولى الحاكم و البيت هو توحيد المولى، و يذكرون قول المنصور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هلم اريك البيت توقن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البيت بيت اللّٰه لا ما توهمنا</w:t>
      </w:r>
    </w:p>
    <w:p>
      <w:pPr>
        <w:pStyle w:val="BookText"/>
        <w:rPr/>
      </w:pPr>
      <w:r>
        <w:rPr>
          <w:rFonts w:ascii="Amiri" w:hAnsi="Amiri" w:eastAsia="Amiri" w:cs="Amiri"/>
          <w:color w:val="111111"/>
          <w:sz w:val="28"/>
          <w:sz w:val="28"/>
          <w:szCs w:val="28"/>
          <w:rtl w:val="true"/>
          <w:lang w:bidi="ar-SA"/>
        </w:rPr>
        <w:t xml:space="preserve">أبيت من الأحجار، أعظم 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المصطفى الهادي الذي نصب البيتا</w:t>
      </w:r>
    </w:p>
    <w:p>
      <w:pPr>
        <w:pStyle w:val="BookText"/>
        <w:rPr/>
      </w:pPr>
      <w:r>
        <w:rPr>
          <w:rFonts w:ascii="Amiri" w:hAnsi="Amiri" w:eastAsia="Amiri" w:cs="Amiri"/>
          <w:color w:val="111111"/>
          <w:sz w:val="28"/>
          <w:sz w:val="28"/>
          <w:szCs w:val="28"/>
          <w:rtl w:val="true"/>
          <w:lang w:bidi="ar-SA"/>
        </w:rPr>
        <w:t>و يقصدون بالبيت هو توحيد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الولاية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الحاكم نسخها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تسجدوا للشمس و لا للقمر و اسجدوا للذي خلقهن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تسجدوا لعلي أو محمد، بل للحاكم و هو المشية إن كنتم إيّاه تعبدون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أنّهم من القائلين بجواز الزواج من المحارم كالأُخت و بتعدّد الزوجات و حلية شرب الخمر</w:t>
      </w:r>
      <w:r>
        <w:rPr>
          <w:rFonts w:eastAsia="Amiri" w:cs="Amiri" w:ascii="Amiri" w:hAnsi="Amiri"/>
          <w:color w:val="111111"/>
          <w:sz w:val="28"/>
          <w:szCs w:val="28"/>
          <w:rtl w:val="true"/>
          <w:lang w:bidi="ar-SA"/>
        </w:rPr>
        <w:t>.</w:t>
      </w:r>
    </w:p>
    <w:p>
      <w:pPr>
        <w:pStyle w:val="Heading4"/>
        <w:numPr>
          <w:ilvl w:val="3"/>
          <w:numId w:val="1"/>
        </w:numPr>
        <w:rPr/>
      </w:pPr>
      <w:bookmarkStart w:id="740" w:name="__RefHeading___Toc4284567_73709187"/>
      <w:bookmarkStart w:id="741" w:name="_Toc267"/>
      <w:bookmarkEnd w:id="740"/>
      <w:r>
        <w:rPr/>
        <w:t>5</w:t>
      </w:r>
      <w:r>
        <w:rPr>
          <w:rtl w:val="true"/>
        </w:rPr>
        <w:t xml:space="preserve"> - </w:t>
      </w:r>
      <w:r>
        <w:rPr>
          <w:rtl w:val="true"/>
        </w:rPr>
        <w:t>تفسير الشهادتين</w:t>
      </w:r>
      <w:bookmarkEnd w:id="741"/>
    </w:p>
    <w:p>
      <w:pPr>
        <w:pStyle w:val="BookText"/>
        <w:rPr/>
      </w:pPr>
      <w:r>
        <w:rPr>
          <w:rFonts w:ascii="Amiri" w:hAnsi="Amiri" w:eastAsia="Amiri" w:cs="Amiri"/>
          <w:color w:val="111111"/>
          <w:sz w:val="28"/>
          <w:sz w:val="28"/>
          <w:szCs w:val="28"/>
          <w:rtl w:val="true"/>
          <w:lang w:bidi="ar-SA"/>
        </w:rPr>
        <w:t xml:space="preserve">إنّ 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كلمتان دليل على السابق 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أربعة فصول دليل على الأصلين و الأساسين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سبع قطع دليل على النطقاء السبعة و الأوصياء السبعة و الأيام السبعة و السماوات السبعة و الأرضين السبعة و الجبال السبعة و الأفلاك السبعة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حرفاً دليل على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أساسية</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شهادة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كلمات دليل على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الناطق و التالي فوقه و السابق فوق الكلي، و هي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دليل على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نطقاء، و هي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حرفاً دليل على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و كذلك السماء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برجاً 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جزيرة</w:t>
      </w:r>
      <w:r>
        <w:rPr>
          <w:rFonts w:eastAsia="Amiri" w:cs="Amiri" w:ascii="Amiri" w:hAnsi="Amiri"/>
          <w:color w:val="111111"/>
          <w:sz w:val="28"/>
          <w:szCs w:val="28"/>
          <w:rtl w:val="true"/>
          <w:lang w:bidi="ar-SA"/>
        </w:rPr>
        <w:t xml:space="preserve">. </w:t>
      </w:r>
      <w:bookmarkStart w:id="742" w:name="pg11557_101521"/>
    </w:p>
    <w:p>
      <w:pPr>
        <w:pStyle w:val="Heading4"/>
        <w:numPr>
          <w:ilvl w:val="3"/>
          <w:numId w:val="1"/>
        </w:numPr>
        <w:rPr/>
      </w:pPr>
      <w:bookmarkStart w:id="743" w:name="__RefHeading___Toc4284569_73709187"/>
      <w:bookmarkStart w:id="744" w:name="_Toc268"/>
      <w:bookmarkEnd w:id="742"/>
      <w:bookmarkEnd w:id="743"/>
      <w:r>
        <w:rPr/>
        <w:t>6</w:t>
      </w:r>
      <w:r>
        <w:rPr>
          <w:rtl w:val="true"/>
        </w:rPr>
        <w:t xml:space="preserve"> - </w:t>
      </w:r>
      <w:r>
        <w:rPr>
          <w:rtl w:val="true"/>
        </w:rPr>
        <w:t>تقديسهم للعجل و إظهاره في مراسمهم و احتفالاتهم</w:t>
      </w:r>
      <w:bookmarkEnd w:id="744"/>
    </w:p>
    <w:p>
      <w:pPr>
        <w:pStyle w:val="BookText"/>
        <w:rPr/>
      </w:pPr>
      <w:r>
        <w:rPr>
          <w:rFonts w:ascii="Amiri" w:hAnsi="Amiri" w:eastAsia="Amiri" w:cs="Amiri"/>
          <w:color w:val="111111"/>
          <w:sz w:val="28"/>
          <w:sz w:val="28"/>
          <w:szCs w:val="28"/>
          <w:rtl w:val="true"/>
          <w:lang w:bidi="ar-SA"/>
        </w:rPr>
        <w:t>يدعى الكثير بأنّهم من عبدة العجل، و الواضح في مراسمهم و احتفالاتهم ظهور صورة العجل، و في خلواتهم يذكرون العجل بشيء من التقديس و الإجلال، كما أنّهم يحرّمون قتله و أكله</w:t>
      </w:r>
      <w:r>
        <w:rPr>
          <w:rFonts w:eastAsia="Amiri" w:cs="Amiri" w:ascii="Amiri" w:hAnsi="Amiri"/>
          <w:color w:val="111111"/>
          <w:sz w:val="28"/>
          <w:szCs w:val="28"/>
          <w:rtl w:val="true"/>
          <w:lang w:bidi="ar-SA"/>
        </w:rPr>
        <w:t>.</w:t>
      </w:r>
    </w:p>
    <w:p>
      <w:pPr>
        <w:pStyle w:val="Heading4"/>
        <w:numPr>
          <w:ilvl w:val="3"/>
          <w:numId w:val="1"/>
        </w:numPr>
        <w:rPr/>
      </w:pPr>
      <w:bookmarkStart w:id="745" w:name="__RefHeading___Toc4284571_73709187"/>
      <w:bookmarkStart w:id="746" w:name="_Toc269"/>
      <w:bookmarkEnd w:id="745"/>
      <w:r>
        <w:rPr/>
        <w:t>7</w:t>
      </w:r>
      <w:r>
        <w:rPr>
          <w:rtl w:val="true"/>
        </w:rPr>
        <w:t xml:space="preserve"> - </w:t>
      </w:r>
      <w:r>
        <w:rPr>
          <w:rtl w:val="true"/>
        </w:rPr>
        <w:t>تأويل غريب و منحرف للأحاديث الإسلامية</w:t>
      </w:r>
      <w:bookmarkEnd w:id="746"/>
    </w:p>
    <w:p>
      <w:pPr>
        <w:pStyle w:val="BookText"/>
        <w:rPr/>
      </w:pPr>
      <w:r>
        <w:rPr>
          <w:rFonts w:ascii="Amiri" w:hAnsi="Amiri" w:eastAsia="Amiri" w:cs="Amiri"/>
          <w:color w:val="111111"/>
          <w:sz w:val="28"/>
          <w:sz w:val="28"/>
          <w:szCs w:val="28"/>
          <w:rtl w:val="true"/>
          <w:lang w:bidi="ar-SA"/>
        </w:rPr>
        <w:t xml:space="preserve">كما أنّهم يذكرون روايات علي بن أبي طالب عليه السّلام حول المهدي و يقولون في تأويلها المقصود به المهدي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خلفاء الدولة الفاطمية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يدّعون أنّ الحاكم سيرجع في آخر الزمان ليدين العالم و يبدد أعداءه من أمام وجهه، و يبسط ملكه على العالم، و تسبق رجعة الحاكم رجعة حمزة ليعدَّ لمجيء الإله الحاكم و يحطم الأضداد و الأبالسة المرتدين و يكسر الصلبان، و يهدم الكعبة التي يعتبرونها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مقطرة الكفرة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علوج الضلال وقود الزنج في الأغلال و نسخ الشرائع و الطرائق، و ظهور الحقائق و سبي النساء و الأطفال و ذبح الرجال بسيف الحاكم على يد عبده القائم الناطق حمزة بن علي، فينصر مستجيبيه بعساكره الجرارة فيحيي كل البشر تحت رايته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أبرز سمات عقيدة الدروز و التي تعتبر السرية ركناً أساسياً لها خوفاً من المتطفلين كما أنّ كشفها قد يعرضها إلى إساءة فهمها ثمّ الاستهزاء بها و هذا يجر صاحبها إلى الهلكة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لهذه الفرقة طقوساً خاصة بهم</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انّ كلّ من يكتمل و يصل لسن الأربعين عليه أن يعرض دينه بحضور شاهدين و يقسم و مما يقوله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آمنت باللّٰه ربّي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بجميع 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سلمت نفسي و ذواتي ظاهراً و باطناً، علماً و عملاً، و أنا أُجاهد في سبيل مولانا سراً و علانية بنفسي و مالي و ولدي، و اشهد مولاي هادي المستجيبين المنتقم من المشركين المرتدين حمزة بن علي بن أحمد من به أشرقت الشمس الأزلية و نطقت فيه و له السحب الفضلية انّني قد تبرأت و خرجت من جميع الأديان و المذاهب و المقالات و الاعتقادات قديمها و حديثها، و آمنت بما أمر به مولانا الحاكم و أقر بأنّك أنت الحاكم الإله الحقيقي المعبود و الإمام الموجود جلّ ذكرك</w:t>
      </w:r>
      <w:r>
        <w:rPr>
          <w:rFonts w:eastAsia="Amiri" w:cs="Amiri" w:ascii="Amiri" w:hAnsi="Amiri"/>
          <w:color w:val="111111"/>
          <w:sz w:val="28"/>
          <w:szCs w:val="28"/>
          <w:rtl w:val="true"/>
          <w:lang w:bidi="ar-SA"/>
        </w:rPr>
        <w:t>».</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أماكن اجتماعهم في جلساتهم الدينية في ليالي الجمع و يحضرها كبارهم العقال فقط و يقودها شيخ العقل أو أكبرهم علماً</w:t>
      </w:r>
      <w:r>
        <w:rPr>
          <w:rFonts w:eastAsia="Amiri" w:cs="Amiri" w:ascii="Amiri" w:hAnsi="Amiri"/>
          <w:color w:val="111111"/>
          <w:sz w:val="28"/>
          <w:szCs w:val="28"/>
          <w:rtl w:val="true"/>
          <w:lang w:bidi="ar-SA"/>
        </w:rPr>
        <w:t>.</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 xml:space="preserve">و لعلّ ما نقلناه عن الباحثين سلط ضوءاً على جوانب من حياتهم و آدابهم و عقائدهم غير أنّ الكاتب خير الدين الزركلي ذكر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اتصاله ببعض المثقفين من الدروز و أخذ عنهم شيئاً من عقائدهم و لإكمال الفائدة ننقل ما جاء في موسوعته، قال</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قد جمعت طائفة من النصوص و المصادر للرجوع إليها عند كتابة هذه الترجمة، و منها ما جاء في دائرة المعارف البريطانية </w:t>
      </w:r>
      <w:r>
        <w:rPr>
          <w:rFonts w:eastAsia="Amiri" w:cs="Amiri" w:ascii="Amiri" w:hAnsi="Amiri"/>
          <w:color w:val="111111"/>
          <w:sz w:val="28"/>
          <w:szCs w:val="28"/>
          <w:lang w:bidi="ar-SA"/>
        </w:rPr>
        <w:t>603:8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دائرة البستاني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عرضتها على صديقي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فؤاد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مثقفي المنسوبين إلى المذهب الدرزي،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الدائرتين البريطانية و البستانية أغلاطاً، و صحّح ما أخذته عنهما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أضاف من عنده زيادات مما اشتملت عليه الحاشية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أطلعت بعد ذلك صديقي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فؤاد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أُسرة درزية معروفة في لبنان، و كان يومئذٍ في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انقطعت صلته بالعقيدة التي نشأ عليها، كما ذكر لي مراراً، و سألته عن رأيه في الترجمة </w:t>
      </w:r>
    </w:p>
    <w:p>
      <w:pPr>
        <w:pStyle w:val="BookText"/>
        <w:rPr/>
      </w:pPr>
      <w:r>
        <w:rPr>
          <w:rFonts w:ascii="Amiri" w:hAnsi="Amiri" w:eastAsia="Amiri" w:cs="Amiri"/>
          <w:color w:val="111111"/>
          <w:sz w:val="28"/>
          <w:sz w:val="28"/>
          <w:szCs w:val="28"/>
          <w:rtl w:val="true"/>
          <w:lang w:bidi="ar-SA"/>
        </w:rPr>
        <w:t>و الحاشية، فكتب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أصحّ ما كتب في الموضوع حتى الآن، و هو في الحقيقة ما يذهب إليه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في رسالة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بعض الرسائل المقول إنّها لحمزة هي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 ما كتب هو من قلم علي بن أحمد السموقي الملقب ببهاء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الدروز الستة هي من وضع أربعة أشخاص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نفسه، و عدد رسائله قليل،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وجد معلقاً على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 الرسائل التي تركها غير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محمد التميمي الداعي المكنّى بصفوة المستجيبين و بالنفس، فله بعض الرسائل و منها شعر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كملحمة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بهاء الدين الصابري أي علي بن أحمد السموقي، و له معظم الرسائل، و هو الذي نشر الدعوة و وطد أركانها أكثر ممن سبقه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رسالة 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شكّ في أنّ الحسن بن هاني كان من كبار الباطنيين، و لكنّه باطني في مبتدأ نشوء الدعوة قبل أن تدرك مبلغها الذي عرفت به في عصر الحاكم الفاطمي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 أنّ الحاكميين كانوا آخر من انشق عن الإسماعيلية و لذلك تجد في كتابات الفريقين مصطلحات واحدة، كالناطق، و الأساس، وداعي الدعاة، و النقباء، و المكاسرين، و العقل، و النفس الخ البانثيون الباطني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رسالة 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كثر الكتاب في موضوع الإسماعيليّة و الفرق الباطنية كما كثر فيه الخلط من جانب الذين كتبوا</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الموضوع من الوجهة التاريخية جدير بالعناية لأنّ هذه الفرق الباطنية هي التي أعملت معولها في بنيان الإسلام تحت ستار من الغيرة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قرأت عن ذلك الكثير و لكن معظم الكتاب لم يتمكّنوا من بلوغ الهدف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أنّ معرفة حقائق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الدعوات الباطنية لا تتيسر إلّا لمن كان مطلعاً على التاريخ الإسلامي بوقائعه الظاهرة و كان في نفس الوقت من جماعة الداخلين في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تكون كتابات بطرس البستاني و كتابات دائرة المعارف البريطانية مهمة و لكن كما ذكرت لك يصعب على من كتب أن يتفقه كنه الدعوة ما دام لا يعرف حقيقتها السرية و تفسيراتها الداخلية</w:t>
      </w:r>
      <w:r>
        <w:rPr>
          <w:rFonts w:eastAsia="Amiri" w:cs="Amiri" w:ascii="Amiri" w:hAnsi="Amiri"/>
          <w:color w:val="111111"/>
          <w:sz w:val="28"/>
          <w:szCs w:val="28"/>
          <w:rtl w:val="true"/>
          <w:lang w:bidi="ar-SA"/>
        </w:rPr>
        <w:t>.</w:t>
      </w:r>
      <w:r>
        <w:rPr>
          <w:rStyle w:val="FootnoteAnchor"/>
          <w:rtl w:val="true"/>
        </w:rPr>
        <w:footnoteReference w:id="504"/>
      </w:r>
      <w:bookmarkStart w:id="747" w:name="pg11557_101525"/>
    </w:p>
    <w:p>
      <w:pPr>
        <w:pStyle w:val="Heading3"/>
        <w:numPr>
          <w:ilvl w:val="2"/>
          <w:numId w:val="1"/>
        </w:numPr>
        <w:rPr/>
      </w:pPr>
      <w:bookmarkStart w:id="748" w:name="__RefHeading___Toc4284573_73709187"/>
      <w:bookmarkStart w:id="749" w:name="_Toc270"/>
      <w:bookmarkEnd w:id="747"/>
      <w:bookmarkEnd w:id="748"/>
      <w:r>
        <w:rPr>
          <w:rtl w:val="true"/>
        </w:rPr>
        <w:t>أعلام الدروز</w:t>
      </w:r>
      <w:bookmarkEnd w:id="749"/>
    </w:p>
    <w:p>
      <w:pPr>
        <w:pStyle w:val="Heading4"/>
        <w:numPr>
          <w:ilvl w:val="3"/>
          <w:numId w:val="1"/>
        </w:numPr>
        <w:rPr/>
      </w:pPr>
      <w:bookmarkStart w:id="750" w:name="__RefHeading___Toc4284575_73709187"/>
      <w:bookmarkStart w:id="751" w:name="_Toc271"/>
      <w:bookmarkEnd w:id="750"/>
      <w:r>
        <w:rPr>
          <w:rtl w:val="true"/>
        </w:rPr>
        <w:t xml:space="preserve">حمزة بن علي </w:t>
      </w:r>
      <w:r>
        <w:rPr>
          <w:rtl w:val="true"/>
        </w:rPr>
        <w:t>(</w:t>
      </w:r>
      <w:r>
        <w:rPr/>
        <w:t>375</w:t>
      </w:r>
      <w:r>
        <w:rPr>
          <w:rtl w:val="true"/>
        </w:rPr>
        <w:t>-</w:t>
      </w:r>
      <w:r>
        <w:rPr/>
        <w:t>433</w:t>
      </w:r>
      <w:r>
        <w:rPr>
          <w:rtl w:val="true"/>
        </w:rPr>
        <w:t xml:space="preserve"> </w:t>
      </w:r>
      <w:r>
        <w:rPr>
          <w:rtl w:val="true"/>
        </w:rPr>
        <w:t>ه</w:t>
      </w:r>
      <w:r>
        <w:rPr>
          <w:rtl w:val="true"/>
        </w:rPr>
        <w:t>)</w:t>
      </w:r>
      <w:bookmarkEnd w:id="751"/>
    </w:p>
    <w:p>
      <w:pPr>
        <w:pStyle w:val="BookText"/>
        <w:rPr/>
      </w:pPr>
      <w:r>
        <w:rPr>
          <w:rFonts w:ascii="Amiri" w:hAnsi="Amiri" w:eastAsia="Amiri" w:cs="Amiri"/>
          <w:color w:val="111111"/>
          <w:sz w:val="28"/>
          <w:sz w:val="28"/>
          <w:szCs w:val="28"/>
          <w:rtl w:val="true"/>
          <w:lang w:bidi="ar-SA"/>
        </w:rPr>
        <w:t xml:space="preserve">حمزة بن علي بن أحمد الفارسي الحاكمي الدرزي، من كبار الباطنية، و من مؤسسي المذهب الدرزي، فارسي الأصل، من مقاطعة زوزن، كان قزازاً أو لبادا، و تأدّب بالعربية و انتقل إلى القاهرة و اتصل برجال الدعوة السرية من شيعة الحاكم بأمر اللّٰه الفاطمي، فأصبح من أركانها و استمر يعمل لها في الخفاء و يواصل رفع كتبه إلى الحاكم، حتى سنة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فأظهر الدعوة و جاهر بتأليه الحاكم،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رسوله، و جعله الحاكم داعي الدعاة و لما هلك الحاكم وحل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لإعزاز 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محلّه سنة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فترت الدعوة ثمّ طوردت بعد براءة الظاهر منها سنة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فاضطر حمزة إلى الرحيل و لحق به بعض أتباعه إلى بلاد الشام، و استقر أكثرهم في المقاطعة التي سمّيت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 الدروز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سورية و سمّوا بالدروز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حمزة عندهم أوّل الحدود الخمسة المعصومين، و يكنّون عنه بالعقل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رسائل في مذهبهم و الدعوة إلى الحاكم و الردّ على مخالفيهم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الرد على الفاسق النصيري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الرضا و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ذكر الدرزي محمد بن إسماعيل و عصيانه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التنزيه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لإظهار تنزيه الإله عن كلّ وصف و إدراك، و فيها ذكر وزراء الدين و مضاديهم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أبالستهم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النساء</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الصبحة الكائنة</w:t>
      </w:r>
      <w:r>
        <w:rPr>
          <w:rFonts w:eastAsia="Amiri" w:cs="Amiri" w:ascii="Amiri" w:hAnsi="Amiri"/>
          <w:color w:val="111111"/>
          <w:sz w:val="28"/>
          <w:szCs w:val="28"/>
          <w:rtl w:val="true"/>
          <w:lang w:bidi="ar-SA"/>
        </w:rPr>
        <w:t xml:space="preserve">». </w:t>
      </w:r>
      <w:bookmarkStart w:id="752" w:name="pg11557_101526"/>
    </w:p>
    <w:p>
      <w:pPr>
        <w:pStyle w:val="BookText"/>
        <w:rPr/>
      </w:pPr>
      <w:bookmarkEnd w:id="752"/>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نسخة سجل المجتبى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تقليد الرضى سفير القدرة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تقليد المقتنى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مكاتبة أهل الكدية البيضاء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شرط الإمام صاحب الكشف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التحذير و التنبيه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البلاغ و النهاية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سبب الأسباب و الكنز لمن أيقن و استجاب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انقطع حمزة عن الكتابة بعد رحيله إلى الشام و انقطاع الصلة بينه و بين شيعة الحاكم في مصر</w:t>
      </w:r>
      <w:r>
        <w:rPr>
          <w:rFonts w:eastAsia="Amiri" w:cs="Amiri" w:ascii="Amiri" w:hAnsi="Amiri"/>
          <w:color w:val="111111"/>
          <w:sz w:val="28"/>
          <w:szCs w:val="28"/>
          <w:rtl w:val="true"/>
          <w:lang w:bidi="ar-SA"/>
        </w:rPr>
        <w:t>.</w:t>
      </w:r>
      <w:r>
        <w:rPr>
          <w:rStyle w:val="FootnoteAnchor"/>
          <w:rtl w:val="true"/>
        </w:rPr>
        <w:footnoteReference w:id="505"/>
      </w:r>
      <w:r>
        <w:rPr>
          <w:rFonts w:ascii="Amiri" w:hAnsi="Amiri" w:eastAsia="Amiri" w:cs="Amiri"/>
          <w:color w:val="111111"/>
          <w:sz w:val="28"/>
          <w:sz w:val="28"/>
          <w:szCs w:val="28"/>
          <w:rtl w:val="true"/>
          <w:lang w:bidi="ar-SA"/>
        </w:rPr>
        <w:t xml:space="preserve">توفي عام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506"/>
      </w:r>
    </w:p>
    <w:p>
      <w:pPr>
        <w:pStyle w:val="Heading4"/>
        <w:numPr>
          <w:ilvl w:val="3"/>
          <w:numId w:val="1"/>
        </w:numPr>
        <w:rPr/>
      </w:pPr>
      <w:bookmarkStart w:id="753" w:name="__RefHeading___Toc4284577_73709187"/>
      <w:bookmarkStart w:id="754" w:name="_Toc272"/>
      <w:bookmarkEnd w:id="753"/>
      <w:r>
        <w:rPr>
          <w:rtl w:val="true"/>
        </w:rPr>
        <w:t xml:space="preserve">جمال الدين عبد اللّٰه التنوخي </w:t>
      </w:r>
      <w:r>
        <w:rPr>
          <w:rtl w:val="true"/>
        </w:rPr>
        <w:t>(</w:t>
      </w:r>
      <w:r>
        <w:rPr/>
        <w:t>820</w:t>
      </w:r>
      <w:r>
        <w:rPr>
          <w:rtl w:val="true"/>
        </w:rPr>
        <w:t>-</w:t>
      </w:r>
      <w:r>
        <w:rPr/>
        <w:t>884</w:t>
      </w:r>
      <w:r>
        <w:rPr>
          <w:rtl w:val="true"/>
        </w:rPr>
        <w:t xml:space="preserve"> </w:t>
      </w:r>
      <w:r>
        <w:rPr>
          <w:rtl w:val="true"/>
        </w:rPr>
        <w:t>ه</w:t>
      </w:r>
      <w:r>
        <w:rPr>
          <w:rtl w:val="true"/>
        </w:rPr>
        <w:t>)</w:t>
      </w:r>
      <w:bookmarkEnd w:id="754"/>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أكبر شخصية علمية بين الدروز، ولد في عبيه سنة </w:t>
      </w: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توفي فيها في جمادى الآخرة سنة </w:t>
      </w: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تتلمذ على يد الشيخ أبي علي مرعى زهر الدين، و انتقل إلى دمشق طمعاً في مزيد من العلم اثنتي عشرة سنة و بعدها عاد إلى عبيه، يمضي وقته في التدريس و العبادة حتى أقبل عليه التلاميذ من مختلف نواحي البلاد الدرزية، و اشتهر أمره و صارت له مكانة عالية بين أكابر البلاد و مشايخها و أصبح المرجع الدرزي الوحيد لأهل عصره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يعده الدروز اليوم قطباً من أقطاب المذهب الدرزي، و انّ شروحه على بعض رسائل الدروز أو رسائل الحكمة الدرزية كما يطلق عليها تنال عناية وافرة لدى شيوخ العقل الدروز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مصنفات كثيرة،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اللغة العرباء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معجم في اللغة العربية على غرار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للجوهري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سياسة الأخيار في شرح كمالات النبي المختار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شروحات الأمير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مجموعة شروح على بعض الرسائل التوحيدية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من بين رسائل الدروز المائة و احدى عشرة</w:t>
      </w:r>
      <w:r>
        <w:rPr>
          <w:rStyle w:val="FootnoteAnchor"/>
          <w:rtl w:val="true"/>
        </w:rPr>
        <w:footnoteReference w:id="507"/>
      </w:r>
      <w:r>
        <w:rPr>
          <w:rFonts w:ascii="Amiri" w:hAnsi="Amiri" w:eastAsia="Amiri" w:cs="Amiri"/>
          <w:color w:val="111111"/>
          <w:sz w:val="28"/>
          <w:sz w:val="28"/>
          <w:szCs w:val="28"/>
          <w:rtl w:val="true"/>
          <w:lang w:bidi="ar-SA"/>
        </w:rPr>
        <w:t xml:space="preserve">، قام بطبعها الكاتب الدرزي عجاج يوسف نويهض، ضمن كتابه الموسوم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التنوخي الأمير عبد اللّٰه و الشيخ محمد أبو 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الفصول التي طبعت هي في الموضوعات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تحريم الخمر و كلّ مسكر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طلب الاستفادة و المرشد الأمين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النهي عن الغضب و محقه بالاعتصام بحبل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آداب جوارح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اللسان، العين، الأُذن، اليد، الرجل، البطن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اختلاف ألوان الأطعمة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الحركة و الرياضة قبل الطعام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آداب الزواج</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ادخار المال و إنفاقه</w:t>
      </w:r>
      <w:r>
        <w:rPr>
          <w:rFonts w:eastAsia="Amiri" w:cs="Amiri" w:ascii="Amiri" w:hAnsi="Amiri"/>
          <w:color w:val="111111"/>
          <w:sz w:val="28"/>
          <w:szCs w:val="28"/>
          <w:rtl w:val="true"/>
          <w:lang w:bidi="ar-SA"/>
        </w:rPr>
        <w:t xml:space="preserve">. </w:t>
      </w:r>
      <w:bookmarkStart w:id="755" w:name="pg11557_101528"/>
    </w:p>
    <w:p>
      <w:pPr>
        <w:pStyle w:val="BookText"/>
        <w:rPr/>
      </w:pPr>
      <w:bookmarkEnd w:id="755"/>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النهي عن الاحتكار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الغنى نحو اللّٰه و نفسه و المحتاجين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معاملات البيع و الشراء و القرض و الوديعة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واجبات الدائن و المدين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تربية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شذرات من أقوال التنوخي و اختياره</w:t>
      </w:r>
      <w:r>
        <w:rPr>
          <w:rFonts w:eastAsia="Amiri" w:cs="Amiri" w:ascii="Amiri" w:hAnsi="Amiri"/>
          <w:color w:val="111111"/>
          <w:sz w:val="28"/>
          <w:szCs w:val="28"/>
          <w:rtl w:val="true"/>
          <w:lang w:bidi="ar-SA"/>
        </w:rPr>
        <w:t>.</w:t>
      </w:r>
      <w:r>
        <w:rPr>
          <w:rStyle w:val="FootnoteAnchor"/>
          <w:rtl w:val="true"/>
        </w:rPr>
        <w:footnoteReference w:id="508"/>
      </w:r>
    </w:p>
    <w:p>
      <w:pPr>
        <w:pStyle w:val="Heading4"/>
        <w:numPr>
          <w:ilvl w:val="3"/>
          <w:numId w:val="1"/>
        </w:numPr>
        <w:rPr/>
      </w:pPr>
      <w:bookmarkStart w:id="756" w:name="__RefHeading___Toc4284579_73709187"/>
      <w:bookmarkStart w:id="757" w:name="_Toc273"/>
      <w:bookmarkEnd w:id="756"/>
      <w:r>
        <w:rPr>
          <w:rtl w:val="true"/>
        </w:rPr>
        <w:t>يوسف الكفرقوقي</w:t>
      </w:r>
      <w:bookmarkEnd w:id="757"/>
    </w:p>
    <w:p>
      <w:pPr>
        <w:pStyle w:val="BookText"/>
        <w:rPr/>
      </w:pPr>
      <w:r>
        <w:rPr>
          <w:rFonts w:ascii="Amiri" w:hAnsi="Amiri" w:eastAsia="Amiri" w:cs="Amiri"/>
          <w:color w:val="111111"/>
          <w:sz w:val="28"/>
          <w:sz w:val="28"/>
          <w:szCs w:val="28"/>
          <w:rtl w:val="true"/>
          <w:lang w:bidi="ar-SA"/>
        </w:rPr>
        <w:t xml:space="preserve">هو الشيخ يوسف سعيد برّو، من كفرقوق في راشيا، و عرف بهذا 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الكفرقوقي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نسبه لقريته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شاعراً دينياً و من كبار علماء الدروز، له كتاب ضخم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 النحو في التوبة إلى الملك الغفور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عودته من دمشق، و دفن فيها</w:t>
      </w:r>
      <w:r>
        <w:rPr>
          <w:rFonts w:eastAsia="Amiri" w:cs="Amiri" w:ascii="Amiri" w:hAnsi="Amiri"/>
          <w:color w:val="111111"/>
          <w:sz w:val="28"/>
          <w:szCs w:val="28"/>
          <w:rtl w:val="true"/>
          <w:lang w:bidi="ar-SA"/>
        </w:rPr>
        <w:t>.</w:t>
      </w:r>
      <w:r>
        <w:rPr>
          <w:rStyle w:val="FootnoteAnchor"/>
          <w:rtl w:val="true"/>
        </w:rPr>
        <w:footnoteReference w:id="509"/>
      </w:r>
    </w:p>
    <w:p>
      <w:pPr>
        <w:pStyle w:val="Heading4"/>
        <w:numPr>
          <w:ilvl w:val="3"/>
          <w:numId w:val="1"/>
        </w:numPr>
        <w:rPr/>
      </w:pPr>
      <w:bookmarkStart w:id="758" w:name="__RefHeading___Toc4284581_73709187"/>
      <w:bookmarkStart w:id="759" w:name="_Toc274"/>
      <w:bookmarkEnd w:id="758"/>
      <w:r>
        <w:rPr>
          <w:rtl w:val="true"/>
        </w:rPr>
        <w:t xml:space="preserve">محمد أبو هلال المعروف ب </w:t>
      </w:r>
      <w:r>
        <w:rPr>
          <w:rtl w:val="true"/>
        </w:rPr>
        <w:t>«</w:t>
      </w:r>
      <w:r>
        <w:rPr>
          <w:rtl w:val="true"/>
        </w:rPr>
        <w:t>الشيخ الفاضل</w:t>
      </w:r>
      <w:r>
        <w:rPr>
          <w:rtl w:val="true"/>
        </w:rPr>
        <w:t>» (</w:t>
      </w:r>
      <w:r>
        <w:rPr/>
        <w:t>1005</w:t>
      </w:r>
      <w:r>
        <w:rPr>
          <w:rtl w:val="true"/>
        </w:rPr>
        <w:t>-</w:t>
      </w:r>
      <w:r>
        <w:rPr/>
        <w:t>1050</w:t>
      </w:r>
      <w:r>
        <w:rPr>
          <w:rtl w:val="true"/>
        </w:rPr>
        <w:t xml:space="preserve"> </w:t>
      </w:r>
      <w:r>
        <w:rPr>
          <w:rtl w:val="true"/>
        </w:rPr>
        <w:t>ه</w:t>
      </w:r>
      <w:r>
        <w:rPr>
          <w:rtl w:val="true"/>
        </w:rPr>
        <w:t>)</w:t>
      </w:r>
      <w:bookmarkEnd w:id="759"/>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في قرية صغيرة من جبل الشيخ تدعى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انكب على القراءة و المطالعة، و بدأ نجمه يلمع و يتألق حتى توصل لمرتبة شيخ عقل الدروز كافة،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نال ثقتهم حتى أصبحوا يطلقون عليه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الفاضل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برع في شعره براعة فائقة، و جميع الدروز يردّدون شعره في اجتماعاتهم الدينية و طقوسهم، لأنّها تمجيد للخالق و المآثر الدينية الحميدة، هذا و قد كتب عنه و عن آدابه أحد تلاميذه و يدعى أبو علي عبد الملك، ضمن كتاب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آداب 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وصف لسيرة شيخه الفاضل في مرحلة تديّنه، و هي المرحلة التي كتب فيها الشعر حيث كان يبلغ من العمر الأربعين أو خمسة و أربعين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 بلدة عين عطا، و دفن فيها عام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510"/>
      </w:r>
      <w:bookmarkStart w:id="760" w:name="pg11557_101530"/>
    </w:p>
    <w:p>
      <w:pPr>
        <w:pStyle w:val="Heading2"/>
        <w:numPr>
          <w:ilvl w:val="1"/>
          <w:numId w:val="1"/>
        </w:numPr>
        <w:rPr/>
      </w:pPr>
      <w:bookmarkStart w:id="761" w:name="__RefHeading___Toc4284583_73709187"/>
      <w:bookmarkStart w:id="762" w:name="_Toc275"/>
      <w:bookmarkEnd w:id="760"/>
      <w:bookmarkEnd w:id="761"/>
      <w:r>
        <w:rPr>
          <w:rtl w:val="true"/>
        </w:rPr>
        <w:t>الفصل السابع عشر</w:t>
      </w:r>
      <w:r>
        <w:rPr>
          <w:rtl w:val="true"/>
        </w:rPr>
        <w:t xml:space="preserve">: </w:t>
      </w:r>
      <w:r>
        <w:rPr>
          <w:rtl w:val="true"/>
        </w:rPr>
        <w:t>في الفطحية</w:t>
      </w:r>
      <w:bookmarkEnd w:id="762"/>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63" w:name="__RefHeading___Toc4284585_73709187"/>
      <w:bookmarkStart w:id="764" w:name="_Toc276"/>
      <w:bookmarkEnd w:id="763"/>
      <w:r>
        <w:rPr>
          <w:rtl w:val="true"/>
        </w:rPr>
        <w:t>اشارة</w:t>
      </w:r>
      <w:bookmarkEnd w:id="764"/>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الفطحية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القائلون بإمامة الأئمّة الاثني عشر مع عبد اللّٰه الأفطح ابن الإمام الصادق عليه السّلام يدخلونه بين أبيه الصادق و أخيه الكاظم عليهما السّلام و قد كان عبد اللّٰه أفطح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الأفطح كما في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عريض الرأس، و رأس أفطح و مفطّح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عريض</w:t>
      </w:r>
      <w:r>
        <w:rPr>
          <w:rFonts w:eastAsia="Amiri" w:cs="Amiri" w:ascii="Amiri" w:hAnsi="Amiri"/>
          <w:color w:val="111111"/>
          <w:sz w:val="28"/>
          <w:szCs w:val="28"/>
          <w:rtl w:val="true"/>
          <w:lang w:bidi="ar-SA"/>
        </w:rPr>
        <w:t>.</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و قال الطريحي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أفطح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عريضهما</w:t>
      </w:r>
      <w:r>
        <w:rPr>
          <w:rStyle w:val="FootnoteAnchor"/>
          <w:rtl w:val="true"/>
        </w:rPr>
        <w:footnoteReference w:id="512"/>
      </w:r>
      <w:r>
        <w:rPr>
          <w:rFonts w:ascii="Amiri" w:hAnsi="Amiri" w:eastAsia="Amiri" w:cs="Amiri"/>
          <w:color w:val="111111"/>
          <w:sz w:val="28"/>
          <w:sz w:val="28"/>
          <w:szCs w:val="28"/>
          <w:rtl w:val="true"/>
          <w:lang w:bidi="ar-SA"/>
        </w:rPr>
        <w:t>و ربما يفسّر باعوجاج في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عبد اللّٰه بن جعفر الصادق عليه السّلام قد ادّعى الإمامة و الوصاية، بعد رحيل أبيه، و كان هو أكبر أولاد الإمام بعد إسماعيل المتوفىٰ في حياته، فتمسّك القائلون بإمامته بحديث رووه عن الإمام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الإمامة في الأكبر من ولد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حظّه من الدنيا بعد رحيل أبيه إلّا سبعين يوماً، فقد تُوفي أبوه الصادق عليه السّلام في الخامس و العشرين من شهر شوال عام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فيكون قد توفي في خامس شهر ذي الحجة الحرام من نفس السنة و برحيله عاد القائلون بإمامته إلى إمامة الإمام موسى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ظهرت منه أشياء لا ينبغي أن تظهر من الإمام لمّا امتحنوه بمسائل من الحلال و الحرام و لم يكن عنده جواب، و إليك ما وقفنا عليه من النصوص</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الحسن بن موسى النوبختي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الفطحية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بعد جعفر في ابنه عبد اللّٰه بن جعفر الأفطح، و ذلك أنّه كان عند مضيّ جعفر، أكبرُ وُلْدِه سناً و جلس مجلس أبيه و ادّعى الإمامة و وصية أبيه، و اعتلّوا بحديث يروونه عن أبي </w:t>
      </w:r>
    </w:p>
    <w:p>
      <w:pPr>
        <w:pStyle w:val="BookText"/>
        <w:rPr/>
      </w:pPr>
      <w:r>
        <w:rPr>
          <w:rFonts w:ascii="Amiri" w:hAnsi="Amiri" w:eastAsia="Amiri" w:cs="Amiri"/>
          <w:color w:val="111111"/>
          <w:sz w:val="28"/>
          <w:sz w:val="28"/>
          <w:szCs w:val="28"/>
          <w:rtl w:val="true"/>
          <w:lang w:bidi="ar-SA"/>
        </w:rPr>
        <w:t>عبد اللّٰه جعفر بن محمد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في الأكبر من وُلْد الإمام، فمالَ إلى عبد اللّٰه و القول بإمامته جُلَّ من قال بإمامة أبيه جعفر بن محمد غير نفر يسير عرفوا الحقّ فامْتَحنوا عبد اللّٰه بمسائل في الحلال و الحرام من الصلاة و الزكاة و غير ذلك فلم يجدوا عنده علماً، و هذه الفرقة القائلة بإمامة عبد اللّٰه بن جعفر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الفطحية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سُمّوا بذلك لأنّ عبد اللّٰه كان أفطح الرأس،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أفطح الرجلين، و قال بعض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نُسِبُوا إلى رئيس لهم من أهل الكوفة يقال له عبد اللّٰه بن فطيح، و مال إلى هذه الفرقة جلّ مشايخ الشيعة و فقهائها و لم يشكّوا في أنّ الإمامة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وُلْده من بعده، فمات عبد اللّٰه و لم يخلِّف ذكراً، فرجع عامة الفطحية عن القول بإمامته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قليل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القول بإمامة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كان رجع جماعة منهم في حياة عبد اللّٰه إلى موسى بن جعفر عليهما السّلام، ثمّ رجع عامتهم بعد وفاته عن القول به، و بقى بعضهم على القول بإمامته ثمّ إمامة موسى بن جعفر من بعده، و عاش عبد اللّٰه بن جعفر بعد أبيه سبعين يوماً أو نحوها</w:t>
      </w:r>
      <w:r>
        <w:rPr>
          <w:rFonts w:eastAsia="Amiri" w:cs="Amiri" w:ascii="Amiri" w:hAnsi="Amiri"/>
          <w:color w:val="111111"/>
          <w:sz w:val="28"/>
          <w:szCs w:val="28"/>
          <w:rtl w:val="true"/>
          <w:lang w:bidi="ar-SA"/>
        </w:rPr>
        <w:t>.</w:t>
      </w:r>
      <w:r>
        <w:rPr>
          <w:rStyle w:val="FootnoteAnchor"/>
          <w:rtl w:val="true"/>
        </w:rPr>
        <w:footnoteReference w:id="51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القائلون بإمامة عبد اللّٰه بن جعفر بن محمد، و سُمُّوا بذلك لأنّه قيل إنّه كان أفطح الرأس،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أفطح الرجلين،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نسبوا إلى رئيس من أهل الكوفة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فطيح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قالوا بإمامته عامة مشايخ العصابة و فقهائها، مالوا إلى هذه المقالة فَدَخلْت عليهم الشبهة لما روي عنهم عليهم السّلام أنّهم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الإمامة في الأكبر من ولد الإمام إذا مضى 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منهم من رجع عن القول بإمامته لما امتحنه بمسائل من الحلال و الحرام لم يكن عنده فيها جواب، و لِما ظهر منه من الأشياء التي لا ينبغي أن يظهر من الإمام</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عبد اللّٰه مات بعد أبيه بسبعين يوماً، فرجع الباقون إلّا شاذاً منهم عن </w:t>
      </w:r>
    </w:p>
    <w:p>
      <w:pPr>
        <w:pStyle w:val="BookText"/>
        <w:rPr/>
      </w:pPr>
      <w:r>
        <w:rPr>
          <w:rFonts w:ascii="Amiri" w:hAnsi="Amiri" w:eastAsia="Amiri" w:cs="Amiri"/>
          <w:color w:val="111111"/>
          <w:sz w:val="28"/>
          <w:sz w:val="28"/>
          <w:szCs w:val="28"/>
          <w:rtl w:val="true"/>
          <w:lang w:bidi="ar-SA"/>
        </w:rPr>
        <w:t>القول بإمامته إلى القول بإمامة أبي الحسن موسى عليه السّلام و رجعوا إلى الخبر الذي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الإمامة لا تكون في الأخوين بعد الحسن و الحسين عليهما السّلام و بقي شذّاذ منهم على القول بإمامته، و بعد أن مات قال بإمامة أبي الحسن موسى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أبي عبد اللّٰه عليه السّلام أنّه قال لموسى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انّ أخاك سيجلس مجلسي، و يدّعي الإمامة بعدي، فلا تنازعه بكلمة، فإنّه أوّل أهلي لحوقاً بي</w:t>
      </w:r>
      <w:r>
        <w:rPr>
          <w:rFonts w:eastAsia="Amiri" w:cs="Amiri" w:ascii="Amiri" w:hAnsi="Amiri"/>
          <w:color w:val="111111"/>
          <w:sz w:val="28"/>
          <w:szCs w:val="28"/>
          <w:rtl w:val="true"/>
          <w:lang w:bidi="ar-SA"/>
        </w:rPr>
        <w:t>».</w:t>
      </w:r>
      <w:r>
        <w:rPr>
          <w:rStyle w:val="FootnoteAnchor"/>
          <w:rtl w:val="true"/>
        </w:rPr>
        <w:footnoteReference w:id="51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نقل في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 بن سالم الجواليقي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بالمدينة بعد وفاة أبي عبد اللّٰه عليه السّلام أنا و مؤمن الطاق أبو جعفر، و الناس مجتمعون على أنّ عبد اللّٰه صاحب الأمر بعد أبيه، فدخلنا عليه أنا و صاحب الطاق، و الناس مجتمعون عند عبد اللّٰه و ذلك أنّهم رووا عن أبي عبد اللّٰه عليه السّلام أنّ الأمر في الكبير ما لم يكن به عاهة، فدخلنا نسأله عمّا كنّا نسأل عنه أباه، فسألناه عن الزكاة في كم تجب؟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مائتين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درهمان و نصف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تقول في المرجئة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فرفع يده إلى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أدري ما تقول المرجئة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فخرجنا من عنده ضُلاّلاً لا ندري إلى أين نتوجه أنا و أبو جعفر الأحول، فقعدنا في بعض أزقّة المدينة باكين حيارىٰ لا ندري إلى من نقصد، و إلى من نتوجه،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المرجئة، إلى القدرية، إلى الزيدية، إلى المعتزلة، إلى 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كذلك إذ رأيتُ رجلاً شيخاً لا أعرفه يُومي إليّ بيده، فخفتُ أن يكون عيناً من عيون أبي جعفر</w:t>
      </w:r>
      <w:r>
        <w:rPr>
          <w:rStyle w:val="FootnoteAnchor"/>
          <w:rtl w:val="true"/>
        </w:rPr>
        <w:footnoteReference w:id="515"/>
      </w:r>
      <w:r>
        <w:rPr>
          <w:rFonts w:ascii="Amiri" w:hAnsi="Amiri" w:eastAsia="Amiri" w:cs="Amiri"/>
          <w:color w:val="111111"/>
          <w:sz w:val="28"/>
          <w:sz w:val="28"/>
          <w:szCs w:val="28"/>
          <w:rtl w:val="true"/>
          <w:lang w:bidi="ar-SA"/>
        </w:rPr>
        <w:t>، و ذلك أنّه كان له بالمدينة جواسيس ينظرون على من اتّفق من شيعة جعفر فيضربون عنقه، فخفتُ أن يكون منهم، فقلت لأبي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 فإنّي خائف على نفسي و عليك، و إنّما يريدني ليس يريدك، فتنحَّ عني لا تُهْلَك و تُعين على نفسك</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فتنحّى غير بعيد و تبعت الشيخ و ذلك انّي ظننت أنّي </w:t>
      </w:r>
    </w:p>
    <w:p>
      <w:pPr>
        <w:pStyle w:val="BookText"/>
        <w:rPr/>
      </w:pPr>
      <w:r>
        <w:rPr>
          <w:rFonts w:ascii="Amiri" w:hAnsi="Amiri" w:eastAsia="Amiri" w:cs="Amiri"/>
          <w:color w:val="111111"/>
          <w:sz w:val="28"/>
          <w:sz w:val="28"/>
          <w:szCs w:val="28"/>
          <w:rtl w:val="true"/>
          <w:lang w:bidi="ar-SA"/>
        </w:rPr>
        <w:t>لا أقدر على التخلّص منه، فما زلتُ أتبعه حتى ورد بي على باب أبي الحسن موسى عليه السّلام ثمّ خلاّني و مضى، فإذا خادم بالباب،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رحمك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فإذا أبو الحسن عليه السّلام فقال لي ابتداءً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إلى المرجئة و لا إلى القدرية، و لا إلى الزيدية، و لا إلى المعتزلة، و لا إلى الخوارج، إليّ إليّ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مضى أبوك؟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مضى في موتٍ؟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فمَنْ لنا بعده؟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شاء اللّٰه أن يهديك، هداك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عبد اللّٰه يزعم أنّه من بعد أبيه؟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عبد اللّٰه أن لا يُعبد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فمن لنا بعده؟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شاء اللّٰه أن يهديك هداك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أنت هو؟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أقول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أُصبْ طريقَ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عليك إمام؟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فدخلني شيء لا يعلمه إلّا اللّٰه إعظاماً له، وهيبة أكثر ما كان يحلّ بي من أبيه إذا دخلتُ عليه،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أسألك عمّا كان يسأل أبوك؟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 تُخبر، و لا تُذِع، فإن أذعت فهو الذبح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فسألته فإذا هو بحر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شيعتُك و شيعة أبيك ضُلاّل فألقي إليهم و أدعهم إليك فقد أخذت عليّ بالكتمان؟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آنست منهم رشداً فالق عليهم، و خذ عليهم بالكتمان، فإن أذاعوا فهو الذبح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 بيده إلى حلقه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فخرجتُ من عنده فلقيتُ أبا جعفر،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فحدثتُه بالقصة، ثمّ لقيت المفضل بن عمر و أبا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فدخلوا عليه و سلّموا و سمِعوا كلامَه و سألوه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قطعوا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لقينا الناس أفواجاً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كل من دخل عليه قطع عليه إلّا طائفة مثل عمار و أصحابه، فبقي عبد اللّٰه لا يدخل عليه أحد إلّا قليلاً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ذلك و سأل عن حال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أنّ هشام بن سالم صدّ عنه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فأقعد </w:t>
      </w:r>
    </w:p>
    <w:p>
      <w:pPr>
        <w:pStyle w:val="BookText"/>
        <w:rPr/>
      </w:pPr>
      <w:r>
        <w:rPr>
          <w:rFonts w:ascii="Amiri" w:hAnsi="Amiri" w:eastAsia="Amiri" w:cs="Amiri"/>
          <w:color w:val="111111"/>
          <w:sz w:val="28"/>
          <w:sz w:val="28"/>
          <w:szCs w:val="28"/>
          <w:rtl w:val="true"/>
          <w:lang w:bidi="ar-SA"/>
        </w:rPr>
        <w:t>لي بالمدينة غير واحد ليضربوني</w:t>
      </w:r>
      <w:r>
        <w:rPr>
          <w:rFonts w:eastAsia="Amiri" w:cs="Amiri" w:ascii="Amiri" w:hAnsi="Amiri"/>
          <w:color w:val="111111"/>
          <w:sz w:val="28"/>
          <w:szCs w:val="28"/>
          <w:rtl w:val="true"/>
          <w:lang w:bidi="ar-SA"/>
        </w:rPr>
        <w:t>.</w:t>
      </w:r>
      <w:r>
        <w:rPr>
          <w:rStyle w:val="FootnoteAnchor"/>
          <w:rtl w:val="true"/>
        </w:rPr>
        <w:footnoteReference w:id="516"/>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الأشعري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عدّ فرق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يزعم أنّ الإمام بعد جعفر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أكبرَ من خلَف من ولده و هي في ولده، و أصحاب هذه المقالة يدعون العَمّارية، نُسِبوا إلى رئيس لهم يعرف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يُدعون الفطحية، لأنّ عبد اللّٰه بن جعفر كان أفطحَ الرجلين، و أهل هذه المقالة يرجعون إلى عدد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زرارة فإنّ جماعة من العمّارية تدّعي أنّه كان على مقالتها، و أنّه لم يرجع عنها، و زعم بعضهم أنّه رجع إلى ذلك حين 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مسائل لم يجد عنده جوابها، و صار إلى الائتمام بموسى بن جعفر بن محمد، و أصحاب زرارة يدعون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الزرارية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التميمية</w:t>
      </w:r>
      <w:r>
        <w:rPr>
          <w:rFonts w:eastAsia="Amiri" w:cs="Amiri" w:ascii="Amiri" w:hAnsi="Amiri"/>
          <w:color w:val="111111"/>
          <w:sz w:val="28"/>
          <w:szCs w:val="28"/>
          <w:rtl w:val="true"/>
          <w:lang w:bidi="ar-SA"/>
        </w:rPr>
        <w:t>».</w:t>
      </w:r>
      <w:r>
        <w:rPr>
          <w:rStyle w:val="FootnoteAnchor"/>
          <w:rtl w:val="true"/>
        </w:rPr>
        <w:footnoteReference w:id="517"/>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تبعه البغدادي و لخّص كلامه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العمارية و هم منسوبون إلى زعيم منهم يسمّى عماراً، و هم يسوقون الإمامة إلى جعفر الصادق، ثمّ زعموا انّ الإمام بعده ولده عبد اللّٰه، و كان أكبر أولاده، و كان أفطح الرجلين، و لهذا قيل لأتباعه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الفطحية</w:t>
      </w:r>
      <w:r>
        <w:rPr>
          <w:rFonts w:eastAsia="Amiri" w:cs="Amiri" w:ascii="Amiri" w:hAnsi="Amiri"/>
          <w:color w:val="111111"/>
          <w:sz w:val="28"/>
          <w:szCs w:val="28"/>
          <w:rtl w:val="true"/>
          <w:lang w:bidi="ar-SA"/>
        </w:rPr>
        <w:t>».</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 xml:space="preserve">و قد خبط الرجلان فاخترعا فرقة باسم العَمّارية نسبة إلى عمار بن موسى الساباطي، مع أنّه رجل من أتباع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 ما يمكن أن يقال أنّه كان داعياً، لا صاحب مذهب</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اتّهام الأشعري زرارة بن أعين بأنّه كان من الفطحية مدة ثمّ رجع عنها، فليس له سند إلّا روايات ضعاف، كأكثر ما ورد في حقّ زرارة من الروايات </w:t>
      </w:r>
    </w:p>
    <w:p>
      <w:pPr>
        <w:pStyle w:val="BookText"/>
        <w:rPr/>
      </w:pPr>
      <w:r>
        <w:rPr>
          <w:rFonts w:ascii="Amiri" w:hAnsi="Amiri" w:eastAsia="Amiri" w:cs="Amiri"/>
          <w:color w:val="111111"/>
          <w:sz w:val="28"/>
          <w:sz w:val="28"/>
          <w:szCs w:val="28"/>
          <w:rtl w:val="true"/>
          <w:lang w:bidi="ar-SA"/>
        </w:rPr>
        <w:t>الذامّة</w:t>
      </w:r>
      <w:r>
        <w:rPr>
          <w:rFonts w:eastAsia="Amiri" w:cs="Amiri" w:ascii="Amiri" w:hAnsi="Amiri"/>
          <w:color w:val="111111"/>
          <w:sz w:val="28"/>
          <w:szCs w:val="28"/>
          <w:rtl w:val="true"/>
          <w:lang w:bidi="ar-SA"/>
        </w:rPr>
        <w:t>.</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 xml:space="preserve">مع أنّ الصحيح في حقّه ما نقله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إبراهيم بن محمد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للرضا عليه السّلام يا ابن رسول اللّٰه أخبرني عن زرارة، هل كان يعرف حقّ أبيك؟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بعث ابنه عبيداً ليتعرف الخبر إلى من أوصى الصادق جعفر بن محمد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زرارة كان يعرف أمر أبي عليه السّلام و نصّ أبيه عليه، و إنّما بعث ابنه ليتعرّف من أبي هلْ يجوز له أن يرفع التقية في إظهار أمره، و نصّ أبيه عليه؟ و انّه لمّا أبطأ عنه طُولب بإظهار قوله في أبي عليه السّلام، فلم يحب أن يقدم على ذلك دون أمره فرفع المصحف،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إمامي من أثبت هذا المصحف إمامتَه من ولد جعفر بن محمد عليه السّلام</w:t>
      </w:r>
      <w:r>
        <w:rPr>
          <w:rFonts w:eastAsia="Amiri" w:cs="Amiri" w:ascii="Amiri" w:hAnsi="Amiri"/>
          <w:color w:val="111111"/>
          <w:sz w:val="28"/>
          <w:szCs w:val="28"/>
          <w:rtl w:val="true"/>
          <w:lang w:bidi="ar-SA"/>
        </w:rPr>
        <w:t>».</w:t>
      </w:r>
      <w:r>
        <w:rPr>
          <w:rStyle w:val="FootnoteAnchor"/>
          <w:rtl w:val="true"/>
        </w:rPr>
        <w:footnoteReference w:id="520"/>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الشهرستاني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الفطحية قالوا بانتقال الإمامة من الصادق إلى ابنه عبد اللّٰه الأفطح، و هو أخو إسماعيل من أبيه و أُمّه، و أُمّهما فاطمة بنت الحسين بن الحسن بن علي، و كان أسن أولاد الصادق</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زعموا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في أكبر أولاد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من يجلس مجلسي، و هو الذي جلس مجلسه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الإمام لا يغسّله، و لا يصلّي عليه، و لا يأخذ خاتمه، و لا يواريه إلّا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تولّى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دفع الصادق وديعة إلى بعض </w:t>
      </w:r>
    </w:p>
    <w:p>
      <w:pPr>
        <w:pStyle w:val="BookText"/>
        <w:rPr/>
      </w:pPr>
      <w:r>
        <w:rPr>
          <w:rFonts w:ascii="Amiri" w:hAnsi="Amiri" w:eastAsia="Amiri" w:cs="Amiri"/>
          <w:color w:val="111111"/>
          <w:sz w:val="28"/>
          <w:sz w:val="28"/>
          <w:szCs w:val="28"/>
          <w:rtl w:val="true"/>
          <w:lang w:bidi="ar-SA"/>
        </w:rPr>
        <w:t>أصحابه و أمره أن يدفعها إلى من يطلبها منه و أن يتخذه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طلبها منه أحد إلّا عبد اللّٰه، و مع ذلك ما عاشَ بعد أبيه إلّا سبعين يوماً و مات و لم يعقب ولداً ذكراً</w:t>
      </w:r>
      <w:r>
        <w:rPr>
          <w:rFonts w:eastAsia="Amiri" w:cs="Amiri" w:ascii="Amiri" w:hAnsi="Amiri"/>
          <w:color w:val="111111"/>
          <w:sz w:val="28"/>
          <w:szCs w:val="28"/>
          <w:rtl w:val="true"/>
          <w:lang w:bidi="ar-SA"/>
        </w:rPr>
        <w:t>.</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لقد غاب عن الشهرستاني مفاد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من يجلس 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صدر منه ذلك القول، فالمراد منه ما يقوم بمثل ما كان الإمام يقوم به في مجال بيان الأُصول و الفروع، و ملء الفراغ الحاصل من رحيله، لا مجرّد جلوسه في مكانه و إن كان جاهلاً بأبسط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لم يثبت أنّ عبد اللّٰه تولّى غسل الإمام و الصلاة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ابن شهرآشوب عن أبي بصير، عن موسى بن جعفر عليهما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أوصاني به أبي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بنيّ إذا أنا متُّ فلا يغسّلني أحد غيرك، فإنّ الإمام لا يغسّله إلّا إمام، و اعلم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أخاك سيدعو الناس إلى نفسه فدعه، فإنّ عمره 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مضى غسلته</w:t>
      </w:r>
      <w:r>
        <w:rPr>
          <w:rFonts w:eastAsia="Amiri" w:cs="Amiri" w:ascii="Amiri" w:hAnsi="Amiri"/>
          <w:color w:val="111111"/>
          <w:sz w:val="28"/>
          <w:szCs w:val="28"/>
          <w:rtl w:val="true"/>
          <w:lang w:bidi="ar-SA"/>
        </w:rPr>
        <w:t>...».</w:t>
      </w:r>
      <w:r>
        <w:rPr>
          <w:rStyle w:val="FootnoteAnchor"/>
          <w:rtl w:val="true"/>
        </w:rPr>
        <w:footnoteReference w:id="522"/>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لأصحابه في ابنه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ليس على شيء فيما أنتم عليه و انّي أبرأ منه، برئ اللّٰه منه</w:t>
      </w:r>
      <w:r>
        <w:rPr>
          <w:rFonts w:eastAsia="Amiri" w:cs="Amiri" w:ascii="Amiri" w:hAnsi="Amiri"/>
          <w:color w:val="111111"/>
          <w:sz w:val="28"/>
          <w:szCs w:val="28"/>
          <w:rtl w:val="true"/>
          <w:lang w:bidi="ar-SA"/>
        </w:rPr>
        <w:t>».</w:t>
      </w:r>
      <w:r>
        <w:rPr>
          <w:rStyle w:val="FootnoteAnchor"/>
          <w:rtl w:val="true"/>
        </w:rPr>
        <w:footnoteReference w:id="523"/>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عبد اللّٰه بن جعفر أكبر إخوته بعد إسماعيل، و لم تكن منزلته عند أبيه كمنزلة غيره من ولده في الإكرام، و كان متهماً بالخلاف على أبيه في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أنّه كان يخالط الحشوية و يميل إلى مذاهب المرجئة، و ادّعى بعد أبيه الإمامة، و احتج بأنّه أكبر إخوته الباقين، فاتّبعه على قوله جماعة من أصحاب أبي عبد اللّٰه عليه السّلام، ثمّ رجع أكثرهم بعد ذلك إلى القول بإمامة أخيه موسى عليه السّلام، لمّا تبيّنوا ضعفَ دعواه و قوة أمر أبي الحسن عليه السّلام و دلالة حقّه و براهين إمامته، و أقام نفر </w:t>
      </w:r>
    </w:p>
    <w:p>
      <w:pPr>
        <w:pStyle w:val="BookText"/>
        <w:rPr/>
      </w:pPr>
      <w:r>
        <w:rPr>
          <w:rFonts w:ascii="Amiri" w:hAnsi="Amiri" w:eastAsia="Amiri" w:cs="Amiri"/>
          <w:color w:val="111111"/>
          <w:sz w:val="28"/>
          <w:sz w:val="28"/>
          <w:szCs w:val="28"/>
          <w:rtl w:val="true"/>
          <w:lang w:bidi="ar-SA"/>
        </w:rPr>
        <w:t>يسير منهم على أمرهم و دانوا بإمامة عبد اللّٰه و هم الطائفة الملقبة بالفطحية، و إنّما لزمهم هذا اللقب لقولهم بإمامة عبد اللّٰه و كان أفطح الرجلين، و يقال انّهم لقبوا بذلك لأنّ داعيهم إلى إمامة عبد اللّٰه كان يقال له عبد اللّٰه بن الأفطح</w:t>
      </w:r>
      <w:r>
        <w:rPr>
          <w:rFonts w:eastAsia="Amiri" w:cs="Amiri" w:ascii="Amiri" w:hAnsi="Amiri"/>
          <w:color w:val="111111"/>
          <w:sz w:val="28"/>
          <w:szCs w:val="28"/>
          <w:rtl w:val="true"/>
          <w:lang w:bidi="ar-SA"/>
        </w:rPr>
        <w:t>.</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الفطحية فإنّ أمرها أيضاً واضح، و فساد قولها غير خاف و لا مستور عمّن تأمله، و ذلك أنّهم لم يدّعوا نصاً من أبي عبد اللّٰه عليه السّلام على عبد اللّٰه، و انّما عملوا على ما رووه من أنّ الإمامة تكون في الأكبر، و هذا حديث لم يُرو قط إلّا مشروطاً، و هو أنّه قد ورد أنّ الإمامة تكون في الأكبر ما لم تكن به عاهة، و أهل الإمامة القائلون بإمامة موسى بن جعفر عليه السّلام متواترون بأنّ عبد اللّٰه كان به عاهة بالدين، لأنّه كان يذهب إلى مذاهب المرجئة الذين يقعون في علي عليه السّلام و عثمان، و انّ أبا عبد اللّٰه عليه السّلام قال و قد خرج من عنده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 هذا مرجئ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دخل عليه عبد اللّٰه يوماً و هو يحدث أصحابه، فلمّا رآه سكت حتى خرج، فسئل عن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ما علمتم أنّه من المرجئة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أنّه لم يكن له من العلم بما يتخصص به من العامة، و لا رُوي عنه شيء من الحلال و الحرام، و لا كان بمنزلة من يستفتى في الأحكام، و قد ادّعى الإمامة بعد أبيه، فامتحن بمسائل صغار فلم يجب عنها و ما أتى بالجواب، فأيّ علّة ممّا ذكرناه تمنع من إمامة هذا الرجل، مع أنّه لو لم تكن علّة تمنع من إمامته، لما جاز من أبيه صرف النص عنه، و لو لم يكن صرفه عنه لأظهره فيه، و لو أظهره لنقل و كان معروفاً في أصحابه، و في عجز القوم عن التعلّق بالنص عليه دليل على بطلان ما ذهبوا إليه</w:t>
      </w:r>
      <w:r>
        <w:rPr>
          <w:rFonts w:eastAsia="Amiri" w:cs="Amiri" w:ascii="Amiri" w:hAnsi="Amiri"/>
          <w:color w:val="111111"/>
          <w:sz w:val="28"/>
          <w:szCs w:val="28"/>
          <w:rtl w:val="true"/>
          <w:lang w:bidi="ar-SA"/>
        </w:rPr>
        <w:t>.</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بقيت هنا أُمور</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ممّا ذكرنا أنّ أكثر القائلين بإمامة عبد اللّٰه بن جعفر عدلوا عن </w:t>
      </w:r>
    </w:p>
    <w:p>
      <w:pPr>
        <w:pStyle w:val="BookText"/>
        <w:rPr/>
      </w:pPr>
      <w:r>
        <w:rPr>
          <w:rFonts w:ascii="Amiri" w:hAnsi="Amiri" w:eastAsia="Amiri" w:cs="Amiri"/>
          <w:color w:val="111111"/>
          <w:sz w:val="28"/>
          <w:sz w:val="28"/>
          <w:szCs w:val="28"/>
          <w:rtl w:val="true"/>
          <w:lang w:bidi="ar-SA"/>
        </w:rPr>
        <w:t>رأيهم، و قالوا بإمامة أخيه موسى بن جعفر بعد إمامة أبيه جعفر الصادق، و أمّا القليل منهم فقال بإمامة موسى بن جعفر بعد الأفطح، فصار عبد اللّٰه الإمام السابع، و أخوه موسى الإمام الثامن، و بذلك يتجاوز عدد الأئمّة عن الاثني عشر، و لا أظن أنّهم وقفوا على عبد اللّٰه من دون الاعتقاد بإمامة الآخرين، و إلّا كانوا واقفة لا فطحية، و سيوافيك الكلام في المذهب الواقفي عن قريب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ممّا نقله الصدوق عن بعضهم أنّ القائلين بإمامة عبد اللّٰه كانوا معروفين بالشمطية كما أنّ بعض الفطحية قال بإمامة إسماعيل بن جعفر بعد رحيل عبد اللّٰه، و إليك نص الصدوق ناقلاً عن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صاحب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الشمطية تدّعي إمامة عبد اللّٰه بن جعفر بن محمد من أبيه بالوراثة و الوصية، و هذه الفطحية تدّعي إمامة إسماعيل ابن جعفر عن أبيه بالوراثة و الوصية و قبل ذلك إنّما قالوا بإمامة عبد اللّٰه بن جعفر و يسمّون اليوم إسماعيلية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لم يبق للقائلين بإمامة عبد اللّٰه بن جعفر خلف و لا بقية، و فرقة من الفطحية يقال لهم القرامطة، قالوا بإمامة محمد بن إسماعيل بن جعفر بالوراثة و الوصية، و هذه الواقفة على موسى بن جعفر تدّعي الإمامة لموسى و ترتقب لرجعته</w:t>
      </w:r>
      <w:r>
        <w:rPr>
          <w:rFonts w:eastAsia="Amiri" w:cs="Amiri" w:ascii="Amiri" w:hAnsi="Amiri"/>
          <w:color w:val="111111"/>
          <w:sz w:val="28"/>
          <w:szCs w:val="28"/>
          <w:rtl w:val="true"/>
          <w:lang w:bidi="ar-SA"/>
        </w:rPr>
        <w:t>.</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أكثر القائلين بإمامة الأفطح رجعوا عن رأيهم بعد ظهور الحقّ، فلا ينبغي أن يكون ذلك سبباً لجرحهم، نعم من بقي منهم على عقيدته، و آمن بإمامة موسى بن جعفر أو إسماعيل بن جعفر حكمهم حكم سائر فرق الشيعة إذا كانوا متثبتين في القول، فيؤخذ برواياتهم،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 الفطحية مذهباً و نحلة، أمر غير صحيح لوجهين</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القول بإمامة عبد اللّٰه نشأ عن شبهة، دخلت في أذهانهم، ثمّ </w:t>
      </w:r>
    </w:p>
    <w:p>
      <w:pPr>
        <w:pStyle w:val="BookText"/>
        <w:rPr/>
      </w:pPr>
      <w:r>
        <w:rPr>
          <w:rFonts w:ascii="Amiri" w:hAnsi="Amiri" w:eastAsia="Amiri" w:cs="Amiri"/>
          <w:color w:val="111111"/>
          <w:sz w:val="28"/>
          <w:sz w:val="28"/>
          <w:szCs w:val="28"/>
          <w:rtl w:val="true"/>
          <w:lang w:bidi="ar-SA"/>
        </w:rPr>
        <w:t>زالت الشبهة، و لم يبق إلّا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النحلة عبارة عن آراء في الأُصول و العقائد أو في الفروع و الأحكام تكون سبباً لتمييز طائفة عن أُخرى، و أمّا الاتّفاق في عامة الأُصول مع اختلاف في أمر واحد، كالاعتقاد بإمامة عبد اللّٰه، فهذا ما لا يبرر عدّ القول به نحلة، و القائلون به 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من يريد تكثير النحل، و زيادة عدد الفرق، يصحّ له ذكرهم فرقة من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الفطحية و إن اشتركت مع الواقفية في مسألة عدم الاعتراف بالإمام الحقيقي، و لكن الطائفة الأُولى كانت أقل تعصباً من الأُخرى بدليل أنّهم اعترفوا بإمامة موسى الكاظم عليه السّلام بعد رحيل إمامهم الأفطح، لكن بين مُخطِّئ نفسه في الاعتقاد بإمامة الأفطح، و بين مصوِّب إمامته مع إمامة الكاظم عليه السّلام إلّا أنّ الواقفية كانت متعصبة جدّاً حيث وقفت على إمامة موسى الكاظم عليه السّلام و لم تتجاوزه، و جرت مناظرات بينهم و بين القطعية الذين قطعوا بإمامة ابن الكاظم، علي بن موسى الرضا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المجلسي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الفطحية كانوا أقربَ إلى الحقّ من الواقفية، أو هم أبعد عن الحقّ من الفطحية، لأنّ الفطحية لا ينكرون بقية الأئمّة عليهم السّلام و كانوا يقولون بإمامتهم، و لهذا شُبهُوا بالحمير، بخلاف الواقفة، فإنّهم شُبهوا بالكلاب الممطورة، و الشيخ ذكر الواقفية في كتاب الغيبة و أبطل مذهبهم بالأخبار التي نقلوها</w:t>
      </w:r>
      <w:r>
        <w:rPr>
          <w:rFonts w:eastAsia="Amiri" w:cs="Amiri" w:ascii="Amiri" w:hAnsi="Amiri"/>
          <w:color w:val="111111"/>
          <w:sz w:val="28"/>
          <w:szCs w:val="28"/>
          <w:rtl w:val="true"/>
          <w:lang w:bidi="ar-SA"/>
        </w:rPr>
        <w:t>.</w:t>
      </w:r>
      <w:r>
        <w:rPr>
          <w:rStyle w:val="FootnoteAnchor"/>
          <w:rtl w:val="true"/>
        </w:rPr>
        <w:footnoteReference w:id="527"/>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العلاّمة المامقاني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عليك أنّ القول بالفطحية أقرب مذاهب </w:t>
      </w:r>
    </w:p>
    <w:p>
      <w:pPr>
        <w:pStyle w:val="BookText"/>
        <w:rPr/>
      </w:pPr>
      <w:r>
        <w:rPr>
          <w:rFonts w:ascii="Amiri" w:hAnsi="Amiri" w:eastAsia="Amiri" w:cs="Amiri"/>
          <w:color w:val="111111"/>
          <w:sz w:val="28"/>
          <w:sz w:val="28"/>
          <w:szCs w:val="28"/>
          <w:rtl w:val="true"/>
          <w:lang w:bidi="ar-SA"/>
        </w:rPr>
        <w:t>الشيعة إلى الحقّ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مذهب من المذاهب الفاسدة يتضمّن إنكار بعض الأئمّة عليهم السّلام، و من المعلوم بالنصوص القطعية، أنّ من أنكر واحداً منهم كان كمن أنكر جميعهم، و الفطحي يقول بإمامة الاثني عشر جميعاً و يضيف عبد اللّٰه بين الصادق و الكاظم عليهما السّلام، فهو يقول بإمامة ثلاثة عشر، و يحمل أخبار الاثني عشر إماماً على الاثني عشر مِنْ ولد أمير المؤمنين عليهم السّلام، فلا يموت الفطحي إلّا عارفاً بإمام زمانه بخلاف من ماتَ من أهل سائر المذاهب فإنّه يموت جاهلاً بإمام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من مات من الفطحية في السبعين يوماً زمان حياة عبد اللّٰه بعد أبيه مات غير عارف لإمام زمانه فمات ميتة جاهلية بخلاف من مات بعد وفاة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ذي مذهب من المذاهب الفاسدة قد تلقّى ممّن يعتقده إماماً من غير الاثني عشر فروعاً مخالفة لفروعنا بخلاف الفطحية فإنّ عبد اللّٰه لم يبق إلّا سبعين و لم يتلقّوا منه حكماً فرعياً و إنّما يعملون في الفروع بما تلقّوه من الأئمة الاثني عشر، فالفطحية قائلون بالاثني عشر، عاملون بما تلقّوه من الاثني عشر، فليس خطأهم إلّا زيادة عبد اللّٰه سبعين يوماً بين الصادق و الكاظم عليهما السّلام، و إيراث ذلك الفسق محلّ تأمّل</w:t>
      </w:r>
      <w:r>
        <w:rPr>
          <w:rFonts w:eastAsia="Amiri" w:cs="Amiri" w:ascii="Amiri" w:hAnsi="Amiri"/>
          <w:color w:val="111111"/>
          <w:sz w:val="28"/>
          <w:szCs w:val="28"/>
          <w:rtl w:val="true"/>
          <w:lang w:bidi="ar-SA"/>
        </w:rPr>
        <w:t>.</w:t>
      </w:r>
      <w:r>
        <w:rPr>
          <w:rStyle w:val="FootnoteAnchor"/>
          <w:rtl w:val="true"/>
        </w:rPr>
        <w:footnoteReference w:id="528"/>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الواقفية أيضاً مثل الفطحية لم يتلقّوا فروعاً من غير الأئمّة، نعم انّ الفطحية أخذوا منهم جميعاً و الواقفية اقتصرت على الأئمّة السبعة، فما ذكره من الوجه الثاني لا يعد فرقاً بين الطائفتين</w:t>
      </w:r>
      <w:r>
        <w:rPr>
          <w:rFonts w:eastAsia="Amiri" w:cs="Amiri" w:ascii="Amiri" w:hAnsi="Amiri"/>
          <w:color w:val="111111"/>
          <w:sz w:val="28"/>
          <w:szCs w:val="28"/>
          <w:rtl w:val="true"/>
          <w:lang w:bidi="ar-SA"/>
        </w:rPr>
        <w:t xml:space="preserve">. </w:t>
      </w:r>
      <w:bookmarkStart w:id="765" w:name="pg11557_101543"/>
    </w:p>
    <w:p>
      <w:pPr>
        <w:pStyle w:val="Heading3"/>
        <w:numPr>
          <w:ilvl w:val="2"/>
          <w:numId w:val="1"/>
        </w:numPr>
        <w:rPr/>
      </w:pPr>
      <w:bookmarkStart w:id="766" w:name="__RefHeading___Toc4284587_73709187"/>
      <w:bookmarkStart w:id="767" w:name="_Toc277"/>
      <w:bookmarkEnd w:id="765"/>
      <w:bookmarkEnd w:id="766"/>
      <w:r>
        <w:rPr>
          <w:rtl w:val="true"/>
        </w:rPr>
        <w:t>مشاهير الفطحية</w:t>
      </w:r>
      <w:bookmarkEnd w:id="767"/>
    </w:p>
    <w:p>
      <w:pPr>
        <w:pStyle w:val="BookText"/>
        <w:rPr/>
      </w:pPr>
      <w:r>
        <w:rPr>
          <w:rFonts w:ascii="Amiri" w:hAnsi="Amiri" w:eastAsia="Amiri" w:cs="Amiri"/>
          <w:color w:val="111111"/>
          <w:sz w:val="28"/>
          <w:sz w:val="28"/>
          <w:szCs w:val="28"/>
          <w:rtl w:val="true"/>
          <w:lang w:bidi="ar-SA"/>
        </w:rPr>
        <w:t>انّ هناك لفيفاً من رواة الشيعة وُصفوا بالفطحية، و هم بين من ثبت على القول بإمامة الأفطح و من رجع عنه، و إليك أسماءهم المستخرجة من كتب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الحسن بن علي بن محمد بن علي بن فضّال بن عمر بن أيمن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إسحاق بن عمّار بن حيّان، مولىٰ بني تغلب، أبو يعقوب الصيرفي الساباطي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علي بن فضال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بكير بن أعين بن سنسن الشيباني الأصبحي المدني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جعفر بن محمد بن علي بن الحسين بن علي بن أبي طالب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أسباط بن سالم بياع الزطّي المقري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الأزدي الساباطي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الحسن بن علي بن فضّال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عمار بن موسى الساباطي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الحسن بن علي بن فضّال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سالم بن عبد الحميد</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مصدق بن صدقة المدائني</w:t>
      </w:r>
      <w:r>
        <w:rPr>
          <w:rFonts w:eastAsia="Amiri" w:cs="Amiri" w:ascii="Amiri" w:hAnsi="Amiri"/>
          <w:color w:val="111111"/>
          <w:sz w:val="28"/>
          <w:szCs w:val="28"/>
          <w:rtl w:val="true"/>
          <w:lang w:bidi="ar-SA"/>
        </w:rPr>
        <w:t xml:space="preserve">. </w:t>
      </w:r>
      <w:bookmarkStart w:id="768" w:name="pg11557_101544"/>
    </w:p>
    <w:p>
      <w:pPr>
        <w:pStyle w:val="Heading2"/>
        <w:numPr>
          <w:ilvl w:val="1"/>
          <w:numId w:val="1"/>
        </w:numPr>
        <w:rPr/>
      </w:pPr>
      <w:bookmarkStart w:id="769" w:name="__RefHeading___Toc4284589_73709187"/>
      <w:bookmarkStart w:id="770" w:name="_Toc278"/>
      <w:bookmarkEnd w:id="768"/>
      <w:bookmarkEnd w:id="769"/>
      <w:r>
        <w:rPr>
          <w:rtl w:val="true"/>
        </w:rPr>
        <w:t>الفصل الثامن عشر</w:t>
      </w:r>
      <w:r>
        <w:rPr>
          <w:rtl w:val="true"/>
        </w:rPr>
        <w:t xml:space="preserve">: </w:t>
      </w:r>
      <w:r>
        <w:rPr>
          <w:rtl w:val="true"/>
        </w:rPr>
        <w:t>في الواقفية</w:t>
      </w:r>
      <w:bookmarkEnd w:id="770"/>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71" w:name="__RefHeading___Toc4284591_73709187"/>
      <w:bookmarkStart w:id="772" w:name="_Toc279"/>
      <w:bookmarkEnd w:id="771"/>
      <w:r>
        <w:rPr>
          <w:rtl w:val="true"/>
        </w:rPr>
        <w:t>اشارة</w:t>
      </w:r>
      <w:bookmarkEnd w:id="772"/>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التوقّف عند إمامة شخص بعد رحيل إمام ما، ظاهرة برزت عند الشيعة بين آونة و أُخرى، و لذلك صار لها إطلاقان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التوقّف بالمعنى العام من غير اختصاصه بالتوقّف على إمام خاص، فإنّ هناك طائفة توقّفت عند إمامة الحسين عليه السّلام و لم تتجاوز عنه و هم المعروفون بالكيسانية، كما أنّ هناك من توقّف عند إمامة الإمام الباقر عليه السّلام و لم تتجاوز عنه عليه السّلام و هي المعروفة بالمنصورية أو المغيرية و هناك من توقّف عند إمامة الإمام الصادق و لم يتجاوز عنه كالإسماعيلية، و هذه الفرق حتى الزيدية من الواقفية الذين لم يعترفوا بإمامة الأئمّة الاثني عشر قاطبة و توقّفوا أثناء الطريق، و مع ذلك كلّه فلا يطلق عليهم الواقفية في كتب الرجال و لا في الملل و النحل، و إنّما يطلق عليهم نفس أسمائهم، و قد مرّ في الجزء السابع أنّ بعض هذه الفرق غلاة كفّار لا يعترف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الطائفة المتوقّفة عند إمامة الإمام موسى الكاظم عليه السّلام غير المعترفة بإمامة ابنه علي بن موسى الرضا عليه السّلام و هؤلاء المعروفون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اختصت بهم هذه التسمية، فلا تتبادر من هذه التسمية إلّا تلك الطائفة</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المحقّق البهبهاني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الواقفة هم الذين وقفوا على الكاظم عليه السّلام، و ربما يطلق الوقف على من وقف على غير الكاظم عليه السّلام من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عند الإطلاق ينصرف إلى من وقف على الإمام الكاظم عليه السّلام و لا ينصرف إلى غيرهم إلّا بالقرينة، و لعلّ من جملتها عدم دركه للكاظم عليه السّلام و موته قبله أو في زمانه، مثل سماعة بن مهران و علي بن حيان و يحيى بن القاسم</w:t>
      </w:r>
      <w:r>
        <w:rPr>
          <w:rFonts w:eastAsia="Amiri" w:cs="Amiri" w:ascii="Amiri" w:hAnsi="Amiri"/>
          <w:color w:val="111111"/>
          <w:sz w:val="28"/>
          <w:szCs w:val="28"/>
          <w:rtl w:val="true"/>
          <w:lang w:bidi="ar-SA"/>
        </w:rPr>
        <w:t>.</w:t>
      </w:r>
      <w:r>
        <w:rPr>
          <w:rStyle w:val="FootnoteAnchor"/>
          <w:rtl w:val="true"/>
        </w:rPr>
        <w:footnoteReference w:id="529"/>
      </w:r>
      <w:bookmarkStart w:id="773" w:name="pg11557_101547"/>
    </w:p>
    <w:p>
      <w:pPr>
        <w:pStyle w:val="Heading3"/>
        <w:numPr>
          <w:ilvl w:val="2"/>
          <w:numId w:val="1"/>
        </w:numPr>
        <w:rPr/>
      </w:pPr>
      <w:bookmarkStart w:id="774" w:name="__RefHeading___Toc4284593_73709187"/>
      <w:bookmarkStart w:id="775" w:name="_Toc280"/>
      <w:bookmarkEnd w:id="773"/>
      <w:bookmarkEnd w:id="774"/>
      <w:r>
        <w:rPr>
          <w:rtl w:val="true"/>
        </w:rPr>
        <w:t>سبب ظاهرة التوقف</w:t>
      </w:r>
      <w:bookmarkEnd w:id="775"/>
    </w:p>
    <w:p>
      <w:pPr>
        <w:pStyle w:val="BookText"/>
        <w:rPr/>
      </w:pPr>
      <w:r>
        <w:rPr>
          <w:rFonts w:ascii="Amiri" w:hAnsi="Amiri" w:eastAsia="Amiri" w:cs="Amiri"/>
          <w:color w:val="111111"/>
          <w:sz w:val="28"/>
          <w:sz w:val="28"/>
          <w:szCs w:val="28"/>
          <w:rtl w:val="true"/>
          <w:lang w:bidi="ar-SA"/>
        </w:rPr>
        <w:t>إنّ السبب الغالب لبروز فكرة التوقف بين طائفة من الشيعة هو أنّها رزخت تحت نير الحكم الأُموي و العباسي و لو لا لجوئها إلى التقية و اتخاذها سلاحاً لما كتب لها البقاء، حتى أنّ الاتهام بالزندقة و الإلحاد كان أخف وطأً من الاتّهام بالتشيّع في فترة خلافة عبد الملك بن مروان و إمارة الحجاج على العراق، فكان الأئمّة لا يبوحون بأسرارهم إلّا لخاصتهم، حتى نرى أنّ رحيل كلّ إمام تعقبه هوة بين الشيعة برهة من الزمن إلى أن يستقرَّ الرأي على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السبب الغالب لنشوء بعض الفرق بين الشيعة الذين لم يكن لديهم أيّ اختلاف في الأُصول و الفروع إلّا في القيادة و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عصر هارون الرشيد كان عصر القمع و الكبت و التضييق على الشيعة و إمامهم، و كانت سياسته على غرار سياسة أبي جعفر الدوانيقي، و التاريخ يحدثنا عن السياسة التي اتبعها مع الإمام موسى الكاظم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الإمام مهوى قلوب الشيعة، يتلقون عنه أحكام الدين و أُصول المذهب، و ربما تحمل إليه الأموال من المشرق و من المغرب فشق على هارون لمّا أخبره بعض جواسيسه بهذا الأمر، و لأجل معالجة هذا الموقف الذي أشغل فكره، حجّ في تلك السنة و زار قبر النبي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أعتذر إليك من شيء أُريد أن أفعله، أُريد أن أحبس موسى بن جعفر، فإنّه يريد التشتيت بأُمّتك و سفك دمائها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به فأُخذ من المسجد فأُدخل إليه فقيّده، و أُخرج من داره بغلان عليهما قبتان مغطاتان هو عليه السّلام في إحداهما، و وجه مع كلّ واحدة منهما خيلاً، فأخذ بواحدة على طريق البصرة، و الأُخرى على طريق الكوفة، ليعمى على الناس أمره، و كان في التي مضت إلى البصرة</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أمر الرسول أن يسلّمه إلى عيسى بن جعفر بن المنصور، و كان على البصرة </w:t>
      </w:r>
    </w:p>
    <w:p>
      <w:pPr>
        <w:pStyle w:val="BookText"/>
        <w:rPr/>
      </w:pPr>
      <w:r>
        <w:rPr>
          <w:rFonts w:ascii="Amiri" w:hAnsi="Amiri" w:eastAsia="Amiri" w:cs="Amiri"/>
          <w:color w:val="111111"/>
          <w:sz w:val="28"/>
          <w:sz w:val="28"/>
          <w:szCs w:val="28"/>
          <w:rtl w:val="true"/>
          <w:lang w:bidi="ar-SA"/>
        </w:rPr>
        <w:t>حينئذٍ، فمضى به، فحبسه عنده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كتب إلى الرشيد أن خذه منّي و سلّمه إلى من شئت و إلّا خلّيت سبيله، فقد اجتهدت بأن أجد عليه حجّة، فما أقدر على ذلك، حتى أنّي لأتسمّع عليه إذا دعا لعلّه يدعو عليّ أو عليك، فما أسمعه يدعو إلّا لنفسه يسأل الرحمة و المغفرة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فوجّه من تسلّمه منه، و حبسه عند الفضل بن الربيع ببغداد فبقى عنده مدّة طويلة و أراد الرشيد على شيء من أمره فأبى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بتسليمه إلى الفضل بن يحيى فتسلّمه منه، و أراد ذلك منه فلم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بلغه انّه عنده في رفاهية وسعة، و هو حينئذ بالرقة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أثار هذا الأمر غضبَ الرشيد إلى ان انتهى الأمر بتجريد الفضل بن يحيى و ضربه بسياط و عقابين</w:t>
      </w:r>
      <w:r>
        <w:rPr>
          <w:rFonts w:eastAsia="Amiri" w:cs="Amiri" w:ascii="Amiri" w:hAnsi="Amiri"/>
          <w:color w:val="111111"/>
          <w:sz w:val="28"/>
          <w:szCs w:val="28"/>
          <w:rtl w:val="true"/>
          <w:lang w:bidi="ar-SA"/>
        </w:rPr>
        <w:t>.</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هذا هو موقف الرشيد مع الرجل الذي كان يحترمه جلّ المسلمين و ينظرون إليه بأنّه من أئمّة أهل البيت، فكيف الحال مع سواد الناس إذا اتّهموا بالتشيّع و موالاة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طال سجن الإمام الكاظم عليه السّلام كتب إلى الرشيد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يا أمير المؤمنين انّه لم ينقضِ عني يوم من البلاء إلّا انقضى عنك يوم من الرخاء، حتى يفضي بنا ذلك إلى يوم يخسر فيه المبطلون</w:t>
      </w:r>
      <w:r>
        <w:rPr>
          <w:rFonts w:eastAsia="Amiri" w:cs="Amiri" w:ascii="Amiri" w:hAnsi="Amiri"/>
          <w:color w:val="111111"/>
          <w:sz w:val="28"/>
          <w:szCs w:val="28"/>
          <w:rtl w:val="true"/>
          <w:lang w:bidi="ar-SA"/>
        </w:rPr>
        <w:t>».</w:t>
      </w:r>
      <w:r>
        <w:rPr>
          <w:rStyle w:val="FootnoteAnchor"/>
          <w:rtl w:val="true"/>
        </w:rPr>
        <w:footnoteReference w:id="531"/>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يزل الإمام ينقل من سجن إلى سجن حتى انتهى به الأمر إلى سجن السندي بن شاهك، فغال في سجن الإمام و زاد في تقييده، حتى جاء أمر الرشيد بدس السم للكاظم فانبرى السندي إلى تنفيذ هذا الأمر، و كانت نهاية حياة الإمام الطاهر على يده الفاجرة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الفرج الاصفهاني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توفي الإمام مسموماً خشى الرشيد ردّة فعل المسلمين عند انتشار خبر موته، فأدخل عليه الفقهاء و وجوه أهل بغداد و فيهم الهيثم بن علي و غيره ليشهدوا على أنّه مات حتف أنفه دون فعل من الرشيد و جلاوزته، و لمّا شهدوا على ذلك اخرج بجثمانه الطاهر، و وضع على الجسر ببغداد، و نودي بوفاته</w:t>
      </w:r>
      <w:r>
        <w:rPr>
          <w:rFonts w:eastAsia="Amiri" w:cs="Amiri" w:ascii="Amiri" w:hAnsi="Amiri"/>
          <w:color w:val="111111"/>
          <w:sz w:val="28"/>
          <w:szCs w:val="28"/>
          <w:rtl w:val="true"/>
          <w:lang w:bidi="ar-SA"/>
        </w:rPr>
        <w:t>.</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هذه لمحة خاطفة عن حياة الإمام موسى الكاظم عليه السّلام توقفك على الوضع السياسي السائد آنذاك في العراق و الحجاز، و موقف الحكومة تجاه إمام الشيعة، أ فهل يمكن للإمام التصريح بالقائد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كلّه فإنّ الإمام الكاظم له تنبؤات عن المستقبل المظلم الذي ينتظره بعض الشيعة، و إليك بعض ما روي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الحسن موسى الكاظم من قبل أن يقدم العراق بسنة، و عليّ ابنه جالس بين يديه، فنظر إليّ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أما إنّه ستكون في هذه السنة حركة، فلا تجزع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يكون جعلني اللّٰه فداك فقد أقلقتني؟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أصير إلى هذا الطاغية،</w:t>
      </w:r>
      <w:r>
        <w:rPr>
          <w:rStyle w:val="FootnoteAnchor"/>
          <w:rtl w:val="true"/>
        </w:rPr>
        <w:footnoteReference w:id="533"/>
      </w:r>
      <w:r>
        <w:rPr>
          <w:rFonts w:ascii="Amiri" w:hAnsi="Amiri" w:eastAsia="Amiri" w:cs="Amiri"/>
          <w:color w:val="111111"/>
          <w:sz w:val="28"/>
          <w:sz w:val="28"/>
          <w:szCs w:val="28"/>
          <w:rtl w:val="true"/>
          <w:lang w:bidi="ar-SA"/>
        </w:rPr>
        <w:t>أما إنّه لا يبدأني منه سوء و من الذي يكون بعده</w:t>
      </w:r>
      <w:r>
        <w:rPr>
          <w:rFonts w:eastAsia="Amiri" w:cs="Amiri" w:ascii="Amiri" w:hAnsi="Amiri"/>
          <w:color w:val="111111"/>
          <w:sz w:val="28"/>
          <w:szCs w:val="28"/>
          <w:rtl w:val="true"/>
          <w:lang w:bidi="ar-SA"/>
        </w:rPr>
        <w:t>»</w:t>
      </w:r>
      <w:r>
        <w:rPr>
          <w:rStyle w:val="FootnoteAnchor"/>
          <w:rtl w:val="true"/>
        </w:rPr>
        <w:footnoteReference w:id="53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يكون جعلني اللّٰه فداك؟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يضل اللّٰه الظالمين و يفعل اللّٰه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ذلك جعلني اللّٰه فداك؟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ظلم ابني هذا حقَّه، و جحده إمامته من بعدي كان كمن ظلم عليّ بن أبي طالب عليه السّلام إمامته و جحده حقّه بعد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مدّ اللّٰه لي في العمر لأسلِّمن له حقّه، و لأقرّن بإمامته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 يا محمد يمدّ اللّٰه في عمرك و تسلِّم له حقّه عليه السّلام و تقرّ له بإمامته و إمامة من يكون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ذاك؟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الرضا و التسليم</w:t>
      </w:r>
      <w:r>
        <w:rPr>
          <w:rFonts w:eastAsia="Amiri" w:cs="Amiri" w:ascii="Amiri" w:hAnsi="Amiri"/>
          <w:color w:val="111111"/>
          <w:sz w:val="28"/>
          <w:szCs w:val="28"/>
          <w:rtl w:val="true"/>
          <w:lang w:bidi="ar-SA"/>
        </w:rPr>
        <w:t>.</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روى الكشي عن الحكم بن عيص،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خالي سليمان بن خالد على أبي عبد اللّٰه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سليمان من هذا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اختي،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يعرف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لم يخلقه شيطاناً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سليمان عوِّذ باللّٰه ولدك من فتنة شيعتنا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 ما تلك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إنكارهم الأئمّة عليهم السّلام و وقوفهم على ابني موسى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ينكرون موته و يزعمون أن لا إمام بعده، أُولئك شرّ الخلق</w:t>
      </w:r>
      <w:r>
        <w:rPr>
          <w:rFonts w:eastAsia="Amiri" w:cs="Amiri" w:ascii="Amiri" w:hAnsi="Amiri"/>
          <w:color w:val="111111"/>
          <w:sz w:val="28"/>
          <w:szCs w:val="28"/>
          <w:rtl w:val="true"/>
          <w:lang w:bidi="ar-SA"/>
        </w:rPr>
        <w:t>».</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 xml:space="preserve">إلى غير ذلك من الروايات التي جمعها الشيخ الطوسي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تدل على تنصيص الإمام الكاظم عليه السّلام على إمامة ولده علي بن موسى الرضا عليه السّلام غير انّ حبَّ المال آل بالبعض إلى إنكار إمامته، و قد رويت في ذلك روايات نذكر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يعقوب بن يزيد الأنباري،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أبو إبراهيم عليه السّلام و عند زياد القندي سبعون ألف دينار، و عند عثمان بن عيسى الرواسي ثلاثون ألف دينار و خمس جوار، و مسكنه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إليهم أبو الحسن الرضا عليه السّلام أن احملوا ما قِبَلكم من المال، و ما كان اجتمع لأبي عندكم من أثاث و جوار، فإنّي وارثه و قائم مقامه، و قد اقتسمنا ميراثه و لا عذر لكم في حبس ما قد اجتمع لي و لوارثه، قبلكم، و كلام يشبه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ابن أبي حمزة فإنّه أنكره و لم يعترف بما عنده، و كذلك زياد القندي</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عثمان بن عيسى فانّه كتب إليه إنّ أباك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يمت و هو حي قائم، و من ذكر أنّه مات فهو مبطل، و اعمل على أنّه قد مضى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يأمرني بدفع شيء إليك، و أمّا الجواري فقد اعتقتهنّ و تزوجت بهنّ</w:t>
      </w:r>
      <w:r>
        <w:rPr>
          <w:rFonts w:eastAsia="Amiri" w:cs="Amiri" w:ascii="Amiri" w:hAnsi="Amiri"/>
          <w:color w:val="111111"/>
          <w:sz w:val="28"/>
          <w:szCs w:val="28"/>
          <w:rtl w:val="true"/>
          <w:lang w:bidi="ar-SA"/>
        </w:rPr>
        <w:t>.</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روى الكشي، عن يونس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الحسن و ليس من قُوامه أحد إلّا و عنده المال الكثير، فكان ذلك سبب وقوفهم و جحودهم موته، و كان عند علي بن أبي حمزة ثلاثون ألف دينار</w:t>
      </w:r>
      <w:r>
        <w:rPr>
          <w:rFonts w:eastAsia="Amiri" w:cs="Amiri" w:ascii="Amiri" w:hAnsi="Amiri"/>
          <w:color w:val="111111"/>
          <w:sz w:val="28"/>
          <w:szCs w:val="28"/>
          <w:rtl w:val="true"/>
          <w:lang w:bidi="ar-SA"/>
        </w:rPr>
        <w:t>.</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 xml:space="preserve">روى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الحسن عليه السّلام و ليس من قوّامه أحد إلّا و عنده المال الكثير، فكان ذلك سبب وقفهم و جحودهم لموته، و كان عند زياد القندي سبعون ألف دينار، و عند علي بن أبي حمزة ثلاثون ألف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رأيت ذلك و تبيّن الحق و عرفت من أمر أبي الحسن الرضا عليه السّلام ما علمتُ تكلّمت و دعوت الناس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فبعثا إليّ،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يدعوك إلى هذا؟ إن كنتَ تريد المال فنحن نغنيك و ضمِنا لي عشرة آلاف دينار، و قالا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فأبيت و 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رُوينا عن الصادقين عليهم السّلام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ظهرت البدع فعلى العالم أن يُظهر علمَه، فإن لم يفعل سُلب منه نور الإيمان، و ما كنت لأدع الجهاد في أمر اللّٰه على كلّ حال، فناصباني و أضمرا لي العداوة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أيضاً عن أحمد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القَوّام، عثمان بن عيسى الرواسي، و كان يكون بمصر، و كان عنده مال كثير و ست جواري،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إليه أبو الحسن الرضا عليه السّلام فيهن و في المال،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أنّ أباك لم يمت،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قد مات، و قد اقتسمنا ميراثه، و قد صحّت الأخبار بموته، و احتج عليه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أبوك مات، فليس لك من ذلك شيء، و إن كان قد مات على ما تحكي، فلم يأمرني بدفع شيء إليك، و قد اعتقت الجواري و تزوجتهنّ</w:t>
      </w:r>
      <w:r>
        <w:rPr>
          <w:rFonts w:eastAsia="Amiri" w:cs="Amiri" w:ascii="Amiri" w:hAnsi="Amiri"/>
          <w:color w:val="111111"/>
          <w:sz w:val="28"/>
          <w:szCs w:val="28"/>
          <w:rtl w:val="true"/>
          <w:lang w:bidi="ar-SA"/>
        </w:rPr>
        <w:t>.</w:t>
      </w:r>
      <w:r>
        <w:rPr>
          <w:rStyle w:val="FootnoteAnchor"/>
          <w:rtl w:val="true"/>
        </w:rPr>
        <w:footnoteReference w:id="539"/>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غيرها من الروايات الدالّة على أنّ سبب التوقف كان حبّ الجاه و المال</w:t>
      </w:r>
      <w:r>
        <w:rPr>
          <w:rFonts w:eastAsia="Amiri" w:cs="Amiri" w:ascii="Amiri" w:hAnsi="Amiri"/>
          <w:color w:val="111111"/>
          <w:sz w:val="28"/>
          <w:szCs w:val="28"/>
          <w:rtl w:val="true"/>
          <w:lang w:bidi="ar-SA"/>
        </w:rPr>
        <w:t xml:space="preserve">. </w:t>
      </w:r>
      <w:bookmarkStart w:id="776" w:name="pg11557_101552"/>
    </w:p>
    <w:p>
      <w:pPr>
        <w:pStyle w:val="Heading3"/>
        <w:numPr>
          <w:ilvl w:val="2"/>
          <w:numId w:val="1"/>
        </w:numPr>
        <w:rPr/>
      </w:pPr>
      <w:bookmarkStart w:id="777" w:name="__RefHeading___Toc4284595_73709187"/>
      <w:bookmarkStart w:id="778" w:name="_Toc281"/>
      <w:bookmarkEnd w:id="776"/>
      <w:bookmarkEnd w:id="777"/>
      <w:r>
        <w:rPr>
          <w:rtl w:val="true"/>
        </w:rPr>
        <w:t>الواقفية في كتب الملل و النحل</w:t>
      </w:r>
      <w:bookmarkEnd w:id="778"/>
    </w:p>
    <w:p>
      <w:pPr>
        <w:pStyle w:val="BookText"/>
        <w:rPr/>
      </w:pPr>
      <w:r>
        <w:rPr>
          <w:rFonts w:ascii="Amiri" w:hAnsi="Amiri" w:eastAsia="Amiri" w:cs="Amiri"/>
          <w:color w:val="111111"/>
          <w:sz w:val="28"/>
          <w:sz w:val="28"/>
          <w:szCs w:val="28"/>
          <w:rtl w:val="true"/>
          <w:lang w:bidi="ar-SA"/>
        </w:rPr>
        <w:t>جاءت الواقفية في كتب الملل و النحل على وجه الإجمال، و هذا يعرب عن عدم وجود دور بارز لهم في عصر الغيبة، و ستوافيك القائمة التي ذكرنا فيها بعض أسماء الرواة من الواقفية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النوبختي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بيّن أنّ الشيعة انقسمت بعد رحيل الإمام الكاظم عليه السّلام إلى فرقتين، و بيّن الفرقة الثانية بالبيان التالي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قالت الفرقة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موسى بن جعفر لم يمت، و إنّه حيّ، و لا يموت حتى يملك شرق الأرض و غربها، و يملأها كلها عدلاً كما ملئت جوراً، و إنّه القائم المهدي، و زعموا أنّه خرج من الحبس و لم يره أحد نهاراً و لم يعلم به، و أنّ السلطان و أصحابه ادّعوا موته، و موّهوا على الناس و كذبوا، و أنّه غاب عن الناس و اختفى، و رووا في ذلك روايات عن أبيه جعفر بن محمد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القائم المهدي فإن يدهده رأسه عليكم من جبل فلا تصدقوا فإنّه القائم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القائم و قد مات، و لا تكون الإمامة لغيره حتى يرجع، فيقوم و يظهر، و زعموا أنّه قد رجع بعد موته إلّا أنّه مختف في موضع من المواضع حي يأمر و ينهى، و أنّ أصحابه يلقونه و يرونه، و اعتلّوا في ذلك بروايات عن أبيه،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القائم قائماً، لأنّه يقوم بعد ما 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مات، و إنّه القائم، و إنّ فيه شبهاً من عيسى بن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لم يرجع، و لكنّه يرجع في وقت قيامه فيملأ الأرض عدلاً كما ملئت جوراً، و إنّ أباه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 شبهاً من عيسى بن مريم، و إنّه يقتل في يدي ولد العباس فقد قتل</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أنكر بعضهم قتله،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و رفعه اللّٰه إليه، و إنّه يردّه عند قيامه، فسمّوا هؤلاء جميعاً الواقفية لوقوفهم على موسى بن جعفر على أنّه الإمام القائم، </w:t>
      </w:r>
    </w:p>
    <w:p>
      <w:pPr>
        <w:pStyle w:val="BookText"/>
        <w:rPr/>
      </w:pPr>
      <w:r>
        <w:rPr>
          <w:rFonts w:ascii="Amiri" w:hAnsi="Amiri" w:eastAsia="Amiri" w:cs="Amiri"/>
          <w:color w:val="111111"/>
          <w:sz w:val="28"/>
          <w:sz w:val="28"/>
          <w:szCs w:val="28"/>
          <w:rtl w:val="true"/>
          <w:lang w:bidi="ar-SA"/>
        </w:rPr>
        <w:t>و لم يأتمّوا بعده بإمام و لم يتجاوزوه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بعضهم ممّن ذكر أنّه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الرضا عليه السّلام و من قام بعده ليسوا بأئمّة، و لكنّهم خلفاؤه واحداً بعد واحد إلى أوان خروجه، و إنّ على الناس القبول منهم و الانتهاء إلى أمرهم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لقّب الواقفةَ بعضُ مخالفيها ممّن قال بإمامة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الممطورة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غلب عليها هذا الاسم و شاع لها، و كان سبب ذلك انّ عليّ بن إسماعيل الميثمي و يونس بن عبد الرحمن ناظرا بعضهم، فقال له علي بن إسماعيل و قد اشتد الكلام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أنتم إلّا كلاب ممطورة، أراد أنّكم أنتن من جيف، لأنّ الكلاب إذا أصابها المطر فهي أنتن من الجيف، فلزمهم هذا اللقب فهم يُعرفون به اليوم، لأنّه إذا قيل للرجل انّه ممطور فقد عرف أنّه من الواقفة على موسى بن جعفر خاصة، لأنّ كل من مضى منهم فله واقفة قد وقفت عليه، و هذا اللقب لأصحاب موسى</w:t>
      </w:r>
      <w:r>
        <w:rPr>
          <w:rFonts w:eastAsia="Amiri" w:cs="Amiri" w:ascii="Amiri" w:hAnsi="Amiri"/>
          <w:color w:val="111111"/>
          <w:sz w:val="28"/>
          <w:szCs w:val="28"/>
          <w:rtl w:val="true"/>
          <w:lang w:bidi="ar-SA"/>
        </w:rPr>
        <w:t>.</w:t>
      </w:r>
      <w:r>
        <w:rPr>
          <w:rStyle w:val="FootnoteAnchor"/>
          <w:rtl w:val="true"/>
        </w:rPr>
        <w:footnoteReference w:id="54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الشيخ الأشعري ملخصاً لما قاله النوبختي ما هذا نصه</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الصنف الثاني و العشرون من الرافضة يسوقون الإمامة حتى ينتهوا إلى جعفر بن محمد و يزعمون أنّ جعفر بن محمد نصّ على إمامة ابنه موسى بن جعفر، و أنّ موسى بن جعفر حيّ لم يَمت و لا يموتُ حتى يملك شرقَ الأرض و غربها، حتى يملأ الأرض عدلاً و قسطاً كما ملئت ظلماً و جوراً، و هذا الصنف يُدْعون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وقفوا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يتجاوزوه إلى غيره، و بعض مخالفي هذه الفرقة يدعوهم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الممطورة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أنّ رجلاً منهم ناظر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يونس من القطعية الذين قطعوا على موت موسى بن جعفر، فقال له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أهون عليّ من الكلاب الممطورة، فلزمهم هذا النبز</w:t>
      </w:r>
      <w:r>
        <w:rPr>
          <w:rFonts w:eastAsia="Amiri" w:cs="Amiri" w:ascii="Amiri" w:hAnsi="Amiri"/>
          <w:color w:val="111111"/>
          <w:sz w:val="28"/>
          <w:szCs w:val="28"/>
          <w:rtl w:val="true"/>
          <w:lang w:bidi="ar-SA"/>
        </w:rPr>
        <w:t>.</w:t>
      </w:r>
      <w:r>
        <w:rPr>
          <w:rStyle w:val="FootnoteAnchor"/>
          <w:rtl w:val="true"/>
        </w:rPr>
        <w:footnoteReference w:id="54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البغدادي معبّراً عن الواقفة بالموسوية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الذين ساقوا الإمامة إلى جعفر، ثمّ زعموا أنّ الإمام بعد جعفر، كان ابنه موسى بن جعفر، و زعموا أنّ موسى بن جعفر حيّ لم يمت و انّه هو المهدي المنتظر، و قالوا إنّه دخل دارَ الرشيد و لم يخرج منها، و قد علمنا إمامته و شككنا في موته فلا نحكم في موته إلّا بيقين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لهذه الفرقة الموسوية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شككتم في حياته و موته، فشُكُّوا في إمامته و لا تقطعوا القول بأنّه باق و أنّه هو المهديّ المنتظر، هذا مع علمكم بأنّ مشهد موسى بن جعفر معروف في الجانب الغربي من بغداد و يُزار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لهذه الفرقة موسوية لانتظارها موسى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يقال لها الممطورة أيضاً، لأنّ يونس بن عبد الرحمن القمّي كان من القطعية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قطعوا على موت موسى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ناظر بعض الموسوية فقال في بعض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أهون على عيني من الكلاب الممطورة</w:t>
      </w:r>
      <w:r>
        <w:rPr>
          <w:rFonts w:eastAsia="Amiri" w:cs="Amiri" w:ascii="Amiri" w:hAnsi="Amiri"/>
          <w:color w:val="111111"/>
          <w:sz w:val="28"/>
          <w:szCs w:val="28"/>
          <w:rtl w:val="true"/>
          <w:lang w:bidi="ar-SA"/>
        </w:rPr>
        <w:t>.</w:t>
      </w:r>
      <w:r>
        <w:rPr>
          <w:rStyle w:val="FootnoteAnchor"/>
          <w:rtl w:val="true"/>
        </w:rPr>
        <w:footnoteReference w:id="542"/>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الشهرستاني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الإمام موسى بن جعفر و انّه دفن في مقابر قريش 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اختلفت الشيعة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 من توقّف في موته،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ندري أمات أم لم يمت؟ و يقال لهم الممطورة، سمّاهم بذلك علي بن إسماعيل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أنتم إلّا كلاباً ممطورة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قطع بموته و يقال لهم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توقّف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يمت، و سيخرج بعد الغيبة، و يقال لهم الواقفة</w:t>
      </w:r>
      <w:r>
        <w:rPr>
          <w:rFonts w:eastAsia="Amiri" w:cs="Amiri" w:ascii="Amiri" w:hAnsi="Amiri"/>
          <w:color w:val="111111"/>
          <w:sz w:val="28"/>
          <w:szCs w:val="28"/>
          <w:rtl w:val="true"/>
          <w:lang w:bidi="ar-SA"/>
        </w:rPr>
        <w:t>.</w:t>
      </w:r>
      <w:r>
        <w:rPr>
          <w:rStyle w:val="FootnoteAnchor"/>
          <w:rtl w:val="true"/>
        </w:rPr>
        <w:footnoteReference w:id="543"/>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ظاهرة الوقف بعد رحيل الإمام الكاظم عليه السّلام كانت أمراً خطيراً يهدّد </w:t>
      </w:r>
    </w:p>
    <w:p>
      <w:pPr>
        <w:pStyle w:val="BookText"/>
        <w:rPr/>
      </w:pPr>
      <w:r>
        <w:rPr>
          <w:rFonts w:ascii="Amiri" w:hAnsi="Amiri" w:eastAsia="Amiri" w:cs="Amiri"/>
          <w:color w:val="111111"/>
          <w:sz w:val="28"/>
          <w:sz w:val="28"/>
          <w:szCs w:val="28"/>
          <w:rtl w:val="true"/>
          <w:lang w:bidi="ar-SA"/>
        </w:rPr>
        <w:t>كيان الشيعة، و تماسكها و انسجامها، و قد كانت الواقفة تتمسك بشبه، ربما تغري البسطاء من الشيعة، و تصدّهم عن القول بامتداد الإمامة إلى عصر الإمام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لأجل خطورة الوقف، ربما نرى وجود الحث المتزايد على زيارة الإمام الرضا عليه السّلام من النبي و الوصيّ و الصادق و الكاظم عليهم السّلام ليلفتوا نظر الشيعة إليه و لا يغفلوا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روي عنه صلّى اللّٰه عليه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ستدفن بضعة منّي بأرض خراسان، لا يزورها مؤمن إلّا أوجب اللّٰه له الجنّة، و حرّم جسده على النار</w:t>
      </w:r>
      <w:r>
        <w:rPr>
          <w:rFonts w:eastAsia="Amiri" w:cs="Amiri" w:ascii="Amiri" w:hAnsi="Amiri"/>
          <w:color w:val="111111"/>
          <w:sz w:val="28"/>
          <w:szCs w:val="28"/>
          <w:rtl w:val="true"/>
          <w:lang w:bidi="ar-SA"/>
        </w:rPr>
        <w:t>».</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كما توجد روايات كثيرة عن أئمّة أهل البيت عليهم السّلام تؤكد و تحث على زيارة الإمام الرضا عليه السّلام و تبيّن فضلها</w:t>
      </w:r>
      <w:r>
        <w:rPr>
          <w:rFonts w:eastAsia="Amiri" w:cs="Amiri" w:ascii="Amiri" w:hAnsi="Amiri"/>
          <w:color w:val="111111"/>
          <w:sz w:val="28"/>
          <w:szCs w:val="28"/>
          <w:rtl w:val="true"/>
          <w:lang w:bidi="ar-SA"/>
        </w:rPr>
        <w:t>.</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و لعلّ تلك الروايات تهدف إلى رفع الشبهات التي أوجدتها الواقفة في ذلك العصر، و لو لا انّ الرضا هو الإمام القائد بعد أبيه، لما كان لهذا الحث وجه، و قد جابه الإمام الرضا تلك الزوبعة بعظات بالغة، و مناظرات قيّمة، قام فيها بإزالة الالتباس عن شبههم</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جمعها العالم الحجة الشيخ رياض محمد حبيب الناصري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بلغت ثماني مناظرات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أراد الوقوف على مضامينها فعليه الرجوع إلى ذلك الكتاب القيّم الذي طرح فيه الواقفية و درسها دراسة تحليلية رائعة</w:t>
      </w:r>
      <w:r>
        <w:rPr>
          <w:rFonts w:eastAsia="Amiri" w:cs="Amiri" w:ascii="Amiri" w:hAnsi="Amiri"/>
          <w:color w:val="111111"/>
          <w:sz w:val="28"/>
          <w:szCs w:val="28"/>
          <w:rtl w:val="true"/>
          <w:lang w:bidi="ar-SA"/>
        </w:rPr>
        <w:t>.</w:t>
      </w:r>
      <w:r>
        <w:rPr>
          <w:rStyle w:val="FootnoteAnchor"/>
          <w:rtl w:val="true"/>
        </w:rPr>
        <w:footnoteReference w:id="546"/>
      </w:r>
      <w:bookmarkStart w:id="779" w:name="pg11557_101556"/>
    </w:p>
    <w:p>
      <w:pPr>
        <w:pStyle w:val="Heading3"/>
        <w:numPr>
          <w:ilvl w:val="2"/>
          <w:numId w:val="1"/>
        </w:numPr>
        <w:rPr/>
      </w:pPr>
      <w:bookmarkStart w:id="780" w:name="__RefHeading___Toc4284597_73709187"/>
      <w:bookmarkStart w:id="781" w:name="_Toc282"/>
      <w:bookmarkEnd w:id="779"/>
      <w:bookmarkEnd w:id="780"/>
      <w:r>
        <w:rPr>
          <w:rtl w:val="true"/>
        </w:rPr>
        <w:t>مشاهير الواقفية</w:t>
      </w:r>
      <w:bookmarkEnd w:id="781"/>
    </w:p>
    <w:p>
      <w:pPr>
        <w:pStyle w:val="BookText"/>
        <w:rPr/>
      </w:pPr>
      <w:r>
        <w:rPr>
          <w:rFonts w:ascii="Amiri" w:hAnsi="Amiri" w:eastAsia="Amiri" w:cs="Amiri"/>
          <w:color w:val="111111"/>
          <w:sz w:val="28"/>
          <w:sz w:val="28"/>
          <w:szCs w:val="28"/>
          <w:rtl w:val="true"/>
          <w:lang w:bidi="ar-SA"/>
        </w:rPr>
        <w:t>يظهر من مراجعة الكتب الرجالية، انّ عدد الواقفية لم يكن قليلاً، و قد ذكر الشيخ الطوسي فيهم حوالي أربعة و ستين شخصاً، فمن مشاهيرهم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سماعة بن مهران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سماعة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محمد بن سماعة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زرعة بن محمد الحضرمي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زياد بن مروان القندي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داود بن الحصين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درست بن أبي منصور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عثمان بن عيسى الرواسي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أبي حمزة البطائني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الحسن الطاطري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حنان بن سدير الصيرفي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يحيى بن القاسم الحذاء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يحيى بن الحسين بن زيد</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خلف</w:t>
      </w:r>
      <w:r>
        <w:rPr>
          <w:rFonts w:eastAsia="IRNazanin" w:cs="IRNazanin"/>
          <w:color w:val="111111"/>
          <w:sz w:val="28"/>
          <w:szCs w:val="28"/>
          <w:rtl w:val="true"/>
          <w:lang w:bidi="fa-IR"/>
        </w:rPr>
        <w:t>.</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ثمّ إنّ هناك لفيفاً آخر من الواقفية ذكرهم النجاشي في رجاله، و ليس فيهم اسم سماعة بن مهران، و لا ولده جعفر، و لا سبطه محمد، و ربما تردّد بعضهم في عدّ سماعة من الواقفية، إذ لو كان كذلك لما خفي على مثل النجاشي، و لا على ابن الغضائري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جمع الشيخ الناصري أسماء الموصوفين بالوقف من الكتب الرجالية و غيرها، غير أنّ كثيراً منهم رجعوا عن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العجب العجاب انّ سبعة أشخاص من أصحاب الإجماع، رُمُوا بالوقف، و هؤلاء 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أبي نصر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جميل بن دراج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حماد بن عيسى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صفوان بن يحيى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عثمان بن عيسى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يونس بن عبد الرحمن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المغيرة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أظن أنّ اتّهامهم بالوقف ربما يعود إلى فحصهم و ترّيثهم في الإمام الذي يعقب الإمام الكاظم عليه السّلام بعد رحيله</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هذا هو المنطلق لوصفهم بالوقف فلا يوجد أي مبرر لهذا الرمي و الوصف، و على أية حال فإنّهم رجعوا عن الوقف، حتّى أنّ يونس بن عبد الرحمن كان في الصف المقدّم لمكافحة الوقف و هو الذي وصف الواقفية بالكلاب الممطورة كما في بعض الروايات، و هذا ما يثير الشكوك حول وصفه و زملائه بالوقف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هناك ردوداً بين الطائفتين ذكرها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الكتب المؤلّفة في نصرة الواقفية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نصرة الواقفة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بن أحمد العلوي الموسوي، ذكره الشيخ</w:t>
      </w:r>
      <w:r>
        <w:rPr>
          <w:rFonts w:eastAsia="Amiri" w:cs="Amiri" w:ascii="Amiri" w:hAnsi="Amiri"/>
          <w:color w:val="111111"/>
          <w:sz w:val="28"/>
          <w:szCs w:val="28"/>
          <w:rtl w:val="true"/>
          <w:lang w:bidi="ar-SA"/>
        </w:rPr>
        <w:t>.</w:t>
      </w:r>
      <w:r>
        <w:rPr>
          <w:rStyle w:val="FootnoteAnchor"/>
          <w:rtl w:val="true"/>
        </w:rPr>
        <w:footnoteReference w:id="54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الصفة في الغيبة على مذهب الواقفة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اللّٰه بن جبلة</w:t>
      </w:r>
      <w:r>
        <w:rPr>
          <w:rFonts w:eastAsia="Amiri" w:cs="Amiri" w:ascii="Amiri" w:hAnsi="Amiri"/>
          <w:color w:val="111111"/>
          <w:sz w:val="28"/>
          <w:szCs w:val="28"/>
          <w:rtl w:val="true"/>
          <w:lang w:bidi="ar-SA"/>
        </w:rPr>
        <w:t>.</w:t>
      </w:r>
      <w:r>
        <w:rPr>
          <w:rStyle w:val="FootnoteAnchor"/>
          <w:rtl w:val="true"/>
        </w:rPr>
        <w:footnoteReference w:id="54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لعلي بن الحسن الطاطري في نصرة مذهبه</w:t>
      </w:r>
      <w:r>
        <w:rPr>
          <w:rFonts w:eastAsia="Amiri" w:cs="Amiri" w:ascii="Amiri" w:hAnsi="Amiri"/>
          <w:color w:val="111111"/>
          <w:sz w:val="28"/>
          <w:szCs w:val="28"/>
          <w:rtl w:val="true"/>
          <w:lang w:bidi="ar-SA"/>
        </w:rPr>
        <w:t>.</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و هناك ردود من الأصحاب على تلك المؤلفات، ذكرها النجاشي في رجاله، نذكر منها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الرد على الواقفة لإسماعيل بن علي بن إسحاق بن سهل بن نوبخت</w:t>
      </w:r>
      <w:r>
        <w:rPr>
          <w:rFonts w:eastAsia="Amiri" w:cs="Amiri" w:ascii="Amiri" w:hAnsi="Amiri"/>
          <w:color w:val="111111"/>
          <w:sz w:val="28"/>
          <w:szCs w:val="28"/>
          <w:rtl w:val="true"/>
          <w:lang w:bidi="ar-SA"/>
        </w:rPr>
        <w:t>.</w:t>
      </w:r>
      <w:r>
        <w:rPr>
          <w:rStyle w:val="FootnoteAnchor"/>
          <w:rtl w:val="true"/>
        </w:rPr>
        <w:footnoteReference w:id="55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الرد على الواقفة للحسن بن موسى الخشاب</w:t>
      </w:r>
      <w:r>
        <w:rPr>
          <w:rFonts w:eastAsia="Amiri" w:cs="Amiri" w:ascii="Amiri" w:hAnsi="Amiri"/>
          <w:color w:val="111111"/>
          <w:sz w:val="28"/>
          <w:szCs w:val="28"/>
          <w:rtl w:val="true"/>
          <w:lang w:bidi="ar-SA"/>
        </w:rPr>
        <w:t>.</w:t>
      </w:r>
      <w:r>
        <w:rPr>
          <w:rStyle w:val="FootnoteAnchor"/>
          <w:rtl w:val="true"/>
        </w:rPr>
        <w:footnoteReference w:id="55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الرد على الواقفة للحسين بن علي البزوفري</w:t>
      </w:r>
      <w:r>
        <w:rPr>
          <w:rFonts w:eastAsia="Amiri" w:cs="Amiri" w:ascii="Amiri" w:hAnsi="Amiri"/>
          <w:color w:val="111111"/>
          <w:sz w:val="28"/>
          <w:szCs w:val="28"/>
          <w:rtl w:val="true"/>
          <w:lang w:bidi="ar-SA"/>
        </w:rPr>
        <w:t>.</w:t>
      </w:r>
      <w:r>
        <w:rPr>
          <w:rStyle w:val="FootnoteAnchor"/>
          <w:rtl w:val="true"/>
        </w:rPr>
        <w:footnoteReference w:id="553"/>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الرد على الواقفة لفارس بن حاتم بن ماهويه القزويني</w:t>
      </w:r>
      <w:r>
        <w:rPr>
          <w:rFonts w:eastAsia="Amiri" w:cs="Amiri" w:ascii="Amiri" w:hAnsi="Amiri"/>
          <w:color w:val="111111"/>
          <w:sz w:val="28"/>
          <w:szCs w:val="28"/>
          <w:rtl w:val="true"/>
          <w:lang w:bidi="ar-SA"/>
        </w:rPr>
        <w:t>.</w:t>
      </w:r>
      <w:r>
        <w:rPr>
          <w:rStyle w:val="FootnoteAnchor"/>
          <w:rtl w:val="true"/>
        </w:rPr>
        <w:footnoteReference w:id="554"/>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الكلام في رجال الواقفة الذين وردت أسماؤهم في الكتب الرجالية، و كان لهم دور في نقل الحديث و تدوينه، فإليك فهرس أسمائهم، و أمّا الكلام عن تراجمهم و حالاتهم فموكول إلى محله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جبل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جعدة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جنادة الأعمىٰ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أبي بشر السرّاج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الحارث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الحسن بن إسماعيل بن شعيب بن ميثم التمّار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زياد الخزّاز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السري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الفضل الخزاعي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علي بن عمر بن رباح بن قيس بن سالم القلاء السوّاق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إدريس بن الفضل بن سليمان الخولاني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إسحاق بن جرير بن يزيد بن جرير بن عبد اللّٰه البجلي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أبي بكر محمد بن الربيع بن أبي السمّال الأسدي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عمر بن أبان الكلبي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أُمية بن عمرو الشعيري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بكر بن محمد بن جناح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المثنى الخطيب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محمد بن سماعة بن موسى بن رويد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جندب بن أيوب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جهم بن جعفر بن حيان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علي بن أبي حمزة سالم البطائني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محمد بن سماعة، أبو محمد الكندي الصيرفي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الإمام الكاظم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أبي سعيد هاشم بن حيّان المكاري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قياما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كيسان</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المختار، أبو عبد اللّٰه القلانسي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مهران بن محمد، أبو نصر السكوني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موسى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حصين بن المخارق بن عبد الرحمن بن ورقاء بن حبشي بن جنادة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حميد بن زياد بن حمّاد بن حمّاد بن زياد هوار الدهقان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حنان بن سدير بن حكيم بن صهيب الصيرفي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داود بن الحصين الأسدي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دُرست بن أبي منصور محمد الواسطي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زرعة بن محمد الحضرمي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زكريا بن محمد، أبو عبد اللّٰه المؤمن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زياد بن مروان الأنباري القندي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زيد بن موسىٰ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بن أبي عمران الأنصاري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بن خلف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سلمة بن حيّان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سماعة بن مهران بن عبد الرحمن الحضرمي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جبلة بن حيّان بن أبجر الكناني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عثمان الحنّاط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القاسم الحضرمي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القصير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النخّاس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الكريم بن عمرو بن صالح الخثعمي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عبيد اللّٰه بن أبي زيد أحمد بن عبيد اللّٰه بن محمد الانباري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عثمان بن عيسى، أبو عمرو العامري الكلابي الرواسي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عثمان بن عيسى الكلابي، مولىٰ لبني عامر، و ليس بالرواسي</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أبي حمزة البطائني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جعفر بن العباس الخزاعي المروزي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الحسن بن محمد الطائي الجرمي المعروف بالطاطري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الخطّاب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سعيد المكاري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عمر الأعرج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بن علي بن عمر بن رباح السوّاق،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وهبان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 بن رباح الزهري القلا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عنبسة بن مصعب العجلي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عيسى بن عيسى الكلابي مولىٰ بني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بالرواسي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غالب بن عثمان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الفضل بن يونس الكاتب البغدادي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القاسم بن إسماعيل القرشي، أبو محمد المنذر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القاسم بن محمد الجوهري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بكر بن جناح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الحسن بن شمّون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عبد اللّٰه الجلاّب البصري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عبد اللّٰه بن غالب الأنصاري البزاز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عبيد بن صاعد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محمد بن علي بن عمرو بن رباح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مقاتل بن مقاتل بن قياما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منصور بن يونس بزرج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موسى بن بكر الواسطي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موسى بن حماد الطيالسي الذرّاع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هاشم بن حيان، أبو سعيد المكاري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وهيب بن حفص، أبو علي الجريري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يحيى بن الحسين بن زيد بن علي بن الحسين عليه السّلام</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يزيد بن خليفة الحارثي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يوسف بن يعقوب</w:t>
      </w:r>
      <w:r>
        <w:rPr>
          <w:rFonts w:eastAsia="Amiri" w:cs="Amiri" w:ascii="Amiri" w:hAnsi="Amiri"/>
          <w:color w:val="111111"/>
          <w:sz w:val="28"/>
          <w:szCs w:val="28"/>
          <w:rtl w:val="true"/>
          <w:lang w:bidi="ar-SA"/>
        </w:rPr>
        <w:t xml:space="preserve">. </w:t>
      </w:r>
      <w:bookmarkStart w:id="782" w:name="pg11557_101562"/>
    </w:p>
    <w:p>
      <w:pPr>
        <w:pStyle w:val="Heading2"/>
        <w:numPr>
          <w:ilvl w:val="1"/>
          <w:numId w:val="1"/>
        </w:numPr>
        <w:rPr/>
      </w:pPr>
      <w:bookmarkStart w:id="783" w:name="__RefHeading___Toc4284599_73709187"/>
      <w:bookmarkStart w:id="784" w:name="_Toc283"/>
      <w:bookmarkEnd w:id="782"/>
      <w:bookmarkEnd w:id="783"/>
      <w:r>
        <w:rPr>
          <w:rtl w:val="true"/>
        </w:rPr>
        <w:t>خاتمة المطاف</w:t>
      </w:r>
      <w:r>
        <w:rPr>
          <w:rtl w:val="true"/>
        </w:rPr>
        <w:t xml:space="preserve">: </w:t>
      </w:r>
      <w:r>
        <w:rPr>
          <w:rtl w:val="true"/>
        </w:rPr>
        <w:t>في النصيرية</w:t>
      </w:r>
      <w:bookmarkEnd w:id="784"/>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85" w:name="__RefHeading___Toc4284601_73709187"/>
      <w:bookmarkStart w:id="786" w:name="_Toc284"/>
      <w:bookmarkEnd w:id="785"/>
      <w:r>
        <w:rPr>
          <w:rtl w:val="true"/>
        </w:rPr>
        <w:t>اشارة</w:t>
      </w:r>
      <w:bookmarkEnd w:id="786"/>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7" w:name="pg11557_101564"/>
      <w:bookmarkStart w:id="788" w:name="pg11557_101564"/>
      <w:bookmarkEnd w:id="788"/>
    </w:p>
    <w:p>
      <w:pPr>
        <w:pStyle w:val="BookText"/>
        <w:rPr/>
      </w:pPr>
      <w:bookmarkStart w:id="789" w:name="pg11557_101564"/>
      <w:bookmarkEnd w:id="789"/>
      <w:r>
        <w:rPr>
          <w:rFonts w:ascii="Amiri" w:hAnsi="Amiri" w:eastAsia="Amiri" w:cs="Amiri"/>
          <w:color w:val="111111"/>
          <w:sz w:val="28"/>
          <w:sz w:val="28"/>
          <w:szCs w:val="28"/>
          <w:rtl w:val="true"/>
          <w:lang w:bidi="ar-SA"/>
        </w:rPr>
        <w:t>الكتابة عن النصيرية كسائر الفرق الشيعية أمر صعب لا سيما و انّهم اضطروا إلى التخفّي و الانطواء على أنفسهم، و عاشوا في ظل التقية، و من يتصفّح التاريخ يجد أنّه لا مندوحة لهم من التكتّم و التحفّظ في عقائدهم، فمعاجم الفرق مليئة بذمّهم و تفسيقهم و تكفيرهم، و قد أخذ بعضهم عن بعض، و لا يمكن الاعتماد على ما نقلوه عنهم إلّا بالرجوع إلىٰ كتب تلك الفرقة أو التعايش معهم في أوطانهم حتىٰ ينجلي الحقّ ليقف الإنسان على مكامن عقائدهم و خفايا أُصولهم، و نحن نسرد قبل كلّ شيء ما ذكرته معاجم الفرق في هذا المقام من دون أيّ تعليق مسهب</w:t>
      </w:r>
      <w:r>
        <w:rPr>
          <w:rFonts w:eastAsia="Amiri" w:cs="Amiri" w:ascii="Amiri" w:hAnsi="Amiri"/>
          <w:color w:val="111111"/>
          <w:sz w:val="28"/>
          <w:szCs w:val="28"/>
          <w:rtl w:val="true"/>
          <w:lang w:bidi="ar-SA"/>
        </w:rPr>
        <w:t>.</w:t>
      </w:r>
    </w:p>
    <w:p>
      <w:pPr>
        <w:pStyle w:val="Heading3"/>
        <w:numPr>
          <w:ilvl w:val="2"/>
          <w:numId w:val="1"/>
        </w:numPr>
        <w:rPr/>
      </w:pPr>
      <w:bookmarkStart w:id="790" w:name="__RefHeading___Toc4284603_73709187"/>
      <w:bookmarkStart w:id="791" w:name="_Toc285"/>
      <w:bookmarkEnd w:id="790"/>
      <w:r>
        <w:rPr>
          <w:rtl w:val="true"/>
        </w:rPr>
        <w:t>النصيرية في معاجم الملل و النحل</w:t>
      </w:r>
      <w:bookmarkEnd w:id="79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لعلّ أوّل من ذكرهم من أصحاب المقالات هو الشيخ الحسن بن موسى النوبختي من أعلام القرن الثالث، و يظهر منه أنّها نشأت بعد وفاة الإمام الهادي عليه السّلام عام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فقال</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شذّت فرقة من القائلين بإمامة علي بن محمد في حياته، فقالت بنبوّة رجل يقال له محمد بن نصير النميري، و كان يدّعي أنّه نبي، بعثه أبو الحسن العسكري عليه السّلام، و كان يقول بالتناسخ و الغلو في أبي الحسن، و يقول فيه بالربوبية، و يقول بالإباحة للمحارم و يحلّل نكاح الرجال بعضهم بعضاً في أدبارهم، و يزعم أنّ ذلك من التواضع و التذلّل، و أنّها إحدى الشهوات و الطيبات، و أنّ اللّٰه عزّ و جلّ لم يحرّم شيئاً من ذلك، و كان يقوي أسباب هذا النميري، محمد بن موسى بن </w:t>
      </w:r>
    </w:p>
    <w:p>
      <w:pPr>
        <w:pStyle w:val="BookText"/>
        <w:rPr/>
      </w:pPr>
      <w:r>
        <w:rPr>
          <w:rFonts w:ascii="IRNazanin" w:hAnsi="IRNazanin" w:eastAsia="IRNazanin"/>
          <w:color w:val="111111"/>
          <w:sz w:val="28"/>
          <w:sz w:val="28"/>
          <w:szCs w:val="28"/>
          <w:rtl w:val="true"/>
          <w:lang w:bidi="fa-IR"/>
        </w:rPr>
        <w:t>الحسن بن الفرات</w:t>
      </w:r>
      <w:r>
        <w:rPr>
          <w:rFonts w:eastAsia="IRNazanin" w:cs="IRNazanin"/>
          <w:color w:val="111111"/>
          <w:sz w:val="28"/>
          <w:szCs w:val="28"/>
          <w:rtl w:val="true"/>
          <w:lang w:bidi="fa-IR"/>
        </w:rPr>
        <w:t>.</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من النسب في هذا الكلام ممّا يستبعده العقل جداً، إذ كيف يمكن أن يتبنىٰ أحد في حاضرة الخلافة الإسلامية هذه المنكرات التي لا يرتضيها أيّ إنسان ساذج؟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داعياً إلى هذه الأُمور في أجواء نائية بعيدة ربّما يسهل تصديقه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فرقة بنبوة محمد بن نصير الفهري النميري، و ذلك أنّه، ادّعىٰ أنّه نبي، و أنّ علي بن محمد العسكري أرسله، و كان يقول بالتناسخ و الغلو في أبي الحسن، و يقول فيه بالربوبية، و يقول بإباحة المحارم و يحلّل نكاح الرجال بعضهم بعضاً في أدبارهم،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الفاعل و المفعول به أحد الشهوات و الطيبات، و إنّ اللّٰه لم يحرّم شيئاً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محمد ابن موسى بن الحسن بن فرات يقوي أسبابه و يعضده، و ذكر أنّه رأى بعض الناس محمد بن نصير عياناً و غلام له على ظهره، فرآه على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من اللذات و هو من التواضع للّٰه و ترك التجبّر، و افترق الناس فيه بعده فرقاً</w:t>
      </w:r>
      <w:r>
        <w:rPr>
          <w:rFonts w:eastAsia="Amiri" w:cs="Amiri" w:ascii="Amiri" w:hAnsi="Amiri"/>
          <w:color w:val="111111"/>
          <w:sz w:val="28"/>
          <w:szCs w:val="28"/>
          <w:rtl w:val="true"/>
          <w:lang w:bidi="ar-SA"/>
        </w:rPr>
        <w:t>.</w:t>
      </w:r>
      <w:r>
        <w:rPr>
          <w:rStyle w:val="FootnoteAnchor"/>
          <w:rtl w:val="true"/>
        </w:rPr>
        <w:footnoteReference w:id="55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ذكر الأشعري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أصناف الغالية، أصحاب الشريعي،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يزعمون أنّ اللّٰه حلّ في خمسة أشخاص، ثمّ انتقل منه إلى ذكر النميرية،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فرقة من الرافضة يقال لهم النميرية أصحاب النميري يقولون إنّ الباري كان حالاًّ في النميري</w:t>
      </w:r>
      <w:r>
        <w:rPr>
          <w:rFonts w:eastAsia="Amiri" w:cs="Amiri" w:ascii="Amiri" w:hAnsi="Amiri"/>
          <w:color w:val="111111"/>
          <w:sz w:val="28"/>
          <w:szCs w:val="28"/>
          <w:rtl w:val="true"/>
          <w:lang w:bidi="ar-SA"/>
        </w:rPr>
        <w:t>.</w:t>
      </w:r>
      <w:r>
        <w:rPr>
          <w:rStyle w:val="FootnoteAnchor"/>
          <w:rtl w:val="true"/>
        </w:rPr>
        <w:footnoteReference w:id="557"/>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البغدادي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فصل عَقَده لبيان الفرقة الشّريعية أتباع الشريعي و النميرية أتباع محمد بن نصير النميري، و نقل نفس ما نقله الأشعري في حقّ الرجلين و لم يزد عليه شيئاً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قارن كتاب الفرق بين الفرق مع كتاب مقالات الإسلاميين يجد أنّه صورة ملخّصة من الثاني، غير أنّه زاد في بيان الفرق سبّاً و ذمّاً غير لائق بشأن الكاتب</w:t>
      </w:r>
      <w:r>
        <w:rPr>
          <w:rFonts w:eastAsia="Amiri" w:cs="Amiri" w:ascii="Amiri" w:hAnsi="Amiri"/>
          <w:color w:val="111111"/>
          <w:sz w:val="28"/>
          <w:szCs w:val="28"/>
          <w:rtl w:val="true"/>
          <w:lang w:bidi="ar-SA"/>
        </w:rPr>
        <w:t>.</w:t>
      </w:r>
      <w:r>
        <w:rPr>
          <w:rStyle w:val="FootnoteAnchor"/>
          <w:rtl w:val="true"/>
        </w:rPr>
        <w:footnoteReference w:id="558"/>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عقد الشيخ الطوسي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فصلاً لمدّعي البابية عدّ منها الشريعي، و محمد بن نصير النميري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محمد بن نصير النميري من أصحاب أبي محمد الحسن بن علي عليهما السّلام فلمّا توفي أبو محمد، ادّعىٰ مقام أبي جعفر محمد بن عثمان أنّه صاحب إمام الزمان، و ادّعىٰ له البابية، و فضحه اللّٰه تعالى بما ظهر منه من الإلحاد و الجهل، و لعن أبي جعفر محمد بن عثمان له و تبرّأه منه، و احتجابه عنه و ادّعى ذلك الأمر بعد الشريعي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طالب الأنباري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ظهر محمد بن نصير بما ظهر لعنه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تبرّأ منه فبلغه ذلك، فقصد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ليعطف بقلبه عليه، أو يعتذر إليه، فلم يأذن له و حجبه و ردّه خائباً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نقل عن سعد بن أبي عبد اللّٰه ما نقلناه آنفاً عن النوبختي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اعتلّ محمد بن نصير العلّة التي توفي فيها، قيل له و هو مثقل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الأمر من بعدك؟ فقال بلسان ضعيف ملجلج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فلم يدروا من هو؟ فافترقوا بعده ثلاث فرق، قالت 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أحمد ابنه، و فرقة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أحمد ابن محمد بن موسى بن الفرات، و فرقة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أحمد بن أبي الحسين بن بشر بن يزيد، فتفرّقوا فلا يرجعون إلىٰ شيء</w:t>
      </w:r>
      <w:r>
        <w:rPr>
          <w:rFonts w:eastAsia="Amiri" w:cs="Amiri" w:ascii="Amiri" w:hAnsi="Amiri"/>
          <w:color w:val="111111"/>
          <w:sz w:val="28"/>
          <w:szCs w:val="28"/>
          <w:rtl w:val="true"/>
          <w:lang w:bidi="ar-SA"/>
        </w:rPr>
        <w:t>.</w:t>
      </w:r>
      <w:r>
        <w:rPr>
          <w:rStyle w:val="FootnoteAnchor"/>
          <w:rtl w:val="true"/>
        </w:rPr>
        <w:footnoteReference w:id="559"/>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الشيخ أخرج في أسماء أصحاب الهادي عليه السّلام، محمد بن حصين </w:t>
      </w:r>
    </w:p>
    <w:p>
      <w:pPr>
        <w:pStyle w:val="BookText"/>
        <w:rPr/>
      </w:pPr>
      <w:r>
        <w:rPr>
          <w:rFonts w:ascii="Amiri" w:hAnsi="Amiri" w:eastAsia="Amiri" w:cs="Amiri"/>
          <w:color w:val="111111"/>
          <w:sz w:val="28"/>
          <w:sz w:val="28"/>
          <w:szCs w:val="28"/>
          <w:rtl w:val="true"/>
          <w:lang w:bidi="ar-SA"/>
        </w:rPr>
        <w:t>الفهري،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و لعلّه محمد بن نصير، فالحصين تصحيف لنصير</w:t>
      </w:r>
      <w:r>
        <w:rPr>
          <w:rFonts w:eastAsia="Amiri" w:cs="Amiri" w:ascii="Amiri" w:hAnsi="Amiri"/>
          <w:color w:val="111111"/>
          <w:sz w:val="28"/>
          <w:szCs w:val="28"/>
          <w:rtl w:val="true"/>
          <w:lang w:bidi="ar-SA"/>
        </w:rPr>
        <w:t>.</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و أخرج في أصحاب الإمام العسكري محمد بن موسى الصريعي، و قال المعلق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النسخ الشريعي، و هو أوّل من ادّعى البابية حسب تنصيص الشيخ الطوسي في الغيبة، و لم يذكر في أصحاب العسكري محمد بن نصير النميري</w:t>
      </w:r>
      <w:r>
        <w:rPr>
          <w:rFonts w:eastAsia="Amiri" w:cs="Amiri" w:ascii="Amiri" w:hAnsi="Amiri"/>
          <w:color w:val="111111"/>
          <w:sz w:val="28"/>
          <w:szCs w:val="28"/>
          <w:rtl w:val="true"/>
          <w:lang w:bidi="ar-SA"/>
        </w:rPr>
        <w:t>.</w:t>
      </w:r>
      <w:r>
        <w:rPr>
          <w:rStyle w:val="FootnoteAnchor"/>
          <w:rtl w:val="true"/>
        </w:rPr>
        <w:footnoteReference w:id="561"/>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الاسفرايني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الفرقة التاسعة منهم الشريعية و النميرية، و الشريعية أتباع رجل كان يدعىٰ شريعاً،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حلَّ في خمسة أشخاص في محمد، و علي، و فاطمة، و الحسن و الحسين، و كانوا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هؤلاء آلهة و لهؤلاء الخمسة خمسة أضداد،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النميري، خليفته و كان يدعي لنفسه مثله بعده و جملة النميرية و الشريعية و الخطابية و كانوا يدعون إلهيّة جعفر الصادق</w:t>
      </w:r>
      <w:r>
        <w:rPr>
          <w:rFonts w:eastAsia="Amiri" w:cs="Amiri" w:ascii="Amiri" w:hAnsi="Amiri"/>
          <w:color w:val="111111"/>
          <w:sz w:val="28"/>
          <w:szCs w:val="28"/>
          <w:rtl w:val="true"/>
          <w:lang w:bidi="ar-SA"/>
        </w:rPr>
        <w:t>.</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و لا يخفى وجود التناقض في كلامه حيث فسر الشريعة بالاعتقاد بالأُلوهية في الخمسة الطاهرة آخرهم الحسين عليه السّلام و قال في ذيل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الطوائف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الخطابية كانوا يدّعون إلهية جعفر الصادق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كلّه فما ذكره مأخوذ من الفرق بين الفرق و المقالات و كأنّ الجميع عيال على الأشعري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ابن أبي الحديد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فصل عقده لذكر الغلاة من الشيعة و النصيرية و غيرهم</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النصيرية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 أحدثها محمد بن نصير النميري، و كان من أصحاب الحسن العسكري عليه السّلام،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محمد بن نصير من </w:t>
      </w:r>
    </w:p>
    <w:p>
      <w:pPr>
        <w:pStyle w:val="BookText"/>
        <w:rPr/>
      </w:pPr>
      <w:r>
        <w:rPr>
          <w:rFonts w:ascii="Amiri" w:hAnsi="Amiri" w:eastAsia="Amiri" w:cs="Amiri"/>
          <w:color w:val="111111"/>
          <w:sz w:val="28"/>
          <w:sz w:val="28"/>
          <w:szCs w:val="28"/>
          <w:rtl w:val="true"/>
          <w:lang w:bidi="ar-SA"/>
        </w:rPr>
        <w:t>أصحاب الحسن بن علي بن محمد بن الرضا، فلمّا مات ادّعىٰ وكالة لابن الحسن الذي تقول الإمامية بإمامته ففضحه اللّٰه تعالى بما أظهره من الإلحاد و الغلو، و القول بالتناسخ، ثمّ ادّعىٰ أنّه رسول و نبي من قبل اللّٰه تعالى، و أنّه أرسله علي بن محمد ابن الرضا، و جحد إمامة الحسن العسكري و إمامة ابنه، و ادّعىٰ بعد ذلك الربوبية و قال بإباحة المحارم</w:t>
      </w:r>
      <w:r>
        <w:rPr>
          <w:rFonts w:eastAsia="Amiri" w:cs="Amiri" w:ascii="Amiri" w:hAnsi="Amiri"/>
          <w:color w:val="111111"/>
          <w:sz w:val="28"/>
          <w:szCs w:val="28"/>
          <w:rtl w:val="true"/>
          <w:lang w:bidi="ar-SA"/>
        </w:rPr>
        <w:t>.</w:t>
      </w:r>
      <w:r>
        <w:rPr>
          <w:rStyle w:val="FootnoteAnchor"/>
          <w:rtl w:val="true"/>
        </w:rPr>
        <w:footnoteReference w:id="563"/>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بسط الكلام الشهرستاني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النصيرية و الإسحاقية و عدّهم من جملة غلاة الشيعة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لهم جماعة ينصرون مذهبهم و يذبّون عن أصحاب مقالاتهم، و بينهم خلاف في كيفية إطلاق اسم الإلهية على الأئمة من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و لم يكن بعد رسول اللّٰه صلّى اللّٰه عليه و آله و سلّم شخص أفضل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بعده أولاده المعصومون و هم خير البرية، فظهر الحقّ بصورتهم و نطق بلسانهم و أخذ بأيديهم، فعن هذا أطلقنا اسم الإلهية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أثبتنا هذا الاختصاص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 دون غيره لأنّه كان مخصوصاً بتأييد إلهي من عند اللّٰه تعالى، فيما يتعلق بباطن الأسرار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أحكم بالظاهر، و اللّٰه يتولّى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هذا كان قتال المشركين إلى النبي صلّى اللّٰه عليه و آله و سلّم و قتال المنافقين إلىٰ علي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هذا شبهه بعيسى بن مريم عليه السّلام، فقال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أن يقول الناس فيك ما قالوا في عيسى بن مريم عليه السّلام، لقلت فيك مقالاً</w:t>
      </w:r>
      <w:r>
        <w:rPr>
          <w:rFonts w:eastAsia="Amiri" w:cs="Amiri" w:ascii="Amiri" w:hAnsi="Amiri"/>
          <w:color w:val="111111"/>
          <w:sz w:val="28"/>
          <w:szCs w:val="28"/>
          <w:rtl w:val="true"/>
          <w:lang w:bidi="ar-SA"/>
        </w:rPr>
        <w:t>».</w:t>
      </w:r>
      <w:r>
        <w:rPr>
          <w:rStyle w:val="FootnoteAnchor"/>
          <w:rtl w:val="true"/>
        </w:rPr>
        <w:footnoteReference w:id="564"/>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العلاّمة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الحصين الفهري من أصحاب أبي الحسن الثالث الهادي عليه السّلام كان ضعيفاً ملعوناً</w:t>
      </w:r>
      <w:r>
        <w:rPr>
          <w:rFonts w:eastAsia="Amiri" w:cs="Amiri" w:ascii="Amiri" w:hAnsi="Amiri"/>
          <w:color w:val="111111"/>
          <w:sz w:val="28"/>
          <w:szCs w:val="28"/>
          <w:rtl w:val="true"/>
          <w:lang w:bidi="ar-SA"/>
        </w:rPr>
        <w:t>.</w:t>
      </w:r>
      <w:r>
        <w:rPr>
          <w:rStyle w:val="FootnoteAnchor"/>
          <w:rtl w:val="true"/>
        </w:rPr>
        <w:footnoteReference w:id="565"/>
      </w:r>
      <w:bookmarkStart w:id="792" w:name="pg11557_101569"/>
    </w:p>
    <w:p>
      <w:pPr>
        <w:pStyle w:val="BookText"/>
        <w:rPr/>
      </w:pPr>
      <w:bookmarkEnd w:id="792"/>
      <w:r>
        <w:rPr>
          <w:rFonts w:ascii="Amiri" w:hAnsi="Amiri" w:eastAsia="Amiri" w:cs="Amiri"/>
          <w:color w:val="111111"/>
          <w:sz w:val="28"/>
          <w:sz w:val="28"/>
          <w:szCs w:val="28"/>
          <w:rtl w:val="true"/>
          <w:lang w:bidi="ar-SA"/>
        </w:rPr>
        <w:t>و العجب أنّه عنونه تارة أُخرى،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نصير بالنون المضمومة و الصاد المهملة، 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محمد بن طلحة بن علي بن عبد اللّٰه بن غلالة، قال لنا أبو بكر بن الجعابي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محمد بن نصير من أفاضل أهل البصرة علماً و كان ضعيفاً بدو النصيرية و إليه ينسبون</w:t>
      </w:r>
      <w:r>
        <w:rPr>
          <w:rFonts w:eastAsia="Amiri" w:cs="Amiri" w:ascii="Amiri" w:hAnsi="Amiri"/>
          <w:color w:val="111111"/>
          <w:sz w:val="28"/>
          <w:szCs w:val="28"/>
          <w:rtl w:val="true"/>
          <w:lang w:bidi="ar-SA"/>
        </w:rPr>
        <w:t>.</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و لعلهما شخصان مختلفان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الجرجاني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النصيرية الذين قالوا إنّ اللّٰه حلّ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و الباحث في كتب الرجال لأصحابنا يجد أنّها تعج بما رواه الشيخ في كتاب الغيبة، و الكشي في رجاله</w:t>
      </w:r>
      <w:r>
        <w:rPr>
          <w:rFonts w:eastAsia="Amiri" w:cs="Amiri" w:ascii="Amiri" w:hAnsi="Amiri"/>
          <w:color w:val="111111"/>
          <w:sz w:val="28"/>
          <w:szCs w:val="28"/>
          <w:rtl w:val="true"/>
          <w:lang w:bidi="ar-SA"/>
        </w:rPr>
        <w:t>.</w:t>
      </w:r>
      <w:r>
        <w:rPr>
          <w:rStyle w:val="FootnoteAnchor"/>
          <w:rtl w:val="true"/>
        </w:rPr>
        <w:footnoteReference w:id="568"/>
      </w:r>
    </w:p>
    <w:p>
      <w:pPr>
        <w:pStyle w:val="Heading3"/>
        <w:numPr>
          <w:ilvl w:val="2"/>
          <w:numId w:val="1"/>
        </w:numPr>
        <w:rPr/>
      </w:pPr>
      <w:bookmarkStart w:id="793" w:name="__RefHeading___Toc4284605_73709187"/>
      <w:bookmarkStart w:id="794" w:name="_Toc286"/>
      <w:bookmarkEnd w:id="793"/>
      <w:r>
        <w:rPr>
          <w:rtl w:val="true"/>
        </w:rPr>
        <w:t>النصيرية فرقة بائدة</w:t>
      </w:r>
      <w:bookmarkEnd w:id="794"/>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كانت النصيرية هي التي عرّفها أصحاب المعاجم و غيرهم، فهذه الفرقة قد بادت لا تجد أحداً يتبنّىٰ أفكارها بين المسلمين، إلّا إذا كان مغفّلاً أو مغرضاً، و ربّما تكون بعض هذه النسب ممّا لا أصل له في الواقع، و إنّما اتهمت بها بعض فرق الشيعة من قبل أعدائهم، فإنّ خصومهم من العباسيين شنّوا حملة شعواء و دعايات مزيفة و مضلّلة ضدهم، حتى يجد الباحث أنّ الكتّاب و المؤلّفين المدعومين من قبل السلطات لا يألون جهداً في اتهامهم بأرخص التهم في العقيدة و العمل حتى صارت حقائق راهنة في حقّ هؤلاء، و تبعهم غير واحد من أصحابنا لحسن ظنّهم بما كتب حولهم</w:t>
      </w:r>
      <w:r>
        <w:rPr>
          <w:rFonts w:eastAsia="Amiri" w:cs="Amiri" w:ascii="Amiri" w:hAnsi="Amiri"/>
          <w:color w:val="111111"/>
          <w:sz w:val="28"/>
          <w:szCs w:val="28"/>
          <w:rtl w:val="true"/>
          <w:lang w:bidi="ar-SA"/>
        </w:rPr>
        <w:t xml:space="preserve">. </w:t>
      </w:r>
      <w:bookmarkStart w:id="795" w:name="pg11557_101570"/>
    </w:p>
    <w:p>
      <w:pPr>
        <w:pStyle w:val="Heading3"/>
        <w:numPr>
          <w:ilvl w:val="2"/>
          <w:numId w:val="1"/>
        </w:numPr>
        <w:rPr/>
      </w:pPr>
      <w:bookmarkStart w:id="796" w:name="__RefHeading___Toc4284607_73709187"/>
      <w:bookmarkStart w:id="797" w:name="_Toc287"/>
      <w:bookmarkEnd w:id="795"/>
      <w:bookmarkEnd w:id="796"/>
      <w:r>
        <w:rPr>
          <w:rtl w:val="true"/>
        </w:rPr>
        <w:t>محمد بن نصير النميري شخصيّة قلقة</w:t>
      </w:r>
      <w:bookmarkEnd w:id="797"/>
    </w:p>
    <w:p>
      <w:pPr>
        <w:pStyle w:val="BookText"/>
        <w:rPr/>
      </w:pPr>
      <w:r>
        <w:rPr>
          <w:rFonts w:ascii="Amiri" w:hAnsi="Amiri" w:eastAsia="Amiri" w:cs="Amiri"/>
          <w:color w:val="111111"/>
          <w:sz w:val="28"/>
          <w:sz w:val="28"/>
          <w:szCs w:val="28"/>
          <w:rtl w:val="true"/>
          <w:lang w:bidi="ar-SA"/>
        </w:rPr>
        <w:t>الحقّ أن يقال إنّ ابن نصير شخصية قلقة، يكتنفها كثير من الغموض، فتارة يعدّونه من أفاضل أهل البصرة علماً و أنّه ضعيف</w:t>
      </w:r>
      <w:r>
        <w:rPr>
          <w:rStyle w:val="FootnoteAnchor"/>
          <w:rtl w:val="true"/>
        </w:rPr>
        <w:footnoteReference w:id="569"/>
      </w:r>
      <w:r>
        <w:rPr>
          <w:rFonts w:ascii="Amiri" w:hAnsi="Amiri" w:eastAsia="Amiri" w:cs="Amiri"/>
          <w:color w:val="111111"/>
          <w:sz w:val="28"/>
          <w:sz w:val="28"/>
          <w:szCs w:val="28"/>
          <w:rtl w:val="true"/>
          <w:lang w:bidi="ar-SA"/>
        </w:rPr>
        <w:t>و أُخرى من أصحاب الإمام الجواد عليه السّلام</w:t>
      </w:r>
      <w:r>
        <w:rPr>
          <w:rStyle w:val="FootnoteAnchor"/>
          <w:rtl w:val="true"/>
        </w:rPr>
        <w:footnoteReference w:id="570"/>
      </w:r>
      <w:r>
        <w:rPr>
          <w:rFonts w:ascii="Amiri" w:hAnsi="Amiri" w:eastAsia="Amiri" w:cs="Amiri"/>
          <w:color w:val="111111"/>
          <w:sz w:val="28"/>
          <w:sz w:val="28"/>
          <w:szCs w:val="28"/>
          <w:rtl w:val="true"/>
          <w:lang w:bidi="ar-SA"/>
        </w:rPr>
        <w:t>، و أُخرى أنّه من أصحاب الإمام العسكري عليه السّلام و أنّه غال</w:t>
      </w:r>
      <w:r>
        <w:rPr>
          <w:rStyle w:val="FootnoteAnchor"/>
          <w:rtl w:val="true"/>
        </w:rPr>
        <w:footnoteReference w:id="571"/>
      </w:r>
      <w:r>
        <w:rPr>
          <w:rFonts w:ascii="Amiri" w:hAnsi="Amiri" w:eastAsia="Amiri" w:cs="Amiri"/>
          <w:color w:val="111111"/>
          <w:sz w:val="28"/>
          <w:sz w:val="28"/>
          <w:szCs w:val="28"/>
          <w:rtl w:val="true"/>
          <w:lang w:bidi="ar-SA"/>
        </w:rPr>
        <w:t>و طوراً عدّوه فهرياً بصرياً مع أنّ هذين لا يجتمعان</w:t>
      </w:r>
      <w:r>
        <w:rPr>
          <w:rFonts w:eastAsia="Amiri" w:cs="Amiri" w:ascii="Amiri" w:hAnsi="Amiri"/>
          <w:color w:val="111111"/>
          <w:sz w:val="28"/>
          <w:szCs w:val="28"/>
          <w:rtl w:val="true"/>
          <w:lang w:bidi="ar-SA"/>
        </w:rPr>
        <w:t>.</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و أخيراً تحيّروا في أمر هذا الرجل و وضعوا اسمه في قائمة المشتركات</w:t>
      </w:r>
      <w:r>
        <w:rPr>
          <w:rFonts w:eastAsia="Amiri" w:cs="Amiri" w:ascii="Amiri" w:hAnsi="Amiri"/>
          <w:color w:val="111111"/>
          <w:sz w:val="28"/>
          <w:szCs w:val="28"/>
          <w:rtl w:val="true"/>
          <w:lang w:bidi="ar-SA"/>
        </w:rPr>
        <w:t>.</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ثمّ إنّ كتّاب الفرق ذكروا رجالاً كان لهم دور في حياة ذلك الرجل،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الشريعي أبو محمد، و قد عرفت ما قيل حوله؛ و ابن فرات، و هو الذي ذكر النوبختي أنّه كان يقوي عضد محمد بن نصير، و من المؤكد أنّ هذا الرجل ينتمي إلى أُسرة شيعية عريقة كان لها مركز و نفوذ في البلاط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تقلّد جمع منهم الوزارة، منهم</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الحسن علي بن محمد بن الفرات تسنّم عرش الوزارة ثلاث مرّات، خلع و حبس خلالها، فقد تسلم الوزارة بين سنة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ثمّ في سنة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و ثالثة في سنة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قد اتّهموه بمؤازرة الأعراب البوادي الذين نهبوا بغداد، و كذلك اتهم بالزندقة و صودرت أمواله و ذلك أيّام المقتدي باللّٰه </w:t>
      </w:r>
      <w:bookmarkStart w:id="798" w:name="pg11557_101571"/>
    </w:p>
    <w:p>
      <w:pPr>
        <w:pStyle w:val="BookText"/>
        <w:rPr/>
      </w:pPr>
      <w:bookmarkEnd w:id="798"/>
      <w:r>
        <w:rPr>
          <w:rFonts w:ascii="Amiri" w:hAnsi="Amiri" w:eastAsia="Amiri" w:cs="Amiri"/>
          <w:color w:val="111111"/>
          <w:sz w:val="28"/>
          <w:sz w:val="28"/>
          <w:szCs w:val="28"/>
          <w:rtl w:val="true"/>
          <w:lang w:bidi="ar-SA"/>
        </w:rPr>
        <w:t>العباسي</w:t>
      </w:r>
      <w:r>
        <w:rPr>
          <w:rFonts w:eastAsia="Amiri" w:cs="Amiri" w:ascii="Amiri" w:hAnsi="Amiri"/>
          <w:color w:val="111111"/>
          <w:sz w:val="28"/>
          <w:szCs w:val="28"/>
          <w:rtl w:val="true"/>
          <w:lang w:bidi="ar-SA"/>
        </w:rPr>
        <w:t>.</w:t>
      </w:r>
      <w:r>
        <w:rPr>
          <w:rStyle w:val="FootnoteAnchor"/>
          <w:rtl w:val="true"/>
        </w:rPr>
        <w:footnoteReference w:id="57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الفتح الفضل بن جعفر بن محمد بن الفرات وزير الراضي باللّٰه العباسي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أحمد المحسن بن الوزير أبي الحسن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محمد أخو الوزير علي بن محمد</w:t>
      </w:r>
      <w:r>
        <w:rPr>
          <w:rFonts w:eastAsia="Amiri" w:cs="Amiri" w:ascii="Amiri" w:hAnsi="Amiri"/>
          <w:color w:val="111111"/>
          <w:sz w:val="28"/>
          <w:szCs w:val="28"/>
          <w:rtl w:val="true"/>
          <w:lang w:bidi="ar-SA"/>
        </w:rPr>
        <w:t>.</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هذه هي النصيرية و هذه هي كلمات أصحاب المعاجم في حقّها و نحن على شكّ في صدق هذه النسب، لأنّ أكثر من كتب عنهم يعدّون خصوماً لهم، و من كتب عنهم من غير خصومهم لم يعتمد على أصل صحيح، فلا يبعد أن تكون هذه الفرقة على فرض وجودها في عصرها من الفرق البائدة التي عبث بها الزمان</w:t>
      </w:r>
      <w:r>
        <w:rPr>
          <w:rFonts w:eastAsia="Amiri" w:cs="Amiri" w:ascii="Amiri" w:hAnsi="Amiri"/>
          <w:color w:val="111111"/>
          <w:sz w:val="28"/>
          <w:szCs w:val="28"/>
          <w:rtl w:val="true"/>
          <w:lang w:bidi="ar-SA"/>
        </w:rPr>
        <w:t>.</w:t>
      </w:r>
    </w:p>
    <w:p>
      <w:pPr>
        <w:pStyle w:val="Heading3"/>
        <w:numPr>
          <w:ilvl w:val="2"/>
          <w:numId w:val="1"/>
        </w:numPr>
        <w:rPr/>
      </w:pPr>
      <w:bookmarkStart w:id="799" w:name="__RefHeading___Toc4284609_73709187"/>
      <w:bookmarkStart w:id="800" w:name="_Toc288"/>
      <w:bookmarkEnd w:id="799"/>
      <w:r>
        <w:rPr>
          <w:rtl w:val="true"/>
        </w:rPr>
        <w:t>العلويون و أصل التسمية بالنصيرية</w:t>
      </w:r>
      <w:bookmarkEnd w:id="800"/>
    </w:p>
    <w:p>
      <w:pPr>
        <w:pStyle w:val="Heading4"/>
        <w:numPr>
          <w:ilvl w:val="3"/>
          <w:numId w:val="1"/>
        </w:numPr>
        <w:rPr/>
      </w:pPr>
      <w:bookmarkStart w:id="801" w:name="__RefHeading___Toc4284611_73709187"/>
      <w:bookmarkStart w:id="802" w:name="_Toc289"/>
      <w:bookmarkEnd w:id="801"/>
      <w:r>
        <w:rPr>
          <w:rtl w:val="true"/>
        </w:rPr>
        <w:t>اشارة</w:t>
      </w:r>
      <w:bookmarkEnd w:id="802"/>
    </w:p>
    <w:p>
      <w:pPr>
        <w:pStyle w:val="BookText"/>
        <w:rPr/>
      </w:pPr>
      <w:r>
        <w:rPr>
          <w:rFonts w:ascii="Amiri" w:hAnsi="Amiri" w:eastAsia="Amiri" w:cs="Amiri"/>
          <w:color w:val="111111"/>
          <w:sz w:val="28"/>
          <w:sz w:val="28"/>
          <w:szCs w:val="28"/>
          <w:rtl w:val="true"/>
          <w:lang w:bidi="ar-SA"/>
        </w:rPr>
        <w:t>إنّ هناك أقلاماً مغرضة حاولت أن تنسب العلويين المنتشرين في الشام و العراق و تركيا و إيران إلىٰ فرقة النصيرية البائدة اعتماداً على أُمور ينكرها العلويون اليوم قاطبة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أظن أنّ السبب في ذلك هو جور السلطات الظالمة التي أخذت تشوّه صحيفة العلويين و تسودها، فأقامت فيهم السيف و القتل و الفتك و التشريد، و لم تكتفِ بل أخذت بالافتراء عليهم لتنفّر الناس من الاختلاط بهم، و أنّهم زمرة وحشية هجمية، ممّا زاد في انكماش هذه الطائفة علىٰ نفسها، لذا نجد من المناسب الكتابة عنهم حسب ما كتبوه عن أنفسهم</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سبب تسمية العلويين بالنصيرية لأنّه لما فتحت جهات بعلبك و حمص استمد أبو عبيدة الجراح نجدة، فأتاه من العراق خالد بن الوليد، و من مصر عمرو </w:t>
      </w:r>
      <w:bookmarkStart w:id="803" w:name="pg11557_101572"/>
    </w:p>
    <w:p>
      <w:pPr>
        <w:pStyle w:val="BookText"/>
        <w:rPr/>
      </w:pPr>
      <w:bookmarkEnd w:id="803"/>
      <w:r>
        <w:rPr>
          <w:rFonts w:ascii="Amiri" w:hAnsi="Amiri" w:eastAsia="Amiri" w:cs="Amiri"/>
          <w:color w:val="111111"/>
          <w:sz w:val="28"/>
          <w:sz w:val="28"/>
          <w:szCs w:val="28"/>
          <w:rtl w:val="true"/>
          <w:lang w:bidi="ar-SA"/>
        </w:rPr>
        <w:t>ابن العاص، و أتاه من المدينة جماعة من أتباع علي عليه السّلام و هم ممّن حضروا بيعة غدير خم، و هم من الأنصار، و عددهم يزيد عن أربعمائة و خمسين، فسمّيت هذه القوة الصغيرة، نصيرية، إذ كان من قواعد الجهاد تمليك الأرض التي يفتحها الجيش لذلك الجيش نفسه، فقد سميت الأراضي التي امتلكها جماعة النصيرية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النصيرية، و هو عبارة عن جهات جبل الحلو و بعض قضاء العمرانية المعروف الآن ثمّ أصبح هذا الاسم علماً خاصاً لكلّ جبال العلويين من جبل لبنان إلى أنطاكية</w:t>
      </w:r>
      <w:r>
        <w:rPr>
          <w:rFonts w:eastAsia="Amiri" w:cs="Amiri" w:ascii="Amiri" w:hAnsi="Amiri"/>
          <w:color w:val="111111"/>
          <w:sz w:val="28"/>
          <w:szCs w:val="28"/>
          <w:rtl w:val="true"/>
          <w:lang w:bidi="ar-SA"/>
        </w:rPr>
        <w:t>.</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 xml:space="preserve">و هذا الرأي أقرب إلى الصواب، ذلك أنّ المؤرّخين الصليبيّين أطلقوا على هذا الجبل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يبدو انّ هذا الاسم قد حرّف إلى نصيرية و الذي يعزز القناعة بصحة هذا الرأي هو أنّ إطلاق اسم نصيرية علىٰ هذا الجبل، لم يظهر إلّا أثناء الحملات الصليبية، أي بعد عام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إذا كان معنى ذلك أنّ اسم نصيرية قد تغلّب على اسم الجبل في زمن الشهرستاني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ثمة آراء أُخرى قليلة ترى أنّ تسمية نصيرية نسبة إلى نصير غلام الإمام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يبدو لنا خطل هذه الآراء، خاصة و أنّ التاريخ لم يذكر أنّ للإمام علي غلاماً يدعى نصيراً</w:t>
      </w:r>
      <w:r>
        <w:rPr>
          <w:rFonts w:eastAsia="Amiri" w:cs="Amiri" w:ascii="Amiri" w:hAnsi="Amiri"/>
          <w:color w:val="111111"/>
          <w:sz w:val="28"/>
          <w:szCs w:val="28"/>
          <w:rtl w:val="true"/>
          <w:lang w:bidi="ar-SA"/>
        </w:rPr>
        <w:t>.</w:t>
      </w:r>
      <w:r>
        <w:rPr>
          <w:rStyle w:val="FootnoteAnchor"/>
          <w:rtl w:val="true"/>
        </w:rPr>
        <w:footnoteReference w:id="577"/>
      </w:r>
    </w:p>
    <w:p>
      <w:pPr>
        <w:pStyle w:val="Heading4"/>
        <w:numPr>
          <w:ilvl w:val="3"/>
          <w:numId w:val="1"/>
        </w:numPr>
        <w:rPr/>
      </w:pPr>
      <w:bookmarkStart w:id="804" w:name="__RefHeading___Toc4284613_73709187"/>
      <w:bookmarkStart w:id="805" w:name="_Toc290"/>
      <w:bookmarkEnd w:id="804"/>
      <w:r>
        <w:rPr>
          <w:rtl w:val="true"/>
        </w:rPr>
        <w:t>أهم عقائدهم</w:t>
      </w:r>
      <w:bookmarkEnd w:id="805"/>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حسب المصادر المطّلعة على حالهم، فإنّ عقائد العلويين لا تختلف عن عقائد الشيعة الاثنا عشرية الإمامية، و هي معروفة مسجّلة</w:t>
      </w:r>
      <w:r>
        <w:rPr>
          <w:rFonts w:eastAsia="Amiri" w:cs="Amiri" w:ascii="Amiri" w:hAnsi="Amiri"/>
          <w:color w:val="111111"/>
          <w:sz w:val="28"/>
          <w:szCs w:val="28"/>
          <w:rtl w:val="true"/>
          <w:lang w:bidi="ar-SA"/>
        </w:rPr>
        <w:t>.</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و ما يوجب السكون و الاطمئنان في ذلك أنّ جميع المؤلفين و أرباب كتب الفرق و المذاهب عدوهم من الشيعة الإمامية الاثنا عشرية على الرغم ممّا نسبوا إليهم و رموهم بالغلو و التطرّف و الباطنية و أمثال ذلك ممّا ستأتي الإشارة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فالعلويون يؤمنون برسالة محمد بن عبد اللّٰه صلّى اللّٰه عليه و آله و سلّم و لا يشكّون بإمامة ابن عمه علي بن أبي طالب و الأئمة الأحد عشر من صلبه عليهم السّلام و ينطقون بالشهادتين عن إيمان فحصنهم شهادة أنْ لا إله إلّا اللّٰه محمد رسول اللّٰه صلّى اللّٰه عليه و آله و سلّم و الموالاة لآل بيته و الصلاة و الصوم و الحج و الزكاة و الجهاد في سبيل اللّٰه و المعاد في اليوم الآخر، و كتابهم القرآن، ما زاغوا عن هواه و لا نهجوا منهجاً غير شريعته، و لهم مراجع دينية عرفوا بتمسّكهم بالدين و إقامة شعائرهم الدينية الإسلامية، و يطرحون كلَّ حديث لم يشر إليه القرآن و جاء مخالفاً له، كما و أنّهم لا يؤيّدون قول من يقول بصحّة تأويل الآيات التي بحق محمد و آل محمد عليهم السّلام، و يحترمون كل الشرائع السماوية، و يقدّسون كلَّ الأنبياء، و لا يشكّون بصحّة ما أُنزل علىٰ إبراهيم و إسماعيل و إسحاق و يعقوب و الأسباط، و ما أُوتي موسىٰ و عيسى و النبيون من ربّهم، و هم للّٰه مسلمون، و لم يعصوا الرسول في عمل و لم يخالفوه في قول، و يحصرون كلمة العلم الكاملة بأهل البيت، و يعتمدون على جعفر بن محمد الصادق عليه السّلام في أبحاثهم الدينية و تأويل القرآن و الفقه و الفتوى، فلا شافعي و لا حنبلي و لا مالكي و لا حنفي عندهم، و كلّهم للّٰه حنفاء متّبعون ملّة أبيهم إبراهيم، و هو الذي سمّاهم المسلمين و يعبدون اللّٰه تعالى لا يشركون في عبادته أحداً</w:t>
      </w:r>
      <w:r>
        <w:rPr>
          <w:rFonts w:eastAsia="Amiri" w:cs="Amiri" w:ascii="Amiri" w:hAnsi="Amiri"/>
          <w:color w:val="111111"/>
          <w:sz w:val="28"/>
          <w:szCs w:val="28"/>
          <w:rtl w:val="true"/>
          <w:lang w:bidi="ar-SA"/>
        </w:rPr>
        <w:t>.</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و نترك الحديث إلى أحد كتابهم و هو الشيخ عبد الرحمن الخير يتحدث عن عقيدتهم في أُصول الدين و فروعه،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أُصول الدين خمسة، و هي</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التوحيد و العدل و النبوّة و الإمامة و المعاد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نعتقد بوجود إله واحد خالق للعالم المرئي و غير المرئي، لا شريك له في الملك متصف بصفات الكمال، منزّه عن صفات النقص و المحال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شَيْ‌ءٌ وَ هُوَ اَلسَّمِيعُ اَلْبَصِيرُ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نعتقد بأنّ اللّٰه تعالى عادل منزّه عن الظلم، و عن فعل القبيح و العبث، لا يكلّف البشر غير ما هو في وسعهم و طاقتهم و لا يأمرهم إلّا بما فيه صلاحهم و لا ينهاهم إلّا عمّا فيه فسادهم و لو جهل كثير من العباد وجه الصلاح و الفساد في أمره و نهيه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نعتقد بأنّ اللّٰه سبحانه يصطفي من خيرة عباده الصالحين رسلاً لإبلاغ رسالاته إلى الناس، ليرشدهم إلى ما فيه صلاحهم و يحذّروهم عمّا فيه فسادهم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نعتقد بأنّ الأنبياء كثيرون، ذكر منهم في القرآن الكريم خمسة و عشرون نبياً و رسولاً، أوّلهم سيدنا آدم عليه السّلام و آخرهم سيدنا محمد بن عبد اللّٰه صلّى اللّٰه عليه و آله و سلّم و شريعته هي آخر الشرائع الإلهية و أكملها، و نعتقد بأنّها صالحة لكلّ زمان و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نعتقد بعصمة جميع الأنبياء من السهو و النسيان، و ارتكاب الذنوب عمداً و خطأ قبل البعثة، و بعدها، و أنّهم منزّهون عن جميع العيوب و النقائص، و أنّهم أكمل أهل زمانهم و أفضلهم و أجمعهم للصفات الحميدة، صلوات اللّٰه و سلامه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نعتقد بأنّ الإمامة منصب تقتضيه الحكمة الإلهية لمصلحة البشر في مؤازرة الأنبياء بنشر الدعوة الإلهية، و في القيام بعدهم بالمحافظة على تطبيق أحكامها بين الناس و بصون التشريع من التغيير و التحريف و التفسيرات الخاطئة</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لذلك نعتقد اقتضاء اللطف الإلهي بأن يكون الإمام معيّناً بنص إلهي و أن يكون معصوماً مثل النبي سواء بسواء ليطمئن المؤمنون إلى الاقتداء به في جميع أعماله و أقواله</w:t>
      </w:r>
      <w:r>
        <w:rPr>
          <w:rFonts w:eastAsia="Amiri" w:cs="Amiri" w:ascii="Amiri" w:hAnsi="Amiri"/>
          <w:color w:val="111111"/>
          <w:sz w:val="28"/>
          <w:szCs w:val="28"/>
          <w:rtl w:val="true"/>
          <w:lang w:bidi="ar-SA"/>
        </w:rPr>
        <w:t xml:space="preserve">. </w:t>
      </w:r>
      <w:bookmarkStart w:id="806" w:name="pg11557_101575"/>
    </w:p>
    <w:p>
      <w:pPr>
        <w:pStyle w:val="BookText"/>
        <w:rPr/>
      </w:pPr>
      <w:bookmarkEnd w:id="806"/>
      <w:r>
        <w:rPr>
          <w:rFonts w:ascii="Amiri" w:hAnsi="Amiri" w:eastAsia="Amiri" w:cs="Amiri"/>
          <w:color w:val="111111"/>
          <w:sz w:val="28"/>
          <w:sz w:val="28"/>
          <w:szCs w:val="28"/>
          <w:rtl w:val="true"/>
          <w:lang w:bidi="ar-SA"/>
        </w:rPr>
        <w:t>و نعتقد بأنّ الإمام بعد نبينا محمد صلّى اللّٰه عليه و آله و سلّم هو سيدنا الإمام علي بن أبي طالب عليه السّلام، و من بعده ابناه الحسن و الحسين، ثمّ تسعة من ذرية الحسين عليه السّلام، آخرهم المهدي عجّل اللّٰه فرجه، و عجل به فرج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نعتقد بأنّ اللّٰه سبحانه يعيد الناس بعد الموت للحساب، فيجزي المحسن بإحسانه و المسيء بإساءته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 نؤمن بكل ما جاء في القرآن الكريم، و بما حدّث به النبي صلّى اللّٰه عليه و آله و سلّم من أخبار يوم البعث و النشور و الجنّة و النار و العذاب و النعيم و الصراط و الميزان و غير ذلك ممّا أثبته كتاب اللّٰه و حديث رسوله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فروع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فكثيرة أهمّها الصلاة و الصيام و الزكاة و الحج و الجهاد</w:t>
      </w:r>
      <w:r>
        <w:rPr>
          <w:rFonts w:eastAsia="Amiri" w:cs="Amiri" w:ascii="Amiri" w:hAnsi="Amiri"/>
          <w:color w:val="111111"/>
          <w:sz w:val="28"/>
          <w:szCs w:val="28"/>
          <w:rtl w:val="true"/>
          <w:lang w:bidi="ar-SA"/>
        </w:rPr>
        <w:t>.</w:t>
      </w:r>
      <w:r>
        <w:rPr>
          <w:rStyle w:val="FootnoteAnchor"/>
          <w:rtl w:val="true"/>
        </w:rPr>
        <w:footnoteReference w:id="580"/>
      </w:r>
    </w:p>
    <w:p>
      <w:pPr>
        <w:pStyle w:val="Heading3"/>
        <w:numPr>
          <w:ilvl w:val="2"/>
          <w:numId w:val="1"/>
        </w:numPr>
        <w:rPr/>
      </w:pPr>
      <w:bookmarkStart w:id="807" w:name="__RefHeading___Toc4284615_73709187"/>
      <w:bookmarkStart w:id="808" w:name="_Toc291"/>
      <w:bookmarkEnd w:id="807"/>
      <w:r>
        <w:rPr>
          <w:rtl w:val="true"/>
        </w:rPr>
        <w:t>الجبر و الاختيار و التفويض</w:t>
      </w:r>
      <w:bookmarkEnd w:id="808"/>
    </w:p>
    <w:p>
      <w:pPr>
        <w:pStyle w:val="BookText"/>
        <w:rPr/>
      </w:pPr>
      <w:r>
        <w:rPr>
          <w:rFonts w:ascii="Amiri" w:hAnsi="Amiri" w:eastAsia="Amiri" w:cs="Amiri"/>
          <w:color w:val="111111"/>
          <w:sz w:val="28"/>
          <w:sz w:val="28"/>
          <w:szCs w:val="28"/>
          <w:rtl w:val="true"/>
          <w:lang w:bidi="ar-SA"/>
        </w:rPr>
        <w:t>يقول أحد كتّابهم في هذا الصدد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عقيدة المسلمين العلويين في هذه المسألة هي طبق ما جاء عن الإمام أمير المؤمنين علي بن أبي طالب عليه السّلام و هو ينفي الجبر و الإهمال، و قد منح اللّٰه العباد القوّة علىٰ أفعالهم و أوكلهم فيها إلىٰ نفوسهم فعلاً و تركاً بعد الوعد و الوعيد، قال عليه السّلام في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سبحانه أمر عباده تخييراً و نهاهم تحذيراً، و كلّف يسيراً و لم يكلف عسيراً، و أعطى على القليل كثيراً، و لم يعص مغلوباً و لم يطع مكرهاً، و لم يرسل الأنبياء لعباً و لم ينزل الكتاب عبثاً، و لا خلق السماوات و الأرض و ما بينهما باطلاً، ذلك ظن الذين كفروا فويل للذين كفروا من النار</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شنع الأمير الشاعر المكزون السنجاري على القائلين بالجبر و وصفهم بأنّ عبيد اللات خير منهم قال</w:t>
      </w:r>
      <w:r>
        <w:rPr>
          <w:rFonts w:eastAsia="Amiri" w:cs="Amiri" w:ascii="Amiri" w:hAnsi="Amiri"/>
          <w:color w:val="111111"/>
          <w:sz w:val="28"/>
          <w:szCs w:val="28"/>
          <w:rtl w:val="true"/>
          <w:lang w:bidi="ar-SA"/>
        </w:rPr>
        <w:t xml:space="preserve">: </w:t>
      </w:r>
      <w:bookmarkStart w:id="809" w:name="pg11557_101576"/>
    </w:p>
    <w:p>
      <w:pPr>
        <w:pStyle w:val="BookText"/>
        <w:rPr/>
      </w:pPr>
      <w:bookmarkEnd w:id="809"/>
      <w:r>
        <w:rPr>
          <w:rFonts w:ascii="Amiri" w:hAnsi="Amiri" w:eastAsia="Amiri" w:cs="Amiri"/>
          <w:color w:val="111111"/>
          <w:sz w:val="28"/>
          <w:sz w:val="28"/>
          <w:szCs w:val="28"/>
          <w:rtl w:val="true"/>
          <w:lang w:bidi="ar-SA"/>
        </w:rPr>
        <w:t xml:space="preserve">عبيد اللات فيما جاء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يسبّون الإله بغير علم</w:t>
      </w:r>
    </w:p>
    <w:p>
      <w:pPr>
        <w:pStyle w:val="BookText"/>
        <w:rPr/>
      </w:pPr>
      <w:r>
        <w:rPr>
          <w:rFonts w:ascii="Amiri" w:hAnsi="Amiri" w:eastAsia="Amiri" w:cs="Amiri"/>
          <w:color w:val="111111"/>
          <w:sz w:val="28"/>
          <w:sz w:val="28"/>
          <w:szCs w:val="28"/>
          <w:rtl w:val="true"/>
          <w:lang w:bidi="ar-SA"/>
        </w:rPr>
        <w:t xml:space="preserve">و أما المجبرون فعن 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يسبّون الإله بكل ظلم</w:t>
      </w:r>
    </w:p>
    <w:p>
      <w:pPr>
        <w:pStyle w:val="BookText"/>
        <w:rPr/>
      </w:pPr>
      <w:r>
        <w:rPr>
          <w:rFonts w:ascii="Amiri" w:hAnsi="Amiri" w:eastAsia="Amiri" w:cs="Amiri"/>
          <w:color w:val="111111"/>
          <w:sz w:val="28"/>
          <w:sz w:val="28"/>
          <w:szCs w:val="28"/>
          <w:rtl w:val="true"/>
          <w:lang w:bidi="ar-SA"/>
        </w:rPr>
        <w:t>و يقول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فعلي له مرادا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بما قد أراد يعصى</w:t>
      </w:r>
    </w:p>
    <w:p>
      <w:pPr>
        <w:pStyle w:val="BookText"/>
        <w:rPr/>
      </w:pPr>
      <w:r>
        <w:rPr>
          <w:rFonts w:ascii="Amiri" w:hAnsi="Amiri" w:eastAsia="Amiri" w:cs="Amiri"/>
          <w:color w:val="111111"/>
          <w:sz w:val="28"/>
          <w:sz w:val="28"/>
          <w:szCs w:val="28"/>
          <w:rtl w:val="true"/>
          <w:lang w:bidi="ar-SA"/>
        </w:rPr>
        <w:t xml:space="preserve">و لم دعاني إلى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لها الخلف ليس يحصىٰ</w:t>
      </w:r>
    </w:p>
    <w:p>
      <w:pPr>
        <w:pStyle w:val="BookText"/>
        <w:rPr/>
      </w:pPr>
      <w:r>
        <w:rPr>
          <w:rFonts w:ascii="Amiri" w:hAnsi="Amiri" w:eastAsia="Amiri" w:cs="Amiri"/>
          <w:color w:val="111111"/>
          <w:sz w:val="28"/>
          <w:sz w:val="28"/>
          <w:szCs w:val="28"/>
          <w:rtl w:val="true"/>
          <w:lang w:bidi="ar-SA"/>
        </w:rPr>
        <w:t>و من احتجاجه على القائلين بالجبر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لمن قال إنّ باري البرايا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خلقه مريد سواه</w:t>
      </w:r>
    </w:p>
    <w:p>
      <w:pPr>
        <w:pStyle w:val="BookText"/>
        <w:rPr/>
      </w:pPr>
      <w:r>
        <w:rPr>
          <w:rFonts w:ascii="Amiri" w:hAnsi="Amiri" w:eastAsia="Amiri" w:cs="Amiri"/>
          <w:color w:val="111111"/>
          <w:sz w:val="28"/>
          <w:sz w:val="28"/>
          <w:szCs w:val="28"/>
          <w:rtl w:val="true"/>
          <w:lang w:bidi="ar-SA"/>
        </w:rPr>
        <w:t xml:space="preserve">من ترى ان أراد بالعبد سوءاً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 في العبد كارهاً ما قضاه</w:t>
      </w:r>
    </w:p>
    <w:p>
      <w:pPr>
        <w:pStyle w:val="BookText"/>
        <w:rPr/>
      </w:pPr>
      <w:r>
        <w:rPr>
          <w:rFonts w:ascii="Amiri" w:hAnsi="Amiri" w:eastAsia="Amiri" w:cs="Amiri"/>
          <w:color w:val="111111"/>
          <w:sz w:val="28"/>
          <w:sz w:val="28"/>
          <w:szCs w:val="28"/>
          <w:rtl w:val="true"/>
          <w:lang w:bidi="ar-SA"/>
        </w:rPr>
        <w:t xml:space="preserve">اتقوا اللّٰه ذاك أمر 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يرى ساخطاً رضاه رضاه</w:t>
      </w:r>
    </w:p>
    <w:p>
      <w:pPr>
        <w:pStyle w:val="BookText"/>
        <w:rPr/>
      </w:pPr>
      <w:r>
        <w:rPr>
          <w:rFonts w:ascii="Amiri" w:hAnsi="Amiri" w:eastAsia="Amiri" w:cs="Amiri"/>
          <w:color w:val="111111"/>
          <w:sz w:val="28"/>
          <w:sz w:val="28"/>
          <w:szCs w:val="28"/>
          <w:rtl w:val="true"/>
          <w:lang w:bidi="ar-SA"/>
        </w:rPr>
        <w:t xml:space="preserve">و إذا لم يكن فقد ثبت القو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لعبد و مان في مدعاه</w:t>
      </w:r>
      <w:r>
        <w:rPr>
          <w:rFonts w:eastAsia="Amiri" w:cs="Amiri" w:ascii="Amiri" w:hAnsi="Amiri"/>
          <w:color w:val="111111"/>
          <w:sz w:val="28"/>
          <w:szCs w:val="28"/>
          <w:rtl w:val="true"/>
          <w:lang w:bidi="ar-SA"/>
        </w:rPr>
        <w:t>.</w:t>
      </w:r>
      <w:r>
        <w:rPr>
          <w:rStyle w:val="FootnoteAnchor"/>
          <w:rtl w:val="true"/>
        </w:rPr>
        <w:footnoteReference w:id="581"/>
      </w:r>
    </w:p>
    <w:p>
      <w:pPr>
        <w:pStyle w:val="Heading3"/>
        <w:numPr>
          <w:ilvl w:val="2"/>
          <w:numId w:val="1"/>
        </w:numPr>
        <w:rPr/>
      </w:pPr>
      <w:bookmarkStart w:id="810" w:name="__RefHeading___Toc4284617_73709187"/>
      <w:bookmarkStart w:id="811" w:name="_Toc292"/>
      <w:bookmarkEnd w:id="810"/>
      <w:r>
        <w:rPr>
          <w:rtl w:val="true"/>
        </w:rPr>
        <w:t>ما حيك حولهم</w:t>
      </w:r>
      <w:bookmarkEnd w:id="811"/>
    </w:p>
    <w:p>
      <w:pPr>
        <w:pStyle w:val="BookText"/>
        <w:rPr/>
      </w:pPr>
      <w:r>
        <w:rPr>
          <w:rFonts w:ascii="Amiri" w:hAnsi="Amiri" w:eastAsia="Amiri" w:cs="Amiri"/>
          <w:color w:val="111111"/>
          <w:sz w:val="28"/>
          <w:sz w:val="28"/>
          <w:szCs w:val="28"/>
          <w:rtl w:val="true"/>
          <w:lang w:bidi="ar-SA"/>
        </w:rPr>
        <w:t>و في غياب المصادر الموثوقة، نسب مناوءوهم عقائد و آراء شتى إلى العلويين نشير في ما يلي إلى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الاعتقاد بالحلول و الغلو في حقّ الأئمّة سيّما الإمام علي بن أبي طالب عليه السّلام</w:t>
      </w:r>
      <w:r>
        <w:rPr>
          <w:rFonts w:eastAsia="Amiri" w:cs="Amiri" w:ascii="Amiri" w:hAnsi="Amiri"/>
          <w:color w:val="111111"/>
          <w:sz w:val="28"/>
          <w:szCs w:val="28"/>
          <w:rtl w:val="true"/>
          <w:lang w:bidi="ar-SA"/>
        </w:rPr>
        <w:t>.</w:t>
      </w:r>
      <w:r>
        <w:rPr>
          <w:rStyle w:val="FootnoteAnchor"/>
          <w:rtl w:val="true"/>
        </w:rPr>
        <w:footnoteReference w:id="58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التناسخ</w:t>
      </w:r>
      <w:r>
        <w:rPr>
          <w:rFonts w:eastAsia="IRNazanin" w:cs="IRNazanin"/>
          <w:color w:val="111111"/>
          <w:sz w:val="28"/>
          <w:szCs w:val="28"/>
          <w:rtl w:val="true"/>
          <w:lang w:bidi="fa-IR"/>
        </w:rPr>
        <w:t>.</w:t>
      </w:r>
      <w:r>
        <w:rPr>
          <w:rStyle w:val="FootnoteAnchor"/>
          <w:rtl w:val="true"/>
        </w:rPr>
        <w:footnoteReference w:id="583"/>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نبوّة النميري محمد بن نصير</w:t>
      </w:r>
      <w:r>
        <w:rPr>
          <w:rFonts w:eastAsia="Amiri" w:cs="Amiri" w:ascii="Amiri" w:hAnsi="Amiri"/>
          <w:color w:val="111111"/>
          <w:sz w:val="28"/>
          <w:szCs w:val="28"/>
          <w:rtl w:val="true"/>
          <w:lang w:bidi="ar-SA"/>
        </w:rPr>
        <w:t>.</w:t>
      </w:r>
      <w:r>
        <w:rPr>
          <w:rStyle w:val="FootnoteAnchor"/>
          <w:rtl w:val="true"/>
        </w:rPr>
        <w:footnoteReference w:id="584"/>
      </w:r>
      <w:bookmarkStart w:id="812" w:name="pg11557_101577"/>
    </w:p>
    <w:p>
      <w:pPr>
        <w:pStyle w:val="BookText"/>
        <w:rPr/>
      </w:pPr>
      <w:bookmarkEnd w:id="812"/>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شركة الإمام علي مع رسول اللّٰه في نبوته</w:t>
      </w:r>
      <w:r>
        <w:rPr>
          <w:rFonts w:eastAsia="Amiri" w:cs="Amiri" w:ascii="Amiri" w:hAnsi="Amiri"/>
          <w:color w:val="111111"/>
          <w:sz w:val="28"/>
          <w:szCs w:val="28"/>
          <w:rtl w:val="true"/>
          <w:lang w:bidi="ar-SA"/>
        </w:rPr>
        <w:t>.</w:t>
      </w:r>
      <w:r>
        <w:rPr>
          <w:rStyle w:val="FootnoteAnchor"/>
          <w:rtl w:val="true"/>
        </w:rPr>
        <w:footnoteReference w:id="585"/>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إباحة المحارم و تحليل نكاح الرجال بعضهم بعضاً</w:t>
      </w:r>
      <w:r>
        <w:rPr>
          <w:rFonts w:eastAsia="Amiri" w:cs="Amiri" w:ascii="Amiri" w:hAnsi="Amiri"/>
          <w:color w:val="111111"/>
          <w:sz w:val="28"/>
          <w:szCs w:val="28"/>
          <w:rtl w:val="true"/>
          <w:lang w:bidi="ar-SA"/>
        </w:rPr>
        <w:t>.</w:t>
      </w:r>
      <w:r>
        <w:rPr>
          <w:rStyle w:val="FootnoteAnchor"/>
          <w:rtl w:val="true"/>
        </w:rPr>
        <w:footnoteReference w:id="586"/>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افتراقهم إلىٰ ثلاث فرق في خلافة محمد بن نصير النميري</w:t>
      </w:r>
      <w:r>
        <w:rPr>
          <w:rFonts w:eastAsia="Amiri" w:cs="Amiri" w:ascii="Amiri" w:hAnsi="Amiri"/>
          <w:color w:val="111111"/>
          <w:sz w:val="28"/>
          <w:szCs w:val="28"/>
          <w:rtl w:val="true"/>
          <w:lang w:bidi="ar-SA"/>
        </w:rPr>
        <w:t>.</w:t>
      </w:r>
      <w:r>
        <w:rPr>
          <w:rStyle w:val="FootnoteAnchor"/>
          <w:rtl w:val="true"/>
        </w:rPr>
        <w:footnoteReference w:id="587"/>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عبادة السماء و الشمس و القمر على تقاليد الفينيقيين و الاعتقاد بوجود الأئمّة عليهم السّلام فيها</w:t>
      </w:r>
      <w:r>
        <w:rPr>
          <w:rFonts w:eastAsia="Amiri" w:cs="Amiri" w:ascii="Amiri" w:hAnsi="Amiri"/>
          <w:color w:val="111111"/>
          <w:sz w:val="28"/>
          <w:szCs w:val="28"/>
          <w:rtl w:val="true"/>
          <w:lang w:bidi="ar-SA"/>
        </w:rPr>
        <w:t>.</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و هذه الافتراءات و التهم إنّما تهدف إلىٰ شيء واحد و هو تأليب الناس عليهم دون أن تستند إلى مصدر أو مستند أو وثيقة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دون أن يتجشّم المؤلّفون لتحقيقها، فإنّ مؤلّفي الفرق و الملل و النحل كان همّ أكثرهم توسيع رقعة الخلاف، و خلق أكبر عدد ممكن من الفرق و طرح أشياء غريبة عجيبة و غير معقولة و لا مشروعة</w:t>
      </w:r>
      <w:r>
        <w:rPr>
          <w:rFonts w:eastAsia="Amiri" w:cs="Amiri" w:ascii="Amiri" w:hAnsi="Amiri"/>
          <w:color w:val="111111"/>
          <w:sz w:val="28"/>
          <w:szCs w:val="28"/>
          <w:rtl w:val="true"/>
          <w:lang w:bidi="ar-SA"/>
        </w:rPr>
        <w:t>.</w:t>
      </w:r>
    </w:p>
    <w:p>
      <w:pPr>
        <w:pStyle w:val="Heading3"/>
        <w:numPr>
          <w:ilvl w:val="2"/>
          <w:numId w:val="1"/>
        </w:numPr>
        <w:rPr/>
      </w:pPr>
      <w:bookmarkStart w:id="813" w:name="__RefHeading___Toc4284619_73709187"/>
      <w:bookmarkStart w:id="814" w:name="_Toc293"/>
      <w:bookmarkEnd w:id="813"/>
      <w:r>
        <w:rPr>
          <w:rtl w:val="true"/>
        </w:rPr>
        <w:t>رميهم بالغلو و التطرّف</w:t>
      </w:r>
      <w:bookmarkEnd w:id="814"/>
    </w:p>
    <w:p>
      <w:pPr>
        <w:pStyle w:val="Heading4"/>
        <w:numPr>
          <w:ilvl w:val="3"/>
          <w:numId w:val="1"/>
        </w:numPr>
        <w:rPr/>
      </w:pPr>
      <w:bookmarkStart w:id="815" w:name="__RefHeading___Toc4284621_73709187"/>
      <w:bookmarkStart w:id="816" w:name="_Toc294"/>
      <w:bookmarkEnd w:id="815"/>
      <w:r>
        <w:rPr>
          <w:rtl w:val="true"/>
        </w:rPr>
        <w:t>اشارة</w:t>
      </w:r>
      <w:bookmarkEnd w:id="816"/>
    </w:p>
    <w:p>
      <w:pPr>
        <w:pStyle w:val="BookText"/>
        <w:rPr/>
      </w:pPr>
      <w:r>
        <w:rPr>
          <w:rFonts w:ascii="Amiri" w:hAnsi="Amiri" w:eastAsia="Amiri" w:cs="Amiri"/>
          <w:color w:val="111111"/>
          <w:sz w:val="28"/>
          <w:sz w:val="28"/>
          <w:szCs w:val="28"/>
          <w:rtl w:val="true"/>
          <w:lang w:bidi="ar-SA"/>
        </w:rPr>
        <w:t>أُمُّ الاتهامات ضدّهم هي تهمة الغلو و تأليه الإمام علي عليه السّلام حيث يكرره المؤلفون من قديم و جديد</w:t>
      </w:r>
      <w:r>
        <w:rPr>
          <w:rFonts w:eastAsia="Amiri" w:cs="Amiri" w:ascii="Amiri" w:hAnsi="Amiri"/>
          <w:color w:val="111111"/>
          <w:sz w:val="28"/>
          <w:szCs w:val="28"/>
          <w:rtl w:val="true"/>
          <w:lang w:bidi="ar-SA"/>
        </w:rPr>
        <w:t>.</w:t>
      </w:r>
      <w:r>
        <w:rPr>
          <w:rStyle w:val="FootnoteAnchor"/>
          <w:rtl w:val="true"/>
        </w:rPr>
        <w:footnoteReference w:id="589"/>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يتراءى أنّ رميهم بالغلو و التطرف كان ردّ فعل من مناوئيهم حيث كان يرميهم هؤلاء بالتقصير في حقّ علي بن أبي طالب عليه السّلام أو عدم الإيمان بفضائله و أفضليته من سائر الصحابة، حتى عدائهم له بتحريض من خلفاء الأُمويين، </w:t>
      </w:r>
      <w:bookmarkStart w:id="817" w:name="pg11557_101578"/>
    </w:p>
    <w:p>
      <w:pPr>
        <w:pStyle w:val="BookText"/>
        <w:rPr/>
      </w:pPr>
      <w:bookmarkEnd w:id="817"/>
      <w:r>
        <w:rPr>
          <w:rFonts w:ascii="Amiri" w:hAnsi="Amiri" w:eastAsia="Amiri" w:cs="Amiri"/>
          <w:color w:val="111111"/>
          <w:sz w:val="28"/>
          <w:sz w:val="28"/>
          <w:szCs w:val="28"/>
          <w:rtl w:val="true"/>
          <w:lang w:bidi="ar-SA"/>
        </w:rPr>
        <w:t>فقابلوا تهمة بتهمة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غرو في ذلك فانّ النزاع السياسي و العسكري بين العشائر العلوية و خصومهم من الأُمويين و العباسيين و العثمانيين الذين كانوا يتمتعون بالسلطة الرسمية تسبب في شن حرب إعلامية نفسية ضدّهم و سلب الشرعيّة عنهم حتى يبرّر ذلك التنكيلَ بهم و الفتكَ الذريع بحقهم، و قد أجاد شاعرهم الأمير حسن المكزون السنجاري حينما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بدت البغضاء منهم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منا لهم بدا الحب</w:t>
      </w:r>
    </w:p>
    <w:p>
      <w:pPr>
        <w:pStyle w:val="BookText"/>
        <w:rPr/>
      </w:pPr>
      <w:r>
        <w:rPr>
          <w:rFonts w:ascii="IRNazanin" w:hAnsi="IRNazanin" w:eastAsia="IRNazanin"/>
          <w:color w:val="111111"/>
          <w:sz w:val="28"/>
          <w:sz w:val="28"/>
          <w:szCs w:val="28"/>
          <w:rtl w:val="true"/>
          <w:lang w:bidi="fa-IR"/>
        </w:rPr>
        <w:t xml:space="preserve">و ما لنا إلّا موالاتنا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لآل طه عندهم ذنب</w:t>
      </w:r>
    </w:p>
    <w:p>
      <w:pPr>
        <w:pStyle w:val="BookText"/>
        <w:rPr/>
      </w:pPr>
      <w:r>
        <w:rPr>
          <w:rFonts w:ascii="Amiri" w:hAnsi="Amiri" w:eastAsia="Amiri" w:cs="Amiri"/>
          <w:color w:val="111111"/>
          <w:sz w:val="28"/>
          <w:sz w:val="28"/>
          <w:szCs w:val="28"/>
          <w:rtl w:val="true"/>
          <w:lang w:bidi="ar-SA"/>
        </w:rPr>
        <w:t>أعود للحديث عن عقيدة العلويين، فأقول ليس للعلويين مذهب خاصّ بهم يختلف عن مذهب أهل البيت عليهم السّلام كما يحاول أن يصوّر ذلك بعض الجهّال السذّج، و إنّما هم شيعة إمامية اثنا عشرية يتمذهبون بمذهب أهل البيت عليهم السّلام و يعولون عليه في أحكامهم و معاملاتهم، إلّا أنّ ثمة معتقدات علوية متميّزة سوف أحاول التركيز عليها باختصار</w:t>
      </w:r>
      <w:r>
        <w:rPr>
          <w:rFonts w:eastAsia="Amiri" w:cs="Amiri" w:ascii="Amiri" w:hAnsi="Amiri"/>
          <w:color w:val="111111"/>
          <w:sz w:val="28"/>
          <w:szCs w:val="28"/>
          <w:rtl w:val="true"/>
          <w:lang w:bidi="ar-SA"/>
        </w:rPr>
        <w:t>.</w:t>
      </w:r>
    </w:p>
    <w:p>
      <w:pPr>
        <w:pStyle w:val="Heading4"/>
        <w:numPr>
          <w:ilvl w:val="3"/>
          <w:numId w:val="1"/>
        </w:numPr>
        <w:rPr/>
      </w:pPr>
      <w:bookmarkStart w:id="818" w:name="__RefHeading___Toc4284623_73709187"/>
      <w:bookmarkStart w:id="819" w:name="_Toc295"/>
      <w:bookmarkEnd w:id="818"/>
      <w:r>
        <w:rPr>
          <w:rtl w:val="true"/>
        </w:rPr>
        <w:t xml:space="preserve">أ </w:t>
      </w:r>
      <w:r>
        <w:rPr>
          <w:rtl w:val="true"/>
        </w:rPr>
        <w:t xml:space="preserve">- </w:t>
      </w:r>
      <w:r>
        <w:rPr>
          <w:rtl w:val="true"/>
        </w:rPr>
        <w:t>الطريقة الجنبلائية</w:t>
      </w:r>
      <w:bookmarkEnd w:id="819"/>
    </w:p>
    <w:p>
      <w:pPr>
        <w:pStyle w:val="BookText"/>
        <w:rPr/>
      </w:pPr>
      <w:r>
        <w:rPr>
          <w:rFonts w:ascii="Amiri" w:hAnsi="Amiri" w:eastAsia="Amiri" w:cs="Amiri"/>
          <w:color w:val="111111"/>
          <w:sz w:val="28"/>
          <w:sz w:val="28"/>
          <w:szCs w:val="28"/>
          <w:rtl w:val="true"/>
          <w:lang w:bidi="ar-SA"/>
        </w:rPr>
        <w:t>يقال أحدثها في الشيعة العلويين رجل اسمه أبو محمد عبد اللّٰه الجنبلاني المعروف بالجنَّان، و يعتقد بعض العلويين أنّه من رؤسائهم الكبار، و من أعلم أهل عصره في التصوّف، و كان يقيم في العراق العجمي في بلدة جنبلا، و من هنا اشتهر بالفارسي، و يقال إنّه سافر إلى مصر و هناك أدخل الحسين بن حمدان الخصيبي في طريقته، و قد تبعه الأخير إلى جنبلا عند عودته فأخذ عنه الأحكام الصوفية و الفلسفية و علوم النجوم و الهيئة و بقية العلوم العصرية</w:t>
      </w:r>
      <w:r>
        <w:rPr>
          <w:rFonts w:eastAsia="Amiri" w:cs="Amiri" w:ascii="Amiri" w:hAnsi="Amiri"/>
          <w:color w:val="111111"/>
          <w:sz w:val="28"/>
          <w:szCs w:val="28"/>
          <w:rtl w:val="true"/>
          <w:lang w:bidi="ar-SA"/>
        </w:rPr>
        <w:t>.</w:t>
      </w:r>
      <w:r>
        <w:rPr>
          <w:rStyle w:val="FootnoteAnchor"/>
          <w:rtl w:val="true"/>
        </w:rPr>
        <w:footnoteReference w:id="590"/>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الخصيبي أحد مشايخ العلويين الكبار و قد خلّف الجنبلاني في رئاسة </w:t>
      </w:r>
      <w:bookmarkStart w:id="820" w:name="pg11557_101579"/>
    </w:p>
    <w:p>
      <w:pPr>
        <w:pStyle w:val="BookText"/>
        <w:rPr/>
      </w:pPr>
      <w:bookmarkEnd w:id="820"/>
      <w:r>
        <w:rPr>
          <w:rFonts w:ascii="Amiri" w:hAnsi="Amiri" w:eastAsia="Amiri" w:cs="Amiri"/>
          <w:color w:val="111111"/>
          <w:sz w:val="28"/>
          <w:sz w:val="28"/>
          <w:szCs w:val="28"/>
          <w:rtl w:val="true"/>
          <w:lang w:bidi="ar-SA"/>
        </w:rPr>
        <w:t>مشيخة الطريقة و عنه يقول صاحب كتاب تاريخ العلويين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دأب السيد حسين بن حمدان الخصيبي و وكلاؤه في الدين إرشاد بعض أفراد بقيّة الأديان إلى دين الإسلام، و هؤلاء يبقون بصفة أفراد مسلمين شيعة أي جعفرية، و الذين يشاهد فيهم الكفاءة يدخلهم في الطريقة الجنبلائية</w:t>
      </w:r>
      <w:r>
        <w:rPr>
          <w:rFonts w:eastAsia="Amiri" w:cs="Amiri" w:ascii="Amiri" w:hAnsi="Amiri"/>
          <w:color w:val="111111"/>
          <w:sz w:val="28"/>
          <w:szCs w:val="28"/>
          <w:rtl w:val="true"/>
          <w:lang w:bidi="ar-SA"/>
        </w:rPr>
        <w:t>.</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من هنا نعلم أنّ الرجل كانت غايته أن يدعو الناس إلى مذهب أهل البيت كما هو ظاهر، و أنّ الطريقة الجنبلائية ليست سوى معتقد صوفي كبقية المعتقدات الصوفية المكتومة لدى أكثر فرق المسلمين</w:t>
      </w:r>
      <w:r>
        <w:rPr>
          <w:rFonts w:eastAsia="Amiri" w:cs="Amiri" w:ascii="Amiri" w:hAnsi="Amiri"/>
          <w:color w:val="111111"/>
          <w:sz w:val="28"/>
          <w:szCs w:val="28"/>
          <w:rtl w:val="true"/>
          <w:lang w:bidi="ar-SA"/>
        </w:rPr>
        <w:t>.</w:t>
      </w:r>
    </w:p>
    <w:p>
      <w:pPr>
        <w:pStyle w:val="Heading4"/>
        <w:numPr>
          <w:ilvl w:val="3"/>
          <w:numId w:val="1"/>
        </w:numPr>
        <w:rPr/>
      </w:pPr>
      <w:bookmarkStart w:id="821" w:name="__RefHeading___Toc4284625_73709187"/>
      <w:bookmarkStart w:id="822" w:name="_Toc296"/>
      <w:bookmarkEnd w:id="821"/>
      <w:r>
        <w:rPr>
          <w:rtl w:val="true"/>
        </w:rPr>
        <w:t xml:space="preserve">ب </w:t>
      </w:r>
      <w:r>
        <w:rPr>
          <w:rtl w:val="true"/>
        </w:rPr>
        <w:t xml:space="preserve">- </w:t>
      </w:r>
      <w:r>
        <w:rPr>
          <w:rtl w:val="true"/>
        </w:rPr>
        <w:t>العقيدة في الباب</w:t>
      </w:r>
      <w:bookmarkEnd w:id="822"/>
    </w:p>
    <w:p>
      <w:pPr>
        <w:pStyle w:val="BookText"/>
        <w:rPr/>
      </w:pPr>
      <w:r>
        <w:rPr>
          <w:rFonts w:ascii="Amiri" w:hAnsi="Amiri" w:eastAsia="Amiri" w:cs="Amiri"/>
          <w:color w:val="111111"/>
          <w:sz w:val="28"/>
          <w:sz w:val="28"/>
          <w:szCs w:val="28"/>
          <w:rtl w:val="true"/>
          <w:lang w:bidi="ar-SA"/>
        </w:rPr>
        <w:t>يرى العلويون أنّ الأئمّة عليهم السّلام هم أوصياء الرسول صلّى اللّٰه عليه و آله و سلّم و لمّا كانت الأئمّة عليهم السّلام يحصون علوم الأوّلين و الآخرين كان لا بدّ لهم من باب يؤخذ فيه عنهم مصداقاً، و لذلك اتبعوا الأثر فاتخذوا باباً لكلّ منهم، و الأبواب 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علي بن أبي طالب عليه السّلام باب مدينة العلم التي هي النبي، و بابه سلمان الفارسي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الحسن المجتبى عليه السّلام بابه قيس بن ورقة المعروف بالسفينة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الحسين الشهيد عليه السّلام بابه رشيد الهجري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علي زين العابدين عليه السّلام بابه عبد اللّٰه الغالب الكابلي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محمد الباقر عليه السّلام بابه يحيى بن معمر بن أُمّ الطويل الشمالي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جعفر الصادق عليه السّلام بابه جابر بن يزيد الجعفي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موسى الكاظم عليه السّلام بابه محمد بن أبي زينب الكاهلي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علي الرضا عليه السّلام بابه المفضل بن عمر</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محمد الجواد عليه السّلام بابه محمد بن مفضل بن عمر</w:t>
      </w:r>
      <w:r>
        <w:rPr>
          <w:rFonts w:eastAsia="Amiri" w:cs="Amiri" w:ascii="Amiri" w:hAnsi="Amiri"/>
          <w:color w:val="111111"/>
          <w:sz w:val="28"/>
          <w:szCs w:val="28"/>
          <w:rtl w:val="true"/>
          <w:lang w:bidi="ar-SA"/>
        </w:rPr>
        <w:t xml:space="preserve">. </w:t>
      </w:r>
      <w:bookmarkStart w:id="823" w:name="pg11557_101580"/>
    </w:p>
    <w:p>
      <w:pPr>
        <w:pStyle w:val="BookText"/>
        <w:rPr/>
      </w:pPr>
      <w:bookmarkEnd w:id="823"/>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علي الهادي عليه السّلام بابه عمر بن الفرات، المشهور بالكاتب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حسن العسكري عليه السّلام بابه أبو شعيب محمد بن نصير النميري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الحجّة محمد المهدي عليه السّلام فلم يكن له باب</w:t>
      </w:r>
      <w:r>
        <w:rPr>
          <w:rFonts w:eastAsia="Amiri" w:cs="Amiri" w:ascii="Amiri" w:hAnsi="Amiri"/>
          <w:color w:val="111111"/>
          <w:sz w:val="28"/>
          <w:szCs w:val="28"/>
          <w:rtl w:val="true"/>
          <w:lang w:bidi="ar-SA"/>
        </w:rPr>
        <w:t>.</w:t>
      </w:r>
    </w:p>
    <w:p>
      <w:pPr>
        <w:pStyle w:val="Heading3"/>
        <w:numPr>
          <w:ilvl w:val="2"/>
          <w:numId w:val="1"/>
        </w:numPr>
        <w:rPr/>
      </w:pPr>
      <w:bookmarkStart w:id="824" w:name="__RefHeading___Toc4284627_73709187"/>
      <w:bookmarkStart w:id="825" w:name="_Toc297"/>
      <w:bookmarkEnd w:id="824"/>
      <w:r>
        <w:rPr>
          <w:rtl w:val="true"/>
        </w:rPr>
        <w:t>المحنة و الاضطهاد المتواصل</w:t>
      </w:r>
      <w:bookmarkEnd w:id="825"/>
    </w:p>
    <w:p>
      <w:pPr>
        <w:pStyle w:val="BookText"/>
        <w:rPr/>
      </w:pPr>
      <w:r>
        <w:rPr>
          <w:rFonts w:ascii="Amiri" w:hAnsi="Amiri" w:eastAsia="Amiri" w:cs="Amiri"/>
          <w:color w:val="111111"/>
          <w:sz w:val="28"/>
          <w:sz w:val="28"/>
          <w:szCs w:val="28"/>
          <w:rtl w:val="true"/>
          <w:lang w:bidi="ar-SA"/>
        </w:rPr>
        <w:t>الشيعة عموماً كانوا يعتقدون عدم استحقاق الحكام العباسيين الذين استندوا إلى وسادة الخلافة، و كانوا يضطهدون الشعوب الإسلامية باسم الدين، و من جملة هؤلاء العلويون، فعمدت السلطة إلى قمعهم و تشريدهم و تعذيبهم، و نشير فيما يلي إلى بعض محنهم و معاناتهم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أيّام المتوكل العباسي اشتد الضغط على أتباع أهل البيت عليهم السّلام، فهاجر جمع غفير منهم إلى أقاصي البلاد كبلاد خراسان و بلاد الأكراد، و ذلك عام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حيث أمر باستحضار أئمّة أهل البيت عليهم السّلام إلى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القرون التالية، هجم الجيش العباسي بمعاونة جماعة من المتعصبين من حي الرصافة ببغداد على حيٍّ آخر يسمى الكرخ، فنهبوا الدور، و أحرقوا المكتبات و المحلات التجارية و البيوت</w:t>
      </w:r>
      <w:r>
        <w:rPr>
          <w:rStyle w:val="FootnoteAnchor"/>
          <w:rtl w:val="true"/>
        </w:rPr>
        <w:footnoteReference w:id="592"/>
      </w:r>
      <w:r>
        <w:rPr>
          <w:rFonts w:ascii="Amiri" w:hAnsi="Amiri" w:eastAsia="Amiri" w:cs="Amiri"/>
          <w:color w:val="111111"/>
          <w:sz w:val="28"/>
          <w:sz w:val="28"/>
          <w:szCs w:val="28"/>
          <w:rtl w:val="true"/>
          <w:lang w:bidi="ar-SA"/>
        </w:rPr>
        <w:t>حيث أمر الخليفة المنتصر بقتل الشيعة و العلويين في بغداد و راح ضحيتها أربعون ألفاً</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أيام السلطان المملوكي محمد بن قلاون في عام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أمر بتسيير حملة عسكرية عظيمة إلىٰ جبال كسروان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جونيه حالياً بقرب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لبنان لإبادة الطوائف الشيعية هناك، و من جملة من فتك بهم العرب العلويون الذين كانوا في شمال لبنان، و لا سيما في القنيطرة و العاقورة و نواحي البترون وعكا ثمّ امتدوا إلى كسروان، و الذين تخلّصوا من الموت رحلوا إلى الشمال، أي جهات </w:t>
      </w:r>
    </w:p>
    <w:p>
      <w:pPr>
        <w:pStyle w:val="BookText"/>
        <w:rPr/>
      </w:pPr>
      <w:r>
        <w:rPr>
          <w:rFonts w:ascii="Amiri" w:hAnsi="Amiri" w:eastAsia="Amiri" w:cs="Amiri"/>
          <w:color w:val="111111"/>
          <w:sz w:val="28"/>
          <w:sz w:val="28"/>
          <w:szCs w:val="28"/>
          <w:rtl w:val="true"/>
          <w:lang w:bidi="ar-SA"/>
        </w:rPr>
        <w:t>اللاذقية و انطاكية</w:t>
      </w:r>
      <w:r>
        <w:rPr>
          <w:rFonts w:eastAsia="Amiri" w:cs="Amiri" w:ascii="Amiri" w:hAnsi="Amiri"/>
          <w:color w:val="111111"/>
          <w:sz w:val="28"/>
          <w:szCs w:val="28"/>
          <w:rtl w:val="true"/>
          <w:lang w:bidi="ar-SA"/>
        </w:rPr>
        <w:t>.</w:t>
      </w:r>
      <w:r>
        <w:rPr>
          <w:rStyle w:val="FootnoteAnchor"/>
          <w:rtl w:val="true"/>
        </w:rPr>
        <w:footnoteReference w:id="59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أيام السلطان سليم العثماني صدرت فتوىٰ بطلب السلطان، اشتهرت بالفتوى الحامدية، فقتل علىٰ إثرها عدد كثير من الشيعة في حلب و جبال العلويين</w:t>
      </w:r>
      <w:r>
        <w:rPr>
          <w:rStyle w:val="FootnoteAnchor"/>
          <w:rtl w:val="true"/>
        </w:rPr>
        <w:footnoteReference w:id="594"/>
      </w:r>
      <w:r>
        <w:rPr>
          <w:rFonts w:ascii="Amiri" w:hAnsi="Amiri" w:eastAsia="Amiri" w:cs="Amiri"/>
          <w:color w:val="111111"/>
          <w:sz w:val="28"/>
          <w:sz w:val="28"/>
          <w:szCs w:val="28"/>
          <w:rtl w:val="true"/>
          <w:lang w:bidi="ar-SA"/>
        </w:rPr>
        <w:t xml:space="preserve">هذا بالإضافة إلى تعذيبهم، و كان ذلك بعد انتصار الأتراك على المماليك عام </w:t>
      </w:r>
      <w:r>
        <w:rPr>
          <w:rFonts w:eastAsia="Amiri" w:cs="Amiri" w:ascii="Amiri" w:hAnsi="Amiri"/>
          <w:color w:val="111111"/>
          <w:sz w:val="28"/>
          <w:szCs w:val="28"/>
          <w:lang w:bidi="ar-SA"/>
        </w:rPr>
        <w:t>1516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في معركة مرج دابق، فزجّ السلطان بنصف مليون من الشعب التركي لمواجهة العلويين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حوالي نهاية القرن الثامن عشر و على أثر مقتل طبيب انكليزي استحضر سليمان باشا و تسلّم ولاية طرابلس فقتل من قتل من العلويين</w:t>
      </w:r>
      <w:r>
        <w:rPr>
          <w:rFonts w:eastAsia="Amiri" w:cs="Amiri" w:ascii="Amiri" w:hAnsi="Amiri"/>
          <w:color w:val="111111"/>
          <w:sz w:val="28"/>
          <w:szCs w:val="28"/>
          <w:rtl w:val="true"/>
          <w:lang w:bidi="ar-SA"/>
        </w:rPr>
        <w:t>.</w:t>
      </w:r>
      <w:r>
        <w:rPr>
          <w:rStyle w:val="FootnoteAnchor"/>
          <w:rtl w:val="true"/>
        </w:rPr>
        <w:footnoteReference w:id="595"/>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أيام ثورة الشيخ صالح العلي، في شهر ايار عام </w:t>
      </w:r>
      <w:r>
        <w:rPr>
          <w:rFonts w:eastAsia="Amiri" w:cs="Amiri" w:ascii="Amiri" w:hAnsi="Amiri"/>
          <w:color w:val="111111"/>
          <w:sz w:val="28"/>
          <w:szCs w:val="28"/>
          <w:lang w:bidi="ar-SA"/>
        </w:rPr>
        <w:t>1921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قام الفرنسيون بحرب دون هوادة ضد الشعب العلوي و قتلوا جمعاً غفيراً منهم، و انتهت المعارك بانتصار الفرنسيين، و قيام الحكم الانتدابي في البلاد</w:t>
      </w:r>
      <w:r>
        <w:rPr>
          <w:rFonts w:eastAsia="Amiri" w:cs="Amiri" w:ascii="Amiri" w:hAnsi="Amiri"/>
          <w:color w:val="111111"/>
          <w:sz w:val="28"/>
          <w:szCs w:val="28"/>
          <w:rtl w:val="true"/>
          <w:lang w:bidi="ar-SA"/>
        </w:rPr>
        <w:t>.</w:t>
      </w:r>
      <w:r>
        <w:rPr>
          <w:rStyle w:val="FootnoteAnchor"/>
          <w:rtl w:val="true"/>
        </w:rPr>
        <w:footnoteReference w:id="596"/>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مع غض النظر عن المعارك الدامية بينهم و بين الفرنج الصليبيين و القراصنة الذين كانوا يهاجمون الساحل الشامي و حدود الأراضي الإسلامية منذ القرن الثاني إلىٰ أواخر أيام العثمانيين فيأخذون ضحايا من العلويين</w:t>
      </w:r>
      <w:r>
        <w:rPr>
          <w:rFonts w:eastAsia="Amiri" w:cs="Amiri" w:ascii="Amiri" w:hAnsi="Amiri"/>
          <w:color w:val="111111"/>
          <w:sz w:val="28"/>
          <w:szCs w:val="28"/>
          <w:rtl w:val="true"/>
          <w:lang w:bidi="ar-SA"/>
        </w:rPr>
        <w:t>.</w:t>
      </w:r>
      <w:r>
        <w:rPr>
          <w:rStyle w:val="FootnoteAnchor"/>
          <w:rtl w:val="true"/>
        </w:rPr>
        <w:footnoteReference w:id="597"/>
      </w:r>
      <w:r>
        <w:rPr>
          <w:rFonts w:ascii="Amiri" w:hAnsi="Amiri" w:eastAsia="Amiri" w:cs="Amiri"/>
          <w:color w:val="111111"/>
          <w:sz w:val="28"/>
          <w:sz w:val="28"/>
          <w:szCs w:val="28"/>
          <w:rtl w:val="true"/>
          <w:lang w:bidi="ar-SA"/>
        </w:rPr>
        <w:t>و إضافة إلىٰ المعارك الداخلية و الحروب الأهلية الطائفية التي كانت تتأجّج نيرانها بدسائس أصحاب السلطة أو المستعمرين و الصليبيين؛ كما نشاهد في حروب العلويين و الإسماعيلية، و الحروب القبلية بين العشائر العلوية</w:t>
      </w:r>
      <w:r>
        <w:rPr>
          <w:rFonts w:eastAsia="Amiri" w:cs="Amiri" w:ascii="Amiri" w:hAnsi="Amiri"/>
          <w:color w:val="111111"/>
          <w:sz w:val="28"/>
          <w:szCs w:val="28"/>
          <w:rtl w:val="true"/>
          <w:lang w:bidi="ar-SA"/>
        </w:rPr>
        <w:t>.</w:t>
      </w:r>
      <w:r>
        <w:rPr>
          <w:rStyle w:val="FootnoteAnchor"/>
          <w:rtl w:val="true"/>
        </w:rPr>
        <w:footnoteReference w:id="598"/>
      </w:r>
      <w:bookmarkStart w:id="826" w:name="pg11557_101582"/>
    </w:p>
    <w:p>
      <w:pPr>
        <w:pStyle w:val="Heading3"/>
        <w:numPr>
          <w:ilvl w:val="2"/>
          <w:numId w:val="1"/>
        </w:numPr>
        <w:rPr/>
      </w:pPr>
      <w:bookmarkStart w:id="827" w:name="__RefHeading___Toc4284629_73709187"/>
      <w:bookmarkStart w:id="828" w:name="_Toc298"/>
      <w:bookmarkEnd w:id="826"/>
      <w:bookmarkEnd w:id="827"/>
      <w:r>
        <w:rPr>
          <w:rtl w:val="true"/>
        </w:rPr>
        <w:t>الخلط بين العلويين و الإسماعيليين و القرامطة</w:t>
      </w:r>
      <w:bookmarkEnd w:id="828"/>
    </w:p>
    <w:p>
      <w:pPr>
        <w:pStyle w:val="BookText"/>
        <w:rPr/>
      </w:pPr>
      <w:r>
        <w:rPr>
          <w:rFonts w:ascii="Amiri" w:hAnsi="Amiri" w:eastAsia="Amiri" w:cs="Amiri"/>
          <w:color w:val="111111"/>
          <w:sz w:val="28"/>
          <w:sz w:val="28"/>
          <w:szCs w:val="28"/>
          <w:rtl w:val="true"/>
          <w:lang w:bidi="ar-SA"/>
        </w:rPr>
        <w:t>هذا الاشتباه و الخلط حصل لكثير من الباحثين منهم ابن تيمية في فتواه المشهورة حيث رمى الجميع بنبل واحد</w:t>
      </w:r>
      <w:r>
        <w:rPr>
          <w:rStyle w:val="FootnoteAnchor"/>
          <w:rtl w:val="true"/>
        </w:rPr>
        <w:footnoteReference w:id="599"/>
      </w:r>
      <w:r>
        <w:rPr>
          <w:rFonts w:ascii="Amiri" w:hAnsi="Amiri" w:eastAsia="Amiri" w:cs="Amiri"/>
          <w:color w:val="111111"/>
          <w:sz w:val="28"/>
          <w:sz w:val="28"/>
          <w:szCs w:val="28"/>
          <w:rtl w:val="true"/>
          <w:lang w:bidi="ar-SA"/>
        </w:rPr>
        <w:t>مدّعياً أنّ الملاحدة الإسماعيلية و القرامطة و الباطنية و الخرمية و المحمدة أسماء لطائفة واحدة</w:t>
      </w:r>
      <w:r>
        <w:rPr>
          <w:rFonts w:eastAsia="Amiri" w:cs="Amiri" w:ascii="Amiri" w:hAnsi="Amiri"/>
          <w:color w:val="111111"/>
          <w:sz w:val="28"/>
          <w:szCs w:val="28"/>
          <w:rtl w:val="true"/>
          <w:lang w:bidi="ar-SA"/>
        </w:rPr>
        <w:t>.</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على الرغم من أنّ الخلافات العقائدية و المناوشات العسكرية لم تترك مجالاً للخلط و الاشتباه، فنذكر فيما يلي الحروب الطاحنة التي قامت بين العلويين و الإسماعيلية علىٰ سبيل الإيجاز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أيام حسن الصباح سكنت قوى الإسماعيليين جبل القصيرة و استأجرت قلعة القدموس حتى استولوا على قلاع العلويين في مصياف و العليقة و الخوابي و أبو قبيس و صهيون، و في عام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استولوا على قلعة بانياس، و لما هجم عليهم المسلمون من كلّ ناحية عند ما رأوا عدم مساعدتهم، حالف الإسماعيليون الصليبيين و سلّموهم قلعة بانياس عام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تداوم العداء بعد ذلك بين العلويين و الإسماعيليين حتى سنة </w:t>
      </w: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حيث هجم عليهم العلويون و استولوا على قلاعهم و لكن سرعان ما أنجدت الحكومة العثمانية الإسماعيليين و أعادت لهم مواقعهم</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خلال سنة </w:t>
      </w: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جاءت عشيرة بني رسلان و استولت على قلعة مصياف، و قتلت جميع الذكور الكبار، و سكنت مدّة ثمان سنين، و هذه العشيرة من العشائر العلوية</w:t>
      </w:r>
      <w:r>
        <w:rPr>
          <w:rFonts w:eastAsia="Amiri" w:cs="Amiri" w:ascii="Amiri" w:hAnsi="Amiri"/>
          <w:color w:val="111111"/>
          <w:sz w:val="28"/>
          <w:szCs w:val="28"/>
          <w:rtl w:val="true"/>
          <w:lang w:bidi="ar-SA"/>
        </w:rPr>
        <w:t xml:space="preserve">. </w:t>
      </w:r>
      <w:bookmarkStart w:id="829" w:name="pg11557_101583"/>
    </w:p>
    <w:p>
      <w:pPr>
        <w:pStyle w:val="BookText"/>
        <w:rPr/>
      </w:pPr>
      <w:bookmarkEnd w:id="829"/>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هاجمت بعض القوات العثمانية القلاع لنجدة الإسماعيليين و قذفوهم بالمدافع و سلموا القلعة للإسماعيليين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تكررت هذه المناوشات حتى لم يبق للإسماعيليين سوى القدموس</w:t>
      </w:r>
      <w:r>
        <w:rPr>
          <w:rFonts w:eastAsia="Amiri" w:cs="Amiri" w:ascii="Amiri" w:hAnsi="Amiri"/>
          <w:color w:val="111111"/>
          <w:sz w:val="28"/>
          <w:szCs w:val="28"/>
          <w:rtl w:val="true"/>
          <w:lang w:bidi="ar-SA"/>
        </w:rPr>
        <w:t>.</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و ممن شهد بذلك من المحقّقين، الدكتور عارف تامر في كتابيه القرامطة، و معجم الفرق الإسلامية</w:t>
      </w:r>
      <w:r>
        <w:rPr>
          <w:rFonts w:eastAsia="Amiri" w:cs="Amiri" w:ascii="Amiri" w:hAnsi="Amiri"/>
          <w:color w:val="111111"/>
          <w:sz w:val="28"/>
          <w:szCs w:val="28"/>
          <w:rtl w:val="true"/>
          <w:lang w:bidi="ar-SA"/>
        </w:rPr>
        <w:t>.</w:t>
      </w:r>
      <w:r>
        <w:rPr>
          <w:rStyle w:val="FootnoteAnchor"/>
          <w:rtl w:val="true"/>
        </w:rPr>
        <w:footnoteReference w:id="602"/>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كانت هناك محاولات للتقريب بين عقائد الإسماعيلية و العلويين باءت بالفشل بمساعي مشايخ العلويين العلماء على رأسهم حاتم الطوياني سنة </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603"/>
      </w:r>
    </w:p>
    <w:p>
      <w:pPr>
        <w:pStyle w:val="Heading3"/>
        <w:numPr>
          <w:ilvl w:val="2"/>
          <w:numId w:val="1"/>
        </w:numPr>
        <w:rPr/>
      </w:pPr>
      <w:bookmarkStart w:id="830" w:name="__RefHeading___Toc4284631_73709187"/>
      <w:bookmarkStart w:id="831" w:name="_Toc299"/>
      <w:bookmarkEnd w:id="830"/>
      <w:r>
        <w:rPr>
          <w:rtl w:val="true"/>
        </w:rPr>
        <w:t>أهمّ العشائر العلوية</w:t>
      </w:r>
      <w:bookmarkEnd w:id="831"/>
    </w:p>
    <w:p>
      <w:pPr>
        <w:pStyle w:val="BookText"/>
        <w:rPr/>
      </w:pPr>
      <w:r>
        <w:rPr>
          <w:rFonts w:ascii="Amiri" w:hAnsi="Amiri" w:eastAsia="Amiri" w:cs="Amiri"/>
          <w:color w:val="111111"/>
          <w:sz w:val="28"/>
          <w:sz w:val="28"/>
          <w:szCs w:val="28"/>
          <w:rtl w:val="true"/>
          <w:lang w:bidi="ar-SA"/>
        </w:rPr>
        <w:t>العشائر العلوية الرئيسة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الحداديون و النميلانيون و الرشاونة و الخياطيون، و تقسم كلّ واحدة من هذه العشائر إلى أفخاذ و بطون، و ترجع الثلاث الأُولى منها إلى عشيرة المحارزة البشازعة التي هي أقدم العشائر جميعاً</w:t>
      </w:r>
      <w:r>
        <w:rPr>
          <w:rFonts w:eastAsia="Amiri" w:cs="Amiri" w:ascii="Amiri" w:hAnsi="Amiri"/>
          <w:color w:val="111111"/>
          <w:sz w:val="28"/>
          <w:szCs w:val="28"/>
          <w:rtl w:val="true"/>
          <w:lang w:bidi="ar-SA"/>
        </w:rPr>
        <w:t>.</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و من عشائرهم نواصرة و قراحلة و رشاونة و رسالنة، جروية باشوطية و مقاورة، و مهالبة</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فهم يرجعون في نسبهم إلى فرعين رئيسيين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فرع القبائل اليمنية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 القحطانيين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همدان و كندة</w:t>
      </w:r>
      <w:r>
        <w:rPr>
          <w:rFonts w:eastAsia="Amiri" w:cs="Amiri" w:ascii="Amiri" w:hAnsi="Amiri"/>
          <w:color w:val="111111"/>
          <w:sz w:val="28"/>
          <w:szCs w:val="28"/>
          <w:rtl w:val="true"/>
          <w:lang w:bidi="ar-SA"/>
        </w:rPr>
        <w:t>.</w:t>
      </w:r>
      <w:r>
        <w:rPr>
          <w:rStyle w:val="FootnoteAnchor"/>
          <w:rtl w:val="true"/>
        </w:rPr>
        <w:footnoteReference w:id="60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فرع القبائل الشاميّة و العراقية من غسّان و بهرا و تنوخ</w:t>
      </w:r>
      <w:r>
        <w:rPr>
          <w:rFonts w:eastAsia="Amiri" w:cs="Amiri" w:ascii="Amiri" w:hAnsi="Amiri"/>
          <w:color w:val="111111"/>
          <w:sz w:val="28"/>
          <w:szCs w:val="28"/>
          <w:rtl w:val="true"/>
          <w:lang w:bidi="ar-SA"/>
        </w:rPr>
        <w:t>.</w:t>
      </w:r>
      <w:r>
        <w:rPr>
          <w:rStyle w:val="FootnoteAnchor"/>
          <w:rtl w:val="true"/>
        </w:rPr>
        <w:footnoteReference w:id="606"/>
      </w:r>
    </w:p>
    <w:p>
      <w:pPr>
        <w:pStyle w:val="BookText"/>
        <w:rPr/>
      </w:pPr>
      <w:r>
        <w:rPr>
          <w:rFonts w:ascii="Amiri" w:hAnsi="Amiri" w:eastAsia="Amiri" w:cs="Amiri"/>
          <w:color w:val="111111"/>
          <w:sz w:val="28"/>
          <w:sz w:val="28"/>
          <w:szCs w:val="28"/>
          <w:rtl w:val="true"/>
          <w:lang w:bidi="ar-SA"/>
        </w:rPr>
        <w:t>الذين اعتنقوا المذهب الشيعي في وقت مبكر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قبائلهم كالمحارزة يدّعون أنّهم هاشميون، و بعضهم ازداد عددهم بهجرة قبائل 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القرن الثالث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غسّان الذين دفعتهم الحروب الصليبية و معهم الأمير حسن بن المكزون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جبل سنجار في العراق إلىٰ منطقة الشام في المنطقة الممتدة من طبرية و جبل عامل حتى حلب</w:t>
      </w:r>
      <w:r>
        <w:rPr>
          <w:rFonts w:eastAsia="Amiri" w:cs="Amiri" w:ascii="Amiri" w:hAnsi="Amiri"/>
          <w:color w:val="111111"/>
          <w:sz w:val="28"/>
          <w:szCs w:val="28"/>
          <w:rtl w:val="true"/>
          <w:lang w:bidi="ar-SA"/>
        </w:rPr>
        <w:t>.</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العشائر العلوية كانوا يسكنون بادية الشام أوّلاً ثمّ نزحوا إلى ديار ربيعة في الجزيرة الفراتية، و في العهد العثماني تركوا بلادهم و سكنوا بيلان، اضنه و انطاكية و قسم منهم سكنوا منطقة الكلبية بقرب اللاذقية في سوريا و قسم آخر منهم في جبال البهرة مع الإسماعيليين، و تسمى جبال لكام، و قسم آخر منهم في جند الأردن و طبريا بالقدس المحتلة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معظم العلويين يحتشدون في سلسلة الجبال الممتدة من عكار</w:t>
      </w:r>
      <w:r>
        <w:rPr>
          <w:rStyle w:val="FootnoteAnchor"/>
          <w:rtl w:val="true"/>
        </w:rPr>
        <w:footnoteReference w:id="608"/>
      </w:r>
      <w:r>
        <w:rPr>
          <w:rFonts w:ascii="Amiri" w:hAnsi="Amiri" w:eastAsia="Amiri" w:cs="Amiri"/>
          <w:color w:val="111111"/>
          <w:sz w:val="28"/>
          <w:sz w:val="28"/>
          <w:szCs w:val="28"/>
          <w:rtl w:val="true"/>
          <w:lang w:bidi="ar-SA"/>
        </w:rPr>
        <w:t>جنوباً إلى طوروس شمالاً، و يتوزع بعضهم في محافظات حمص، حماة و دمشق و حوران كيليكية و لواء الاسكندرون في سوريا، و يوجد في المهاجر الأمريكية أكثر من ربع مليون علوي فضلاً عن الموجود منهم في لبنان و العراق و فلسطين و إيران</w:t>
      </w:r>
      <w:r>
        <w:rPr>
          <w:rFonts w:eastAsia="Amiri" w:cs="Amiri" w:ascii="Amiri" w:hAnsi="Amiri"/>
          <w:color w:val="111111"/>
          <w:sz w:val="28"/>
          <w:szCs w:val="28"/>
          <w:rtl w:val="true"/>
          <w:lang w:bidi="ar-SA"/>
        </w:rPr>
        <w:t>.</w:t>
      </w:r>
      <w:r>
        <w:rPr>
          <w:rStyle w:val="FootnoteAnchor"/>
          <w:rtl w:val="true"/>
        </w:rPr>
        <w:footnoteReference w:id="609"/>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في أُوربا من تركيا و اليونان و بلغاريا إلى آلبانيا السفلى</w:t>
      </w:r>
      <w:r>
        <w:rPr>
          <w:rFonts w:eastAsia="Amiri" w:cs="Amiri" w:ascii="Amiri" w:hAnsi="Amiri"/>
          <w:color w:val="111111"/>
          <w:sz w:val="28"/>
          <w:szCs w:val="28"/>
          <w:rtl w:val="true"/>
          <w:lang w:bidi="ar-SA"/>
        </w:rPr>
        <w:t>.</w:t>
      </w:r>
      <w:r>
        <w:rPr>
          <w:rStyle w:val="FootnoteAnchor"/>
          <w:rtl w:val="true"/>
        </w:rPr>
        <w:footnoteReference w:id="610"/>
      </w:r>
      <w:bookmarkStart w:id="832" w:name="pg11557_101585"/>
    </w:p>
    <w:p>
      <w:pPr>
        <w:pStyle w:val="Heading3"/>
        <w:numPr>
          <w:ilvl w:val="2"/>
          <w:numId w:val="1"/>
        </w:numPr>
        <w:rPr/>
      </w:pPr>
      <w:bookmarkStart w:id="833" w:name="__RefHeading___Toc4284633_73709187"/>
      <w:bookmarkStart w:id="834" w:name="_Toc300"/>
      <w:bookmarkEnd w:id="832"/>
      <w:bookmarkEnd w:id="833"/>
      <w:r>
        <w:rPr>
          <w:rtl w:val="true"/>
        </w:rPr>
        <w:t>أعلام العلويين</w:t>
      </w:r>
      <w:bookmarkEnd w:id="834"/>
    </w:p>
    <w:p>
      <w:pPr>
        <w:pStyle w:val="Heading4"/>
        <w:numPr>
          <w:ilvl w:val="3"/>
          <w:numId w:val="1"/>
        </w:numPr>
        <w:rPr/>
      </w:pPr>
      <w:bookmarkStart w:id="835" w:name="__RefHeading___Toc4284635_73709187"/>
      <w:bookmarkStart w:id="836" w:name="_Toc301"/>
      <w:bookmarkEnd w:id="835"/>
      <w:r>
        <w:rPr/>
        <w:t>1</w:t>
      </w:r>
      <w:r>
        <w:rPr>
          <w:rtl w:val="true"/>
        </w:rPr>
        <w:t xml:space="preserve"> - </w:t>
      </w:r>
      <w:r>
        <w:rPr>
          <w:rtl w:val="true"/>
        </w:rPr>
        <w:t xml:space="preserve">إسحاق الأحمر </w:t>
      </w:r>
      <w:r>
        <w:rPr>
          <w:rtl w:val="true"/>
        </w:rPr>
        <w:t xml:space="preserve">(... - </w:t>
      </w:r>
      <w:r>
        <w:rPr/>
        <w:t>286</w:t>
      </w:r>
      <w:r>
        <w:rPr>
          <w:rtl w:val="true"/>
        </w:rPr>
        <w:t xml:space="preserve"> </w:t>
      </w:r>
      <w:r>
        <w:rPr>
          <w:rtl w:val="true"/>
        </w:rPr>
        <w:t>ه</w:t>
      </w:r>
      <w:r>
        <w:rPr>
          <w:rtl w:val="true"/>
        </w:rPr>
        <w:t>)</w:t>
      </w:r>
      <w:bookmarkEnd w:id="836"/>
    </w:p>
    <w:p>
      <w:pPr>
        <w:pStyle w:val="BookText"/>
        <w:rPr/>
      </w:pPr>
      <w:r>
        <w:rPr>
          <w:rFonts w:ascii="Amiri" w:hAnsi="Amiri" w:eastAsia="Amiri" w:cs="Amiri"/>
          <w:color w:val="111111"/>
          <w:sz w:val="28"/>
          <w:sz w:val="28"/>
          <w:szCs w:val="28"/>
          <w:rtl w:val="true"/>
          <w:lang w:bidi="ar-SA"/>
        </w:rPr>
        <w:t>إسحاق بن محمد بن أحمد بن أبان النخعي، أبو يعقوب، الملقب بالأحمر، من أهل الكوفة، رئيس الطائفة الإسحاقية، و إليه نسبتهم و كانوا بالمدائن علىٰ نحلة النصيرية، و كان إسحاق يطلي بصره بما يغيره فسمي الأحمر،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لبرص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الذهبي في رجال الحديث و طعن به و بالغ في ذمه، عمل كتاباً في التوحيد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w:t>
      </w:r>
      <w:r>
        <w:rPr>
          <w:rFonts w:eastAsia="Amiri" w:cs="Amiri" w:ascii="Amiri" w:hAnsi="Amiri"/>
          <w:color w:val="111111"/>
          <w:sz w:val="28"/>
          <w:szCs w:val="28"/>
          <w:rtl w:val="true"/>
          <w:lang w:bidi="ar-SA"/>
        </w:rPr>
        <w:t>».</w:t>
      </w:r>
      <w:r>
        <w:rPr>
          <w:rStyle w:val="FootnoteAnchor"/>
          <w:rtl w:val="true"/>
        </w:rPr>
        <w:footnoteReference w:id="611"/>
      </w:r>
    </w:p>
    <w:p>
      <w:pPr>
        <w:pStyle w:val="Heading4"/>
        <w:numPr>
          <w:ilvl w:val="3"/>
          <w:numId w:val="1"/>
        </w:numPr>
        <w:rPr/>
      </w:pPr>
      <w:bookmarkStart w:id="837" w:name="__RefHeading___Toc4284637_73709187"/>
      <w:bookmarkStart w:id="838" w:name="_Toc302"/>
      <w:bookmarkEnd w:id="837"/>
      <w:r>
        <w:rPr/>
        <w:t>2</w:t>
      </w:r>
      <w:r>
        <w:rPr>
          <w:rtl w:val="true"/>
        </w:rPr>
        <w:t xml:space="preserve"> - </w:t>
      </w:r>
      <w:r>
        <w:rPr>
          <w:rtl w:val="true"/>
        </w:rPr>
        <w:t xml:space="preserve">المنتجب العاني </w:t>
      </w:r>
      <w:r>
        <w:rPr>
          <w:rtl w:val="true"/>
        </w:rPr>
        <w:t>(</w:t>
      </w:r>
      <w:r>
        <w:rPr/>
        <w:t>330</w:t>
      </w:r>
      <w:r>
        <w:rPr>
          <w:rtl w:val="true"/>
        </w:rPr>
        <w:t>-</w:t>
      </w:r>
      <w:r>
        <w:rPr/>
        <w:t>400</w:t>
      </w:r>
      <w:r>
        <w:rPr>
          <w:rtl w:val="true"/>
        </w:rPr>
        <w:t xml:space="preserve"> </w:t>
      </w:r>
      <w:r>
        <w:rPr>
          <w:rtl w:val="true"/>
        </w:rPr>
        <w:t>ه</w:t>
      </w:r>
      <w:r>
        <w:rPr>
          <w:rtl w:val="true"/>
        </w:rPr>
        <w:t>)</w:t>
      </w:r>
      <w:bookmarkEnd w:id="838"/>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الحسن العاني الخديجي المضري، أبو الفضل، المنتجب، ولد في عانة عام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إليها نسبته، و نشأ فيها و في بغداد حيث استقر مدّة، ثمّ انتقل إلىٰ حلب و سكنها ثمّ غادرها إلى جبال اللاذقية و اتصل بحسين بن حمدان الخصيبي و تلقى عنه العقيدة و الطريقة و أصبح من دعاتها، و له ديوان شعر كان شاعراً وجدانياً غزير المعاني باطنياً</w:t>
      </w:r>
      <w:r>
        <w:rPr>
          <w:rFonts w:eastAsia="Amiri" w:cs="Amiri" w:ascii="Amiri" w:hAnsi="Amiri"/>
          <w:color w:val="111111"/>
          <w:sz w:val="28"/>
          <w:szCs w:val="28"/>
          <w:rtl w:val="true"/>
          <w:lang w:bidi="ar-SA"/>
        </w:rPr>
        <w:t>.</w:t>
      </w:r>
      <w:r>
        <w:rPr>
          <w:rStyle w:val="FootnoteAnchor"/>
          <w:rtl w:val="true"/>
        </w:rPr>
        <w:footnoteReference w:id="612"/>
      </w:r>
      <w:bookmarkStart w:id="839" w:name="pg11557_101586"/>
    </w:p>
    <w:p>
      <w:pPr>
        <w:pStyle w:val="Heading4"/>
        <w:numPr>
          <w:ilvl w:val="3"/>
          <w:numId w:val="1"/>
        </w:numPr>
        <w:rPr/>
      </w:pPr>
      <w:bookmarkStart w:id="840" w:name="__RefHeading___Toc4284639_73709187"/>
      <w:bookmarkStart w:id="841" w:name="_Toc303"/>
      <w:bookmarkEnd w:id="839"/>
      <w:bookmarkEnd w:id="840"/>
      <w:r>
        <w:rPr/>
        <w:t>3</w:t>
      </w:r>
      <w:r>
        <w:rPr>
          <w:rtl w:val="true"/>
        </w:rPr>
        <w:t xml:space="preserve"> - </w:t>
      </w:r>
      <w:r>
        <w:rPr>
          <w:rtl w:val="true"/>
        </w:rPr>
        <w:t xml:space="preserve">الحسين بن حمدان الخصيبي </w:t>
      </w:r>
      <w:r>
        <w:rPr>
          <w:rtl w:val="true"/>
        </w:rPr>
        <w:t>(</w:t>
      </w:r>
      <w:r>
        <w:rPr/>
        <w:t>260</w:t>
      </w:r>
      <w:r>
        <w:rPr>
          <w:rtl w:val="true"/>
        </w:rPr>
        <w:t>-</w:t>
      </w:r>
      <w:r>
        <w:rPr/>
        <w:t>358</w:t>
      </w:r>
      <w:r>
        <w:rPr>
          <w:rtl w:val="true"/>
        </w:rPr>
        <w:t xml:space="preserve"> </w:t>
      </w:r>
      <w:r>
        <w:rPr>
          <w:rtl w:val="true"/>
        </w:rPr>
        <w:t>ه</w:t>
      </w:r>
      <w:r>
        <w:rPr>
          <w:rtl w:val="true"/>
        </w:rPr>
        <w:t>)</w:t>
      </w:r>
      <w:bookmarkEnd w:id="841"/>
    </w:p>
    <w:p>
      <w:pPr>
        <w:pStyle w:val="BookText"/>
        <w:rPr/>
      </w:pPr>
      <w:r>
        <w:rPr>
          <w:rFonts w:ascii="Amiri" w:hAnsi="Amiri" w:eastAsia="Amiri" w:cs="Amiri"/>
          <w:color w:val="111111"/>
          <w:sz w:val="28"/>
          <w:sz w:val="28"/>
          <w:szCs w:val="28"/>
          <w:rtl w:val="true"/>
          <w:lang w:bidi="ar-SA"/>
        </w:rPr>
        <w:t>و من أعظم رجالات العلويين و علمائهم الحسين بن حمدان الخصيبي الجنبلائي</w:t>
      </w:r>
      <w:r>
        <w:rPr>
          <w:rStyle w:val="FootnoteAnchor"/>
          <w:rtl w:val="true"/>
        </w:rPr>
        <w:footnoteReference w:id="613"/>
      </w:r>
      <w:r>
        <w:rPr>
          <w:rFonts w:ascii="Amiri" w:hAnsi="Amiri" w:eastAsia="Amiri" w:cs="Amiri"/>
          <w:color w:val="111111"/>
          <w:sz w:val="28"/>
          <w:sz w:val="28"/>
          <w:szCs w:val="28"/>
          <w:rtl w:val="true"/>
          <w:lang w:bidi="ar-SA"/>
        </w:rPr>
        <w:t xml:space="preserve">و كنيته أبو عبد اللّٰه، ولد في جنبلا سنة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قرأ القرآن و هو ابن سبع سنين، و حفظه و هو ابن عشر، و حج و هو ابن عشرين، و أتى حلب سنة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توفي فيها عام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قبره يعرف بالشيخ يبرق</w:t>
      </w:r>
      <w:r>
        <w:rPr>
          <w:rFonts w:eastAsia="Amiri" w:cs="Amiri" w:ascii="Amiri" w:hAnsi="Amiri"/>
          <w:color w:val="111111"/>
          <w:sz w:val="28"/>
          <w:szCs w:val="28"/>
          <w:rtl w:val="true"/>
          <w:lang w:bidi="ar-SA"/>
        </w:rPr>
        <w:t>.</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و شهد وفاته بعض تلامذته و مريديه،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القيس البديعي، و أبو محمد الحسن بن محمد الاعزازي، و أبو الحسن محمد بن علي الجلي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أقوال المؤرخين المعاصرين عنه كثيرة بين متحامل عليه و حاقد، و بين ملتزم في الصمت،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النجاشي، و ابن الغضائري، و صاحب الخلاصة من المتحاملين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الفهرست لابن النديم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حمدان الخصيبي الجنبلاني يكنّى أبا عبد اللّٰه، روى عنه التلعكبري و سمع منه في داره بالكوفة سنة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له فيه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حمدان بن خصيب الحصيبي أحد المصنفين في فقه الإمامية، روى عنه أبو العباس بن عقدة و أثنى عليه و أطراه و امتدحه، كان يؤم سيف الدولة ابن حمدان في حلب</w:t>
      </w:r>
      <w:r>
        <w:rPr>
          <w:rFonts w:eastAsia="Amiri" w:cs="Amiri" w:ascii="Amiri" w:hAnsi="Amiri"/>
          <w:color w:val="111111"/>
          <w:sz w:val="28"/>
          <w:szCs w:val="28"/>
          <w:rtl w:val="true"/>
          <w:lang w:bidi="ar-SA"/>
        </w:rPr>
        <w:t>.</w:t>
      </w:r>
      <w:r>
        <w:rPr>
          <w:rStyle w:val="FootnoteAnchor"/>
          <w:rtl w:val="true"/>
        </w:rPr>
        <w:footnoteReference w:id="615"/>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أعيان الشيعة للعلاّمة السيد محسن الأمين العاملي ترجمة للخصيبي </w:t>
      </w:r>
    </w:p>
    <w:p>
      <w:pPr>
        <w:pStyle w:val="BookText"/>
        <w:rPr/>
      </w:pPr>
      <w:r>
        <w:rPr>
          <w:rFonts w:ascii="Amiri" w:hAnsi="Amiri" w:eastAsia="Amiri" w:cs="Amiri"/>
          <w:color w:val="111111"/>
          <w:sz w:val="28"/>
          <w:sz w:val="28"/>
          <w:szCs w:val="28"/>
          <w:rtl w:val="true"/>
          <w:lang w:bidi="ar-SA"/>
        </w:rPr>
        <w:t>مفادها امتداحه و الثناء عليه و كلّ ما نسب إليه من معاصريه و غيرهم لا أصل له و لا صحّة و إنّما كان طاهر السريرة و الجيب و صحيح العقيدة</w:t>
      </w:r>
      <w:r>
        <w:rPr>
          <w:rFonts w:eastAsia="Amiri" w:cs="Amiri" w:ascii="Amiri" w:hAnsi="Amiri"/>
          <w:color w:val="111111"/>
          <w:sz w:val="28"/>
          <w:szCs w:val="28"/>
          <w:rtl w:val="true"/>
          <w:lang w:bidi="ar-SA"/>
        </w:rPr>
        <w:t>.</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و من أهم مصنفاته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الهداية الكبرى في تاريخ النبي و الأئمّة و معجزاتهم و قد قدّم كتابه هذا إلى سيف الدولة الحمداني</w:t>
      </w:r>
      <w:r>
        <w:rPr>
          <w:rFonts w:eastAsia="Amiri" w:cs="Amiri" w:ascii="Amiri" w:hAnsi="Amiri"/>
          <w:color w:val="111111"/>
          <w:sz w:val="28"/>
          <w:szCs w:val="28"/>
          <w:rtl w:val="true"/>
          <w:lang w:bidi="ar-SA"/>
        </w:rPr>
        <w:t>.</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 xml:space="preserve">و هذا الكتاب يشتمل على أربعة عشر باباً في مناقب الرسول صلّى اللّٰه عليه و آله و سلّم و أهل بيته، أوّلها باب رسول اللّٰه صلّى اللّٰه عليه و آله و سلّم، و ثانيها باب السيدة الزهراء عليها السّلام، و اثنا عشر باباً لكل إمام منهم باب من علي إلى المهدي عليهم السّلام، غير انّه توسع في باب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عدّ في هذا الكتاب أسماء رسول اللّٰه صلّى اللّٰه عليه و آله و سلّم، و أسماء أمير المؤمنين علي بن أبي طالب عليه السّلام، و أسماء فاطمة الزهراء و الحسن و الحسين و الأئمة التسعة من ذرية الحسين عليهم السّلام في السرياني و العبراني و العربي و جميع اللغات المختلفة بجميع أسمائهم و كناهم و الخاص و العام منهم، و أسماء أُمهاتهم و مواليدهم و أولادهم و دلائلهم و براهينهم في الأوقات، و وفراً من كلامهم و شاهدهم و أبوابهم و الدلالة من كتاب اللّٰه عزّ و جلّ و الأخبار المروية المأثورة بالأسانيد الصحيحة، و فضل شيعتهم</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الإخوان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المسائل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الأئمة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أسماء النبي صلّى اللّٰه عليه و آله و سلّم و أسماء الأئمة</w:t>
      </w:r>
      <w:r>
        <w:rPr>
          <w:rFonts w:eastAsia="Amiri" w:cs="Amiri" w:ascii="Amiri" w:hAnsi="Amiri"/>
          <w:color w:val="111111"/>
          <w:sz w:val="28"/>
          <w:szCs w:val="28"/>
          <w:rtl w:val="true"/>
          <w:lang w:bidi="ar-SA"/>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 xml:space="preserve">. </w:t>
      </w:r>
      <w:bookmarkStart w:id="842" w:name="pg11557_101588"/>
    </w:p>
    <w:p>
      <w:pPr>
        <w:pStyle w:val="Heading4"/>
        <w:numPr>
          <w:ilvl w:val="3"/>
          <w:numId w:val="1"/>
        </w:numPr>
        <w:rPr/>
      </w:pPr>
      <w:bookmarkStart w:id="843" w:name="__RefHeading___Toc4284641_73709187"/>
      <w:bookmarkStart w:id="844" w:name="_Toc304"/>
      <w:bookmarkEnd w:id="842"/>
      <w:bookmarkEnd w:id="843"/>
      <w:r>
        <w:rPr/>
        <w:t>4</w:t>
      </w:r>
      <w:r>
        <w:rPr>
          <w:rtl w:val="true"/>
        </w:rPr>
        <w:t xml:space="preserve"> - </w:t>
      </w:r>
      <w:r>
        <w:rPr>
          <w:rtl w:val="true"/>
        </w:rPr>
        <w:t xml:space="preserve">الميمون الطبراني </w:t>
      </w:r>
      <w:r>
        <w:rPr>
          <w:rtl w:val="true"/>
        </w:rPr>
        <w:t>(</w:t>
      </w:r>
      <w:r>
        <w:rPr/>
        <w:t>358</w:t>
      </w:r>
      <w:r>
        <w:rPr>
          <w:rtl w:val="true"/>
        </w:rPr>
        <w:t>-</w:t>
      </w:r>
      <w:r>
        <w:rPr/>
        <w:t>426</w:t>
      </w:r>
      <w:r>
        <w:rPr>
          <w:rtl w:val="true"/>
        </w:rPr>
        <w:t xml:space="preserve"> </w:t>
      </w:r>
      <w:r>
        <w:rPr>
          <w:rtl w:val="true"/>
        </w:rPr>
        <w:t>ه</w:t>
      </w:r>
      <w:r>
        <w:rPr>
          <w:rtl w:val="true"/>
        </w:rPr>
        <w:t>)</w:t>
      </w:r>
      <w:bookmarkEnd w:id="844"/>
    </w:p>
    <w:p>
      <w:pPr>
        <w:pStyle w:val="BookText"/>
        <w:rPr/>
      </w:pPr>
      <w:r>
        <w:rPr>
          <w:rFonts w:ascii="Amiri" w:hAnsi="Amiri" w:eastAsia="Amiri" w:cs="Amiri"/>
          <w:color w:val="111111"/>
          <w:sz w:val="28"/>
          <w:sz w:val="28"/>
          <w:szCs w:val="28"/>
          <w:rtl w:val="true"/>
          <w:lang w:bidi="ar-SA"/>
        </w:rPr>
        <w:t>سرور بن القاسم الطبراني، أبو سعيد، الملقب بالميمون شيخ العلويين في اللاذقية، و رئيس الطريقة المعروفة عندهم بالجنبلانية، ولد في طبريا و إليها نسبته، و انتقل إلى حلب فتفقه بفقه العلويين أصحاب الخصيبي و الجنبلاني، و صنف كتاباً في مذهبهم، ثمّ رحل إلى اللاذقية و التف حوله من فيها منهم و استمر إلى أن توفي و دفن بها على شاطئ البحر في مسجد الشعراني</w:t>
      </w:r>
      <w:r>
        <w:rPr>
          <w:rFonts w:eastAsia="Amiri" w:cs="Amiri" w:ascii="Amiri" w:hAnsi="Amiri"/>
          <w:color w:val="111111"/>
          <w:sz w:val="28"/>
          <w:szCs w:val="28"/>
          <w:rtl w:val="true"/>
          <w:lang w:bidi="ar-SA"/>
        </w:rPr>
        <w:t>.</w:t>
      </w:r>
      <w:r>
        <w:rPr>
          <w:rStyle w:val="FootnoteAnchor"/>
          <w:rtl w:val="true"/>
        </w:rPr>
        <w:footnoteReference w:id="619"/>
      </w:r>
    </w:p>
    <w:p>
      <w:pPr>
        <w:pStyle w:val="Heading4"/>
        <w:numPr>
          <w:ilvl w:val="3"/>
          <w:numId w:val="1"/>
        </w:numPr>
        <w:rPr/>
      </w:pPr>
      <w:bookmarkStart w:id="845" w:name="__RefHeading___Toc4284643_73709187"/>
      <w:bookmarkStart w:id="846" w:name="_Toc305"/>
      <w:bookmarkEnd w:id="845"/>
      <w:r>
        <w:rPr/>
        <w:t>5</w:t>
      </w:r>
      <w:r>
        <w:rPr>
          <w:rtl w:val="true"/>
        </w:rPr>
        <w:t xml:space="preserve"> - </w:t>
      </w:r>
      <w:r>
        <w:rPr>
          <w:rtl w:val="true"/>
        </w:rPr>
        <w:t xml:space="preserve">الحسن بن مكزون السنجاري </w:t>
      </w:r>
      <w:r>
        <w:rPr>
          <w:rtl w:val="true"/>
        </w:rPr>
        <w:t>(</w:t>
      </w:r>
      <w:r>
        <w:rPr/>
        <w:t>583</w:t>
      </w:r>
      <w:r>
        <w:rPr>
          <w:rtl w:val="true"/>
        </w:rPr>
        <w:t>-</w:t>
      </w:r>
      <w:r>
        <w:rPr/>
        <w:t>638</w:t>
      </w:r>
      <w:r>
        <w:rPr>
          <w:rtl w:val="true"/>
        </w:rPr>
        <w:t xml:space="preserve"> </w:t>
      </w:r>
      <w:r>
        <w:rPr>
          <w:rtl w:val="true"/>
        </w:rPr>
        <w:t>ه</w:t>
      </w:r>
      <w:r>
        <w:rPr>
          <w:rtl w:val="true"/>
        </w:rPr>
        <w:t>)</w:t>
      </w:r>
      <w:bookmarkEnd w:id="846"/>
    </w:p>
    <w:p>
      <w:pPr>
        <w:pStyle w:val="BookText"/>
        <w:rPr/>
      </w:pPr>
      <w:r>
        <w:rPr>
          <w:rFonts w:ascii="Amiri" w:hAnsi="Amiri" w:eastAsia="Amiri" w:cs="Amiri"/>
          <w:color w:val="111111"/>
          <w:sz w:val="28"/>
          <w:sz w:val="28"/>
          <w:szCs w:val="28"/>
          <w:rtl w:val="true"/>
          <w:lang w:bidi="ar-SA"/>
        </w:rPr>
        <w:t xml:space="preserve">هو الأمير حسن بن يوسف مكزون ابن خضر، ينتهي نسبه إلى المهلّب بن أبي صفرة الأزدي ولد عام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سنجار العراق، يعدّه العلويون في سورية من كبار رجالهم، كان مقامه في سنجار أميراً عليها، و استنجد به علويو اللاذقية ليدفع عنهم شرور الإسماعيلية سنة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فزحف إليهم سنة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أزال نفوذهم، ثمّ تصوّف و انصرف إلى العبادة، و مات في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كفرسوسة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بقرب دمشق، و قبره معروف فيها</w:t>
      </w:r>
      <w:r>
        <w:rPr>
          <w:rFonts w:eastAsia="Amiri" w:cs="Amiri" w:ascii="Amiri" w:hAnsi="Amiri"/>
          <w:color w:val="111111"/>
          <w:sz w:val="28"/>
          <w:szCs w:val="28"/>
          <w:rtl w:val="true"/>
          <w:lang w:bidi="ar-SA"/>
        </w:rPr>
        <w:t>.</w:t>
      </w:r>
      <w:r>
        <w:rPr>
          <w:rStyle w:val="FootnoteAnchor"/>
          <w:rtl w:val="true"/>
        </w:rPr>
        <w:footnoteReference w:id="620"/>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ديوان شعر، و كتاب تزكية النفس في العبادات الخمس، و هو صاحب </w:t>
      </w:r>
    </w:p>
    <w:p>
      <w:pPr>
        <w:pStyle w:val="BookText"/>
        <w:rPr/>
      </w:pPr>
      <w:r>
        <w:rPr>
          <w:rFonts w:ascii="Amiri" w:hAnsi="Amiri" w:eastAsia="Amiri" w:cs="Amiri"/>
          <w:color w:val="111111"/>
          <w:sz w:val="28"/>
          <w:sz w:val="28"/>
          <w:szCs w:val="28"/>
          <w:rtl w:val="true"/>
          <w:lang w:bidi="ar-SA"/>
        </w:rPr>
        <w:t>نزعة فلسفية روحية تميل نحو فلسفة محي الدين العربي في تفسير القرآن على رأي المتصوفين، و أنّه يعارض ابن الفارض في تائيته في جملة قصائده التي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لبّيت لما دعتني ربّة الحجب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غبت عني بها في شدّة الطرب</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إلى غير ذلك من الشخصيات التي ذكرها أصحاب التراجم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 الجزء الثامن 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بحوث في الملل و النحل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 بدر تمامه في اليوم</w:t>
      </w:r>
    </w:p>
    <w:p>
      <w:pPr>
        <w:pStyle w:val="BookText"/>
        <w:rPr/>
      </w:pPr>
      <w:r>
        <w:rPr>
          <w:rFonts w:ascii="Amiri" w:hAnsi="Amiri" w:eastAsia="Amiri" w:cs="Amiri"/>
          <w:color w:val="111111"/>
          <w:sz w:val="28"/>
          <w:sz w:val="28"/>
          <w:szCs w:val="28"/>
          <w:rtl w:val="true"/>
          <w:lang w:bidi="ar-SA"/>
        </w:rPr>
        <w:t>الثاني من شهر رمضان المبارك</w:t>
      </w:r>
    </w:p>
    <w:p>
      <w:pPr>
        <w:pStyle w:val="BookText"/>
        <w:rPr/>
      </w:pPr>
      <w:r>
        <w:rPr>
          <w:rFonts w:ascii="IRNazanin" w:hAnsi="IRNazanin" w:eastAsia="IRNazanin"/>
          <w:color w:val="111111"/>
          <w:sz w:val="28"/>
          <w:sz w:val="28"/>
          <w:szCs w:val="28"/>
          <w:rtl w:val="true"/>
          <w:lang w:bidi="fa-IR"/>
        </w:rPr>
        <w:t xml:space="preserve">من شهور عام </w:t>
      </w:r>
      <w:r>
        <w:rPr>
          <w:rFonts w:eastAsia="IRNazanin" w:cs="IRNazanin"/>
          <w:color w:val="111111"/>
          <w:sz w:val="28"/>
          <w:szCs w:val="28"/>
          <w:lang w:bidi="fa-IR"/>
        </w:rPr>
        <w:t>1418</w:t>
      </w:r>
    </w:p>
    <w:p>
      <w:pPr>
        <w:pStyle w:val="BookText"/>
        <w:rPr/>
      </w:pPr>
      <w:r>
        <w:rPr>
          <w:rFonts w:ascii="Amiri" w:hAnsi="Amiri" w:eastAsia="Amiri" w:cs="Amiri"/>
          <w:color w:val="111111"/>
          <w:sz w:val="28"/>
          <w:sz w:val="28"/>
          <w:szCs w:val="28"/>
          <w:rtl w:val="true"/>
          <w:lang w:bidi="ar-SA"/>
        </w:rPr>
        <w:t>على يد الفقير إلى اللّٰه جعفر السبحاني</w:t>
      </w:r>
    </w:p>
    <w:p>
      <w:pPr>
        <w:pStyle w:val="BookText"/>
        <w:rPr/>
      </w:pPr>
      <w:r>
        <w:rPr>
          <w:rFonts w:ascii="Amiri" w:hAnsi="Amiri" w:eastAsia="Amiri" w:cs="Amiri"/>
          <w:color w:val="111111"/>
          <w:sz w:val="28"/>
          <w:sz w:val="28"/>
          <w:szCs w:val="28"/>
          <w:rtl w:val="true"/>
          <w:lang w:bidi="ar-SA"/>
        </w:rPr>
        <w:t>ابن الفقيه محمد حسين الخياباني التبريزي تغمده اللّٰه بواسع رحمته</w:t>
      </w:r>
    </w:p>
    <w:p>
      <w:pPr>
        <w:pStyle w:val="BookText"/>
        <w:rPr/>
      </w:pPr>
      <w:r>
        <w:rPr>
          <w:rFonts w:ascii="Amiri" w:hAnsi="Amiri" w:eastAsia="Amiri" w:cs="Amiri"/>
          <w:color w:val="111111"/>
          <w:sz w:val="28"/>
          <w:sz w:val="28"/>
          <w:szCs w:val="28"/>
          <w:rtl w:val="true"/>
          <w:lang w:bidi="ar-SA"/>
        </w:rPr>
        <w:t>حامداً للّٰه و مصلياً على النبي و الآل</w:t>
      </w:r>
    </w:p>
    <w:p>
      <w:pPr>
        <w:pStyle w:val="BookText"/>
        <w:rPr/>
      </w:pPr>
      <w:r>
        <w:rPr>
          <w:rFonts w:ascii="Amiri" w:hAnsi="Amiri" w:eastAsia="Amiri" w:cs="Amiri"/>
          <w:color w:val="111111"/>
          <w:sz w:val="28"/>
          <w:sz w:val="28"/>
          <w:szCs w:val="28"/>
          <w:rtl w:val="true"/>
          <w:lang w:bidi="ar-SA"/>
        </w:rPr>
        <w:t>راجياً عفو ربّه و غفرانه</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المساق يوم تلتف الساق بالساق </w:t>
      </w:r>
    </w:p>
    <w:p>
      <w:pPr>
        <w:pStyle w:val="BookText"/>
        <w:rPr/>
      </w:pPr>
      <w:r>
        <w:rPr>
          <w:rFonts w:ascii="Amiri" w:hAnsi="Amiri" w:eastAsia="Amiri" w:cs="Amiri"/>
          <w:color w:val="111111"/>
          <w:sz w:val="28"/>
          <w:sz w:val="28"/>
          <w:szCs w:val="28"/>
          <w:rtl w:val="true"/>
          <w:lang w:bidi="ar-SA"/>
        </w:rPr>
        <w:t>فهارس الكتاب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 مصادر الكتاب</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 محتويات الكتاب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47" w:name="pg11557_101592"/>
      <w:bookmarkStart w:id="848" w:name="pg11557_101592"/>
      <w:bookmarkEnd w:id="848"/>
    </w:p>
    <w:p>
      <w:pPr>
        <w:pStyle w:val="Heading2"/>
        <w:numPr>
          <w:ilvl w:val="1"/>
          <w:numId w:val="1"/>
        </w:numPr>
        <w:rPr/>
      </w:pPr>
      <w:bookmarkStart w:id="849" w:name="pg11557_101592"/>
      <w:bookmarkStart w:id="850" w:name="__RefHeading___Toc4284645_73709187"/>
      <w:bookmarkStart w:id="851" w:name="_Toc306"/>
      <w:bookmarkEnd w:id="849"/>
      <w:bookmarkEnd w:id="850"/>
      <w:r>
        <w:rPr>
          <w:rtl w:val="true"/>
        </w:rPr>
        <w:t>فهرس مصادر الكتاب</w:t>
      </w:r>
      <w:bookmarkEnd w:id="851"/>
    </w:p>
    <w:p>
      <w:pPr>
        <w:pStyle w:val="BookText"/>
        <w:rPr/>
      </w:pPr>
      <w:r>
        <w:rPr>
          <w:rFonts w:ascii="Amiri" w:hAnsi="Amiri" w:eastAsia="Amiri" w:cs="Amiri"/>
          <w:color w:val="111111"/>
          <w:sz w:val="28"/>
          <w:sz w:val="28"/>
          <w:szCs w:val="28"/>
          <w:rtl w:val="true"/>
          <w:lang w:bidi="ar-SA"/>
        </w:rPr>
        <w:t>نبدأ تبركاً بالقرآن الكريم</w:t>
      </w:r>
    </w:p>
    <w:p>
      <w:pPr>
        <w:pStyle w:val="BookText"/>
        <w:rPr/>
      </w:pPr>
      <w:r>
        <w:rPr>
          <w:rFonts w:ascii="IRNazanin" w:hAnsi="IRNazanin" w:eastAsia="IRNazanin"/>
          <w:color w:val="111111"/>
          <w:sz w:val="28"/>
          <w:sz w:val="28"/>
          <w:szCs w:val="28"/>
          <w:rtl w:val="true"/>
          <w:lang w:bidi="fa-IR"/>
        </w:rPr>
        <w:t>حرف الألف</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اتعاظ الحنفاء بأخبار الأئمّة الفاطميين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 الدين أحمد بن علي المقريزي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جمال الدين الشيال، 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الأُرجوزة المختارة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قاضي القضاة أبو حنيفة النعمان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إسماعيل قربان حسين، معهد الدراسات الإسلامية، جامعة مجيل، مونتريال، كندا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النعمان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مؤسسة آل البيت عليهم السَّلام،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الأسفار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الدين محمد بن إبراهيم الشيرازي القوامي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مكتبة المصطفوي،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أصل العلويين و عقيدتهم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زكي تفاحة، المطبعة العلمية، 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الاعتقادات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الحسين بن بابويه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المطبوع ضمن مصنفات الشيخ المفيد، الجزء الخامس، منشورات المؤتمر العالمي لألفية الشيخ المفيد، 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اعتقادات فرق المسلمين و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الدين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عمر الخطيب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مكتبة الكليات الأزهرية، 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الدين الزركلي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للملايين،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أعلام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حاتم الرازي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محسن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التعارف،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الإمامة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عارف تامر، منشورات دار الكاتب العربي، بيروت، و مكتبة النهضة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الباء</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الوفاء،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البداية و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الفداء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التاء</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تاج العقائد و معدن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الوليد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عارف تامر، دار المشرق،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ابن خلدون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خلدون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الأدب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بروكلمان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الخطيب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الأُمم و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الدعوة الإسماعيلية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غالب، دار الأندلس، الطبعة الثانية،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العلويين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أمين غالب الطويل، دار الأندلس، بيروت، 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المكزون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رمضان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أبي يعقوب بن وهب بن واضح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بعد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المكتبة الحيدرية، 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تأويل الدعائم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قاضي القضاة أبو حنيفة النعمان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محمد حسن الأعظمي، دار المعارف،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التبصير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المظفر الإسفرايني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التعريفات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بيروت،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تقريب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بن حجر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تنقيح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المامقاني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بن حجر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الثاء</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الثورة العلوية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اللطيف يونس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الخاء</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الخطط المقريزية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 الدين أحمد بن علي المقريزي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صادر،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يوسف بن علي بن مطهر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المطبعة الحيدرية، النجف الأشرف، 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خوان الإخوان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خسرو </w:t>
      </w:r>
      <w:r>
        <w:rPr>
          <w:rFonts w:eastAsia="IRNazanin" w:cs="IRNazanin"/>
          <w:color w:val="111111"/>
          <w:sz w:val="28"/>
          <w:szCs w:val="28"/>
          <w:rtl w:val="true"/>
          <w:lang w:bidi="fa-IR"/>
        </w:rPr>
        <w:t>(</w:t>
      </w:r>
      <w:r>
        <w:rPr>
          <w:rFonts w:eastAsia="IRNazanin" w:cs="IRNazanin"/>
          <w:color w:val="111111"/>
          <w:sz w:val="28"/>
          <w:szCs w:val="28"/>
          <w:lang w:bidi="fa-IR"/>
        </w:rPr>
        <w:t>394</w:t>
      </w:r>
      <w:r>
        <w:rPr>
          <w:rFonts w:eastAsia="IRNazanin" w:cs="IRNazanin"/>
          <w:color w:val="111111"/>
          <w:sz w:val="28"/>
          <w:szCs w:val="28"/>
          <w:rtl w:val="true"/>
          <w:lang w:bidi="fa-IR"/>
        </w:rPr>
        <w:t>-</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الدال</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دائرة المعارف الإسلامية الشيعية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التعارف، بيروت، الطبعة الرابعة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دائرة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بطرس البستاني، دار المعرفة،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دائرة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فريد وجدي، مطبعة دائرة معارف القرن العشرين، الطبعة الرابعة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قاضي القضاة أبو حنيفة النعمان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آصف بن علي أصغر فيضي، دار المعارف، 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حرف الذال</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آقا بزرك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الأضواء، 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الراء</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راحة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الدين أحمد بن عبد اللّٰه الكرماني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الدكتور محمد كامل حسين و الدكتور محمد مصطفى حلمي، دار الفكر العربي،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علماء القرن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رسائل إخوان الصفا و خلان الوفا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محمد بن إسماعيل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بيروت،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الحضرمي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روضة المتقين في شرح 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تقي المجلسي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مؤسسة الثقافة الإسلامية، 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الرياض في الحكم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صاحبي الاصلاح و النصرة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الدين أحمد بن عبد اللّٰه الكرماني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عارف تامر، دار الثقافة، بيروت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حرف السين</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 الشين</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الشجرة المباركة في أنساب الطالبية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عمر بن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مكتبة آية اللّٰه العظمى المرعشي النجفي، 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منظومة السبزواري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ملا هادي السبزواري، منشورات نشر ناب،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الكتب العربية، القاهرة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الصاد</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حجر الهيتمي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القاهرة، 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 العين</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عقيدتنا و واقعنا نحن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الخير، دمشق، الطبعة السابعة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الحسين بن بابويه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العلويون بين الأُسطورة و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عثمان، مؤسسة الأعلمي، بيروت، 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العلويون فدائيو الشيعة المجهولون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عزيز إبراهيم العلوي، دار الفكر،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العلويون و 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عزيز آل إبراهيم، الدار الإسلامية،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عمدة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عنبة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المطبعة الحيدرية، النجف الأشرف، 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العيون و 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النعمان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 الغين</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عبد الحسين أحمد الأميني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مؤسسة المعارف الإسلامية، 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الرابع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الصدوق، طهران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الفاء</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الفخري في أنساب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الحسين بن محمد المروزي الأزورقاني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مكتبة آية اللّٰه العظمى المرعشي النجفي، 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 بين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القاهر بن طاهر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w:t>
      </w:r>
    </w:p>
    <w:p>
      <w:pPr>
        <w:pStyle w:val="BookText"/>
        <w:rPr/>
      </w:pPr>
      <w:r>
        <w:rPr>
          <w:rFonts w:ascii="Amiri" w:hAnsi="Amiri" w:eastAsia="Amiri" w:cs="Amiri"/>
          <w:color w:val="111111"/>
          <w:sz w:val="28"/>
          <w:sz w:val="28"/>
          <w:szCs w:val="28"/>
          <w:rtl w:val="true"/>
          <w:lang w:bidi="ar-SA"/>
        </w:rPr>
        <w:t>المعرفة،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فرقة الدروز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نبيل الحيدري، منشورات منظمة الثقافة و العلاقات الإسلامية،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فرق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النوبختي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الثالث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الأضواء،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الفصول المهمة في تأليف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الحسين شرف الدين الموسوي، منشورات الرضي، الطبعة الثانية بالأُوفسيت عن الطبعة الرابعة لدار النعمان في النجف الأشرف، 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فنّ المنتجب العاني و عرفانه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أسعد أحمد علي، دار النعمان،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الفوائد الرجالية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البهبهاني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مشهد، إيران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إسحاق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القاف</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القصيدة الشافية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داعي مجهول، تحقيق عارف تامر، دار المشرق،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القصيدة الصورية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حسن الصوري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الخامس الهجري</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قواعد العقائد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نصير الدين الطوسي </w:t>
      </w:r>
      <w:r>
        <w:rPr>
          <w:rFonts w:eastAsia="IRNazanin" w:cs="IRNazanin"/>
          <w:color w:val="111111"/>
          <w:sz w:val="28"/>
          <w:szCs w:val="28"/>
          <w:rtl w:val="true"/>
          <w:lang w:bidi="fa-IR"/>
        </w:rPr>
        <w:t>(</w:t>
      </w:r>
      <w:r>
        <w:rPr>
          <w:rFonts w:eastAsia="IRNazanin" w:cs="IRNazanin"/>
          <w:color w:val="111111"/>
          <w:sz w:val="28"/>
          <w:szCs w:val="28"/>
          <w:lang w:bidi="fa-IR"/>
        </w:rPr>
        <w:t>597</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علي الرباني الگلپايگاني، منشورات لجنة إدارة الحوزة العلمية بقم، قم المقدسة </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حرف الكاف</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الأثير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الفوائد في شرح قواعد العقائد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يوسف بن المطهّر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حسن مكي العاملي، دار الصفوة، بيروت،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الحسين بن بابويه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الحسين الحامدي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مصطفى غالب، دار النشر فرانز شتاينر، ، فيسبادن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اللام</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ابن منظور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بن حجر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 الميم</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بن محمد علي بن أحمد بن طريح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المكتبة المرتضوية، طهران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مدخل إلى تاريخ الإسماعيلية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بيكلي، مكتبة عالم المعرفة، الطبعة الأُولى، سلمية، سوريا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مذاهب الإسلاميين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عبد الرحمن بدوي، دار العلم للملايين،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تقي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المسلمون العلويون في 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علي حسن، بيروت،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رجال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الموسوي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الفرق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عارف تامر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معرفة اللّٰه و المكزون السنجاري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أسعد أحمد علي، دار الرائد العربي،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الفرج الاصفهاني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دار الكتاب،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مقالات الإسلاميين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الملل و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السروي المازندراني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العلمية، قم</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الحسين بن بابويه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 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النون</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النبأ اليقين عن العلويين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محمود صالح، مؤسسة البلاغ،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نشأة الفكر الفلسفي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سامي النشار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نفس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ميرزا حسين الطبرسي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الآفاق، إيران،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الشريف الرضي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الواو</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الواقفية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رياض محمد حبيب الناصري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المؤتمر العالمي للإمام الرضا عليه السَّلام، مشهد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وفيات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الشريف الرضي،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 الياء</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الينابيع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يعقوب السجستاني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حيّاً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مصطفى غالب، منشورات المكتب التجاري للطباعة و التوزيع و النشر، بيروت، لبنان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52" w:name="pg11557_101604"/>
      <w:bookmarkStart w:id="853" w:name="pg11557_101604"/>
      <w:bookmarkEnd w:id="853"/>
    </w:p>
    <w:p>
      <w:pPr>
        <w:pStyle w:val="Heading2"/>
        <w:numPr>
          <w:ilvl w:val="1"/>
          <w:numId w:val="1"/>
        </w:numPr>
        <w:rPr/>
      </w:pPr>
      <w:bookmarkStart w:id="854" w:name="pg11557_101604"/>
      <w:bookmarkStart w:id="855" w:name="__RefHeading___Toc4284647_73709187"/>
      <w:bookmarkStart w:id="856" w:name="_Toc307"/>
      <w:bookmarkEnd w:id="854"/>
      <w:bookmarkEnd w:id="855"/>
      <w:r>
        <w:rPr>
          <w:rtl w:val="true"/>
        </w:rPr>
        <w:t>فهرس محتويات الكتاب</w:t>
      </w:r>
      <w:bookmarkEnd w:id="856"/>
    </w:p>
    <w:p>
      <w:pPr>
        <w:pStyle w:val="BookText"/>
        <w:rPr/>
      </w:pPr>
      <w:r>
        <w:rPr>
          <w:rFonts w:ascii="Amiri" w:hAnsi="Amiri" w:eastAsia="Amiri" w:cs="Amiri"/>
          <w:color w:val="111111"/>
          <w:sz w:val="28"/>
          <w:sz w:val="28"/>
          <w:szCs w:val="28"/>
          <w:rtl w:val="true"/>
          <w:lang w:bidi="ar-SA"/>
        </w:rPr>
        <w:t>الصورة</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2"/>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44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45"/>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44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48"/>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44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451"/>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45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454"/>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45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457"/>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45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460"/>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46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463"/>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46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466"/>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46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469"/>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47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472"/>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47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475"/>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47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478"/>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47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481"/>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48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484"/>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48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487"/>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48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490"/>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491"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49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9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مصطفى غالب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الدعوة الإسماعيلية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 المؤلف سوري إسماعيلي و في طليعة كُتّابهم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مصطفى غالب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الدعوة الإسماعيلية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مصطفى غالب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الدعوة الإسماعيلية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الخطاب لمن رفع السؤال إليه و هو الكاتب مصطفى غالب السوريّ</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مصطفى غالب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الدعوة الإسماعيلية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الفوائد في شرح قواعد العقائد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الشهرستاني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المتن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النوبختي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و لكلام النوبختي صلة سيوافيك عند التعرض لجذور المذهب الإسماعيلي</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الإسلاميين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 لكلام الأشعري صلة سيوافيك بيانها في محلّه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الفرق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الاسفراييني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التبصير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الشهرستاني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يسوقون الإمامة بعد المستنصر، إلى المستعلي، فالآمر بأحكام اللّٰه، فالحافظ لدين اللّٰه، فالظافر لدين اللّٰه، فالظاهر بأمر اللّٰه، فالفائز، فالعاضد، عند ذلك دخلت الدعوة المستعلية في كهف الاستتار بل دخلت بعد وفاة الآمر بأحكام اللّٰه، و هؤلاء الأئمة الأربعة كانت دعاة، لأنّ الأمر بأحكام اللّٰه مات بلا عقب و ربما يقال ولد له باسم الطيب، و ثالثة بأنّ المولود كان أُنثى</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النوبختي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الشهرستاني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الروايات مأخوذة من 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مؤسسة الأعلمي،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لاحظ الوسائل، الجزء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فقد جاءت فيه روايات تذم عمل أبي الخطاب و تحذر الشيعة من اتباعه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اقتصرنا من الكثير بالقليل، و من أراد التفصيل فليرجع إليه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الإسلاميين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النوبختي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في ترجمة المفضل بن عمر</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النوبختي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الإسلاميين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الفرق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ابن الخطاب، برقم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الشهرستاني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159/1</w:t>
      </w:r>
      <w:r>
        <w:rPr>
          <w:rFonts w:ascii="IRNazanin" w:hAnsi="IRNazanin" w:eastAsia="IRNazanin"/>
          <w:b w:val="false"/>
          <w:b w:val="false"/>
          <w:bCs w:val="false"/>
          <w:i w:val="false"/>
          <w:i w:val="false"/>
          <w:iCs w:val="false"/>
          <w:color w:val="333333"/>
          <w:sz w:val="20"/>
          <w:sz w:val="20"/>
          <w:szCs w:val="20"/>
          <w:rtl w:val="true"/>
        </w:rPr>
        <w:t>؛ المقريزي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الشهرستاني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159/1</w:t>
      </w:r>
      <w:r>
        <w:rPr>
          <w:rFonts w:ascii="IRNazanin" w:hAnsi="IRNazanin" w:eastAsia="IRNazanin"/>
          <w:b w:val="false"/>
          <w:b w:val="false"/>
          <w:bCs w:val="false"/>
          <w:i w:val="false"/>
          <w:i w:val="false"/>
          <w:iCs w:val="false"/>
          <w:color w:val="333333"/>
          <w:sz w:val="20"/>
          <w:sz w:val="20"/>
          <w:szCs w:val="20"/>
          <w:rtl w:val="true"/>
        </w:rPr>
        <w:t>؛ المقريزي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الكلام في ذلك تفصيلاً في الفصل الأوّل</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طبعة جامعة طهران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 قد أتى بنفس النص تحت رقم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أصحاب الإمام الصادق، باب العين برقم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أصحاب علي بن الحسين، باب الميم، برقم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أصحاب الإمام الباقر، باب الجيم، برقم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و قد سمّى جدّه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خلافاً للنجاشي حيث سمّاه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الأسود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455/1</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و فهرست الشيخ، أصحاب الإمام الصادق، باب العين، برقم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الفرق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النديم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نقله عن أبي عبد اللّٰه بن الرزام و تبرأ من صدق ما نقله و كذبه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الولد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المقدّمة</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84/8</w:t>
      </w:r>
      <w:r>
        <w:rPr>
          <w:rFonts w:ascii="IRNazanin" w:hAnsi="IRNazanin" w:eastAsia="IRNazanin"/>
          <w:b w:val="false"/>
          <w:b w:val="false"/>
          <w:bCs w:val="false"/>
          <w:i w:val="false"/>
          <w:i w:val="false"/>
          <w:iCs w:val="false"/>
          <w:color w:val="333333"/>
          <w:sz w:val="20"/>
          <w:sz w:val="20"/>
          <w:szCs w:val="20"/>
          <w:rtl w:val="true"/>
        </w:rPr>
        <w:t>، و في الذيل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الترجمة ممّا لم يكتبها المؤلف و إنّما استدركها الشيخ محمد مهدي شمس الدين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حوادث عام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1586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1657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باب الغيرة</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باب الزاني؛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1774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المبدأ في عدّ الأئمة للإسماعيليّة، هو مؤسس الفرقة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زعمهم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كان هو الإمام السابع عندهم ثمّ إنّ الأقوال في ميلاد و وفاة إسماعيل كثيرة و ما ذكرناه أحد الأقوال</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عنبة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و لعلَّ العشرين في العبارة مصحف خمس عشرة لأنّ الفاصل الزمني بين الوفاتين لا يتجاوز هذا المقدار على جميع الأقوال لأنّها في حقّه مختلفة فانّه مضافاً إلى ما ذكره من أنّه توفي عام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قيل توفي عام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طلحة بن عبيد اللّٰه التيمي المقتول بالجمل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جعفر المنصور الدوانيقي</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بسام بن عبد اللّٰه الصيرفي برقم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في الحجّ،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311/1</w:t>
      </w:r>
      <w:r>
        <w:rPr>
          <w:rFonts w:ascii="IRNazanin" w:hAnsi="IRNazanin" w:eastAsia="IRNazanin"/>
          <w:b w:val="false"/>
          <w:b w:val="false"/>
          <w:bCs w:val="false"/>
          <w:i w:val="false"/>
          <w:i w:val="false"/>
          <w:iCs w:val="false"/>
          <w:color w:val="333333"/>
          <w:sz w:val="20"/>
          <w:sz w:val="20"/>
          <w:szCs w:val="20"/>
          <w:rtl w:val="true"/>
        </w:rPr>
        <w:t>، نقلاً عن تهذيب الكمال</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الزركلي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عارف تامر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في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سوف يأتي شيء منه عند عرض الفطحيّة فلاحظ</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 لاحظ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الخوئي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مصطفى غالب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الدعوة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عارف تامر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في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بيكلي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مدخل إلى تاريخ الإسماعيلية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نصّه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عارف تامر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في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مصطفى غالب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الدعوة الإسماعيلية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ترى أنّ المؤرخ الأوّل الإسماعيلي يذكر موته في حياة أبيه و هذا يؤكد على موته بعده، فما هو الحق؟ و ما هو المتوقع من مذهب حجر أساسه الريب و الشك؟</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فيكون وفاته على هذا عام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لا عام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ذكره قبل سطر</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مصطفى غالب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الدعوة الإسماعيلية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عارف تامر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في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الشيخ المفيد أنّ الساعي بعمه الكاظم عليه السّلام إلى الرشيد هو علي بن إسماعيل لا أخوه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قصة السعاية 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ذكر السبب في وفاته عليه السّلام</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ماضي مجهول من اللوم</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عنبة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عن علي بن إبراهيم، عن محمد بن عيسى العبيدي، عن موسى بن القاسم البجلي و هو نجل معاوية بن وهب البجلي، عن علي بن جعفر، و الرواة ثقات و الرواية صحيحة</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مصبوغ بالمشق و هو الطين الأحمر</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الدرهم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635/2</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وضح</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الذبحة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 في الحلق، أو دم يخنق فيقتل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438/2</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ذبح</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في ترجمة هشام بن الحكم</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326/4</w:t>
      </w:r>
      <w:r>
        <w:rPr>
          <w:rFonts w:ascii="IRNazanin" w:hAnsi="IRNazanin" w:eastAsia="IRNazanin"/>
          <w:b w:val="false"/>
          <w:b w:val="false"/>
          <w:bCs w:val="false"/>
          <w:i w:val="false"/>
          <w:i w:val="false"/>
          <w:iCs w:val="false"/>
          <w:color w:val="333333"/>
          <w:sz w:val="20"/>
          <w:sz w:val="20"/>
          <w:szCs w:val="20"/>
          <w:rtl w:val="true"/>
        </w:rPr>
        <w:t>، قريباً مما نقله الكليني و الكشي</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إرشاد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الحسن بن محمد بن يحيى عن مشايخهم</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164/6</w:t>
      </w:r>
      <w:r>
        <w:rPr>
          <w:rFonts w:ascii="IRNazanin" w:hAnsi="IRNazanin" w:eastAsia="IRNazanin"/>
          <w:b w:val="false"/>
          <w:b w:val="false"/>
          <w:bCs w:val="false"/>
          <w:i w:val="false"/>
          <w:i w:val="false"/>
          <w:iCs w:val="false"/>
          <w:color w:val="333333"/>
          <w:sz w:val="20"/>
          <w:sz w:val="20"/>
          <w:szCs w:val="20"/>
          <w:rtl w:val="true"/>
        </w:rPr>
        <w:t xml:space="preserve">، لاحظ حوادث سنة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مصطفى غالب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الدعوة الإسماعيلية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بليدة بالشام من أعمال حمص</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عارف تامر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في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إخوان الصفا و خلاّن الوفاء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المقدمة</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عارف تامر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في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مصطفى غالب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الدعوة الإسماعيلية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عارف تامر، مصطفى غالب، و الثاني أكثر مبالغة</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القرائن تشهد انّ المراد منه، هو عبد اللّٰه بن ميمون القداح</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صار بعد ذلك داعية عبيد اللّٰه المهدي الإمام السادس، و سيوافيك تفصيله في 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عارف تامر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في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المهدي</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مصطفى غالب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الدعوة الإسماعيلية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يذكر مصدراً لكلامه</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تعليم مذهب أهل البيت عليهم السّلام</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تاريخ ابن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 أيضاً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لخصنا القصة و حذفنا ما ليس له صلة بالموضوع كالحروب التي خاضها أبو عبد اللّٰه الشيعي</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صحّ ما ذكره يجب على سائر الدعاة سلوك مسلكه و عدم التنويه بأسمائهم، لكن المشهور خلافه، و لعلّ الاختلاف في أسمائهم و سائر خصوصياتهم دفعه إلى هذا الاعتذار</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 النعمان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الأرجوزة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و الأُرجوزة تبحث عن قضية الإمامة منذ وفاة الرسول، إلى عصره، و الظاهر أنّه ألّفها في عهد الخليفة الفاطمي الثاني القائم بأمر اللّٰه و كان حكمه من سنة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استظهر محقّق الكتاب</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الشجرة المباركة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طالب الأزورقاني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الفخري في انساب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عنبة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الشجرة المباركة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عنبة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تراجم محمد المكتوم، جعفر المصدق، محمد الحبيب في 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اتعاظ الحنفاء بأخبار الأئمة الفاطميين الخلفاء</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جعفر الأكبر السلامي، ولد محمد بن إسماعيل ابن الإمام الصادق عليه السّلام و ربما يعبر عنه بالمصدق ليتميز عن جدّه الإمام الصادق عليه السّلام</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عن الطبع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إسماعيل بن جعفر الصادق، أُنظر عمدة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و قد ذكر ابن خلدون نفسه في مكان آخر نسبه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توفّي محمد الحبيب بن جعفر بن محمد بن إسماعيل الإمام عهد إلى ابنه عبيد اللّٰه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المهدي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سيوافيك كلام الرضي الذي نقله ابن أبي الحديد في شرحه</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سجلماسة مدينة انشئت سنة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تقع في محلة تافيلات اليوم في طرف صحراء المغرب على بعد حوالي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 إلى الجنوب الشرقي لمدينة فاس، عمرها بربر مكناسة، و لمّا تولّاها اليسع بن سمغون المكناسي أحاطها بسور و بنى بها عدّة مصانع و قصور، و قد استمر عمران هذه المدينة إلى القرن العاشر الهجري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دولة التشيع في بلاد المغرب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التعبير بالمصدَّق</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سيوافيك أيضاً في ترجمته، فانتظر</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الخطط المقريزية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350/1</w:t>
      </w:r>
      <w:r>
        <w:rPr>
          <w:rFonts w:ascii="IRNazanin" w:hAnsi="IRNazanin" w:eastAsia="IRNazanin"/>
          <w:b w:val="false"/>
          <w:b w:val="false"/>
          <w:bCs w:val="false"/>
          <w:i w:val="false"/>
          <w:i w:val="false"/>
          <w:iCs w:val="false"/>
          <w:color w:val="333333"/>
          <w:sz w:val="20"/>
          <w:sz w:val="20"/>
          <w:szCs w:val="20"/>
          <w:rtl w:val="true"/>
        </w:rPr>
        <w:t>، دار صادر؛ ابن خلكان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دار صادر</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مصطفى غالب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الدعوة الإسماعيلية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مصطفى غالب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الدعوة الإسماعيلية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الخطط المقريزية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دار صادر</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كسيرة أبيه في حقّ المهدي</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455/8</w:t>
      </w:r>
      <w:r>
        <w:rPr>
          <w:rFonts w:ascii="IRNazanin" w:hAnsi="IRNazanin" w:eastAsia="IRNazanin"/>
          <w:b w:val="false"/>
          <w:b w:val="false"/>
          <w:bCs w:val="false"/>
          <w:i w:val="false"/>
          <w:i w:val="false"/>
          <w:iCs w:val="false"/>
          <w:color w:val="333333"/>
          <w:sz w:val="20"/>
          <w:sz w:val="20"/>
          <w:szCs w:val="20"/>
          <w:rtl w:val="true"/>
        </w:rPr>
        <w:t>، دار صادر</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151/15</w:t>
      </w:r>
      <w:r>
        <w:rPr>
          <w:rFonts w:ascii="IRNazanin" w:hAnsi="IRNazanin" w:eastAsia="IRNazanin"/>
          <w:b w:val="false"/>
          <w:b w:val="false"/>
          <w:bCs w:val="false"/>
          <w:i w:val="false"/>
          <w:i w:val="false"/>
          <w:iCs w:val="false"/>
          <w:color w:val="333333"/>
          <w:sz w:val="20"/>
          <w:sz w:val="20"/>
          <w:szCs w:val="20"/>
          <w:rtl w:val="true"/>
        </w:rPr>
        <w:t>، مؤسسة الرسالة</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مصطفى غالب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الدعوة الإسماعيلية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351/1</w:t>
      </w:r>
      <w:r>
        <w:rPr>
          <w:rFonts w:ascii="IRNazanin" w:hAnsi="IRNazanin" w:eastAsia="IRNazanin"/>
          <w:b w:val="false"/>
          <w:b w:val="false"/>
          <w:bCs w:val="false"/>
          <w:i w:val="false"/>
          <w:i w:val="false"/>
          <w:iCs w:val="false"/>
          <w:color w:val="333333"/>
          <w:sz w:val="20"/>
          <w:sz w:val="20"/>
          <w:szCs w:val="20"/>
          <w:rtl w:val="true"/>
        </w:rPr>
        <w:t>، دار صادر</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مصطفى غالب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الدعوة الإسماعيلية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أرخ ميلاده عارف تامر ب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خطأ واضح</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الخطط المقريزية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الغريب أنّ المقريزي ذكر ولادة المعز سنة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تارة و أُخرى بسنة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و قد اعتمدنا في تعيين سنة ولادته علىٰ نقل ابن خلكان</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مصطفى غالب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الدعوة الإسماعيلية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مصطفىٰ غالب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الدعوة الإسماعيلية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أرّخ عارف تامر تاريخ وفاته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خطأ</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أسماه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الإمامة في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نزار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في الخطط، و تاريخ الدعوة الإسماعيلية حسب ما أثبتناه</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277/2</w:t>
      </w:r>
      <w:r>
        <w:rPr>
          <w:rFonts w:ascii="IRNazanin" w:hAnsi="IRNazanin" w:eastAsia="IRNazanin"/>
          <w:b w:val="false"/>
          <w:b w:val="false"/>
          <w:bCs w:val="false"/>
          <w:i w:val="false"/>
          <w:i w:val="false"/>
          <w:iCs w:val="false"/>
          <w:color w:val="333333"/>
          <w:sz w:val="20"/>
          <w:sz w:val="20"/>
          <w:szCs w:val="20"/>
          <w:rtl w:val="true"/>
        </w:rPr>
        <w:t>، دار صادر</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174/15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مصطفى غالب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الدعوة الإسماعيلية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108/15</w:t>
      </w:r>
      <w:r>
        <w:rPr>
          <w:rFonts w:ascii="IRNazanin" w:hAnsi="IRNazanin" w:eastAsia="IRNazanin"/>
          <w:b w:val="false"/>
          <w:b w:val="false"/>
          <w:bCs w:val="false"/>
          <w:i w:val="false"/>
          <w:i w:val="false"/>
          <w:iCs w:val="false"/>
          <w:color w:val="333333"/>
          <w:sz w:val="20"/>
          <w:sz w:val="20"/>
          <w:szCs w:val="20"/>
          <w:rtl w:val="true"/>
        </w:rPr>
        <w:t>،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سماه عارف تامر علي بن الحسن، و في المقريزي و تاريخ الدعوة كما أثبتناه</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407/3</w:t>
      </w:r>
      <w:r>
        <w:rPr>
          <w:rFonts w:ascii="IRNazanin" w:hAnsi="IRNazanin" w:eastAsia="IRNazanin"/>
          <w:b w:val="false"/>
          <w:b w:val="false"/>
          <w:bCs w:val="false"/>
          <w:i w:val="false"/>
          <w:i w:val="false"/>
          <w:iCs w:val="false"/>
          <w:color w:val="333333"/>
          <w:sz w:val="20"/>
          <w:sz w:val="20"/>
          <w:szCs w:val="20"/>
          <w:rtl w:val="true"/>
        </w:rPr>
        <w:t>، دار صادر</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مؤسسة الرسالة</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عارف تامر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في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أرّخ كل من الكاتبين عارف تامر و مصطفى غالب تاريخ ولادته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دار صادر</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237/10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دار صادر</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كان له من العمر ثمان و عشرون عاماً عند الوفاة لكانت ولادته عام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لا ما ذكره من انّ ولادته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صادر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عارف تامر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في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و لاحظ الخطط المقريزية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191/2</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عارف تامر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في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خلكان، 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236/3</w:t>
      </w:r>
      <w:r>
        <w:rPr>
          <w:rFonts w:ascii="IRNazanin" w:hAnsi="IRNazanin" w:eastAsia="IRNazanin"/>
          <w:b w:val="false"/>
          <w:b w:val="false"/>
          <w:bCs w:val="false"/>
          <w:i w:val="false"/>
          <w:i w:val="false"/>
          <w:iCs w:val="false"/>
          <w:color w:val="333333"/>
          <w:sz w:val="20"/>
          <w:sz w:val="20"/>
          <w:szCs w:val="20"/>
          <w:rtl w:val="true"/>
        </w:rPr>
        <w:t>، دار صادر</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و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بايجاز ابن خلكان في 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237/1</w:t>
      </w:r>
      <w:r>
        <w:rPr>
          <w:rFonts w:ascii="IRNazanin" w:hAnsi="IRNazanin" w:eastAsia="IRNazanin"/>
          <w:b w:val="false"/>
          <w:b w:val="false"/>
          <w:bCs w:val="false"/>
          <w:i w:val="false"/>
          <w:i w:val="false"/>
          <w:iCs w:val="false"/>
          <w:color w:val="333333"/>
          <w:sz w:val="20"/>
          <w:sz w:val="20"/>
          <w:szCs w:val="20"/>
          <w:rtl w:val="true"/>
        </w:rPr>
        <w:t>، و الذهبي في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204/15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357/1</w:t>
      </w:r>
      <w:r>
        <w:rPr>
          <w:rFonts w:ascii="IRNazanin" w:hAnsi="IRNazanin" w:eastAsia="IRNazanin"/>
          <w:b w:val="false"/>
          <w:b w:val="false"/>
          <w:bCs w:val="false"/>
          <w:i w:val="false"/>
          <w:i w:val="false"/>
          <w:iCs w:val="false"/>
          <w:color w:val="333333"/>
          <w:sz w:val="20"/>
          <w:sz w:val="20"/>
          <w:szCs w:val="20"/>
          <w:rtl w:val="true"/>
        </w:rPr>
        <w:t>، لاحظ 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291/3</w:t>
      </w:r>
      <w:r>
        <w:rPr>
          <w:rFonts w:ascii="IRNazanin" w:hAnsi="IRNazanin" w:eastAsia="IRNazanin"/>
          <w:b w:val="false"/>
          <w:b w:val="false"/>
          <w:bCs w:val="false"/>
          <w:i w:val="false"/>
          <w:i w:val="false"/>
          <w:iCs w:val="false"/>
          <w:color w:val="333333"/>
          <w:sz w:val="20"/>
          <w:sz w:val="20"/>
          <w:szCs w:val="20"/>
          <w:rtl w:val="true"/>
        </w:rPr>
        <w:t xml:space="preserve">، رقم الترجمة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و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الترجمة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و قصد فصل الأخيران الكلام في حياته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المقريزي، الخطط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 و ابن خلكان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و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عارف تامر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في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في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في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في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في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مصطفى غالب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الدعوة الإسماعيلية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ليعلم أنّ نزار بن معد المذكور في المقام غير نزار بن معد العزيز باللّٰه الإمام العاشر للإسماعيلية</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الإسلامية الشيعية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مصطفى غالب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الدعوة الإسماعيلية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عارف تامر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في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تاريخ الدعوة الإسماعيلية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الدعوة الإسماعيلية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الدعوة الإسماعيلية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عارف تامر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في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عارف تامر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في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مصطفى غالب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الدعوة الإسماعيلية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في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و تاريخ الدعوة الإسماعيلية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عارف تامر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في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عارف تامر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في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مصطفى غالب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الدعوة الإسماعيلية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الرسائل، رقم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تعليق صبحي الصالح</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مصطفى غالب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الدعوة الإسماعيلية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مصطفى غالب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الدعوة الإسماعيلية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عارف تامر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في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مصطفى غالب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الدعوة الإسماعيلية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مصطفى غالب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الدعوة الإسماعيلية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مصطفى غالب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الدعوة الإسماعيلية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مصطفى غالب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الدعوة الإسماعيلية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في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و تاريخ الدعوة الإسماعيلية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الولد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قسم المقدمة</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راحة العقل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 لاحظ 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راحة العقل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محمد الوليد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العقائد و معدن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القصيدة الشافية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الأسفار لصدر المتألهين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w:t>
      </w:r>
      <w:r>
        <w:rPr>
          <w:rFonts w:ascii="IRNazanin" w:hAnsi="IRNazanin" w:eastAsia="IRNazanin"/>
          <w:b w:val="false"/>
          <w:b w:val="false"/>
          <w:bCs w:val="false"/>
          <w:i w:val="false"/>
          <w:i w:val="false"/>
          <w:iCs w:val="false"/>
          <w:color w:val="333333"/>
          <w:sz w:val="20"/>
          <w:sz w:val="20"/>
          <w:szCs w:val="20"/>
          <w:rtl w:val="true"/>
        </w:rPr>
        <w:t>، باب في أنّ الحق تعالى إنيّة صرفة؛ و شرح المنظومة للحكيم السبزواري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راحة العقل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راحة العقل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محمد الوليد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العقائد و معدن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 الأُولى</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راحة العقل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راحة العقل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محمد الوليد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العقائد و معدن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اخوان الصفا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189/3</w:t>
      </w:r>
      <w:r>
        <w:rPr>
          <w:rFonts w:ascii="IRNazanin" w:hAnsi="IRNazanin" w:eastAsia="IRNazanin"/>
          <w:b w:val="false"/>
          <w:b w:val="false"/>
          <w:bCs w:val="false"/>
          <w:i w:val="false"/>
          <w:i w:val="false"/>
          <w:iCs w:val="false"/>
          <w:color w:val="333333"/>
          <w:sz w:val="20"/>
          <w:sz w:val="20"/>
          <w:szCs w:val="20"/>
          <w:rtl w:val="true"/>
        </w:rPr>
        <w:t>، طبعة بيروت</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محمد الوليد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العقائد و معدن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راحة العقل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طبعة القاهرة</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العقائد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العقائد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العقائد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العقائد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العقائد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راحة العقل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العقائد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راحة العقل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مصطفى غالب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مقدمة كتاب الينابيع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العقائد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كلامهم في ذلك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علقنا عليه فلاحظ</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العقائد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العقائد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العقائد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عارف تامر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في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ذا يعنون من هذه الجملة، هل الإمامة أمر أزلي، أو الإمام موجود قديم مع تضافر البراهين على حدوث ما سوى اللّٰه سبحانه؟</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في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العقائد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العقائد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العقائد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تاريخ الدعوة الإسماعيلية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العقائد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كمال الدين للشيخ الصدوق، الغيبة للشيخ الطوسي، و منتخب الأثر للعلامة الصافي</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العقائد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العقائد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العقائد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العقائد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العقائد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الشريف الحضرمي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رشفة الصادي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قسم الحكم، الحكمة رقم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العقائد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العقائد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العقائد و معدن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راحة العقل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المشرع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العقائد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شرح المنظومة للحكيم السبزواري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 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راحة العقل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مصطفى غالب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مقدمة كتاب الينابيع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راحة العقل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راحة العقل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العقائد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العقائد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في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 بنت، و ما أثبتناه هو الصحيح</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الروحاني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يعلم انّ هُنَيْد مربى آدم و هو الإمام المقيم هل هو من جنس آدم أو ملك أو جنّ أو غيرها</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الروحاني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ظاهر الكتاب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نوحاً عليه السّلام أقدم من هود عليه السّلام، قال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قومَ نُوحٍ مِنْ قَبلُ إنّهم كانوا همُ أظلم و أطغى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فكيف يمكن للمتأخر زماناً أن يربّي المتقدم؟</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الكلام تفنده الآية الشريفة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قَتَلُوهُ و مَا صَلَبُوهُ و لكِن شُبِّهَ 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عارف تامر، الإمامة في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و التعليقات كلها له</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عارف تامر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في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مصطفى غالب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الدعوة الإسماعيلية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في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النوبختي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الفرق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مصطفى غالب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الدعوة الإسماعيلية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نقلاً عن زهر 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الإشكال السابع من إفادات العلاّمة الروحاني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 ظلّه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مصطفى غالب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مقدمة الينابيع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لذعته</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مصطفى غالب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مقدمة الينابيع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راحة العقل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المنظومة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محقّقي كتاب راحة العقل لم يذكروا فلك الثوابت، و لهذا صار العقل ممثولاً لما دون القمر، و جعلوا فلك الأفلاك و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فلكين مستقلين، مع أنّهما في هيئة بطليموس، فلك واحد، إلّا أن يختلف ترتيب العوالم العلوية عند الإسماعيليّة مع ما هو الثابت في علم الهيئة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لاحظ راحة العقل،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مصطفى غالب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مقدمة كتاب الينابيع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يريدون به محمد بن إسماعيل، لأنّ والده توفي في حياة أبيه، فانتقلت الإمامة إليه، و هو القائم و الإمام المستقر، و أمّا الإمام الكاظم عليه السّلام فقد كان إماماً مستودعاً</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القصيدة الشافية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قسم التعليقة</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القصيدة الشافية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قسم التعليقة؛ ناصر خسرو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 الإخوان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القصيدة الشافية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الدعائم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قسم المقدمة</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راحة العقل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مقدمة المحققين</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المرويّ عن طرقنا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بنى الإسلام على خمس</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ضمير الفاعل يرجع إلى روح الأمين</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الدعائم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الدعائم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الدعائم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الدعائم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الدعائم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الدعائم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الدعائم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الدعائم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الدعائم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الدعائم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الدعائم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الدعائم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الدعائم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الدعائم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الدعائم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الأمين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583/2</w:t>
      </w:r>
      <w:r>
        <w:rPr>
          <w:rFonts w:ascii="IRNazanin" w:hAnsi="IRNazanin" w:eastAsia="IRNazanin"/>
          <w:b w:val="false"/>
          <w:b w:val="false"/>
          <w:bCs w:val="false"/>
          <w:i w:val="false"/>
          <w:i w:val="false"/>
          <w:iCs w:val="false"/>
          <w:color w:val="333333"/>
          <w:sz w:val="20"/>
          <w:sz w:val="20"/>
          <w:szCs w:val="20"/>
          <w:rtl w:val="true"/>
        </w:rPr>
        <w:t>، و لم نعثر على النص في رياض العلماء المطبوع</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مصطفى غالب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الدعوة الإسماعيلية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الرياض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 بقلم عارف تامر</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حاتم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النبوة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المقدمة بقلم صلاح الصاوي</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حاتم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النبوة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طبع الكتاب في طهران عام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ترجمه خير الدين الزركلي و لم يأتي بشيء يذكر لاحظ 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النديم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الدعوة الإسماعيليّة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و قد ذكره باسم عبد اللّٰه بن أحمد النسفي البرذعي، و جاء في مقدمة كتاب الرياض، للكرماني، باسم محمد بن أحمد النسفي، و المقدمة لعارف تامر</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عارف تامر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الرياض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قسم المقدمة</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النديم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مصطفى غالب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الينابيع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عارف تامر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كتاب الرياض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نقل بتصرف</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الينابيع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عارف تامر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خمس رسائل إسماعيلية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الفرق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 الدين الزركلي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223/10</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قسم المقدمة</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اتعاظ الحنفاء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223/10</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أراد المزيد فليراجع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العبر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117/2</w:t>
      </w:r>
      <w:r>
        <w:rPr>
          <w:rFonts w:ascii="IRNazanin" w:hAnsi="IRNazanin" w:eastAsia="IRNazanin"/>
          <w:b w:val="false"/>
          <w:b w:val="false"/>
          <w:bCs w:val="false"/>
          <w:i w:val="false"/>
          <w:i w:val="false"/>
          <w:iCs w:val="false"/>
          <w:color w:val="333333"/>
          <w:sz w:val="20"/>
          <w:sz w:val="20"/>
          <w:szCs w:val="20"/>
          <w:rtl w:val="true"/>
        </w:rPr>
        <w:t>؛ دول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224/1</w:t>
      </w:r>
      <w:r>
        <w:rPr>
          <w:rFonts w:ascii="IRNazanin" w:hAnsi="IRNazanin" w:eastAsia="IRNazanin"/>
          <w:b w:val="false"/>
          <w:b w:val="false"/>
          <w:bCs w:val="false"/>
          <w:i w:val="false"/>
          <w:i w:val="false"/>
          <w:iCs w:val="false"/>
          <w:color w:val="333333"/>
          <w:sz w:val="20"/>
          <w:sz w:val="20"/>
          <w:szCs w:val="20"/>
          <w:rtl w:val="true"/>
        </w:rPr>
        <w:t>؛ سير اعلام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150/16</w:t>
      </w:r>
      <w:r>
        <w:rPr>
          <w:rFonts w:ascii="IRNazanin" w:hAnsi="IRNazanin" w:eastAsia="IRNazanin"/>
          <w:b w:val="false"/>
          <w:b w:val="false"/>
          <w:bCs w:val="false"/>
          <w:i w:val="false"/>
          <w:i w:val="false"/>
          <w:iCs w:val="false"/>
          <w:color w:val="333333"/>
          <w:sz w:val="20"/>
          <w:sz w:val="20"/>
          <w:szCs w:val="20"/>
          <w:rtl w:val="true"/>
        </w:rPr>
        <w:t>؛ اتعاظ الحنفاء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167/6</w:t>
      </w:r>
      <w:r>
        <w:rPr>
          <w:rFonts w:ascii="IRNazanin" w:hAnsi="IRNazanin" w:eastAsia="IRNazanin"/>
          <w:b w:val="false"/>
          <w:b w:val="false"/>
          <w:bCs w:val="false"/>
          <w:i w:val="false"/>
          <w:i w:val="false"/>
          <w:iCs w:val="false"/>
          <w:color w:val="333333"/>
          <w:sz w:val="20"/>
          <w:sz w:val="20"/>
          <w:szCs w:val="20"/>
          <w:rtl w:val="true"/>
        </w:rPr>
        <w:t>؛ شذرات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رياض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375/4</w:t>
      </w:r>
      <w:r>
        <w:rPr>
          <w:rFonts w:ascii="IRNazanin" w:hAnsi="IRNazanin" w:eastAsia="IRNazanin"/>
          <w:b w:val="false"/>
          <w:b w:val="false"/>
          <w:bCs w:val="false"/>
          <w:i w:val="false"/>
          <w:i w:val="false"/>
          <w:iCs w:val="false"/>
          <w:color w:val="333333"/>
          <w:sz w:val="20"/>
          <w:sz w:val="20"/>
          <w:szCs w:val="20"/>
          <w:rtl w:val="true"/>
        </w:rPr>
        <w:t>؛ ريحانة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w:t>
      </w:r>
      <w:r>
        <w:rPr>
          <w:rFonts w:ascii="IRNazanin" w:hAnsi="IRNazanin" w:eastAsia="IRNazanin"/>
          <w:b w:val="false"/>
          <w:b w:val="false"/>
          <w:bCs w:val="false"/>
          <w:i w:val="false"/>
          <w:i w:val="false"/>
          <w:iCs w:val="false"/>
          <w:color w:val="333333"/>
          <w:sz w:val="20"/>
          <w:sz w:val="20"/>
          <w:szCs w:val="20"/>
          <w:rtl w:val="true"/>
        </w:rPr>
        <w:t>؛ 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باب ذكر منازل الأئمة</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314/3</w:t>
      </w:r>
      <w:r>
        <w:rPr>
          <w:rFonts w:ascii="IRNazanin" w:hAnsi="IRNazanin" w:eastAsia="IRNazanin"/>
          <w:b w:val="false"/>
          <w:b w:val="false"/>
          <w:bCs w:val="false"/>
          <w:i w:val="false"/>
          <w:i w:val="false"/>
          <w:iCs w:val="false"/>
          <w:color w:val="333333"/>
          <w:sz w:val="20"/>
          <w:sz w:val="20"/>
          <w:szCs w:val="20"/>
          <w:rtl w:val="true"/>
        </w:rPr>
        <w:t>، الفائدة الثانية</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الحكم بن عتيبة،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مشاهير فقهاء عصر أبي جعفر الباقر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و 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الدعائم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الارجوزة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الارجوزة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عارف تامر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كتاب الرياض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راحة العقل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مقدمة التحقيق للدكتور كامل حسين، و محمد مصطفى حلمي</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الدعوة الإسماعيلية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 الدين الزركلي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الدعوة الإسماعيلية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 الدين الزركلي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من أراد المزيد فليراجع المصادر التالية؛ رياض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232/5</w:t>
      </w:r>
      <w:r>
        <w:rPr>
          <w:rFonts w:ascii="IRNazanin" w:hAnsi="IRNazanin" w:eastAsia="IRNazanin"/>
          <w:b w:val="false"/>
          <w:b w:val="false"/>
          <w:bCs w:val="false"/>
          <w:i w:val="false"/>
          <w:i w:val="false"/>
          <w:iCs w:val="false"/>
          <w:color w:val="333333"/>
          <w:sz w:val="20"/>
          <w:sz w:val="20"/>
          <w:szCs w:val="20"/>
          <w:rtl w:val="true"/>
        </w:rPr>
        <w:t>؛ مستدركات علم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طبقات أعلام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 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15/21</w:t>
      </w:r>
      <w:r>
        <w:rPr>
          <w:rFonts w:ascii="IRNazanin" w:hAnsi="IRNazanin" w:eastAsia="IRNazanin"/>
          <w:b w:val="false"/>
          <w:b w:val="false"/>
          <w:bCs w:val="false"/>
          <w:i w:val="false"/>
          <w:i w:val="false"/>
          <w:iCs w:val="false"/>
          <w:color w:val="333333"/>
          <w:sz w:val="20"/>
          <w:sz w:val="20"/>
          <w:szCs w:val="20"/>
          <w:rtl w:val="true"/>
        </w:rPr>
        <w:t>؛ معجم المؤلفين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القصيدة الصورية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قسم المقدمة</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لعلّ في التاريخ تصحيف</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مصطفى غالب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الولد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قسم المقدمة؛ الزركلي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الحامدي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الولد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عارف تامر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في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العقائد و معدن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المقدمة، تحقيق عارف تامر</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مصطفى غالب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مقدمة كتاب الينابيع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النوبختي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الإسلاميين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القاهر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الفرق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تاريخ الدعوة الإسماعيلية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طبع الجزء الذي نقلنا الترجمة عنه عام </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أي ما يعادل عام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سنة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ميلادي</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فريد وجدي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كرد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خطط الشام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الرسالة 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بتصرف من رسالة فرقة الدروز، للسيد نبيل الحيدري</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الزركلي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نقل بتصرف</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ادّعى الكاتب الدرزي صالح زهر الدين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الدروز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انّ حمزة اختفى بعد غيبة الحاكم بوقت قصير في نهاية عام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البدوي، مذاهب الإسلاميين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نقل بتصرف؛ و له ترجمة في تاريخ الدروز للدكتور صالح زهر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عجاج نويهض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التنوخي الأمير عبد اللّٰه و الشيخ محمد أبو هلال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الثانية، 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زهر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الدروز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توفيق 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على تاريخ مذهب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عارف أبو شقرا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علماء من شيوخ بني معروف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عبد الرحمن بدوي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مذاهب الإسلاميين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الدكتور صالح زهر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الدروز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545/2</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فطح</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400/2</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فطح</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موسى النوبختي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أبو جعفر المنصور العباسي</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الإسلاميين و اختلاف المصلّين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تصحيح هلموت ريز</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الفرق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الكشي الروايات الحاكية عن أنّ زرارة كان شاكاً في إمامة الكاظم عليه السّلام و انّه لما توفي الصادق عليه السّلام بعث ابنه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للتحقيق عن أمر الإمامة و انّه لعبد اللّٰه أو للكاظم عليهما السّلام، ثمّ إنّ زرارة مات قبل أن يرجع إليه عبيد، و نقلها السيد الخوئي قدّس سرّه في معجمه،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و ناقش في اسنادها و أثبت أنّها، ضعاف، و نحن نجلّ زرارة بن أعين الذي عاش مع الإمامين أبي جعفر الباقر و أبي عبد الصادق عليهما السّلام قرابة نصف قرن، عن هذه الوصمة</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ط مؤسسة النشر الإسلامي</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الشهرستاني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 التبصير للإسفرايني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اعتقادات الصدوق، المطبوع ضمن مصنفات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العيون 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395/14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المامقاني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193/1</w:t>
      </w:r>
      <w:r>
        <w:rPr>
          <w:rFonts w:ascii="IRNazanin" w:hAnsi="IRNazanin" w:eastAsia="IRNazanin"/>
          <w:b w:val="false"/>
          <w:b w:val="false"/>
          <w:bCs w:val="false"/>
          <w:i w:val="false"/>
          <w:i w:val="false"/>
          <w:iCs w:val="false"/>
          <w:color w:val="333333"/>
          <w:sz w:val="20"/>
          <w:sz w:val="20"/>
          <w:szCs w:val="20"/>
          <w:rtl w:val="true"/>
        </w:rPr>
        <w:t>، الفائدة السابعة</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البهبهاني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الرجالية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بتلخيص</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190/10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الفرج الاصفهاني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به المهدي العباسي</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به موسى بن المهدي</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265/48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النوبختي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و في ذيل كلامه إشارة إلى القسمين من الوقف كما ذكرناه</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الإسلاميين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الفرق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الشهرستاني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و لاحظ التبصير للاسفرائيني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حيث عبّر عنهم بالموسوية</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584/4</w:t>
      </w:r>
      <w:r>
        <w:rPr>
          <w:rFonts w:ascii="IRNazanin" w:hAnsi="IRNazanin" w:eastAsia="IRNazanin"/>
          <w:b w:val="false"/>
          <w:b w:val="false"/>
          <w:bCs w:val="false"/>
          <w:i w:val="false"/>
          <w:i w:val="false"/>
          <w:iCs w:val="false"/>
          <w:color w:val="333333"/>
          <w:sz w:val="20"/>
          <w:sz w:val="20"/>
          <w:szCs w:val="20"/>
          <w:rtl w:val="true"/>
        </w:rPr>
        <w:t>؛ و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و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و لقد رجعنا إلى ذلك الكتاب في دراسة هذه الطائفة فشكر اللّٰه مساعيه</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استخرج محقّق رجال الطوسي، أسماء الذين وصفوا بالوقف فيه، تحت فهرست المنسوبين إلى المذاهب الفاسدة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الإسلاميين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الفرق بين الفرق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أصحاب الإمام الهادي عليه السّلام برقم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أصحاب الإمام العسكري عليه السّلام برقم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التبصير في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122/8</w:t>
      </w:r>
      <w:r>
        <w:rPr>
          <w:rFonts w:ascii="IRNazanin" w:hAnsi="IRNazanin" w:eastAsia="IRNazanin"/>
          <w:b w:val="false"/>
          <w:b w:val="false"/>
          <w:bCs w:val="false"/>
          <w:i w:val="false"/>
          <w:i w:val="false"/>
          <w:iCs w:val="false"/>
          <w:color w:val="333333"/>
          <w:sz w:val="20"/>
          <w:sz w:val="20"/>
          <w:szCs w:val="20"/>
          <w:rtl w:val="true"/>
        </w:rPr>
        <w:t>، و لا يخفى أنّ ابن أبي الحديد تفرّد بإنكار النميري إمامة الحسن العسكري عليه السّلام و إمامة ابنه مع أنّه كان يدّعي البابية لابن العسكري سلام اللّٰه عليهم</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التعريفات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المامقاني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أصحاب الإمام الجواد برقم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أصحاب الإمام العسكري عليه السّلام برقم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المامقاني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الوزراء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الوزراء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أمين غالب الطويل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العلويين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العلويون بين الأُسطورة و الحقيقة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عزيز آل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العلويون و التشيع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الدار الإسلامية، بيروت،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 راجع العلويون بين الأُسطورة و الحقيقة لهاشم عثمان، و عقيدتنا و واقعنا لعبد الرحمن الخير</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زكي تفاحة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العلويين و عقيدتهم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الخير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عقيدتنا و واقعنا نحن المسلمين العلويين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نقل بتلخيص</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عزيز الإبراهيم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العلويون و التشيع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الشهرستاني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سليمان الاذنى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الباكورة السليمانية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النوبختي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الشهرستاني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النوبختي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الرازي فخر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اعتقادات فرق المسلمين و المشركين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النوبختي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القلقشندي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 الأعشى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الدكتور عبد الرحمن بدوي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مذاهب الإسلاميين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425/2</w:t>
      </w:r>
      <w:r>
        <w:rPr>
          <w:rFonts w:ascii="IRNazanin" w:hAnsi="IRNazanin" w:eastAsia="IRNazanin"/>
          <w:b w:val="false"/>
          <w:b w:val="false"/>
          <w:bCs w:val="false"/>
          <w:i w:val="false"/>
          <w:i w:val="false"/>
          <w:iCs w:val="false"/>
          <w:color w:val="333333"/>
          <w:sz w:val="20"/>
          <w:sz w:val="20"/>
          <w:szCs w:val="20"/>
          <w:rtl w:val="true"/>
        </w:rPr>
        <w:t xml:space="preserve">، دار العلم للملايين، 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عزيز إبراهيم العلوي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العلويون فدائيو الشيعة المجهولون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أمين غالب الطويل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العلويين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علي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المسلمون العلويون في لبنان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بيروت؛ الشيخ محمود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النبأ اليقين عن العلويين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مؤسسة البلاغ، 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نفسها</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الحسين شرف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في تأليف 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 علي عزيز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العلويون و التشيع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محمد أمين غالب الطويل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العلويين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أمين غالب الطويل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العلويين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محمود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النبأ اليقين عن العلويين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أمين غالب الطويل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العلويين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أمين غالب الطويل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العلويين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نصّ الفتوى في رسائل ابن تيمية؛ و تجدها كاملة في مذاهب الإسلاميين لعبد الرحمن بدوي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أمين غالب الطويل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العلويين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عارف تامر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الفرق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أمين غالب الطويل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العلويين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الدكتور وجيه محي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النهضة العلوية؛ أحمد زكي تفاحة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العلويين و عقيدتهم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المطبعة العلمية، النجف الأشرف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طبع ليدن</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جزيرة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و راجع تاريخ العلويين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لمحمد أمين غالب الطويل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أمين غالب الطويل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العلويين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لبنان و كذلك يتواجدون في وادي التيم، و في جبال الظنيين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لبنان من الفتح العربي إلى الفتح العثماني للدكتور محمد علي ملي</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اللطيف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الثورة العلوية؛ الدكتور سامي النشار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نشأة الفكر الفلسفي في الإسلام</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العلويون بين الأُسطورة و الحقيقة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784</w:t>
      </w:r>
      <w:r>
        <w:rPr>
          <w:rFonts w:ascii="IRNazanin" w:hAnsi="IRNazanin" w:eastAsia="IRNazanin"/>
          <w:b w:val="false"/>
          <w:b w:val="false"/>
          <w:bCs w:val="false"/>
          <w:i w:val="false"/>
          <w:i w:val="false"/>
          <w:iCs w:val="false"/>
          <w:color w:val="333333"/>
          <w:sz w:val="20"/>
          <w:sz w:val="20"/>
          <w:szCs w:val="20"/>
          <w:rtl w:val="true"/>
        </w:rPr>
        <w:t>؛ البداية و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82/11</w:t>
      </w:r>
      <w:r>
        <w:rPr>
          <w:rFonts w:ascii="IRNazanin" w:hAnsi="IRNazanin" w:eastAsia="IRNazanin"/>
          <w:b w:val="false"/>
          <w:b w:val="false"/>
          <w:bCs w:val="false"/>
          <w:i w:val="false"/>
          <w:i w:val="false"/>
          <w:iCs w:val="false"/>
          <w:color w:val="333333"/>
          <w:sz w:val="20"/>
          <w:sz w:val="20"/>
          <w:szCs w:val="20"/>
          <w:rtl w:val="true"/>
        </w:rPr>
        <w:t>؛ 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370/1</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378/6</w:t>
      </w:r>
      <w:r>
        <w:rPr>
          <w:rFonts w:ascii="IRNazanin" w:hAnsi="IRNazanin" w:eastAsia="IRNazanin"/>
          <w:b w:val="false"/>
          <w:b w:val="false"/>
          <w:bCs w:val="false"/>
          <w:i w:val="false"/>
          <w:i w:val="false"/>
          <w:iCs w:val="false"/>
          <w:color w:val="333333"/>
          <w:sz w:val="20"/>
          <w:sz w:val="20"/>
          <w:szCs w:val="20"/>
          <w:rtl w:val="true"/>
        </w:rPr>
        <w:t>؛ 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الزركلي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82/6</w:t>
      </w:r>
      <w:r>
        <w:rPr>
          <w:rFonts w:ascii="IRNazanin" w:hAnsi="IRNazanin" w:eastAsia="IRNazanin"/>
          <w:b w:val="false"/>
          <w:b w:val="false"/>
          <w:bCs w:val="false"/>
          <w:i w:val="false"/>
          <w:i w:val="false"/>
          <w:iCs w:val="false"/>
          <w:color w:val="333333"/>
          <w:sz w:val="20"/>
          <w:sz w:val="20"/>
          <w:szCs w:val="20"/>
          <w:rtl w:val="true"/>
        </w:rPr>
        <w:t>؛ بروكلمان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الأدب العربي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358/3</w:t>
      </w:r>
      <w:r>
        <w:rPr>
          <w:rFonts w:ascii="IRNazanin" w:hAnsi="IRNazanin" w:eastAsia="IRNazanin"/>
          <w:b w:val="false"/>
          <w:b w:val="false"/>
          <w:bCs w:val="false"/>
          <w:i w:val="false"/>
          <w:i w:val="false"/>
          <w:iCs w:val="false"/>
          <w:color w:val="333333"/>
          <w:sz w:val="20"/>
          <w:sz w:val="20"/>
          <w:szCs w:val="20"/>
          <w:rtl w:val="true"/>
        </w:rPr>
        <w:t>؛ الدكتور أسعد أحمد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 المنتجب العاني و عرفانه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دار النعمان، 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جنبلاء محدوداً بضمتين و ثانية ساكنة، كورة و منزل بين واسط و الكوفة في العراق</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أمين غالب الطويل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العلويين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الطبرسي النوري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عزيز الإبراهيم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العلويون و التشيع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محسن الأمين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164/25</w:t>
      </w:r>
      <w:r>
        <w:rPr>
          <w:rFonts w:ascii="IRNazanin" w:hAnsi="IRNazanin" w:eastAsia="IRNazanin"/>
          <w:b w:val="false"/>
          <w:b w:val="false"/>
          <w:bCs w:val="false"/>
          <w:i w:val="false"/>
          <w:i w:val="false"/>
          <w:iCs w:val="false"/>
          <w:color w:val="333333"/>
          <w:sz w:val="20"/>
          <w:sz w:val="20"/>
          <w:szCs w:val="20"/>
          <w:rtl w:val="true"/>
        </w:rPr>
        <w:t>؛ أحمد زكي تفاحة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العلويين و عقيدتهم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المامقاني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491/5</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الزركلي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w:t>
      </w:r>
      <w:r>
        <w:rPr>
          <w:rFonts w:ascii="IRNazanin" w:hAnsi="IRNazanin" w:eastAsia="IRNazanin"/>
          <w:b w:val="false"/>
          <w:b w:val="false"/>
          <w:bCs w:val="false"/>
          <w:i w:val="false"/>
          <w:i w:val="false"/>
          <w:iCs w:val="false"/>
          <w:color w:val="333333"/>
          <w:sz w:val="20"/>
          <w:sz w:val="20"/>
          <w:szCs w:val="20"/>
          <w:rtl w:val="true"/>
        </w:rPr>
        <w:t>؛ ترمانيني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أحداث التاريخ الإسلامي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1132/2</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الزركلي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زكي تفاحة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العلويين و عقيدتهم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يونس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المكزون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أسعد أحمد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اللّٰه، و المكزون السنجاري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دار الرائد العربي، بيروت،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image" Target="media/image3.jpeg"/><Relationship Id="rId443" Type="http://schemas.openxmlformats.org/officeDocument/2006/relationships/image" Target="media/image3.jpeg"/><Relationship Id="rId444" Type="http://schemas.openxmlformats.org/officeDocument/2006/relationships/footer" Target="footer437.xml"/><Relationship Id="rId445" Type="http://schemas.openxmlformats.org/officeDocument/2006/relationships/image" Target="media/image4.jpeg"/><Relationship Id="rId446" Type="http://schemas.openxmlformats.org/officeDocument/2006/relationships/image" Target="media/image4.jpeg"/><Relationship Id="rId447" Type="http://schemas.openxmlformats.org/officeDocument/2006/relationships/footer" Target="footer438.xml"/><Relationship Id="rId448" Type="http://schemas.openxmlformats.org/officeDocument/2006/relationships/image" Target="media/image5.jpeg"/><Relationship Id="rId449" Type="http://schemas.openxmlformats.org/officeDocument/2006/relationships/image" Target="media/image5.jpeg"/><Relationship Id="rId450" Type="http://schemas.openxmlformats.org/officeDocument/2006/relationships/footer" Target="footer439.xml"/><Relationship Id="rId451" Type="http://schemas.openxmlformats.org/officeDocument/2006/relationships/image" Target="media/image6.jpeg"/><Relationship Id="rId452" Type="http://schemas.openxmlformats.org/officeDocument/2006/relationships/image" Target="media/image6.jpeg"/><Relationship Id="rId453" Type="http://schemas.openxmlformats.org/officeDocument/2006/relationships/footer" Target="footer440.xml"/><Relationship Id="rId454" Type="http://schemas.openxmlformats.org/officeDocument/2006/relationships/image" Target="media/image7.jpeg"/><Relationship Id="rId455" Type="http://schemas.openxmlformats.org/officeDocument/2006/relationships/image" Target="media/image7.jpeg"/><Relationship Id="rId456" Type="http://schemas.openxmlformats.org/officeDocument/2006/relationships/footer" Target="footer441.xml"/><Relationship Id="rId457" Type="http://schemas.openxmlformats.org/officeDocument/2006/relationships/image" Target="media/image8.jpeg"/><Relationship Id="rId458" Type="http://schemas.openxmlformats.org/officeDocument/2006/relationships/image" Target="media/image8.jpeg"/><Relationship Id="rId459" Type="http://schemas.openxmlformats.org/officeDocument/2006/relationships/footer" Target="footer442.xml"/><Relationship Id="rId460" Type="http://schemas.openxmlformats.org/officeDocument/2006/relationships/image" Target="media/image9.jpeg"/><Relationship Id="rId461" Type="http://schemas.openxmlformats.org/officeDocument/2006/relationships/image" Target="media/image9.jpeg"/><Relationship Id="rId462" Type="http://schemas.openxmlformats.org/officeDocument/2006/relationships/footer" Target="footer443.xml"/><Relationship Id="rId463" Type="http://schemas.openxmlformats.org/officeDocument/2006/relationships/image" Target="media/image10.jpeg"/><Relationship Id="rId464" Type="http://schemas.openxmlformats.org/officeDocument/2006/relationships/image" Target="media/image10.jpeg"/><Relationship Id="rId465" Type="http://schemas.openxmlformats.org/officeDocument/2006/relationships/footer" Target="footer444.xml"/><Relationship Id="rId466" Type="http://schemas.openxmlformats.org/officeDocument/2006/relationships/image" Target="media/image11.jpeg"/><Relationship Id="rId467" Type="http://schemas.openxmlformats.org/officeDocument/2006/relationships/image" Target="media/image11.jpeg"/><Relationship Id="rId468" Type="http://schemas.openxmlformats.org/officeDocument/2006/relationships/footer" Target="footer445.xml"/><Relationship Id="rId469" Type="http://schemas.openxmlformats.org/officeDocument/2006/relationships/image" Target="media/image12.jpeg"/><Relationship Id="rId470" Type="http://schemas.openxmlformats.org/officeDocument/2006/relationships/image" Target="media/image12.jpeg"/><Relationship Id="rId471" Type="http://schemas.openxmlformats.org/officeDocument/2006/relationships/footer" Target="footer446.xml"/><Relationship Id="rId472" Type="http://schemas.openxmlformats.org/officeDocument/2006/relationships/image" Target="media/image13.jpeg"/><Relationship Id="rId473" Type="http://schemas.openxmlformats.org/officeDocument/2006/relationships/image" Target="media/image13.jpeg"/><Relationship Id="rId474" Type="http://schemas.openxmlformats.org/officeDocument/2006/relationships/footer" Target="footer447.xml"/><Relationship Id="rId475" Type="http://schemas.openxmlformats.org/officeDocument/2006/relationships/image" Target="media/image14.jpeg"/><Relationship Id="rId476" Type="http://schemas.openxmlformats.org/officeDocument/2006/relationships/image" Target="media/image14.jpeg"/><Relationship Id="rId477" Type="http://schemas.openxmlformats.org/officeDocument/2006/relationships/footer" Target="footer448.xml"/><Relationship Id="rId478" Type="http://schemas.openxmlformats.org/officeDocument/2006/relationships/image" Target="media/image15.jpeg"/><Relationship Id="rId479" Type="http://schemas.openxmlformats.org/officeDocument/2006/relationships/image" Target="media/image15.jpeg"/><Relationship Id="rId480" Type="http://schemas.openxmlformats.org/officeDocument/2006/relationships/footer" Target="footer449.xml"/><Relationship Id="rId481" Type="http://schemas.openxmlformats.org/officeDocument/2006/relationships/image" Target="media/image16.jpeg"/><Relationship Id="rId482" Type="http://schemas.openxmlformats.org/officeDocument/2006/relationships/image" Target="media/image16.jpeg"/><Relationship Id="rId483" Type="http://schemas.openxmlformats.org/officeDocument/2006/relationships/footer" Target="footer450.xml"/><Relationship Id="rId484" Type="http://schemas.openxmlformats.org/officeDocument/2006/relationships/image" Target="media/image17.jpeg"/><Relationship Id="rId485" Type="http://schemas.openxmlformats.org/officeDocument/2006/relationships/image" Target="media/image17.jpeg"/><Relationship Id="rId486" Type="http://schemas.openxmlformats.org/officeDocument/2006/relationships/footer" Target="footer451.xml"/><Relationship Id="rId487" Type="http://schemas.openxmlformats.org/officeDocument/2006/relationships/image" Target="media/image18.jpeg"/><Relationship Id="rId488" Type="http://schemas.openxmlformats.org/officeDocument/2006/relationships/image" Target="media/image18.jpeg"/><Relationship Id="rId489" Type="http://schemas.openxmlformats.org/officeDocument/2006/relationships/footer" Target="footer452.xml"/><Relationship Id="rId490" Type="http://schemas.openxmlformats.org/officeDocument/2006/relationships/image" Target="media/image19.jpeg"/><Relationship Id="rId491" Type="http://schemas.openxmlformats.org/officeDocument/2006/relationships/image" Target="media/image19.jpeg"/><Relationship Id="rId492" Type="http://schemas.openxmlformats.org/officeDocument/2006/relationships/footer" Target="footer453.xml"/><Relationship Id="rId493" Type="http://schemas.openxmlformats.org/officeDocument/2006/relationships/image" Target="media/image2.jpeg"/><Relationship Id="rId494" Type="http://schemas.openxmlformats.org/officeDocument/2006/relationships/image" Target="media/image2.jpeg"/><Relationship Id="rId495" Type="http://schemas.openxmlformats.org/officeDocument/2006/relationships/footer" Target="footer454.xml"/><Relationship Id="rId496" Type="http://schemas.openxmlformats.org/officeDocument/2006/relationships/footnotes" Target="footnotes.xml"/><Relationship Id="rId497" Type="http://schemas.openxmlformats.org/officeDocument/2006/relationships/numbering" Target="numbering.xml"/><Relationship Id="rId498" Type="http://schemas.openxmlformats.org/officeDocument/2006/relationships/fontTable" Target="fontTable.xml"/><Relationship Id="rId499" Type="http://schemas.openxmlformats.org/officeDocument/2006/relationships/settings" Target="settings.xml"/><Relationship Id="rId50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465</Pages>
  <Words>49184</Words>
  <Characters>201165</Characters>
  <CharactersWithSpaces>248715</CharactersWithSpaces>
  <Paragraphs>1834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2026-08-22T01:19:41Z</dcterms:created>
  <dc:creator>ghaemiyeh.com</dc:creator>
  <dc:description/>
  <dc:language>en-US</dc:language>
  <cp:lastModifiedBy/>
  <dcterms:modified xsi:type="dcterms:W3CDTF">2026-08-22T04:49:59Z</dcterms:modified>
  <cp:revision>1</cp:revision>
  <dc:subject/>
  <dc:title>بحوث فی الملل و النحل جلد 8</dc:title>
</cp:coreProperties>
</file>

<file path=docProps/custom.xml><?xml version="1.0" encoding="utf-8"?>
<Properties xmlns="http://schemas.openxmlformats.org/officeDocument/2006/custom-properties" xmlns:vt="http://schemas.openxmlformats.org/officeDocument/2006/docPropsVTypes"/>
</file>