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المسائل تعلیق و شرح بر ذخیرة العباد نوشته علامه محقق شیخ محمدحسین غروی اصفهانی قدس سره و تکمیل آن تا پایان فقه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7361_1067777946">
            <w:r>
              <w:rPr>
                <w:webHidden/>
                <w:rStyle w:val="IndexLink"/>
                <w:rtl w:val="true"/>
              </w:rPr>
              <w:t>مشخصات کتاب</w:t>
            </w:r>
            <w:r>
              <w:rPr>
                <w:rStyle w:val="IndexLink"/>
                <w:rtl w:val="true"/>
              </w:rPr>
              <w:tab/>
            </w:r>
            <w:r>
              <w:rPr>
                <w:rStyle w:val="IndexLink"/>
              </w:rPr>
              <w:t>34</w:t>
            </w:r>
          </w:hyperlink>
        </w:p>
        <w:p>
          <w:pPr>
            <w:pStyle w:val="Contents2"/>
            <w:tabs>
              <w:tab w:val="clear" w:pos="8743"/>
              <w:tab w:val="right" w:pos="9026" w:leader="dot"/>
            </w:tabs>
            <w:rPr/>
          </w:pPr>
          <w:hyperlink w:anchor="__RefHeading___Toc3597363_1067777946">
            <w:r>
              <w:rPr>
                <w:webHidden/>
                <w:rStyle w:val="IndexLink"/>
                <w:rtl w:val="true"/>
              </w:rPr>
              <w:t>اشاره</w:t>
            </w:r>
            <w:r>
              <w:rPr>
                <w:rStyle w:val="IndexLink"/>
                <w:rtl w:val="true"/>
              </w:rPr>
              <w:tab/>
            </w:r>
            <w:r>
              <w:rPr>
                <w:rStyle w:val="IndexLink"/>
              </w:rPr>
              <w:t>34</w:t>
            </w:r>
          </w:hyperlink>
        </w:p>
        <w:p>
          <w:pPr>
            <w:pStyle w:val="Contents2"/>
            <w:tabs>
              <w:tab w:val="clear" w:pos="8743"/>
              <w:tab w:val="right" w:pos="9026" w:leader="dot"/>
            </w:tabs>
            <w:rPr/>
          </w:pPr>
          <w:hyperlink w:anchor="__RefHeading___Toc3597365_1067777946">
            <w:r>
              <w:rPr>
                <w:webHidden/>
                <w:rStyle w:val="IndexLink"/>
                <w:rtl w:val="true"/>
              </w:rPr>
              <w:t>تذكر</w:t>
            </w:r>
            <w:r>
              <w:rPr>
                <w:rStyle w:val="IndexLink"/>
                <w:rtl w:val="true"/>
              </w:rPr>
              <w:tab/>
            </w:r>
            <w:r>
              <w:rPr>
                <w:rStyle w:val="IndexLink"/>
              </w:rPr>
              <w:t>36</w:t>
            </w:r>
          </w:hyperlink>
        </w:p>
        <w:p>
          <w:pPr>
            <w:pStyle w:val="Contents2"/>
            <w:tabs>
              <w:tab w:val="clear" w:pos="8743"/>
              <w:tab w:val="right" w:pos="9026" w:leader="dot"/>
            </w:tabs>
            <w:rPr/>
          </w:pPr>
          <w:hyperlink w:anchor="__RefHeading___Toc3597367_1067777946">
            <w:r>
              <w:rPr>
                <w:webHidden/>
                <w:rStyle w:val="IndexLink"/>
                <w:rtl w:val="true"/>
              </w:rPr>
              <w:t>كتاب رهن</w:t>
            </w:r>
            <w:r>
              <w:rPr>
                <w:rStyle w:val="IndexLink"/>
                <w:rtl w:val="true"/>
              </w:rPr>
              <w:tab/>
            </w:r>
            <w:r>
              <w:rPr>
                <w:rStyle w:val="IndexLink"/>
              </w:rPr>
              <w:t>38</w:t>
            </w:r>
          </w:hyperlink>
        </w:p>
        <w:p>
          <w:pPr>
            <w:pStyle w:val="Contents3"/>
            <w:tabs>
              <w:tab w:val="clear" w:pos="8459"/>
              <w:tab w:val="right" w:pos="9026" w:leader="dot"/>
            </w:tabs>
            <w:rPr/>
          </w:pPr>
          <w:hyperlink w:anchor="__RefHeading___Toc3597369_106777794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597371_1067777946">
            <w:r>
              <w:rPr>
                <w:webHidden/>
                <w:rStyle w:val="IndexLink"/>
                <w:rtl w:val="true"/>
              </w:rPr>
              <w:t>فصل اول عقد رهن</w:t>
            </w:r>
            <w:r>
              <w:rPr>
                <w:rStyle w:val="IndexLink"/>
                <w:rtl w:val="true"/>
              </w:rPr>
              <w:tab/>
            </w:r>
            <w:r>
              <w:rPr>
                <w:rStyle w:val="IndexLink"/>
              </w:rPr>
              <w:t>40</w:t>
            </w:r>
          </w:hyperlink>
        </w:p>
        <w:p>
          <w:pPr>
            <w:pStyle w:val="Contents4"/>
            <w:tabs>
              <w:tab w:val="clear" w:pos="8176"/>
              <w:tab w:val="right" w:pos="9026" w:leader="dot"/>
            </w:tabs>
            <w:rPr/>
          </w:pPr>
          <w:hyperlink w:anchor="__RefHeading___Toc3597373_106777794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597375_1067777946">
            <w:r>
              <w:rPr>
                <w:webHidden/>
                <w:rStyle w:val="IndexLink"/>
                <w:rtl w:val="true"/>
              </w:rPr>
              <w:t>تعريف رهن</w:t>
            </w:r>
            <w:r>
              <w:rPr>
                <w:rStyle w:val="IndexLink"/>
                <w:rtl w:val="true"/>
              </w:rPr>
              <w:tab/>
            </w:r>
            <w:r>
              <w:rPr>
                <w:rStyle w:val="IndexLink"/>
              </w:rPr>
              <w:t>40</w:t>
            </w:r>
          </w:hyperlink>
        </w:p>
        <w:p>
          <w:pPr>
            <w:pStyle w:val="Contents4"/>
            <w:tabs>
              <w:tab w:val="clear" w:pos="8176"/>
              <w:tab w:val="right" w:pos="9026" w:leader="dot"/>
            </w:tabs>
            <w:rPr/>
          </w:pPr>
          <w:hyperlink w:anchor="__RefHeading___Toc3597377_1067777946">
            <w:r>
              <w:rPr>
                <w:webHidden/>
                <w:rStyle w:val="IndexLink"/>
                <w:rtl w:val="true"/>
              </w:rPr>
              <w:t>نحوۀ ايجاب و قبول رهن</w:t>
            </w:r>
            <w:r>
              <w:rPr>
                <w:rStyle w:val="IndexLink"/>
                <w:rtl w:val="true"/>
              </w:rPr>
              <w:tab/>
            </w:r>
            <w:r>
              <w:rPr>
                <w:rStyle w:val="IndexLink"/>
              </w:rPr>
              <w:t>40</w:t>
            </w:r>
          </w:hyperlink>
        </w:p>
        <w:p>
          <w:pPr>
            <w:pStyle w:val="Contents4"/>
            <w:tabs>
              <w:tab w:val="clear" w:pos="8176"/>
              <w:tab w:val="right" w:pos="9026" w:leader="dot"/>
            </w:tabs>
            <w:rPr/>
          </w:pPr>
          <w:hyperlink w:anchor="__RefHeading___Toc3597379_1067777946">
            <w:r>
              <w:rPr>
                <w:webHidden/>
                <w:rStyle w:val="IndexLink"/>
                <w:rtl w:val="true"/>
              </w:rPr>
              <w:t>جريان معاطات در رهن</w:t>
            </w:r>
            <w:r>
              <w:rPr>
                <w:rStyle w:val="IndexLink"/>
                <w:rtl w:val="true"/>
              </w:rPr>
              <w:tab/>
            </w:r>
            <w:r>
              <w:rPr>
                <w:rStyle w:val="IndexLink"/>
              </w:rPr>
              <w:t>40</w:t>
            </w:r>
          </w:hyperlink>
        </w:p>
        <w:p>
          <w:pPr>
            <w:pStyle w:val="Contents4"/>
            <w:tabs>
              <w:tab w:val="clear" w:pos="8176"/>
              <w:tab w:val="right" w:pos="9026" w:leader="dot"/>
            </w:tabs>
            <w:rPr/>
          </w:pPr>
          <w:hyperlink w:anchor="__RefHeading___Toc3597381_1067777946">
            <w:r>
              <w:rPr>
                <w:webHidden/>
                <w:rStyle w:val="IndexLink"/>
                <w:rtl w:val="true"/>
              </w:rPr>
              <w:t>عدم اعتبار عربيّت در عقد رهن</w:t>
            </w:r>
            <w:r>
              <w:rPr>
                <w:rStyle w:val="IndexLink"/>
                <w:rtl w:val="true"/>
              </w:rPr>
              <w:tab/>
            </w:r>
            <w:r>
              <w:rPr>
                <w:rStyle w:val="IndexLink"/>
              </w:rPr>
              <w:t>41</w:t>
            </w:r>
          </w:hyperlink>
        </w:p>
        <w:p>
          <w:pPr>
            <w:pStyle w:val="Contents4"/>
            <w:tabs>
              <w:tab w:val="clear" w:pos="8176"/>
              <w:tab w:val="right" w:pos="9026" w:leader="dot"/>
            </w:tabs>
            <w:rPr/>
          </w:pPr>
          <w:hyperlink w:anchor="__RefHeading___Toc3597383_1067777946">
            <w:r>
              <w:rPr>
                <w:webHidden/>
                <w:rStyle w:val="IndexLink"/>
                <w:rtl w:val="true"/>
              </w:rPr>
              <w:t>افتراق و عدم افتراق قبول از ايجاب</w:t>
            </w:r>
            <w:r>
              <w:rPr>
                <w:rStyle w:val="IndexLink"/>
                <w:rtl w:val="true"/>
              </w:rPr>
              <w:tab/>
            </w:r>
            <w:r>
              <w:rPr>
                <w:rStyle w:val="IndexLink"/>
              </w:rPr>
              <w:t>41</w:t>
            </w:r>
          </w:hyperlink>
        </w:p>
        <w:p>
          <w:pPr>
            <w:pStyle w:val="Contents4"/>
            <w:tabs>
              <w:tab w:val="clear" w:pos="8176"/>
              <w:tab w:val="right" w:pos="9026" w:leader="dot"/>
            </w:tabs>
            <w:rPr/>
          </w:pPr>
          <w:hyperlink w:anchor="__RefHeading___Toc3597385_1067777946">
            <w:r>
              <w:rPr>
                <w:webHidden/>
                <w:rStyle w:val="IndexLink"/>
                <w:rtl w:val="true"/>
              </w:rPr>
              <w:t>اعتبار قبض در رهن</w:t>
            </w:r>
            <w:r>
              <w:rPr>
                <w:rStyle w:val="IndexLink"/>
                <w:rtl w:val="true"/>
              </w:rPr>
              <w:tab/>
            </w:r>
            <w:r>
              <w:rPr>
                <w:rStyle w:val="IndexLink"/>
              </w:rPr>
              <w:t>42</w:t>
            </w:r>
          </w:hyperlink>
        </w:p>
        <w:p>
          <w:pPr>
            <w:pStyle w:val="Contents4"/>
            <w:tabs>
              <w:tab w:val="clear" w:pos="8176"/>
              <w:tab w:val="right" w:pos="9026" w:leader="dot"/>
            </w:tabs>
            <w:rPr/>
          </w:pPr>
          <w:hyperlink w:anchor="__RefHeading___Toc3597387_1067777946">
            <w:r>
              <w:rPr>
                <w:webHidden/>
                <w:rStyle w:val="IndexLink"/>
                <w:rtl w:val="true"/>
              </w:rPr>
              <w:t>بعضى از موانع تحقّق رهن</w:t>
            </w:r>
            <w:r>
              <w:rPr>
                <w:rStyle w:val="IndexLink"/>
                <w:rtl w:val="true"/>
              </w:rPr>
              <w:tab/>
            </w:r>
            <w:r>
              <w:rPr>
                <w:rStyle w:val="IndexLink"/>
              </w:rPr>
              <w:t>42</w:t>
            </w:r>
          </w:hyperlink>
        </w:p>
        <w:p>
          <w:pPr>
            <w:pStyle w:val="Contents4"/>
            <w:tabs>
              <w:tab w:val="clear" w:pos="8176"/>
              <w:tab w:val="right" w:pos="9026" w:leader="dot"/>
            </w:tabs>
            <w:rPr/>
          </w:pPr>
          <w:hyperlink w:anchor="__RefHeading___Toc3597389_1067777946">
            <w:r>
              <w:rPr>
                <w:webHidden/>
                <w:rStyle w:val="IndexLink"/>
                <w:rtl w:val="true"/>
              </w:rPr>
              <w:t>اشتراط قبض به اذن راهن</w:t>
            </w:r>
            <w:r>
              <w:rPr>
                <w:rStyle w:val="IndexLink"/>
                <w:rtl w:val="true"/>
              </w:rPr>
              <w:tab/>
            </w:r>
            <w:r>
              <w:rPr>
                <w:rStyle w:val="IndexLink"/>
              </w:rPr>
              <w:t>43</w:t>
            </w:r>
          </w:hyperlink>
        </w:p>
        <w:p>
          <w:pPr>
            <w:pStyle w:val="Contents4"/>
            <w:tabs>
              <w:tab w:val="clear" w:pos="8176"/>
              <w:tab w:val="right" w:pos="9026" w:leader="dot"/>
            </w:tabs>
            <w:rPr/>
          </w:pPr>
          <w:hyperlink w:anchor="__RefHeading___Toc3597391_1067777946">
            <w:r>
              <w:rPr>
                <w:webHidden/>
                <w:rStyle w:val="IndexLink"/>
                <w:rtl w:val="true"/>
              </w:rPr>
              <w:t>حصول موت و جنون و</w:t>
            </w:r>
            <w:r>
              <w:rPr>
                <w:rStyle w:val="IndexLink"/>
                <w:rtl w:val="true"/>
              </w:rPr>
              <w:t xml:space="preserve">... </w:t>
            </w:r>
            <w:r>
              <w:rPr>
                <w:rStyle w:val="IndexLink"/>
                <w:rtl w:val="true"/>
              </w:rPr>
              <w:t>بعد از عقد رهن و قبل از قبض</w:t>
            </w:r>
            <w:r>
              <w:rPr>
                <w:rStyle w:val="IndexLink"/>
                <w:rtl w:val="true"/>
              </w:rPr>
              <w:tab/>
            </w:r>
            <w:r>
              <w:rPr>
                <w:rStyle w:val="IndexLink"/>
              </w:rPr>
              <w:t>43</w:t>
            </w:r>
          </w:hyperlink>
        </w:p>
        <w:p>
          <w:pPr>
            <w:pStyle w:val="Contents4"/>
            <w:tabs>
              <w:tab w:val="clear" w:pos="8176"/>
              <w:tab w:val="right" w:pos="9026" w:leader="dot"/>
            </w:tabs>
            <w:rPr/>
          </w:pPr>
          <w:hyperlink w:anchor="__RefHeading___Toc3597393_1067777946">
            <w:r>
              <w:rPr>
                <w:webHidden/>
                <w:rStyle w:val="IndexLink"/>
                <w:rtl w:val="true"/>
              </w:rPr>
              <w:t>تعقّب اذن در يد عدوانى</w:t>
            </w:r>
            <w:r>
              <w:rPr>
                <w:rStyle w:val="IndexLink"/>
                <w:rtl w:val="true"/>
              </w:rPr>
              <w:tab/>
            </w:r>
            <w:r>
              <w:rPr>
                <w:rStyle w:val="IndexLink"/>
              </w:rPr>
              <w:t>43</w:t>
            </w:r>
          </w:hyperlink>
        </w:p>
        <w:p>
          <w:pPr>
            <w:pStyle w:val="Contents4"/>
            <w:tabs>
              <w:tab w:val="clear" w:pos="8176"/>
              <w:tab w:val="right" w:pos="9026" w:leader="dot"/>
            </w:tabs>
            <w:rPr/>
          </w:pPr>
          <w:hyperlink w:anchor="__RefHeading___Toc3597395_1067777946">
            <w:r>
              <w:rPr>
                <w:webHidden/>
                <w:rStyle w:val="IndexLink"/>
                <w:rtl w:val="true"/>
              </w:rPr>
              <w:t>حكم حضور راهن و مرتهن در مجلس عقد و قبض</w:t>
            </w:r>
            <w:r>
              <w:rPr>
                <w:rStyle w:val="IndexLink"/>
                <w:rtl w:val="true"/>
              </w:rPr>
              <w:tab/>
            </w:r>
            <w:r>
              <w:rPr>
                <w:rStyle w:val="IndexLink"/>
              </w:rPr>
              <w:t>44</w:t>
            </w:r>
          </w:hyperlink>
        </w:p>
        <w:p>
          <w:pPr>
            <w:pStyle w:val="Contents4"/>
            <w:tabs>
              <w:tab w:val="clear" w:pos="8176"/>
              <w:tab w:val="right" w:pos="9026" w:leader="dot"/>
            </w:tabs>
            <w:rPr/>
          </w:pPr>
          <w:hyperlink w:anchor="__RefHeading___Toc3597397_1067777946">
            <w:r>
              <w:rPr>
                <w:webHidden/>
                <w:rStyle w:val="IndexLink"/>
                <w:rtl w:val="true"/>
              </w:rPr>
              <w:t>بعضى از فروض اقرار بر رهن و رجوع از آن</w:t>
            </w:r>
            <w:r>
              <w:rPr>
                <w:rStyle w:val="IndexLink"/>
                <w:rtl w:val="true"/>
              </w:rPr>
              <w:tab/>
            </w:r>
            <w:r>
              <w:rPr>
                <w:rStyle w:val="IndexLink"/>
              </w:rPr>
              <w:t>44</w:t>
            </w:r>
          </w:hyperlink>
        </w:p>
        <w:p>
          <w:pPr>
            <w:pStyle w:val="Contents4"/>
            <w:tabs>
              <w:tab w:val="clear" w:pos="8176"/>
              <w:tab w:val="right" w:pos="9026" w:leader="dot"/>
            </w:tabs>
            <w:rPr/>
          </w:pPr>
          <w:hyperlink w:anchor="__RefHeading___Toc3597399_1067777946">
            <w:r>
              <w:rPr>
                <w:webHidden/>
                <w:rStyle w:val="IndexLink"/>
                <w:rtl w:val="true"/>
              </w:rPr>
              <w:t>اذن و شريك در مال مشاع در رهن</w:t>
            </w:r>
            <w:r>
              <w:rPr>
                <w:rStyle w:val="IndexLink"/>
                <w:rtl w:val="true"/>
              </w:rPr>
              <w:tab/>
            </w:r>
            <w:r>
              <w:rPr>
                <w:rStyle w:val="IndexLink"/>
              </w:rPr>
              <w:t>45</w:t>
            </w:r>
          </w:hyperlink>
        </w:p>
        <w:p>
          <w:pPr>
            <w:pStyle w:val="Contents4"/>
            <w:tabs>
              <w:tab w:val="clear" w:pos="8176"/>
              <w:tab w:val="right" w:pos="9026" w:leader="dot"/>
            </w:tabs>
            <w:rPr/>
          </w:pPr>
          <w:hyperlink w:anchor="__RefHeading___Toc3597401_1067777946">
            <w:r>
              <w:rPr>
                <w:webHidden/>
                <w:rStyle w:val="IndexLink"/>
                <w:rtl w:val="true"/>
              </w:rPr>
              <w:t>تصرّف عدوانى بدون اذن</w:t>
            </w:r>
            <w:r>
              <w:rPr>
                <w:rStyle w:val="IndexLink"/>
                <w:rtl w:val="true"/>
              </w:rPr>
              <w:tab/>
            </w:r>
            <w:r>
              <w:rPr>
                <w:rStyle w:val="IndexLink"/>
              </w:rPr>
              <w:t>45</w:t>
            </w:r>
          </w:hyperlink>
        </w:p>
        <w:p>
          <w:pPr>
            <w:pStyle w:val="Contents4"/>
            <w:tabs>
              <w:tab w:val="clear" w:pos="8176"/>
              <w:tab w:val="right" w:pos="9026" w:leader="dot"/>
            </w:tabs>
            <w:rPr/>
          </w:pPr>
          <w:hyperlink w:anchor="__RefHeading___Toc3597403_1067777946">
            <w:r>
              <w:rPr>
                <w:webHidden/>
                <w:rStyle w:val="IndexLink"/>
                <w:rtl w:val="true"/>
              </w:rPr>
              <w:t>توكيل شريك در قبض</w:t>
            </w:r>
            <w:r>
              <w:rPr>
                <w:rStyle w:val="IndexLink"/>
                <w:rtl w:val="true"/>
              </w:rPr>
              <w:tab/>
            </w:r>
            <w:r>
              <w:rPr>
                <w:rStyle w:val="IndexLink"/>
              </w:rPr>
              <w:t>45</w:t>
            </w:r>
          </w:hyperlink>
        </w:p>
        <w:p>
          <w:pPr>
            <w:pStyle w:val="Contents4"/>
            <w:tabs>
              <w:tab w:val="clear" w:pos="8176"/>
              <w:tab w:val="right" w:pos="9026" w:leader="dot"/>
            </w:tabs>
            <w:rPr/>
          </w:pPr>
          <w:hyperlink w:anchor="__RefHeading___Toc3597405_1067777946">
            <w:r>
              <w:rPr>
                <w:webHidden/>
                <w:rStyle w:val="IndexLink"/>
                <w:rtl w:val="true"/>
              </w:rPr>
              <w:t>منازعۀ مرتهن و شريك</w:t>
            </w:r>
            <w:r>
              <w:rPr>
                <w:rStyle w:val="IndexLink"/>
                <w:rtl w:val="true"/>
              </w:rPr>
              <w:tab/>
            </w:r>
            <w:r>
              <w:rPr>
                <w:rStyle w:val="IndexLink"/>
              </w:rPr>
              <w:t>45</w:t>
            </w:r>
          </w:hyperlink>
        </w:p>
        <w:p>
          <w:pPr>
            <w:pStyle w:val="Contents3"/>
            <w:tabs>
              <w:tab w:val="clear" w:pos="8459"/>
              <w:tab w:val="right" w:pos="9026" w:leader="dot"/>
            </w:tabs>
            <w:rPr/>
          </w:pPr>
          <w:hyperlink w:anchor="__RefHeading___Toc3597407_1067777946">
            <w:r>
              <w:rPr>
                <w:webHidden/>
                <w:rStyle w:val="IndexLink"/>
                <w:rtl w:val="true"/>
              </w:rPr>
              <w:t>فصل دوم شرايط رهن</w:t>
            </w:r>
            <w:r>
              <w:rPr>
                <w:rStyle w:val="IndexLink"/>
                <w:rtl w:val="true"/>
              </w:rPr>
              <w:tab/>
            </w:r>
            <w:r>
              <w:rPr>
                <w:rStyle w:val="IndexLink"/>
              </w:rPr>
              <w:t>47</w:t>
            </w:r>
          </w:hyperlink>
        </w:p>
        <w:p>
          <w:pPr>
            <w:pStyle w:val="Contents4"/>
            <w:tabs>
              <w:tab w:val="clear" w:pos="8176"/>
              <w:tab w:val="right" w:pos="9026" w:leader="dot"/>
            </w:tabs>
            <w:rPr/>
          </w:pPr>
          <w:hyperlink w:anchor="__RefHeading___Toc3597409_106777794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597411_1067777946">
            <w:r>
              <w:rPr>
                <w:webHidden/>
                <w:rStyle w:val="IndexLink"/>
                <w:rtl w:val="true"/>
              </w:rPr>
              <w:t>جواز رهن كلىّ فى المعيّن</w:t>
            </w:r>
            <w:r>
              <w:rPr>
                <w:rStyle w:val="IndexLink"/>
                <w:rtl w:val="true"/>
              </w:rPr>
              <w:tab/>
            </w:r>
            <w:r>
              <w:rPr>
                <w:rStyle w:val="IndexLink"/>
              </w:rPr>
              <w:t>47</w:t>
            </w:r>
          </w:hyperlink>
        </w:p>
        <w:p>
          <w:pPr>
            <w:pStyle w:val="Contents4"/>
            <w:tabs>
              <w:tab w:val="clear" w:pos="8176"/>
              <w:tab w:val="right" w:pos="9026" w:leader="dot"/>
            </w:tabs>
            <w:rPr/>
          </w:pPr>
          <w:hyperlink w:anchor="__RefHeading___Toc3597413_1067777946">
            <w:r>
              <w:rPr>
                <w:webHidden/>
                <w:rStyle w:val="IndexLink"/>
                <w:rtl w:val="true"/>
              </w:rPr>
              <w:t>رهن عبد مدبّر</w:t>
            </w:r>
            <w:r>
              <w:rPr>
                <w:rStyle w:val="IndexLink"/>
                <w:rtl w:val="true"/>
              </w:rPr>
              <w:tab/>
            </w:r>
            <w:r>
              <w:rPr>
                <w:rStyle w:val="IndexLink"/>
              </w:rPr>
              <w:t>47</w:t>
            </w:r>
          </w:hyperlink>
        </w:p>
        <w:p>
          <w:pPr>
            <w:pStyle w:val="Contents4"/>
            <w:tabs>
              <w:tab w:val="clear" w:pos="8176"/>
              <w:tab w:val="right" w:pos="9026" w:leader="dot"/>
            </w:tabs>
            <w:rPr/>
          </w:pPr>
          <w:hyperlink w:anchor="__RefHeading___Toc3597415_1067777946">
            <w:r>
              <w:rPr>
                <w:webHidden/>
                <w:rStyle w:val="IndexLink"/>
                <w:rtl w:val="true"/>
              </w:rPr>
              <w:t>اشتراط قابليّت تملّك در رهن</w:t>
            </w:r>
            <w:r>
              <w:rPr>
                <w:rStyle w:val="IndexLink"/>
                <w:rtl w:val="true"/>
              </w:rPr>
              <w:tab/>
            </w:r>
            <w:r>
              <w:rPr>
                <w:rStyle w:val="IndexLink"/>
              </w:rPr>
              <w:t>48</w:t>
            </w:r>
          </w:hyperlink>
        </w:p>
        <w:p>
          <w:pPr>
            <w:pStyle w:val="Contents4"/>
            <w:tabs>
              <w:tab w:val="clear" w:pos="8176"/>
              <w:tab w:val="right" w:pos="9026" w:leader="dot"/>
            </w:tabs>
            <w:rPr/>
          </w:pPr>
          <w:hyperlink w:anchor="__RefHeading___Toc3597417_1067777946">
            <w:r>
              <w:rPr>
                <w:webHidden/>
                <w:rStyle w:val="IndexLink"/>
                <w:rtl w:val="true"/>
              </w:rPr>
              <w:t>اشتراط ملكيّت در رهن</w:t>
            </w:r>
            <w:r>
              <w:rPr>
                <w:rStyle w:val="IndexLink"/>
                <w:rtl w:val="true"/>
              </w:rPr>
              <w:tab/>
            </w:r>
            <w:r>
              <w:rPr>
                <w:rStyle w:val="IndexLink"/>
              </w:rPr>
              <w:t>48</w:t>
            </w:r>
          </w:hyperlink>
        </w:p>
        <w:p>
          <w:pPr>
            <w:pStyle w:val="Contents4"/>
            <w:tabs>
              <w:tab w:val="clear" w:pos="8176"/>
              <w:tab w:val="right" w:pos="9026" w:leader="dot"/>
            </w:tabs>
            <w:rPr/>
          </w:pPr>
          <w:hyperlink w:anchor="__RefHeading___Toc3597419_1067777946">
            <w:r>
              <w:rPr>
                <w:webHidden/>
                <w:rStyle w:val="IndexLink"/>
                <w:rtl w:val="true"/>
              </w:rPr>
              <w:t>تبرّع در رهن</w:t>
            </w:r>
            <w:r>
              <w:rPr>
                <w:rStyle w:val="IndexLink"/>
                <w:rtl w:val="true"/>
              </w:rPr>
              <w:tab/>
            </w:r>
            <w:r>
              <w:rPr>
                <w:rStyle w:val="IndexLink"/>
              </w:rPr>
              <w:t>49</w:t>
            </w:r>
          </w:hyperlink>
        </w:p>
        <w:p>
          <w:pPr>
            <w:pStyle w:val="Contents4"/>
            <w:tabs>
              <w:tab w:val="clear" w:pos="8176"/>
              <w:tab w:val="right" w:pos="9026" w:leader="dot"/>
            </w:tabs>
            <w:rPr/>
          </w:pPr>
          <w:hyperlink w:anchor="__RefHeading___Toc3597421_1067777946">
            <w:r>
              <w:rPr>
                <w:webHidden/>
                <w:rStyle w:val="IndexLink"/>
                <w:rtl w:val="true"/>
              </w:rPr>
              <w:t>جواز استعاره براى رهن</w:t>
            </w:r>
            <w:r>
              <w:rPr>
                <w:rStyle w:val="IndexLink"/>
                <w:rtl w:val="true"/>
              </w:rPr>
              <w:tab/>
            </w:r>
            <w:r>
              <w:rPr>
                <w:rStyle w:val="IndexLink"/>
              </w:rPr>
              <w:t>49</w:t>
            </w:r>
          </w:hyperlink>
        </w:p>
        <w:p>
          <w:pPr>
            <w:pStyle w:val="Contents4"/>
            <w:tabs>
              <w:tab w:val="clear" w:pos="8176"/>
              <w:tab w:val="right" w:pos="9026" w:leader="dot"/>
            </w:tabs>
            <w:rPr/>
          </w:pPr>
          <w:hyperlink w:anchor="__RefHeading___Toc3597423_1067777946">
            <w:r>
              <w:rPr>
                <w:webHidden/>
                <w:rStyle w:val="IndexLink"/>
                <w:rtl w:val="true"/>
              </w:rPr>
              <w:t>اشتراط استيثاق به بقاى رهن</w:t>
            </w:r>
            <w:r>
              <w:rPr>
                <w:rStyle w:val="IndexLink"/>
                <w:rtl w:val="true"/>
              </w:rPr>
              <w:tab/>
            </w:r>
            <w:r>
              <w:rPr>
                <w:rStyle w:val="IndexLink"/>
              </w:rPr>
              <w:t>49</w:t>
            </w:r>
          </w:hyperlink>
        </w:p>
        <w:p>
          <w:pPr>
            <w:pStyle w:val="Contents4"/>
            <w:tabs>
              <w:tab w:val="clear" w:pos="8176"/>
              <w:tab w:val="right" w:pos="9026" w:leader="dot"/>
            </w:tabs>
            <w:rPr/>
          </w:pPr>
          <w:hyperlink w:anchor="__RefHeading___Toc3597425_1067777946">
            <w:r>
              <w:rPr>
                <w:webHidden/>
                <w:rStyle w:val="IndexLink"/>
                <w:rtl w:val="true"/>
              </w:rPr>
              <w:t>رهن مملوك همراه با غير مملوك</w:t>
            </w:r>
            <w:r>
              <w:rPr>
                <w:rStyle w:val="IndexLink"/>
                <w:rtl w:val="true"/>
              </w:rPr>
              <w:tab/>
            </w:r>
            <w:r>
              <w:rPr>
                <w:rStyle w:val="IndexLink"/>
              </w:rPr>
              <w:t>50</w:t>
            </w:r>
          </w:hyperlink>
        </w:p>
        <w:p>
          <w:pPr>
            <w:pStyle w:val="Contents4"/>
            <w:tabs>
              <w:tab w:val="clear" w:pos="8176"/>
              <w:tab w:val="right" w:pos="9026" w:leader="dot"/>
            </w:tabs>
            <w:rPr/>
          </w:pPr>
          <w:hyperlink w:anchor="__RefHeading___Toc3597427_1067777946">
            <w:r>
              <w:rPr>
                <w:webHidden/>
                <w:rStyle w:val="IndexLink"/>
                <w:rtl w:val="true"/>
              </w:rPr>
              <w:t>رهن غرس يا بناى مشروع در ارض فراجيه</w:t>
            </w:r>
            <w:r>
              <w:rPr>
                <w:rStyle w:val="IndexLink"/>
                <w:rtl w:val="true"/>
              </w:rPr>
              <w:tab/>
            </w:r>
            <w:r>
              <w:rPr>
                <w:rStyle w:val="IndexLink"/>
              </w:rPr>
              <w:t>50</w:t>
            </w:r>
          </w:hyperlink>
        </w:p>
        <w:p>
          <w:pPr>
            <w:pStyle w:val="Contents4"/>
            <w:tabs>
              <w:tab w:val="clear" w:pos="8176"/>
              <w:tab w:val="right" w:pos="9026" w:leader="dot"/>
            </w:tabs>
            <w:rPr/>
          </w:pPr>
          <w:hyperlink w:anchor="__RefHeading___Toc3597429_1067777946">
            <w:r>
              <w:rPr>
                <w:webHidden/>
                <w:rStyle w:val="IndexLink"/>
                <w:rtl w:val="true"/>
              </w:rPr>
              <w:t>بعضى از فروض غير قابل رهن</w:t>
            </w:r>
            <w:r>
              <w:rPr>
                <w:rStyle w:val="IndexLink"/>
                <w:rtl w:val="true"/>
              </w:rPr>
              <w:tab/>
            </w:r>
            <w:r>
              <w:rPr>
                <w:rStyle w:val="IndexLink"/>
              </w:rPr>
              <w:t>50</w:t>
            </w:r>
          </w:hyperlink>
        </w:p>
        <w:p>
          <w:pPr>
            <w:pStyle w:val="Contents4"/>
            <w:tabs>
              <w:tab w:val="clear" w:pos="8176"/>
              <w:tab w:val="right" w:pos="9026" w:leader="dot"/>
            </w:tabs>
            <w:rPr/>
          </w:pPr>
          <w:hyperlink w:anchor="__RefHeading___Toc3597431_1067777946">
            <w:r>
              <w:rPr>
                <w:webHidden/>
                <w:rStyle w:val="IndexLink"/>
                <w:rtl w:val="true"/>
              </w:rPr>
              <w:t>بيع با احتمال مانع از تسليم و يا قلع به تسليم</w:t>
            </w:r>
            <w:r>
              <w:rPr>
                <w:rStyle w:val="IndexLink"/>
                <w:rtl w:val="true"/>
              </w:rPr>
              <w:tab/>
            </w:r>
            <w:r>
              <w:rPr>
                <w:rStyle w:val="IndexLink"/>
              </w:rPr>
              <w:t>51</w:t>
            </w:r>
          </w:hyperlink>
        </w:p>
        <w:p>
          <w:pPr>
            <w:pStyle w:val="Contents4"/>
            <w:tabs>
              <w:tab w:val="clear" w:pos="8176"/>
              <w:tab w:val="right" w:pos="9026" w:leader="dot"/>
            </w:tabs>
            <w:rPr/>
          </w:pPr>
          <w:hyperlink w:anchor="__RefHeading___Toc3597433_1067777946">
            <w:r>
              <w:rPr>
                <w:webHidden/>
                <w:rStyle w:val="IndexLink"/>
                <w:rtl w:val="true"/>
              </w:rPr>
              <w:t>نحوۀ ملكيّت معتبر در رهن، و جواز رهن با وجود خيار</w:t>
            </w:r>
            <w:r>
              <w:rPr>
                <w:rStyle w:val="IndexLink"/>
                <w:rtl w:val="true"/>
              </w:rPr>
              <w:tab/>
            </w:r>
            <w:r>
              <w:rPr>
                <w:rStyle w:val="IndexLink"/>
              </w:rPr>
              <w:t>51</w:t>
            </w:r>
          </w:hyperlink>
        </w:p>
        <w:p>
          <w:pPr>
            <w:pStyle w:val="Contents4"/>
            <w:tabs>
              <w:tab w:val="clear" w:pos="8176"/>
              <w:tab w:val="right" w:pos="9026" w:leader="dot"/>
            </w:tabs>
            <w:rPr/>
          </w:pPr>
          <w:hyperlink w:anchor="__RefHeading___Toc3597435_1067777946">
            <w:r>
              <w:rPr>
                <w:webHidden/>
                <w:rStyle w:val="IndexLink"/>
                <w:rtl w:val="true"/>
              </w:rPr>
              <w:t>صحّت رهن مرتدّ</w:t>
            </w:r>
            <w:r>
              <w:rPr>
                <w:rStyle w:val="IndexLink"/>
                <w:rtl w:val="true"/>
              </w:rPr>
              <w:tab/>
            </w:r>
            <w:r>
              <w:rPr>
                <w:rStyle w:val="IndexLink"/>
              </w:rPr>
              <w:t>52</w:t>
            </w:r>
          </w:hyperlink>
        </w:p>
        <w:p>
          <w:pPr>
            <w:pStyle w:val="Contents4"/>
            <w:tabs>
              <w:tab w:val="clear" w:pos="8176"/>
              <w:tab w:val="right" w:pos="9026" w:leader="dot"/>
            </w:tabs>
            <w:rPr/>
          </w:pPr>
          <w:hyperlink w:anchor="__RefHeading___Toc3597437_1067777946">
            <w:r>
              <w:rPr>
                <w:webHidden/>
                <w:rStyle w:val="IndexLink"/>
                <w:rtl w:val="true"/>
              </w:rPr>
              <w:t>رهن جانى خطأً يا عمداً</w:t>
            </w:r>
            <w:r>
              <w:rPr>
                <w:rStyle w:val="IndexLink"/>
                <w:rtl w:val="true"/>
              </w:rPr>
              <w:tab/>
            </w:r>
            <w:r>
              <w:rPr>
                <w:rStyle w:val="IndexLink"/>
              </w:rPr>
              <w:t>53</w:t>
            </w:r>
          </w:hyperlink>
        </w:p>
        <w:p>
          <w:pPr>
            <w:pStyle w:val="Contents4"/>
            <w:tabs>
              <w:tab w:val="clear" w:pos="8176"/>
              <w:tab w:val="right" w:pos="9026" w:leader="dot"/>
            </w:tabs>
            <w:rPr/>
          </w:pPr>
          <w:hyperlink w:anchor="__RefHeading___Toc3597439_1067777946">
            <w:r>
              <w:rPr>
                <w:webHidden/>
                <w:rStyle w:val="IndexLink"/>
                <w:rtl w:val="true"/>
              </w:rPr>
              <w:t>بعضى از صور اقرار راهن يا مرتهن</w:t>
            </w:r>
            <w:r>
              <w:rPr>
                <w:rStyle w:val="IndexLink"/>
                <w:rtl w:val="true"/>
              </w:rPr>
              <w:tab/>
            </w:r>
            <w:r>
              <w:rPr>
                <w:rStyle w:val="IndexLink"/>
              </w:rPr>
              <w:t>53</w:t>
            </w:r>
          </w:hyperlink>
        </w:p>
        <w:p>
          <w:pPr>
            <w:pStyle w:val="Contents4"/>
            <w:tabs>
              <w:tab w:val="clear" w:pos="8176"/>
              <w:tab w:val="right" w:pos="9026" w:leader="dot"/>
            </w:tabs>
            <w:rPr/>
          </w:pPr>
          <w:hyperlink w:anchor="__RefHeading___Toc3597441_1067777946">
            <w:r>
              <w:rPr>
                <w:webHidden/>
                <w:rStyle w:val="IndexLink"/>
                <w:rtl w:val="true"/>
              </w:rPr>
              <w:t>رهن چيزهاى فاسد شدنى</w:t>
            </w:r>
            <w:r>
              <w:rPr>
                <w:rStyle w:val="IndexLink"/>
                <w:rtl w:val="true"/>
              </w:rPr>
              <w:tab/>
            </w:r>
            <w:r>
              <w:rPr>
                <w:rStyle w:val="IndexLink"/>
              </w:rPr>
              <w:t>56</w:t>
            </w:r>
          </w:hyperlink>
        </w:p>
        <w:p>
          <w:pPr>
            <w:pStyle w:val="Contents4"/>
            <w:tabs>
              <w:tab w:val="clear" w:pos="8176"/>
              <w:tab w:val="right" w:pos="9026" w:leader="dot"/>
            </w:tabs>
            <w:rPr/>
          </w:pPr>
          <w:hyperlink w:anchor="__RefHeading___Toc3597443_1067777946">
            <w:r>
              <w:rPr>
                <w:webHidden/>
                <w:rStyle w:val="IndexLink"/>
                <w:rtl w:val="true"/>
              </w:rPr>
              <w:t>فساد طارى اتّفاقى</w:t>
            </w:r>
            <w:r>
              <w:rPr>
                <w:rStyle w:val="IndexLink"/>
                <w:rtl w:val="true"/>
              </w:rPr>
              <w:tab/>
            </w:r>
            <w:r>
              <w:rPr>
                <w:rStyle w:val="IndexLink"/>
              </w:rPr>
              <w:t>56</w:t>
            </w:r>
          </w:hyperlink>
        </w:p>
        <w:p>
          <w:pPr>
            <w:pStyle w:val="Contents4"/>
            <w:tabs>
              <w:tab w:val="clear" w:pos="8176"/>
              <w:tab w:val="right" w:pos="9026" w:leader="dot"/>
            </w:tabs>
            <w:rPr/>
          </w:pPr>
          <w:hyperlink w:anchor="__RefHeading___Toc3597445_1067777946">
            <w:r>
              <w:rPr>
                <w:webHidden/>
                <w:rStyle w:val="IndexLink"/>
                <w:rtl w:val="true"/>
              </w:rPr>
              <w:t>رهن امّ ولد</w:t>
            </w:r>
            <w:r>
              <w:rPr>
                <w:rStyle w:val="IndexLink"/>
                <w:rtl w:val="true"/>
              </w:rPr>
              <w:tab/>
            </w:r>
            <w:r>
              <w:rPr>
                <w:rStyle w:val="IndexLink"/>
              </w:rPr>
              <w:t>57</w:t>
            </w:r>
          </w:hyperlink>
        </w:p>
        <w:p>
          <w:pPr>
            <w:pStyle w:val="Contents4"/>
            <w:tabs>
              <w:tab w:val="clear" w:pos="8176"/>
              <w:tab w:val="right" w:pos="9026" w:leader="dot"/>
            </w:tabs>
            <w:rPr/>
          </w:pPr>
          <w:hyperlink w:anchor="__RefHeading___Toc3597447_1067777946">
            <w:r>
              <w:rPr>
                <w:webHidden/>
                <w:rStyle w:val="IndexLink"/>
                <w:rtl w:val="true"/>
              </w:rPr>
              <w:t>اعتبار استيثاق در رهن</w:t>
            </w:r>
            <w:r>
              <w:rPr>
                <w:rStyle w:val="IndexLink"/>
                <w:rtl w:val="true"/>
              </w:rPr>
              <w:tab/>
            </w:r>
            <w:r>
              <w:rPr>
                <w:rStyle w:val="IndexLink"/>
              </w:rPr>
              <w:t>57</w:t>
            </w:r>
          </w:hyperlink>
        </w:p>
        <w:p>
          <w:pPr>
            <w:pStyle w:val="Contents3"/>
            <w:tabs>
              <w:tab w:val="clear" w:pos="8459"/>
              <w:tab w:val="right" w:pos="9026" w:leader="dot"/>
            </w:tabs>
            <w:rPr/>
          </w:pPr>
          <w:hyperlink w:anchor="__RefHeading___Toc3597449_1067777946">
            <w:r>
              <w:rPr>
                <w:webHidden/>
                <w:rStyle w:val="IndexLink"/>
                <w:rtl w:val="true"/>
              </w:rPr>
              <w:t>فصل سوم حقى كه اخذ رهن براى آن جايز است</w:t>
            </w:r>
            <w:r>
              <w:rPr>
                <w:rStyle w:val="IndexLink"/>
                <w:rtl w:val="true"/>
              </w:rPr>
              <w:tab/>
            </w:r>
            <w:r>
              <w:rPr>
                <w:rStyle w:val="IndexLink"/>
              </w:rPr>
              <w:t>59</w:t>
            </w:r>
          </w:hyperlink>
        </w:p>
        <w:p>
          <w:pPr>
            <w:pStyle w:val="Contents4"/>
            <w:tabs>
              <w:tab w:val="clear" w:pos="8176"/>
              <w:tab w:val="right" w:pos="9026" w:leader="dot"/>
            </w:tabs>
            <w:rPr/>
          </w:pPr>
          <w:hyperlink w:anchor="__RefHeading___Toc3597451_1067777946">
            <w:r>
              <w:rPr>
                <w:webHidden/>
                <w:rStyle w:val="IndexLink"/>
                <w:rtl w:val="true"/>
              </w:rPr>
              <w:t>دينى كه رهن براى آن جايز است</w:t>
            </w:r>
            <w:r>
              <w:rPr>
                <w:rStyle w:val="IndexLink"/>
                <w:rtl w:val="true"/>
              </w:rPr>
              <w:tab/>
            </w:r>
            <w:r>
              <w:rPr>
                <w:rStyle w:val="IndexLink"/>
              </w:rPr>
              <w:t>59</w:t>
            </w:r>
          </w:hyperlink>
        </w:p>
        <w:p>
          <w:pPr>
            <w:pStyle w:val="Contents4"/>
            <w:tabs>
              <w:tab w:val="clear" w:pos="8176"/>
              <w:tab w:val="right" w:pos="9026" w:leader="dot"/>
            </w:tabs>
            <w:rPr/>
          </w:pPr>
          <w:hyperlink w:anchor="__RefHeading___Toc3597453_1067777946">
            <w:r>
              <w:rPr>
                <w:webHidden/>
                <w:rStyle w:val="IndexLink"/>
                <w:rtl w:val="true"/>
              </w:rPr>
              <w:t>رهن در اعيان</w:t>
            </w:r>
            <w:r>
              <w:rPr>
                <w:rStyle w:val="IndexLink"/>
                <w:rtl w:val="true"/>
              </w:rPr>
              <w:tab/>
            </w:r>
            <w:r>
              <w:rPr>
                <w:rStyle w:val="IndexLink"/>
              </w:rPr>
              <w:t>59</w:t>
            </w:r>
          </w:hyperlink>
        </w:p>
        <w:p>
          <w:pPr>
            <w:pStyle w:val="Contents4"/>
            <w:tabs>
              <w:tab w:val="clear" w:pos="8176"/>
              <w:tab w:val="right" w:pos="9026" w:leader="dot"/>
            </w:tabs>
            <w:rPr/>
          </w:pPr>
          <w:hyperlink w:anchor="__RefHeading___Toc3597455_1067777946">
            <w:r>
              <w:rPr>
                <w:webHidden/>
                <w:rStyle w:val="IndexLink"/>
                <w:rtl w:val="true"/>
              </w:rPr>
              <w:t>عدم لزوم لازم بودن دين</w:t>
            </w:r>
            <w:r>
              <w:rPr>
                <w:rStyle w:val="IndexLink"/>
                <w:rtl w:val="true"/>
              </w:rPr>
              <w:tab/>
            </w:r>
            <w:r>
              <w:rPr>
                <w:rStyle w:val="IndexLink"/>
              </w:rPr>
              <w:t>60</w:t>
            </w:r>
          </w:hyperlink>
        </w:p>
        <w:p>
          <w:pPr>
            <w:pStyle w:val="Contents4"/>
            <w:tabs>
              <w:tab w:val="clear" w:pos="8176"/>
              <w:tab w:val="right" w:pos="9026" w:leader="dot"/>
            </w:tabs>
            <w:rPr/>
          </w:pPr>
          <w:hyperlink w:anchor="__RefHeading___Toc3597457_1067777946">
            <w:r>
              <w:rPr>
                <w:webHidden/>
                <w:rStyle w:val="IndexLink"/>
                <w:rtl w:val="true"/>
              </w:rPr>
              <w:t>ديه اى كه تعلّق رهن به آن جايز است</w:t>
            </w:r>
            <w:r>
              <w:rPr>
                <w:rStyle w:val="IndexLink"/>
                <w:rtl w:val="true"/>
              </w:rPr>
              <w:tab/>
            </w:r>
            <w:r>
              <w:rPr>
                <w:rStyle w:val="IndexLink"/>
              </w:rPr>
              <w:t>60</w:t>
            </w:r>
          </w:hyperlink>
        </w:p>
        <w:p>
          <w:pPr>
            <w:pStyle w:val="Contents4"/>
            <w:tabs>
              <w:tab w:val="clear" w:pos="8176"/>
              <w:tab w:val="right" w:pos="9026" w:leader="dot"/>
            </w:tabs>
            <w:rPr/>
          </w:pPr>
          <w:hyperlink w:anchor="__RefHeading___Toc3597459_1067777946">
            <w:r>
              <w:rPr>
                <w:webHidden/>
                <w:rStyle w:val="IndexLink"/>
                <w:rtl w:val="true"/>
              </w:rPr>
              <w:t>رهن بر مال الجعاله</w:t>
            </w:r>
            <w:r>
              <w:rPr>
                <w:rStyle w:val="IndexLink"/>
                <w:rtl w:val="true"/>
              </w:rPr>
              <w:tab/>
            </w:r>
            <w:r>
              <w:rPr>
                <w:rStyle w:val="IndexLink"/>
              </w:rPr>
              <w:t>60</w:t>
            </w:r>
          </w:hyperlink>
        </w:p>
        <w:p>
          <w:pPr>
            <w:pStyle w:val="Contents4"/>
            <w:tabs>
              <w:tab w:val="clear" w:pos="8176"/>
              <w:tab w:val="right" w:pos="9026" w:leader="dot"/>
            </w:tabs>
            <w:rPr/>
          </w:pPr>
          <w:hyperlink w:anchor="__RefHeading___Toc3597461_1067777946">
            <w:r>
              <w:rPr>
                <w:webHidden/>
                <w:rStyle w:val="IndexLink"/>
                <w:rtl w:val="true"/>
              </w:rPr>
              <w:t>رهن بر مال الكتابة</w:t>
            </w:r>
            <w:r>
              <w:rPr>
                <w:rStyle w:val="IndexLink"/>
                <w:rtl w:val="true"/>
              </w:rPr>
              <w:tab/>
            </w:r>
            <w:r>
              <w:rPr>
                <w:rStyle w:val="IndexLink"/>
              </w:rPr>
              <w:t>61</w:t>
            </w:r>
          </w:hyperlink>
        </w:p>
        <w:p>
          <w:pPr>
            <w:pStyle w:val="Contents4"/>
            <w:tabs>
              <w:tab w:val="clear" w:pos="8176"/>
              <w:tab w:val="right" w:pos="9026" w:leader="dot"/>
            </w:tabs>
            <w:rPr/>
          </w:pPr>
          <w:hyperlink w:anchor="__RefHeading___Toc3597463_1067777946">
            <w:r>
              <w:rPr>
                <w:webHidden/>
                <w:rStyle w:val="IndexLink"/>
                <w:rtl w:val="true"/>
              </w:rPr>
              <w:t>رهن بر منفعت معين</w:t>
            </w:r>
            <w:r>
              <w:rPr>
                <w:rStyle w:val="IndexLink"/>
                <w:rtl w:val="true"/>
              </w:rPr>
              <w:tab/>
            </w:r>
            <w:r>
              <w:rPr>
                <w:rStyle w:val="IndexLink"/>
              </w:rPr>
              <w:t>61</w:t>
            </w:r>
          </w:hyperlink>
        </w:p>
        <w:p>
          <w:pPr>
            <w:pStyle w:val="Contents4"/>
            <w:tabs>
              <w:tab w:val="clear" w:pos="8176"/>
              <w:tab w:val="right" w:pos="9026" w:leader="dot"/>
            </w:tabs>
            <w:rPr/>
          </w:pPr>
          <w:hyperlink w:anchor="__RefHeading___Toc3597465_1067777946">
            <w:r>
              <w:rPr>
                <w:webHidden/>
                <w:rStyle w:val="IndexLink"/>
                <w:rtl w:val="true"/>
              </w:rPr>
              <w:t>تقارن دو رهن يا تعدّد دين</w:t>
            </w:r>
            <w:r>
              <w:rPr>
                <w:rStyle w:val="IndexLink"/>
                <w:rtl w:val="true"/>
              </w:rPr>
              <w:tab/>
            </w:r>
            <w:r>
              <w:rPr>
                <w:rStyle w:val="IndexLink"/>
              </w:rPr>
              <w:t>61</w:t>
            </w:r>
          </w:hyperlink>
        </w:p>
        <w:p>
          <w:pPr>
            <w:pStyle w:val="Contents4"/>
            <w:tabs>
              <w:tab w:val="clear" w:pos="8176"/>
              <w:tab w:val="right" w:pos="9026" w:leader="dot"/>
            </w:tabs>
            <w:rPr/>
          </w:pPr>
          <w:hyperlink w:anchor="__RefHeading___Toc3597467_1067777946">
            <w:r>
              <w:rPr>
                <w:webHidden/>
                <w:rStyle w:val="IndexLink"/>
                <w:rtl w:val="true"/>
              </w:rPr>
              <w:t>تعدّد مرتهن يا راهن</w:t>
            </w:r>
            <w:r>
              <w:rPr>
                <w:rStyle w:val="IndexLink"/>
                <w:rtl w:val="true"/>
              </w:rPr>
              <w:tab/>
            </w:r>
            <w:r>
              <w:rPr>
                <w:rStyle w:val="IndexLink"/>
              </w:rPr>
              <w:t>63</w:t>
            </w:r>
          </w:hyperlink>
        </w:p>
        <w:p>
          <w:pPr>
            <w:pStyle w:val="Contents3"/>
            <w:tabs>
              <w:tab w:val="clear" w:pos="8459"/>
              <w:tab w:val="right" w:pos="9026" w:leader="dot"/>
            </w:tabs>
            <w:rPr/>
          </w:pPr>
          <w:hyperlink w:anchor="__RefHeading___Toc3597469_1067777946">
            <w:r>
              <w:rPr>
                <w:webHidden/>
                <w:rStyle w:val="IndexLink"/>
                <w:rtl w:val="true"/>
              </w:rPr>
              <w:t>فصل چهارم شرايط راهن</w:t>
            </w:r>
            <w:r>
              <w:rPr>
                <w:rStyle w:val="IndexLink"/>
                <w:rtl w:val="true"/>
              </w:rPr>
              <w:tab/>
            </w:r>
            <w:r>
              <w:rPr>
                <w:rStyle w:val="IndexLink"/>
              </w:rPr>
              <w:t>64</w:t>
            </w:r>
          </w:hyperlink>
        </w:p>
        <w:p>
          <w:pPr>
            <w:pStyle w:val="Contents4"/>
            <w:tabs>
              <w:tab w:val="clear" w:pos="8176"/>
              <w:tab w:val="right" w:pos="9026" w:leader="dot"/>
            </w:tabs>
            <w:rPr/>
          </w:pPr>
          <w:hyperlink w:anchor="__RefHeading___Toc3597471_1067777946">
            <w:r>
              <w:rPr>
                <w:webHidden/>
                <w:rStyle w:val="IndexLink"/>
                <w:rtl w:val="true"/>
              </w:rPr>
              <w:t>كمال راهن</w:t>
            </w:r>
            <w:r>
              <w:rPr>
                <w:rStyle w:val="IndexLink"/>
                <w:rtl w:val="true"/>
              </w:rPr>
              <w:tab/>
            </w:r>
            <w:r>
              <w:rPr>
                <w:rStyle w:val="IndexLink"/>
              </w:rPr>
              <w:t>64</w:t>
            </w:r>
          </w:hyperlink>
        </w:p>
        <w:p>
          <w:pPr>
            <w:pStyle w:val="Contents4"/>
            <w:tabs>
              <w:tab w:val="clear" w:pos="8176"/>
              <w:tab w:val="right" w:pos="9026" w:leader="dot"/>
            </w:tabs>
            <w:rPr/>
          </w:pPr>
          <w:hyperlink w:anchor="__RefHeading___Toc3597473_1067777946">
            <w:r>
              <w:rPr>
                <w:webHidden/>
                <w:rStyle w:val="IndexLink"/>
                <w:rtl w:val="true"/>
              </w:rPr>
              <w:t>نفوذ تصرّف</w:t>
            </w:r>
            <w:r>
              <w:rPr>
                <w:rStyle w:val="IndexLink"/>
                <w:rtl w:val="true"/>
              </w:rPr>
              <w:tab/>
            </w:r>
            <w:r>
              <w:rPr>
                <w:rStyle w:val="IndexLink"/>
              </w:rPr>
              <w:t>64</w:t>
            </w:r>
          </w:hyperlink>
        </w:p>
        <w:p>
          <w:pPr>
            <w:pStyle w:val="Contents4"/>
            <w:tabs>
              <w:tab w:val="clear" w:pos="8176"/>
              <w:tab w:val="right" w:pos="9026" w:leader="dot"/>
            </w:tabs>
            <w:rPr/>
          </w:pPr>
          <w:hyperlink w:anchor="__RefHeading___Toc3597475_1067777946">
            <w:r>
              <w:rPr>
                <w:webHidden/>
                <w:rStyle w:val="IndexLink"/>
                <w:rtl w:val="true"/>
              </w:rPr>
              <w:t>عدم اكراه</w:t>
            </w:r>
            <w:r>
              <w:rPr>
                <w:rStyle w:val="IndexLink"/>
                <w:rtl w:val="true"/>
              </w:rPr>
              <w:tab/>
            </w:r>
            <w:r>
              <w:rPr>
                <w:rStyle w:val="IndexLink"/>
              </w:rPr>
              <w:t>64</w:t>
            </w:r>
          </w:hyperlink>
        </w:p>
        <w:p>
          <w:pPr>
            <w:pStyle w:val="Contents4"/>
            <w:tabs>
              <w:tab w:val="clear" w:pos="8176"/>
              <w:tab w:val="right" w:pos="9026" w:leader="dot"/>
            </w:tabs>
            <w:rPr/>
          </w:pPr>
          <w:hyperlink w:anchor="__RefHeading___Toc3597477_1067777946">
            <w:r>
              <w:rPr>
                <w:webHidden/>
                <w:rStyle w:val="IndexLink"/>
                <w:rtl w:val="true"/>
              </w:rPr>
              <w:t>مملوك بودن مرهون</w:t>
            </w:r>
            <w:r>
              <w:rPr>
                <w:rStyle w:val="IndexLink"/>
                <w:rtl w:val="true"/>
              </w:rPr>
              <w:tab/>
            </w:r>
            <w:r>
              <w:rPr>
                <w:rStyle w:val="IndexLink"/>
              </w:rPr>
              <w:t>64</w:t>
            </w:r>
          </w:hyperlink>
        </w:p>
        <w:p>
          <w:pPr>
            <w:pStyle w:val="Contents4"/>
            <w:tabs>
              <w:tab w:val="clear" w:pos="8176"/>
              <w:tab w:val="right" w:pos="9026" w:leader="dot"/>
            </w:tabs>
            <w:rPr/>
          </w:pPr>
          <w:hyperlink w:anchor="__RefHeading___Toc3597479_1067777946">
            <w:r>
              <w:rPr>
                <w:webHidden/>
                <w:rStyle w:val="IndexLink"/>
                <w:rtl w:val="true"/>
              </w:rPr>
              <w:t>رهن دادن ولىّ طفل مال طفل را</w:t>
            </w:r>
            <w:r>
              <w:rPr>
                <w:rStyle w:val="IndexLink"/>
                <w:rtl w:val="true"/>
              </w:rPr>
              <w:tab/>
            </w:r>
            <w:r>
              <w:rPr>
                <w:rStyle w:val="IndexLink"/>
              </w:rPr>
              <w:t>65</w:t>
            </w:r>
          </w:hyperlink>
        </w:p>
        <w:p>
          <w:pPr>
            <w:pStyle w:val="Contents3"/>
            <w:tabs>
              <w:tab w:val="clear" w:pos="8459"/>
              <w:tab w:val="right" w:pos="9026" w:leader="dot"/>
            </w:tabs>
            <w:rPr/>
          </w:pPr>
          <w:hyperlink w:anchor="__RefHeading___Toc3597481_1067777946">
            <w:r>
              <w:rPr>
                <w:webHidden/>
                <w:rStyle w:val="IndexLink"/>
                <w:rtl w:val="true"/>
              </w:rPr>
              <w:t>فصل پنجم شرايط مرتهن</w:t>
            </w:r>
            <w:r>
              <w:rPr>
                <w:rStyle w:val="IndexLink"/>
                <w:rtl w:val="true"/>
              </w:rPr>
              <w:tab/>
            </w:r>
            <w:r>
              <w:rPr>
                <w:rStyle w:val="IndexLink"/>
              </w:rPr>
              <w:t>66</w:t>
            </w:r>
          </w:hyperlink>
        </w:p>
        <w:p>
          <w:pPr>
            <w:pStyle w:val="Contents4"/>
            <w:tabs>
              <w:tab w:val="clear" w:pos="8176"/>
              <w:tab w:val="right" w:pos="9026" w:leader="dot"/>
            </w:tabs>
            <w:rPr/>
          </w:pPr>
          <w:hyperlink w:anchor="__RefHeading___Toc3597483_106777794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597485_1067777946">
            <w:r>
              <w:rPr>
                <w:webHidden/>
                <w:rStyle w:val="IndexLink"/>
                <w:rtl w:val="true"/>
              </w:rPr>
              <w:t>شرايط قبول رهن براى طفل</w:t>
            </w:r>
            <w:r>
              <w:rPr>
                <w:rStyle w:val="IndexLink"/>
                <w:rtl w:val="true"/>
              </w:rPr>
              <w:tab/>
            </w:r>
            <w:r>
              <w:rPr>
                <w:rStyle w:val="IndexLink"/>
              </w:rPr>
              <w:t>66</w:t>
            </w:r>
          </w:hyperlink>
        </w:p>
        <w:p>
          <w:pPr>
            <w:pStyle w:val="Contents4"/>
            <w:tabs>
              <w:tab w:val="clear" w:pos="8176"/>
              <w:tab w:val="right" w:pos="9026" w:leader="dot"/>
            </w:tabs>
            <w:rPr/>
          </w:pPr>
          <w:hyperlink w:anchor="__RefHeading___Toc3597487_1067777946">
            <w:r>
              <w:rPr>
                <w:webHidden/>
                <w:rStyle w:val="IndexLink"/>
                <w:rtl w:val="true"/>
              </w:rPr>
              <w:t>شرايط رهن دادن و يا اقراض مال طفل</w:t>
            </w:r>
            <w:r>
              <w:rPr>
                <w:rStyle w:val="IndexLink"/>
                <w:rtl w:val="true"/>
              </w:rPr>
              <w:tab/>
            </w:r>
            <w:r>
              <w:rPr>
                <w:rStyle w:val="IndexLink"/>
              </w:rPr>
              <w:t>66</w:t>
            </w:r>
          </w:hyperlink>
        </w:p>
        <w:p>
          <w:pPr>
            <w:pStyle w:val="Contents4"/>
            <w:tabs>
              <w:tab w:val="clear" w:pos="8176"/>
              <w:tab w:val="right" w:pos="9026" w:leader="dot"/>
            </w:tabs>
            <w:rPr/>
          </w:pPr>
          <w:hyperlink w:anchor="__RefHeading___Toc3597489_1067777946">
            <w:r>
              <w:rPr>
                <w:webHidden/>
                <w:rStyle w:val="IndexLink"/>
                <w:rtl w:val="true"/>
              </w:rPr>
              <w:t>شرط در ضمن عقد رهن</w:t>
            </w:r>
            <w:r>
              <w:rPr>
                <w:rStyle w:val="IndexLink"/>
                <w:rtl w:val="true"/>
              </w:rPr>
              <w:tab/>
            </w:r>
            <w:r>
              <w:rPr>
                <w:rStyle w:val="IndexLink"/>
              </w:rPr>
              <w:t>67</w:t>
            </w:r>
          </w:hyperlink>
        </w:p>
        <w:p>
          <w:pPr>
            <w:pStyle w:val="Contents4"/>
            <w:tabs>
              <w:tab w:val="clear" w:pos="8176"/>
              <w:tab w:val="right" w:pos="9026" w:leader="dot"/>
            </w:tabs>
            <w:rPr/>
          </w:pPr>
          <w:hyperlink w:anchor="__RefHeading___Toc3597491_1067777946">
            <w:r>
              <w:rPr>
                <w:webHidden/>
                <w:rStyle w:val="IndexLink"/>
                <w:rtl w:val="true"/>
              </w:rPr>
              <w:t>مجهول شدن عين مرهونه بعد از وفات مرتهن</w:t>
            </w:r>
            <w:r>
              <w:rPr>
                <w:rStyle w:val="IndexLink"/>
                <w:rtl w:val="true"/>
              </w:rPr>
              <w:tab/>
            </w:r>
            <w:r>
              <w:rPr>
                <w:rStyle w:val="IndexLink"/>
              </w:rPr>
              <w:t>68</w:t>
            </w:r>
          </w:hyperlink>
        </w:p>
        <w:p>
          <w:pPr>
            <w:pStyle w:val="Contents4"/>
            <w:tabs>
              <w:tab w:val="clear" w:pos="8176"/>
              <w:tab w:val="right" w:pos="9026" w:leader="dot"/>
            </w:tabs>
            <w:rPr/>
          </w:pPr>
          <w:hyperlink w:anchor="__RefHeading___Toc3597493_1067777946">
            <w:r>
              <w:rPr>
                <w:webHidden/>
                <w:rStyle w:val="IndexLink"/>
                <w:rtl w:val="true"/>
              </w:rPr>
              <w:t>خريدن مرتهن، عين مرهونه را</w:t>
            </w:r>
            <w:r>
              <w:rPr>
                <w:rStyle w:val="IndexLink"/>
                <w:rtl w:val="true"/>
              </w:rPr>
              <w:tab/>
            </w:r>
            <w:r>
              <w:rPr>
                <w:rStyle w:val="IndexLink"/>
              </w:rPr>
              <w:t>69</w:t>
            </w:r>
          </w:hyperlink>
        </w:p>
        <w:p>
          <w:pPr>
            <w:pStyle w:val="Contents4"/>
            <w:tabs>
              <w:tab w:val="clear" w:pos="8176"/>
              <w:tab w:val="right" w:pos="9026" w:leader="dot"/>
            </w:tabs>
            <w:rPr/>
          </w:pPr>
          <w:hyperlink w:anchor="__RefHeading___Toc3597495_1067777946">
            <w:r>
              <w:rPr>
                <w:webHidden/>
                <w:rStyle w:val="IndexLink"/>
                <w:rtl w:val="true"/>
              </w:rPr>
              <w:t>اولويّت مرتهن از ساير غرما</w:t>
            </w:r>
            <w:r>
              <w:rPr>
                <w:rStyle w:val="IndexLink"/>
                <w:rtl w:val="true"/>
              </w:rPr>
              <w:tab/>
            </w:r>
            <w:r>
              <w:rPr>
                <w:rStyle w:val="IndexLink"/>
              </w:rPr>
              <w:t>69</w:t>
            </w:r>
          </w:hyperlink>
        </w:p>
        <w:p>
          <w:pPr>
            <w:pStyle w:val="Contents4"/>
            <w:tabs>
              <w:tab w:val="clear" w:pos="8176"/>
              <w:tab w:val="right" w:pos="9026" w:leader="dot"/>
            </w:tabs>
            <w:rPr/>
          </w:pPr>
          <w:hyperlink w:anchor="__RefHeading___Toc3597497_1067777946">
            <w:r>
              <w:rPr>
                <w:webHidden/>
                <w:rStyle w:val="IndexLink"/>
                <w:rtl w:val="true"/>
              </w:rPr>
              <w:t>تلف شدن عين مرهونه در دست مرتهن</w:t>
            </w:r>
            <w:r>
              <w:rPr>
                <w:rStyle w:val="IndexLink"/>
                <w:rtl w:val="true"/>
              </w:rPr>
              <w:tab/>
            </w:r>
            <w:r>
              <w:rPr>
                <w:rStyle w:val="IndexLink"/>
              </w:rPr>
              <w:t>70</w:t>
            </w:r>
          </w:hyperlink>
        </w:p>
        <w:p>
          <w:pPr>
            <w:pStyle w:val="Contents4"/>
            <w:tabs>
              <w:tab w:val="clear" w:pos="8176"/>
              <w:tab w:val="right" w:pos="9026" w:leader="dot"/>
            </w:tabs>
            <w:rPr/>
          </w:pPr>
          <w:hyperlink w:anchor="__RefHeading___Toc3597499_1067777946">
            <w:r>
              <w:rPr>
                <w:webHidden/>
                <w:rStyle w:val="IndexLink"/>
                <w:rtl w:val="true"/>
              </w:rPr>
              <w:t>تصرّف مرتهن در عين مرهونه</w:t>
            </w:r>
            <w:r>
              <w:rPr>
                <w:rStyle w:val="IndexLink"/>
                <w:rtl w:val="true"/>
              </w:rPr>
              <w:tab/>
            </w:r>
            <w:r>
              <w:rPr>
                <w:rStyle w:val="IndexLink"/>
              </w:rPr>
              <w:t>70</w:t>
            </w:r>
          </w:hyperlink>
        </w:p>
        <w:p>
          <w:pPr>
            <w:pStyle w:val="Contents4"/>
            <w:tabs>
              <w:tab w:val="clear" w:pos="8176"/>
              <w:tab w:val="right" w:pos="9026" w:leader="dot"/>
            </w:tabs>
            <w:rPr/>
          </w:pPr>
          <w:hyperlink w:anchor="__RefHeading___Toc3597501_1067777946">
            <w:r>
              <w:rPr>
                <w:webHidden/>
                <w:rStyle w:val="IndexLink"/>
                <w:rtl w:val="true"/>
              </w:rPr>
              <w:t>ميزان ضمان</w:t>
            </w:r>
            <w:r>
              <w:rPr>
                <w:rStyle w:val="IndexLink"/>
                <w:rtl w:val="true"/>
              </w:rPr>
              <w:tab/>
            </w:r>
            <w:r>
              <w:rPr>
                <w:rStyle w:val="IndexLink"/>
              </w:rPr>
              <w:t>71</w:t>
            </w:r>
          </w:hyperlink>
        </w:p>
        <w:p>
          <w:pPr>
            <w:pStyle w:val="Contents4"/>
            <w:tabs>
              <w:tab w:val="clear" w:pos="8176"/>
              <w:tab w:val="right" w:pos="9026" w:leader="dot"/>
            </w:tabs>
            <w:rPr/>
          </w:pPr>
          <w:hyperlink w:anchor="__RefHeading___Toc3597503_1067777946">
            <w:r>
              <w:rPr>
                <w:webHidden/>
                <w:rStyle w:val="IndexLink"/>
                <w:rtl w:val="true"/>
              </w:rPr>
              <w:t>عقد فضولى بر رهن</w:t>
            </w:r>
            <w:r>
              <w:rPr>
                <w:rStyle w:val="IndexLink"/>
                <w:rtl w:val="true"/>
              </w:rPr>
              <w:tab/>
            </w:r>
            <w:r>
              <w:rPr>
                <w:rStyle w:val="IndexLink"/>
              </w:rPr>
              <w:t>71</w:t>
            </w:r>
          </w:hyperlink>
        </w:p>
        <w:p>
          <w:pPr>
            <w:pStyle w:val="Contents4"/>
            <w:tabs>
              <w:tab w:val="clear" w:pos="8176"/>
              <w:tab w:val="right" w:pos="9026" w:leader="dot"/>
            </w:tabs>
            <w:rPr/>
          </w:pPr>
          <w:hyperlink w:anchor="__RefHeading___Toc3597505_1067777946">
            <w:r>
              <w:rPr>
                <w:webHidden/>
                <w:rStyle w:val="IndexLink"/>
                <w:rtl w:val="true"/>
              </w:rPr>
              <w:t>نفقۀ مرهون</w:t>
            </w:r>
            <w:r>
              <w:rPr>
                <w:rStyle w:val="IndexLink"/>
                <w:rtl w:val="true"/>
              </w:rPr>
              <w:tab/>
            </w:r>
            <w:r>
              <w:rPr>
                <w:rStyle w:val="IndexLink"/>
              </w:rPr>
              <w:t>72</w:t>
            </w:r>
          </w:hyperlink>
        </w:p>
        <w:p>
          <w:pPr>
            <w:pStyle w:val="Contents4"/>
            <w:tabs>
              <w:tab w:val="clear" w:pos="8176"/>
              <w:tab w:val="right" w:pos="9026" w:leader="dot"/>
            </w:tabs>
            <w:rPr/>
          </w:pPr>
          <w:hyperlink w:anchor="__RefHeading___Toc3597507_1067777946">
            <w:r>
              <w:rPr>
                <w:webHidden/>
                <w:rStyle w:val="IndexLink"/>
                <w:rtl w:val="true"/>
              </w:rPr>
              <w:t>استيفاى دين از عين مرهونه</w:t>
            </w:r>
            <w:r>
              <w:rPr>
                <w:rStyle w:val="IndexLink"/>
                <w:rtl w:val="true"/>
              </w:rPr>
              <w:tab/>
            </w:r>
            <w:r>
              <w:rPr>
                <w:rStyle w:val="IndexLink"/>
              </w:rPr>
              <w:t>72</w:t>
            </w:r>
          </w:hyperlink>
        </w:p>
        <w:p>
          <w:pPr>
            <w:pStyle w:val="Contents4"/>
            <w:tabs>
              <w:tab w:val="clear" w:pos="8176"/>
              <w:tab w:val="right" w:pos="9026" w:leader="dot"/>
            </w:tabs>
            <w:rPr/>
          </w:pPr>
          <w:hyperlink w:anchor="__RefHeading___Toc3597509_1067777946">
            <w:r>
              <w:rPr>
                <w:webHidden/>
                <w:rStyle w:val="IndexLink"/>
                <w:rtl w:val="true"/>
              </w:rPr>
              <w:t>جواز اشتراطِ گذاشتنِ رهن در نزد شخص ثالث</w:t>
            </w:r>
            <w:r>
              <w:rPr>
                <w:rStyle w:val="IndexLink"/>
                <w:rtl w:val="true"/>
              </w:rPr>
              <w:tab/>
            </w:r>
            <w:r>
              <w:rPr>
                <w:rStyle w:val="IndexLink"/>
              </w:rPr>
              <w:t>73</w:t>
            </w:r>
          </w:hyperlink>
        </w:p>
        <w:p>
          <w:pPr>
            <w:pStyle w:val="Contents4"/>
            <w:tabs>
              <w:tab w:val="clear" w:pos="8176"/>
              <w:tab w:val="right" w:pos="9026" w:leader="dot"/>
            </w:tabs>
            <w:rPr/>
          </w:pPr>
          <w:hyperlink w:anchor="__RefHeading___Toc3597511_1067777946">
            <w:r>
              <w:rPr>
                <w:webHidden/>
                <w:rStyle w:val="IndexLink"/>
                <w:rtl w:val="true"/>
              </w:rPr>
              <w:t>حكم معيّن بودن و عدم تعيين شخص ثالث</w:t>
            </w:r>
            <w:r>
              <w:rPr>
                <w:rStyle w:val="IndexLink"/>
                <w:rtl w:val="true"/>
              </w:rPr>
              <w:tab/>
            </w:r>
            <w:r>
              <w:rPr>
                <w:rStyle w:val="IndexLink"/>
              </w:rPr>
              <w:t>73</w:t>
            </w:r>
          </w:hyperlink>
        </w:p>
        <w:p>
          <w:pPr>
            <w:pStyle w:val="Contents4"/>
            <w:tabs>
              <w:tab w:val="clear" w:pos="8176"/>
              <w:tab w:val="right" w:pos="9026" w:leader="dot"/>
            </w:tabs>
            <w:rPr/>
          </w:pPr>
          <w:hyperlink w:anchor="__RefHeading___Toc3597513_1067777946">
            <w:r>
              <w:rPr>
                <w:webHidden/>
                <w:rStyle w:val="IndexLink"/>
                <w:rtl w:val="true"/>
              </w:rPr>
              <w:t>شرط عدالت قابض و يا قابض بودن عادل</w:t>
            </w:r>
            <w:r>
              <w:rPr>
                <w:rStyle w:val="IndexLink"/>
                <w:rtl w:val="true"/>
              </w:rPr>
              <w:tab/>
            </w:r>
            <w:r>
              <w:rPr>
                <w:rStyle w:val="IndexLink"/>
              </w:rPr>
              <w:t>74</w:t>
            </w:r>
          </w:hyperlink>
        </w:p>
        <w:p>
          <w:pPr>
            <w:pStyle w:val="Contents4"/>
            <w:tabs>
              <w:tab w:val="clear" w:pos="8176"/>
              <w:tab w:val="right" w:pos="9026" w:leader="dot"/>
            </w:tabs>
            <w:rPr/>
          </w:pPr>
          <w:hyperlink w:anchor="__RefHeading___Toc3597515_1067777946">
            <w:r>
              <w:rPr>
                <w:webHidden/>
                <w:rStyle w:val="IndexLink"/>
                <w:rtl w:val="true"/>
              </w:rPr>
              <w:t>اختلاف در تغيّر صفات شخص ثالث</w:t>
            </w:r>
            <w:r>
              <w:rPr>
                <w:rStyle w:val="IndexLink"/>
                <w:rtl w:val="true"/>
              </w:rPr>
              <w:tab/>
            </w:r>
            <w:r>
              <w:rPr>
                <w:rStyle w:val="IndexLink"/>
              </w:rPr>
              <w:t>74</w:t>
            </w:r>
          </w:hyperlink>
        </w:p>
        <w:p>
          <w:pPr>
            <w:pStyle w:val="Contents4"/>
            <w:tabs>
              <w:tab w:val="clear" w:pos="8176"/>
              <w:tab w:val="right" w:pos="9026" w:leader="dot"/>
            </w:tabs>
            <w:rPr/>
          </w:pPr>
          <w:hyperlink w:anchor="__RefHeading___Toc3597517_1067777946">
            <w:r>
              <w:rPr>
                <w:webHidden/>
                <w:rStyle w:val="IndexLink"/>
                <w:rtl w:val="true"/>
              </w:rPr>
              <w:t>سپردن به حاكم بدون اذن از مجموع متراهنين</w:t>
            </w:r>
            <w:r>
              <w:rPr>
                <w:rStyle w:val="IndexLink"/>
                <w:rtl w:val="true"/>
              </w:rPr>
              <w:tab/>
            </w:r>
            <w:r>
              <w:rPr>
                <w:rStyle w:val="IndexLink"/>
              </w:rPr>
              <w:t>74</w:t>
            </w:r>
          </w:hyperlink>
        </w:p>
        <w:p>
          <w:pPr>
            <w:pStyle w:val="Contents4"/>
            <w:tabs>
              <w:tab w:val="clear" w:pos="8176"/>
              <w:tab w:val="right" w:pos="9026" w:leader="dot"/>
            </w:tabs>
            <w:rPr/>
          </w:pPr>
          <w:hyperlink w:anchor="__RefHeading___Toc3597519_1067777946">
            <w:r>
              <w:rPr>
                <w:webHidden/>
                <w:rStyle w:val="IndexLink"/>
                <w:rtl w:val="true"/>
              </w:rPr>
              <w:t>امتناع از عمل به شرط</w:t>
            </w:r>
            <w:r>
              <w:rPr>
                <w:rStyle w:val="IndexLink"/>
                <w:rtl w:val="true"/>
              </w:rPr>
              <w:tab/>
            </w:r>
            <w:r>
              <w:rPr>
                <w:rStyle w:val="IndexLink"/>
              </w:rPr>
              <w:t>75</w:t>
            </w:r>
          </w:hyperlink>
        </w:p>
        <w:p>
          <w:pPr>
            <w:pStyle w:val="Contents4"/>
            <w:tabs>
              <w:tab w:val="clear" w:pos="8176"/>
              <w:tab w:val="right" w:pos="9026" w:leader="dot"/>
            </w:tabs>
            <w:rPr/>
          </w:pPr>
          <w:hyperlink w:anchor="__RefHeading___Toc3597521_1067777946">
            <w:r>
              <w:rPr>
                <w:webHidden/>
                <w:rStyle w:val="IndexLink"/>
                <w:rtl w:val="true"/>
              </w:rPr>
              <w:t>تسليم به عدلين</w:t>
            </w:r>
            <w:r>
              <w:rPr>
                <w:rStyle w:val="IndexLink"/>
                <w:rtl w:val="true"/>
              </w:rPr>
              <w:tab/>
            </w:r>
            <w:r>
              <w:rPr>
                <w:rStyle w:val="IndexLink"/>
              </w:rPr>
              <w:t>75</w:t>
            </w:r>
          </w:hyperlink>
        </w:p>
        <w:p>
          <w:pPr>
            <w:pStyle w:val="Contents4"/>
            <w:tabs>
              <w:tab w:val="clear" w:pos="8176"/>
              <w:tab w:val="right" w:pos="9026" w:leader="dot"/>
            </w:tabs>
            <w:rPr/>
          </w:pPr>
          <w:hyperlink w:anchor="__RefHeading___Toc3597523_1067777946">
            <w:r>
              <w:rPr>
                <w:webHidden/>
                <w:rStyle w:val="IndexLink"/>
                <w:rtl w:val="true"/>
              </w:rPr>
              <w:t>ظهور عيب در عين مرهونه</w:t>
            </w:r>
            <w:r>
              <w:rPr>
                <w:rStyle w:val="IndexLink"/>
                <w:rtl w:val="true"/>
              </w:rPr>
              <w:tab/>
            </w:r>
            <w:r>
              <w:rPr>
                <w:rStyle w:val="IndexLink"/>
              </w:rPr>
              <w:t>76</w:t>
            </w:r>
          </w:hyperlink>
        </w:p>
        <w:p>
          <w:pPr>
            <w:pStyle w:val="Contents4"/>
            <w:tabs>
              <w:tab w:val="clear" w:pos="8176"/>
              <w:tab w:val="right" w:pos="9026" w:leader="dot"/>
            </w:tabs>
            <w:rPr/>
          </w:pPr>
          <w:hyperlink w:anchor="__RefHeading___Toc3597525_1067777946">
            <w:r>
              <w:rPr>
                <w:webHidden/>
                <w:rStyle w:val="IndexLink"/>
                <w:rtl w:val="true"/>
              </w:rPr>
              <w:t>حكم صورتى كه بيع از سوى عدل صورت گرفته باشد</w:t>
            </w:r>
            <w:r>
              <w:rPr>
                <w:rStyle w:val="IndexLink"/>
                <w:rtl w:val="true"/>
              </w:rPr>
              <w:tab/>
            </w:r>
            <w:r>
              <w:rPr>
                <w:rStyle w:val="IndexLink"/>
              </w:rPr>
              <w:t>76</w:t>
            </w:r>
          </w:hyperlink>
        </w:p>
        <w:p>
          <w:pPr>
            <w:pStyle w:val="Contents4"/>
            <w:tabs>
              <w:tab w:val="clear" w:pos="8176"/>
              <w:tab w:val="right" w:pos="9026" w:leader="dot"/>
            </w:tabs>
            <w:rPr/>
          </w:pPr>
          <w:hyperlink w:anchor="__RefHeading___Toc3597527_1067777946">
            <w:r>
              <w:rPr>
                <w:webHidden/>
                <w:rStyle w:val="IndexLink"/>
                <w:rtl w:val="true"/>
              </w:rPr>
              <w:t>وفات راهن يا مرتهن</w:t>
            </w:r>
            <w:r>
              <w:rPr>
                <w:rStyle w:val="IndexLink"/>
                <w:rtl w:val="true"/>
              </w:rPr>
              <w:tab/>
            </w:r>
            <w:r>
              <w:rPr>
                <w:rStyle w:val="IndexLink"/>
              </w:rPr>
              <w:t>77</w:t>
            </w:r>
          </w:hyperlink>
        </w:p>
        <w:p>
          <w:pPr>
            <w:pStyle w:val="Contents4"/>
            <w:tabs>
              <w:tab w:val="clear" w:pos="8176"/>
              <w:tab w:val="right" w:pos="9026" w:leader="dot"/>
            </w:tabs>
            <w:rPr/>
          </w:pPr>
          <w:hyperlink w:anchor="__RefHeading___Toc3597529_1067777946">
            <w:r>
              <w:rPr>
                <w:webHidden/>
                <w:rStyle w:val="IndexLink"/>
                <w:rtl w:val="true"/>
              </w:rPr>
              <w:t>خيانت عدل</w:t>
            </w:r>
            <w:r>
              <w:rPr>
                <w:rStyle w:val="IndexLink"/>
                <w:rtl w:val="true"/>
              </w:rPr>
              <w:tab/>
            </w:r>
            <w:r>
              <w:rPr>
                <w:rStyle w:val="IndexLink"/>
              </w:rPr>
              <w:t>78</w:t>
            </w:r>
          </w:hyperlink>
        </w:p>
        <w:p>
          <w:pPr>
            <w:pStyle w:val="Contents4"/>
            <w:tabs>
              <w:tab w:val="clear" w:pos="8176"/>
              <w:tab w:val="right" w:pos="9026" w:leader="dot"/>
            </w:tabs>
            <w:rPr/>
          </w:pPr>
          <w:hyperlink w:anchor="__RefHeading___Toc3597531_1067777946">
            <w:r>
              <w:rPr>
                <w:webHidden/>
                <w:rStyle w:val="IndexLink"/>
                <w:rtl w:val="true"/>
              </w:rPr>
              <w:t>ظهور غصبيّت رهن بعد از تلف</w:t>
            </w:r>
            <w:r>
              <w:rPr>
                <w:rStyle w:val="IndexLink"/>
                <w:rtl w:val="true"/>
              </w:rPr>
              <w:tab/>
            </w:r>
            <w:r>
              <w:rPr>
                <w:rStyle w:val="IndexLink"/>
              </w:rPr>
              <w:t>78</w:t>
            </w:r>
          </w:hyperlink>
        </w:p>
        <w:p>
          <w:pPr>
            <w:pStyle w:val="Contents4"/>
            <w:tabs>
              <w:tab w:val="clear" w:pos="8176"/>
              <w:tab w:val="right" w:pos="9026" w:leader="dot"/>
            </w:tabs>
            <w:rPr/>
          </w:pPr>
          <w:hyperlink w:anchor="__RefHeading___Toc3597533_1067777946">
            <w:r>
              <w:rPr>
                <w:webHidden/>
                <w:rStyle w:val="IndexLink"/>
                <w:rtl w:val="true"/>
              </w:rPr>
              <w:t>ادّعاى دفع ثمن مرهون، به مرتهن</w:t>
            </w:r>
            <w:r>
              <w:rPr>
                <w:rStyle w:val="IndexLink"/>
                <w:rtl w:val="true"/>
              </w:rPr>
              <w:tab/>
            </w:r>
            <w:r>
              <w:rPr>
                <w:rStyle w:val="IndexLink"/>
              </w:rPr>
              <w:t>79</w:t>
            </w:r>
          </w:hyperlink>
        </w:p>
        <w:p>
          <w:pPr>
            <w:pStyle w:val="Contents3"/>
            <w:tabs>
              <w:tab w:val="clear" w:pos="8459"/>
              <w:tab w:val="right" w:pos="9026" w:leader="dot"/>
            </w:tabs>
            <w:rPr/>
          </w:pPr>
          <w:hyperlink w:anchor="__RefHeading___Toc3597535_1067777946">
            <w:r>
              <w:rPr>
                <w:webHidden/>
                <w:rStyle w:val="IndexLink"/>
                <w:rtl w:val="true"/>
              </w:rPr>
              <w:t>فصل ششم احكام مربوط به راهن</w:t>
            </w:r>
            <w:r>
              <w:rPr>
                <w:rStyle w:val="IndexLink"/>
                <w:rtl w:val="true"/>
              </w:rPr>
              <w:tab/>
            </w:r>
            <w:r>
              <w:rPr>
                <w:rStyle w:val="IndexLink"/>
              </w:rPr>
              <w:t>80</w:t>
            </w:r>
          </w:hyperlink>
        </w:p>
        <w:p>
          <w:pPr>
            <w:pStyle w:val="Contents4"/>
            <w:tabs>
              <w:tab w:val="clear" w:pos="8176"/>
              <w:tab w:val="right" w:pos="9026" w:leader="dot"/>
            </w:tabs>
            <w:rPr/>
          </w:pPr>
          <w:hyperlink w:anchor="__RefHeading___Toc3597537_1067777946">
            <w:r>
              <w:rPr>
                <w:webHidden/>
                <w:rStyle w:val="IndexLink"/>
                <w:rtl w:val="true"/>
              </w:rPr>
              <w:t>تصرّفات جايزه و غير جايزه در مرهون</w:t>
            </w:r>
            <w:r>
              <w:rPr>
                <w:rStyle w:val="IndexLink"/>
                <w:rtl w:val="true"/>
              </w:rPr>
              <w:tab/>
            </w:r>
            <w:r>
              <w:rPr>
                <w:rStyle w:val="IndexLink"/>
              </w:rPr>
              <w:t>80</w:t>
            </w:r>
          </w:hyperlink>
        </w:p>
        <w:p>
          <w:pPr>
            <w:pStyle w:val="Contents4"/>
            <w:tabs>
              <w:tab w:val="clear" w:pos="8176"/>
              <w:tab w:val="right" w:pos="9026" w:leader="dot"/>
            </w:tabs>
            <w:rPr/>
          </w:pPr>
          <w:hyperlink w:anchor="__RefHeading___Toc3597539_1067777946">
            <w:r>
              <w:rPr>
                <w:webHidden/>
                <w:rStyle w:val="IndexLink"/>
                <w:rtl w:val="true"/>
              </w:rPr>
              <w:t>تصرّفات قبل از اجازه و لحوق اجازه</w:t>
            </w:r>
            <w:r>
              <w:rPr>
                <w:rStyle w:val="IndexLink"/>
                <w:rtl w:val="true"/>
              </w:rPr>
              <w:tab/>
            </w:r>
            <w:r>
              <w:rPr>
                <w:rStyle w:val="IndexLink"/>
              </w:rPr>
              <w:t>80</w:t>
            </w:r>
          </w:hyperlink>
        </w:p>
        <w:p>
          <w:pPr>
            <w:pStyle w:val="Contents4"/>
            <w:tabs>
              <w:tab w:val="clear" w:pos="8176"/>
              <w:tab w:val="right" w:pos="9026" w:leader="dot"/>
            </w:tabs>
            <w:rPr/>
          </w:pPr>
          <w:hyperlink w:anchor="__RefHeading___Toc3597541_1067777946">
            <w:r>
              <w:rPr>
                <w:webHidden/>
                <w:rStyle w:val="IndexLink"/>
                <w:rtl w:val="true"/>
              </w:rPr>
              <w:t>طلب شفعه از سوى مرتهن</w:t>
            </w:r>
            <w:r>
              <w:rPr>
                <w:rStyle w:val="IndexLink"/>
                <w:rtl w:val="true"/>
              </w:rPr>
              <w:tab/>
            </w:r>
            <w:r>
              <w:rPr>
                <w:rStyle w:val="IndexLink"/>
              </w:rPr>
              <w:t>81</w:t>
            </w:r>
          </w:hyperlink>
        </w:p>
        <w:p>
          <w:pPr>
            <w:pStyle w:val="Contents4"/>
            <w:tabs>
              <w:tab w:val="clear" w:pos="8176"/>
              <w:tab w:val="right" w:pos="9026" w:leader="dot"/>
            </w:tabs>
            <w:rPr/>
          </w:pPr>
          <w:hyperlink w:anchor="__RefHeading___Toc3597543_1067777946">
            <w:r>
              <w:rPr>
                <w:webHidden/>
                <w:rStyle w:val="IndexLink"/>
                <w:rtl w:val="true"/>
              </w:rPr>
              <w:t>صحّت عتق راهن با تعقّب به اجازه</w:t>
            </w:r>
            <w:r>
              <w:rPr>
                <w:rStyle w:val="IndexLink"/>
                <w:rtl w:val="true"/>
              </w:rPr>
              <w:tab/>
            </w:r>
            <w:r>
              <w:rPr>
                <w:rStyle w:val="IndexLink"/>
              </w:rPr>
              <w:t>81</w:t>
            </w:r>
          </w:hyperlink>
        </w:p>
        <w:p>
          <w:pPr>
            <w:pStyle w:val="Contents4"/>
            <w:tabs>
              <w:tab w:val="clear" w:pos="8176"/>
              <w:tab w:val="right" w:pos="9026" w:leader="dot"/>
            </w:tabs>
            <w:rPr/>
          </w:pPr>
          <w:hyperlink w:anchor="__RefHeading___Toc3597545_1067777946">
            <w:r>
              <w:rPr>
                <w:webHidden/>
                <w:rStyle w:val="IndexLink"/>
                <w:rtl w:val="true"/>
              </w:rPr>
              <w:t>عدم مانعيّت استيلاد كنيز از رهن</w:t>
            </w:r>
            <w:r>
              <w:rPr>
                <w:rStyle w:val="IndexLink"/>
                <w:rtl w:val="true"/>
              </w:rPr>
              <w:tab/>
            </w:r>
            <w:r>
              <w:rPr>
                <w:rStyle w:val="IndexLink"/>
              </w:rPr>
              <w:t>82</w:t>
            </w:r>
          </w:hyperlink>
        </w:p>
        <w:p>
          <w:pPr>
            <w:pStyle w:val="Contents4"/>
            <w:tabs>
              <w:tab w:val="clear" w:pos="8176"/>
              <w:tab w:val="right" w:pos="9026" w:leader="dot"/>
            </w:tabs>
            <w:rPr/>
          </w:pPr>
          <w:hyperlink w:anchor="__RefHeading___Toc3597547_1067777946">
            <w:r>
              <w:rPr>
                <w:webHidden/>
                <w:rStyle w:val="IndexLink"/>
                <w:rtl w:val="true"/>
              </w:rPr>
              <w:t>اذن مرتهن به بيع</w:t>
            </w:r>
            <w:r>
              <w:rPr>
                <w:rStyle w:val="IndexLink"/>
                <w:rtl w:val="true"/>
              </w:rPr>
              <w:tab/>
            </w:r>
            <w:r>
              <w:rPr>
                <w:rStyle w:val="IndexLink"/>
              </w:rPr>
              <w:t>83</w:t>
            </w:r>
          </w:hyperlink>
        </w:p>
        <w:p>
          <w:pPr>
            <w:pStyle w:val="Contents4"/>
            <w:tabs>
              <w:tab w:val="clear" w:pos="8176"/>
              <w:tab w:val="right" w:pos="9026" w:leader="dot"/>
            </w:tabs>
            <w:rPr/>
          </w:pPr>
          <w:hyperlink w:anchor="__RefHeading___Toc3597549_1067777946">
            <w:r>
              <w:rPr>
                <w:webHidden/>
                <w:rStyle w:val="IndexLink"/>
                <w:rtl w:val="true"/>
              </w:rPr>
              <w:t>اذن راهن به بيع</w:t>
            </w:r>
            <w:r>
              <w:rPr>
                <w:rStyle w:val="IndexLink"/>
                <w:rtl w:val="true"/>
              </w:rPr>
              <w:tab/>
            </w:r>
            <w:r>
              <w:rPr>
                <w:rStyle w:val="IndexLink"/>
              </w:rPr>
              <w:t>84</w:t>
            </w:r>
          </w:hyperlink>
        </w:p>
        <w:p>
          <w:pPr>
            <w:pStyle w:val="Contents4"/>
            <w:tabs>
              <w:tab w:val="clear" w:pos="8176"/>
              <w:tab w:val="right" w:pos="9026" w:leader="dot"/>
            </w:tabs>
            <w:rPr/>
          </w:pPr>
          <w:hyperlink w:anchor="__RefHeading___Toc3597551_1067777946">
            <w:r>
              <w:rPr>
                <w:webHidden/>
                <w:rStyle w:val="IndexLink"/>
                <w:rtl w:val="true"/>
              </w:rPr>
              <w:t>حلول دين و مطالبۀ دين توسط مرتهن</w:t>
            </w:r>
            <w:r>
              <w:rPr>
                <w:rStyle w:val="IndexLink"/>
                <w:rtl w:val="true"/>
              </w:rPr>
              <w:tab/>
            </w:r>
            <w:r>
              <w:rPr>
                <w:rStyle w:val="IndexLink"/>
              </w:rPr>
              <w:t>85</w:t>
            </w:r>
          </w:hyperlink>
        </w:p>
        <w:p>
          <w:pPr>
            <w:pStyle w:val="Contents4"/>
            <w:tabs>
              <w:tab w:val="clear" w:pos="8176"/>
              <w:tab w:val="right" w:pos="9026" w:leader="dot"/>
            </w:tabs>
            <w:rPr/>
          </w:pPr>
          <w:hyperlink w:anchor="__RefHeading___Toc3597553_1067777946">
            <w:r>
              <w:rPr>
                <w:webHidden/>
                <w:rStyle w:val="IndexLink"/>
                <w:rtl w:val="true"/>
              </w:rPr>
              <w:t>لزوم استيذان از مرتهن براى بيع</w:t>
            </w:r>
            <w:r>
              <w:rPr>
                <w:rStyle w:val="IndexLink"/>
                <w:rtl w:val="true"/>
              </w:rPr>
              <w:tab/>
            </w:r>
            <w:r>
              <w:rPr>
                <w:rStyle w:val="IndexLink"/>
              </w:rPr>
              <w:t>85</w:t>
            </w:r>
          </w:hyperlink>
        </w:p>
        <w:p>
          <w:pPr>
            <w:pStyle w:val="Contents4"/>
            <w:tabs>
              <w:tab w:val="clear" w:pos="8176"/>
              <w:tab w:val="right" w:pos="9026" w:leader="dot"/>
            </w:tabs>
            <w:rPr/>
          </w:pPr>
          <w:hyperlink w:anchor="__RefHeading___Toc3597555_1067777946">
            <w:r>
              <w:rPr>
                <w:webHidden/>
                <w:rStyle w:val="IndexLink"/>
                <w:rtl w:val="true"/>
              </w:rPr>
              <w:t>لزوم تحقّق اذن راهن در موارد بيع مرتهن و</w:t>
            </w:r>
            <w:r>
              <w:rPr>
                <w:rStyle w:val="IndexLink"/>
                <w:rtl w:val="true"/>
              </w:rPr>
              <w:t>...</w:t>
              <w:tab/>
            </w:r>
            <w:r>
              <w:rPr>
                <w:rStyle w:val="IndexLink"/>
              </w:rPr>
              <w:t>86</w:t>
            </w:r>
          </w:hyperlink>
        </w:p>
        <w:p>
          <w:pPr>
            <w:pStyle w:val="Contents3"/>
            <w:tabs>
              <w:tab w:val="clear" w:pos="8459"/>
              <w:tab w:val="right" w:pos="9026" w:leader="dot"/>
            </w:tabs>
            <w:rPr/>
          </w:pPr>
          <w:hyperlink w:anchor="__RefHeading___Toc3597557_1067777946">
            <w:r>
              <w:rPr>
                <w:webHidden/>
                <w:rStyle w:val="IndexLink"/>
                <w:rtl w:val="true"/>
              </w:rPr>
              <w:t>فصل هفتم احكام متعلّقه به رهن</w:t>
            </w:r>
            <w:r>
              <w:rPr>
                <w:rStyle w:val="IndexLink"/>
                <w:rtl w:val="true"/>
              </w:rPr>
              <w:tab/>
            </w:r>
            <w:r>
              <w:rPr>
                <w:rStyle w:val="IndexLink"/>
              </w:rPr>
              <w:t>87</w:t>
            </w:r>
          </w:hyperlink>
        </w:p>
        <w:p>
          <w:pPr>
            <w:pStyle w:val="Contents4"/>
            <w:tabs>
              <w:tab w:val="clear" w:pos="8176"/>
              <w:tab w:val="right" w:pos="9026" w:leader="dot"/>
            </w:tabs>
            <w:rPr/>
          </w:pPr>
          <w:hyperlink w:anchor="__RefHeading___Toc3597559_1067777946">
            <w:r>
              <w:rPr>
                <w:webHidden/>
                <w:rStyle w:val="IndexLink"/>
                <w:rtl w:val="true"/>
              </w:rPr>
              <w:t>لزوم رهن از طرف راهن و جواز از طرف مرتهن</w:t>
            </w:r>
            <w:r>
              <w:rPr>
                <w:rStyle w:val="IndexLink"/>
                <w:rtl w:val="true"/>
              </w:rPr>
              <w:tab/>
            </w:r>
            <w:r>
              <w:rPr>
                <w:rStyle w:val="IndexLink"/>
              </w:rPr>
              <w:t>87</w:t>
            </w:r>
          </w:hyperlink>
        </w:p>
        <w:p>
          <w:pPr>
            <w:pStyle w:val="Contents4"/>
            <w:tabs>
              <w:tab w:val="clear" w:pos="8176"/>
              <w:tab w:val="right" w:pos="9026" w:leader="dot"/>
            </w:tabs>
            <w:rPr/>
          </w:pPr>
          <w:hyperlink w:anchor="__RefHeading___Toc3597561_1067777946">
            <w:r>
              <w:rPr>
                <w:webHidden/>
                <w:rStyle w:val="IndexLink"/>
                <w:rtl w:val="true"/>
              </w:rPr>
              <w:t>انفكاك و تبعّض در رهن</w:t>
            </w:r>
            <w:r>
              <w:rPr>
                <w:rStyle w:val="IndexLink"/>
                <w:rtl w:val="true"/>
              </w:rPr>
              <w:tab/>
            </w:r>
            <w:r>
              <w:rPr>
                <w:rStyle w:val="IndexLink"/>
              </w:rPr>
              <w:t>87</w:t>
            </w:r>
          </w:hyperlink>
        </w:p>
        <w:p>
          <w:pPr>
            <w:pStyle w:val="Contents4"/>
            <w:tabs>
              <w:tab w:val="clear" w:pos="8176"/>
              <w:tab w:val="right" w:pos="9026" w:leader="dot"/>
            </w:tabs>
            <w:rPr/>
          </w:pPr>
          <w:hyperlink w:anchor="__RefHeading___Toc3597563_1067777946">
            <w:r>
              <w:rPr>
                <w:webHidden/>
                <w:rStyle w:val="IndexLink"/>
                <w:rtl w:val="true"/>
              </w:rPr>
              <w:t>وجوب رد عين بعد از اداى دين</w:t>
            </w:r>
            <w:r>
              <w:rPr>
                <w:rStyle w:val="IndexLink"/>
                <w:rtl w:val="true"/>
              </w:rPr>
              <w:tab/>
            </w:r>
            <w:r>
              <w:rPr>
                <w:rStyle w:val="IndexLink"/>
              </w:rPr>
              <w:t>88</w:t>
            </w:r>
          </w:hyperlink>
        </w:p>
        <w:p>
          <w:pPr>
            <w:pStyle w:val="Contents4"/>
            <w:tabs>
              <w:tab w:val="clear" w:pos="8176"/>
              <w:tab w:val="right" w:pos="9026" w:leader="dot"/>
            </w:tabs>
            <w:rPr/>
          </w:pPr>
          <w:hyperlink w:anchor="__RefHeading___Toc3597565_1067777946">
            <w:r>
              <w:rPr>
                <w:webHidden/>
                <w:rStyle w:val="IndexLink"/>
                <w:rtl w:val="true"/>
              </w:rPr>
              <w:t>شرط تملّك رهن در صورت عدم اداى دين</w:t>
            </w:r>
            <w:r>
              <w:rPr>
                <w:rStyle w:val="IndexLink"/>
                <w:rtl w:val="true"/>
              </w:rPr>
              <w:tab/>
            </w:r>
            <w:r>
              <w:rPr>
                <w:rStyle w:val="IndexLink"/>
              </w:rPr>
              <w:t>88</w:t>
            </w:r>
          </w:hyperlink>
        </w:p>
        <w:p>
          <w:pPr>
            <w:pStyle w:val="Contents4"/>
            <w:tabs>
              <w:tab w:val="clear" w:pos="8176"/>
              <w:tab w:val="right" w:pos="9026" w:leader="dot"/>
            </w:tabs>
            <w:rPr/>
          </w:pPr>
          <w:hyperlink w:anchor="__RefHeading___Toc3597567_1067777946">
            <w:r>
              <w:rPr>
                <w:webHidden/>
                <w:rStyle w:val="IndexLink"/>
                <w:rtl w:val="true"/>
              </w:rPr>
              <w:t>رهن مغصوب</w:t>
            </w:r>
            <w:r>
              <w:rPr>
                <w:rStyle w:val="IndexLink"/>
                <w:rtl w:val="true"/>
              </w:rPr>
              <w:tab/>
            </w:r>
            <w:r>
              <w:rPr>
                <w:rStyle w:val="IndexLink"/>
              </w:rPr>
              <w:t>88</w:t>
            </w:r>
          </w:hyperlink>
        </w:p>
        <w:p>
          <w:pPr>
            <w:pStyle w:val="Contents4"/>
            <w:tabs>
              <w:tab w:val="clear" w:pos="8176"/>
              <w:tab w:val="right" w:pos="9026" w:leader="dot"/>
            </w:tabs>
            <w:rPr/>
          </w:pPr>
          <w:hyperlink w:anchor="__RefHeading___Toc3597569_1067777946">
            <w:r>
              <w:rPr>
                <w:webHidden/>
                <w:rStyle w:val="IndexLink"/>
                <w:rtl w:val="true"/>
              </w:rPr>
              <w:t>فوايد عين مرهونه</w:t>
            </w:r>
            <w:r>
              <w:rPr>
                <w:rStyle w:val="IndexLink"/>
                <w:rtl w:val="true"/>
              </w:rPr>
              <w:tab/>
            </w:r>
            <w:r>
              <w:rPr>
                <w:rStyle w:val="IndexLink"/>
              </w:rPr>
              <w:t>88</w:t>
            </w:r>
          </w:hyperlink>
        </w:p>
        <w:p>
          <w:pPr>
            <w:pStyle w:val="Contents4"/>
            <w:tabs>
              <w:tab w:val="clear" w:pos="8176"/>
              <w:tab w:val="right" w:pos="9026" w:leader="dot"/>
            </w:tabs>
            <w:rPr/>
          </w:pPr>
          <w:hyperlink w:anchor="__RefHeading___Toc3597571_1067777946">
            <w:r>
              <w:rPr>
                <w:webHidden/>
                <w:rStyle w:val="IndexLink"/>
                <w:rtl w:val="true"/>
              </w:rPr>
              <w:t>رهن مال غير با اذن او</w:t>
            </w:r>
            <w:r>
              <w:rPr>
                <w:rStyle w:val="IndexLink"/>
                <w:rtl w:val="true"/>
              </w:rPr>
              <w:tab/>
            </w:r>
            <w:r>
              <w:rPr>
                <w:rStyle w:val="IndexLink"/>
              </w:rPr>
              <w:t>89</w:t>
            </w:r>
          </w:hyperlink>
        </w:p>
        <w:p>
          <w:pPr>
            <w:pStyle w:val="Contents4"/>
            <w:tabs>
              <w:tab w:val="clear" w:pos="8176"/>
              <w:tab w:val="right" w:pos="9026" w:leader="dot"/>
            </w:tabs>
            <w:rPr/>
          </w:pPr>
          <w:hyperlink w:anchor="__RefHeading___Toc3597573_1067777946">
            <w:r>
              <w:rPr>
                <w:webHidden/>
                <w:rStyle w:val="IndexLink"/>
                <w:rtl w:val="true"/>
              </w:rPr>
              <w:t>حكم تلف بعد از اذن مالك</w:t>
            </w:r>
            <w:r>
              <w:rPr>
                <w:rStyle w:val="IndexLink"/>
                <w:rtl w:val="true"/>
              </w:rPr>
              <w:tab/>
            </w:r>
            <w:r>
              <w:rPr>
                <w:rStyle w:val="IndexLink"/>
              </w:rPr>
              <w:t>90</w:t>
            </w:r>
          </w:hyperlink>
        </w:p>
        <w:p>
          <w:pPr>
            <w:pStyle w:val="Contents4"/>
            <w:tabs>
              <w:tab w:val="clear" w:pos="8176"/>
              <w:tab w:val="right" w:pos="9026" w:leader="dot"/>
            </w:tabs>
            <w:rPr/>
          </w:pPr>
          <w:hyperlink w:anchor="__RefHeading___Toc3597575_1067777946">
            <w:r>
              <w:rPr>
                <w:webHidden/>
                <w:rStyle w:val="IndexLink"/>
                <w:rtl w:val="true"/>
              </w:rPr>
              <w:t>جنايت عبد مرهونِ با اذن مالك</w:t>
            </w:r>
            <w:r>
              <w:rPr>
                <w:rStyle w:val="IndexLink"/>
                <w:rtl w:val="true"/>
              </w:rPr>
              <w:tab/>
            </w:r>
            <w:r>
              <w:rPr>
                <w:rStyle w:val="IndexLink"/>
              </w:rPr>
              <w:t>90</w:t>
            </w:r>
          </w:hyperlink>
        </w:p>
        <w:p>
          <w:pPr>
            <w:pStyle w:val="Contents4"/>
            <w:tabs>
              <w:tab w:val="clear" w:pos="8176"/>
              <w:tab w:val="right" w:pos="9026" w:leader="dot"/>
            </w:tabs>
            <w:rPr/>
          </w:pPr>
          <w:hyperlink w:anchor="__RefHeading___Toc3597577_1067777946">
            <w:r>
              <w:rPr>
                <w:webHidden/>
                <w:rStyle w:val="IndexLink"/>
                <w:rtl w:val="true"/>
              </w:rPr>
              <w:t>حكم رجوع مالك در صورت بيع مرهون</w:t>
            </w:r>
            <w:r>
              <w:rPr>
                <w:rStyle w:val="IndexLink"/>
                <w:rtl w:val="true"/>
              </w:rPr>
              <w:tab/>
            </w:r>
            <w:r>
              <w:rPr>
                <w:rStyle w:val="IndexLink"/>
              </w:rPr>
              <w:t>90</w:t>
            </w:r>
          </w:hyperlink>
        </w:p>
        <w:p>
          <w:pPr>
            <w:pStyle w:val="Contents4"/>
            <w:tabs>
              <w:tab w:val="clear" w:pos="8176"/>
              <w:tab w:val="right" w:pos="9026" w:leader="dot"/>
            </w:tabs>
            <w:rPr/>
          </w:pPr>
          <w:hyperlink w:anchor="__RefHeading___Toc3597579_1067777946">
            <w:r>
              <w:rPr>
                <w:webHidden/>
                <w:rStyle w:val="IndexLink"/>
                <w:rtl w:val="true"/>
              </w:rPr>
              <w:t>ميزان داخل بودن عين در عقد رهن</w:t>
            </w:r>
            <w:r>
              <w:rPr>
                <w:rStyle w:val="IndexLink"/>
                <w:rtl w:val="true"/>
              </w:rPr>
              <w:tab/>
            </w:r>
            <w:r>
              <w:rPr>
                <w:rStyle w:val="IndexLink"/>
              </w:rPr>
              <w:t>91</w:t>
            </w:r>
          </w:hyperlink>
        </w:p>
        <w:p>
          <w:pPr>
            <w:pStyle w:val="Contents4"/>
            <w:tabs>
              <w:tab w:val="clear" w:pos="8176"/>
              <w:tab w:val="right" w:pos="9026" w:leader="dot"/>
            </w:tabs>
            <w:rPr/>
          </w:pPr>
          <w:hyperlink w:anchor="__RefHeading___Toc3597581_1067777946">
            <w:r>
              <w:rPr>
                <w:webHidden/>
                <w:rStyle w:val="IndexLink"/>
                <w:rtl w:val="true"/>
              </w:rPr>
              <w:t>فروع مختلف ترتّب ضرر بر غرس</w:t>
            </w:r>
            <w:r>
              <w:rPr>
                <w:rStyle w:val="IndexLink"/>
                <w:rtl w:val="true"/>
              </w:rPr>
              <w:tab/>
            </w:r>
            <w:r>
              <w:rPr>
                <w:rStyle w:val="IndexLink"/>
              </w:rPr>
              <w:t>92</w:t>
            </w:r>
          </w:hyperlink>
        </w:p>
        <w:p>
          <w:pPr>
            <w:pStyle w:val="Contents4"/>
            <w:tabs>
              <w:tab w:val="clear" w:pos="8176"/>
              <w:tab w:val="right" w:pos="9026" w:leader="dot"/>
            </w:tabs>
            <w:rPr/>
          </w:pPr>
          <w:hyperlink w:anchor="__RefHeading___Toc3597583_1067777946">
            <w:r>
              <w:rPr>
                <w:webHidden/>
                <w:rStyle w:val="IndexLink"/>
                <w:rtl w:val="true"/>
              </w:rPr>
              <w:t>رهن ثمرۀ متعاقبه</w:t>
            </w:r>
            <w:r>
              <w:rPr>
                <w:rStyle w:val="IndexLink"/>
                <w:rtl w:val="true"/>
              </w:rPr>
              <w:tab/>
            </w:r>
            <w:r>
              <w:rPr>
                <w:rStyle w:val="IndexLink"/>
              </w:rPr>
              <w:t>93</w:t>
            </w:r>
          </w:hyperlink>
        </w:p>
        <w:p>
          <w:pPr>
            <w:pStyle w:val="Contents4"/>
            <w:tabs>
              <w:tab w:val="clear" w:pos="8176"/>
              <w:tab w:val="right" w:pos="9026" w:leader="dot"/>
            </w:tabs>
            <w:rPr/>
          </w:pPr>
          <w:hyperlink w:anchor="__RefHeading___Toc3597585_1067777946">
            <w:r>
              <w:rPr>
                <w:webHidden/>
                <w:rStyle w:val="IndexLink"/>
                <w:rtl w:val="true"/>
              </w:rPr>
              <w:t>فروع متعدّد جنايت عبد مرهون</w:t>
            </w:r>
            <w:r>
              <w:rPr>
                <w:rStyle w:val="IndexLink"/>
                <w:rtl w:val="true"/>
              </w:rPr>
              <w:tab/>
            </w:r>
            <w:r>
              <w:rPr>
                <w:rStyle w:val="IndexLink"/>
              </w:rPr>
              <w:t>94</w:t>
            </w:r>
          </w:hyperlink>
        </w:p>
        <w:p>
          <w:pPr>
            <w:pStyle w:val="Contents4"/>
            <w:tabs>
              <w:tab w:val="clear" w:pos="8176"/>
              <w:tab w:val="right" w:pos="9026" w:leader="dot"/>
            </w:tabs>
            <w:rPr/>
          </w:pPr>
          <w:hyperlink w:anchor="__RefHeading___Toc3597587_1067777946">
            <w:r>
              <w:rPr>
                <w:webHidden/>
                <w:rStyle w:val="IndexLink"/>
                <w:rtl w:val="true"/>
              </w:rPr>
              <w:t>جنايت عمدى عبد بر مولا</w:t>
            </w:r>
            <w:r>
              <w:rPr>
                <w:rStyle w:val="IndexLink"/>
                <w:rtl w:val="true"/>
              </w:rPr>
              <w:tab/>
            </w:r>
            <w:r>
              <w:rPr>
                <w:rStyle w:val="IndexLink"/>
              </w:rPr>
              <w:t>95</w:t>
            </w:r>
          </w:hyperlink>
        </w:p>
        <w:p>
          <w:pPr>
            <w:pStyle w:val="Contents4"/>
            <w:tabs>
              <w:tab w:val="clear" w:pos="8176"/>
              <w:tab w:val="right" w:pos="9026" w:leader="dot"/>
            </w:tabs>
            <w:rPr/>
          </w:pPr>
          <w:hyperlink w:anchor="__RefHeading___Toc3597589_1067777946">
            <w:r>
              <w:rPr>
                <w:webHidden/>
                <w:rStyle w:val="IndexLink"/>
                <w:rtl w:val="true"/>
              </w:rPr>
              <w:t>جنايت بر مورِّث مالك</w:t>
            </w:r>
            <w:r>
              <w:rPr>
                <w:rStyle w:val="IndexLink"/>
                <w:rtl w:val="true"/>
              </w:rPr>
              <w:tab/>
            </w:r>
            <w:r>
              <w:rPr>
                <w:rStyle w:val="IndexLink"/>
              </w:rPr>
              <w:t>95</w:t>
            </w:r>
          </w:hyperlink>
        </w:p>
        <w:p>
          <w:pPr>
            <w:pStyle w:val="Contents4"/>
            <w:tabs>
              <w:tab w:val="clear" w:pos="8176"/>
              <w:tab w:val="right" w:pos="9026" w:leader="dot"/>
            </w:tabs>
            <w:rPr/>
          </w:pPr>
          <w:hyperlink w:anchor="__RefHeading___Toc3597591_1067777946">
            <w:r>
              <w:rPr>
                <w:webHidden/>
                <w:rStyle w:val="IndexLink"/>
                <w:rtl w:val="true"/>
              </w:rPr>
              <w:t>جنايت بر عبد مولا</w:t>
            </w:r>
            <w:r>
              <w:rPr>
                <w:rStyle w:val="IndexLink"/>
                <w:rtl w:val="true"/>
              </w:rPr>
              <w:tab/>
            </w:r>
            <w:r>
              <w:rPr>
                <w:rStyle w:val="IndexLink"/>
              </w:rPr>
              <w:t>95</w:t>
            </w:r>
          </w:hyperlink>
        </w:p>
        <w:p>
          <w:pPr>
            <w:pStyle w:val="Contents4"/>
            <w:tabs>
              <w:tab w:val="clear" w:pos="8176"/>
              <w:tab w:val="right" w:pos="9026" w:leader="dot"/>
            </w:tabs>
            <w:rPr/>
          </w:pPr>
          <w:hyperlink w:anchor="__RefHeading___Toc3597593_1067777946">
            <w:r>
              <w:rPr>
                <w:webHidden/>
                <w:rStyle w:val="IndexLink"/>
                <w:rtl w:val="true"/>
              </w:rPr>
              <w:t>تحقيق در ثبوت عفو يا قصاص در مقام</w:t>
            </w:r>
            <w:r>
              <w:rPr>
                <w:rStyle w:val="IndexLink"/>
                <w:rtl w:val="true"/>
              </w:rPr>
              <w:tab/>
            </w:r>
            <w:r>
              <w:rPr>
                <w:rStyle w:val="IndexLink"/>
              </w:rPr>
              <w:t>96</w:t>
            </w:r>
          </w:hyperlink>
        </w:p>
        <w:p>
          <w:pPr>
            <w:pStyle w:val="Contents4"/>
            <w:tabs>
              <w:tab w:val="clear" w:pos="8176"/>
              <w:tab w:val="right" w:pos="9026" w:leader="dot"/>
            </w:tabs>
            <w:rPr/>
          </w:pPr>
          <w:hyperlink w:anchor="__RefHeading___Toc3597595_1067777946">
            <w:r>
              <w:rPr>
                <w:webHidden/>
                <w:rStyle w:val="IndexLink"/>
                <w:rtl w:val="true"/>
              </w:rPr>
              <w:t>عفو بدون مال</w:t>
            </w:r>
            <w:r>
              <w:rPr>
                <w:rStyle w:val="IndexLink"/>
                <w:rtl w:val="true"/>
              </w:rPr>
              <w:tab/>
            </w:r>
            <w:r>
              <w:rPr>
                <w:rStyle w:val="IndexLink"/>
              </w:rPr>
              <w:t>96</w:t>
            </w:r>
          </w:hyperlink>
        </w:p>
        <w:p>
          <w:pPr>
            <w:pStyle w:val="Contents4"/>
            <w:tabs>
              <w:tab w:val="clear" w:pos="8176"/>
              <w:tab w:val="right" w:pos="9026" w:leader="dot"/>
            </w:tabs>
            <w:rPr/>
          </w:pPr>
          <w:hyperlink w:anchor="__RefHeading___Toc3597597_1067777946">
            <w:r>
              <w:rPr>
                <w:webHidden/>
                <w:rStyle w:val="IndexLink"/>
                <w:rtl w:val="true"/>
              </w:rPr>
              <w:t>ازيديّت قيمت جنايت</w:t>
            </w:r>
            <w:r>
              <w:rPr>
                <w:rStyle w:val="IndexLink"/>
                <w:rtl w:val="true"/>
              </w:rPr>
              <w:tab/>
            </w:r>
            <w:r>
              <w:rPr>
                <w:rStyle w:val="IndexLink"/>
              </w:rPr>
              <w:t>97</w:t>
            </w:r>
          </w:hyperlink>
        </w:p>
        <w:p>
          <w:pPr>
            <w:pStyle w:val="Contents4"/>
            <w:tabs>
              <w:tab w:val="clear" w:pos="8176"/>
              <w:tab w:val="right" w:pos="9026" w:leader="dot"/>
            </w:tabs>
            <w:rPr/>
          </w:pPr>
          <w:hyperlink w:anchor="__RefHeading___Toc3597599_1067777946">
            <w:r>
              <w:rPr>
                <w:webHidden/>
                <w:rStyle w:val="IndexLink"/>
                <w:rtl w:val="true"/>
              </w:rPr>
              <w:t>فرض هدر بودن جنايت</w:t>
            </w:r>
            <w:r>
              <w:rPr>
                <w:rStyle w:val="IndexLink"/>
                <w:rtl w:val="true"/>
              </w:rPr>
              <w:tab/>
            </w:r>
            <w:r>
              <w:rPr>
                <w:rStyle w:val="IndexLink"/>
              </w:rPr>
              <w:t>97</w:t>
            </w:r>
          </w:hyperlink>
        </w:p>
        <w:p>
          <w:pPr>
            <w:pStyle w:val="Contents4"/>
            <w:tabs>
              <w:tab w:val="clear" w:pos="8176"/>
              <w:tab w:val="right" w:pos="9026" w:leader="dot"/>
            </w:tabs>
            <w:rPr/>
          </w:pPr>
          <w:hyperlink w:anchor="__RefHeading___Toc3597601_1067777946">
            <w:r>
              <w:rPr>
                <w:webHidden/>
                <w:rStyle w:val="IndexLink"/>
                <w:rtl w:val="true"/>
              </w:rPr>
              <w:t>تعدّد و عدم آن در رهن، دين و حق در جنايت عبد</w:t>
            </w:r>
            <w:r>
              <w:rPr>
                <w:rStyle w:val="IndexLink"/>
                <w:rtl w:val="true"/>
              </w:rPr>
              <w:tab/>
            </w:r>
            <w:r>
              <w:rPr>
                <w:rStyle w:val="IndexLink"/>
              </w:rPr>
              <w:t>97</w:t>
            </w:r>
          </w:hyperlink>
        </w:p>
        <w:p>
          <w:pPr>
            <w:pStyle w:val="Contents4"/>
            <w:tabs>
              <w:tab w:val="clear" w:pos="8176"/>
              <w:tab w:val="right" w:pos="9026" w:leader="dot"/>
            </w:tabs>
            <w:rPr/>
          </w:pPr>
          <w:hyperlink w:anchor="__RefHeading___Toc3597603_1067777946">
            <w:r>
              <w:rPr>
                <w:webHidden/>
                <w:rStyle w:val="IndexLink"/>
                <w:rtl w:val="true"/>
              </w:rPr>
              <w:t>جنايت عبد مرهون بر عبد ديگر</w:t>
            </w:r>
            <w:r>
              <w:rPr>
                <w:rStyle w:val="IndexLink"/>
                <w:rtl w:val="true"/>
              </w:rPr>
              <w:tab/>
            </w:r>
            <w:r>
              <w:rPr>
                <w:rStyle w:val="IndexLink"/>
              </w:rPr>
              <w:t>98</w:t>
            </w:r>
          </w:hyperlink>
        </w:p>
        <w:p>
          <w:pPr>
            <w:pStyle w:val="Contents4"/>
            <w:tabs>
              <w:tab w:val="clear" w:pos="8176"/>
              <w:tab w:val="right" w:pos="9026" w:leader="dot"/>
            </w:tabs>
            <w:rPr/>
          </w:pPr>
          <w:hyperlink w:anchor="__RefHeading___Toc3597605_1067777946">
            <w:r>
              <w:rPr>
                <w:webHidden/>
                <w:rStyle w:val="IndexLink"/>
                <w:rtl w:val="true"/>
              </w:rPr>
              <w:t>رهنيّت مجنىٌ عليه نزد غير مرتهن جانى</w:t>
            </w:r>
            <w:r>
              <w:rPr>
                <w:rStyle w:val="IndexLink"/>
                <w:rtl w:val="true"/>
              </w:rPr>
              <w:tab/>
            </w:r>
            <w:r>
              <w:rPr>
                <w:rStyle w:val="IndexLink"/>
              </w:rPr>
              <w:t>98</w:t>
            </w:r>
          </w:hyperlink>
        </w:p>
        <w:p>
          <w:pPr>
            <w:pStyle w:val="Contents4"/>
            <w:tabs>
              <w:tab w:val="clear" w:pos="8176"/>
              <w:tab w:val="right" w:pos="9026" w:leader="dot"/>
            </w:tabs>
            <w:rPr/>
          </w:pPr>
          <w:hyperlink w:anchor="__RefHeading___Toc3597607_1067777946">
            <w:r>
              <w:rPr>
                <w:webHidden/>
                <w:rStyle w:val="IndexLink"/>
                <w:rtl w:val="true"/>
              </w:rPr>
              <w:t>بطلان رهن در فرض قصاص</w:t>
            </w:r>
            <w:r>
              <w:rPr>
                <w:rStyle w:val="IndexLink"/>
                <w:rtl w:val="true"/>
              </w:rPr>
              <w:tab/>
            </w:r>
            <w:r>
              <w:rPr>
                <w:rStyle w:val="IndexLink"/>
              </w:rPr>
              <w:t>99</w:t>
            </w:r>
          </w:hyperlink>
        </w:p>
        <w:p>
          <w:pPr>
            <w:pStyle w:val="Contents4"/>
            <w:tabs>
              <w:tab w:val="clear" w:pos="8176"/>
              <w:tab w:val="right" w:pos="9026" w:leader="dot"/>
            </w:tabs>
            <w:rPr/>
          </w:pPr>
          <w:hyperlink w:anchor="__RefHeading___Toc3597609_1067777946">
            <w:r>
              <w:rPr>
                <w:webHidden/>
                <w:rStyle w:val="IndexLink"/>
                <w:rtl w:val="true"/>
              </w:rPr>
              <w:t>عفو بدون مال</w:t>
            </w:r>
            <w:r>
              <w:rPr>
                <w:rStyle w:val="IndexLink"/>
                <w:rtl w:val="true"/>
              </w:rPr>
              <w:tab/>
            </w:r>
            <w:r>
              <w:rPr>
                <w:rStyle w:val="IndexLink"/>
              </w:rPr>
              <w:t>99</w:t>
            </w:r>
          </w:hyperlink>
        </w:p>
        <w:p>
          <w:pPr>
            <w:pStyle w:val="Contents4"/>
            <w:tabs>
              <w:tab w:val="clear" w:pos="8176"/>
              <w:tab w:val="right" w:pos="9026" w:leader="dot"/>
            </w:tabs>
            <w:rPr/>
          </w:pPr>
          <w:hyperlink w:anchor="__RefHeading___Toc3597611_1067777946">
            <w:r>
              <w:rPr>
                <w:webHidden/>
                <w:rStyle w:val="IndexLink"/>
                <w:rtl w:val="true"/>
              </w:rPr>
              <w:t>اختلاف و اتحاد و قيمت</w:t>
            </w:r>
            <w:r>
              <w:rPr>
                <w:rStyle w:val="IndexLink"/>
                <w:rtl w:val="true"/>
              </w:rPr>
              <w:tab/>
            </w:r>
            <w:r>
              <w:rPr>
                <w:rStyle w:val="IndexLink"/>
              </w:rPr>
              <w:t>100</w:t>
            </w:r>
          </w:hyperlink>
        </w:p>
        <w:p>
          <w:pPr>
            <w:pStyle w:val="Contents4"/>
            <w:tabs>
              <w:tab w:val="clear" w:pos="8176"/>
              <w:tab w:val="right" w:pos="9026" w:leader="dot"/>
            </w:tabs>
            <w:rPr/>
          </w:pPr>
          <w:hyperlink w:anchor="__RefHeading___Toc3597613_1067777946">
            <w:r>
              <w:rPr>
                <w:webHidden/>
                <w:rStyle w:val="IndexLink"/>
                <w:rtl w:val="true"/>
              </w:rPr>
              <w:t>ضامن تلف عين مرهونه</w:t>
            </w:r>
            <w:r>
              <w:rPr>
                <w:rStyle w:val="IndexLink"/>
                <w:rtl w:val="true"/>
              </w:rPr>
              <w:tab/>
            </w:r>
            <w:r>
              <w:rPr>
                <w:rStyle w:val="IndexLink"/>
              </w:rPr>
              <w:t>101</w:t>
            </w:r>
          </w:hyperlink>
        </w:p>
        <w:p>
          <w:pPr>
            <w:pStyle w:val="Contents4"/>
            <w:tabs>
              <w:tab w:val="clear" w:pos="8176"/>
              <w:tab w:val="right" w:pos="9026" w:leader="dot"/>
            </w:tabs>
            <w:rPr/>
          </w:pPr>
          <w:hyperlink w:anchor="__RefHeading___Toc3597615_1067777946">
            <w:r>
              <w:rPr>
                <w:webHidden/>
                <w:rStyle w:val="IndexLink"/>
                <w:rtl w:val="true"/>
              </w:rPr>
              <w:t>رهن عصير</w:t>
            </w:r>
            <w:r>
              <w:rPr>
                <w:rStyle w:val="IndexLink"/>
                <w:rtl w:val="true"/>
              </w:rPr>
              <w:tab/>
            </w:r>
            <w:r>
              <w:rPr>
                <w:rStyle w:val="IndexLink"/>
              </w:rPr>
              <w:t>101</w:t>
            </w:r>
          </w:hyperlink>
        </w:p>
        <w:p>
          <w:pPr>
            <w:pStyle w:val="Contents4"/>
            <w:tabs>
              <w:tab w:val="clear" w:pos="8176"/>
              <w:tab w:val="right" w:pos="9026" w:leader="dot"/>
            </w:tabs>
            <w:rPr/>
          </w:pPr>
          <w:hyperlink w:anchor="__RefHeading___Toc3597617_1067777946">
            <w:r>
              <w:rPr>
                <w:webHidden/>
                <w:rStyle w:val="IndexLink"/>
                <w:rtl w:val="true"/>
              </w:rPr>
              <w:t>انقلاب در عصير مرهون</w:t>
            </w:r>
            <w:r>
              <w:rPr>
                <w:rStyle w:val="IndexLink"/>
                <w:rtl w:val="true"/>
              </w:rPr>
              <w:tab/>
            </w:r>
            <w:r>
              <w:rPr>
                <w:rStyle w:val="IndexLink"/>
              </w:rPr>
              <w:t>102</w:t>
            </w:r>
          </w:hyperlink>
        </w:p>
        <w:p>
          <w:pPr>
            <w:pStyle w:val="Contents4"/>
            <w:tabs>
              <w:tab w:val="clear" w:pos="8176"/>
              <w:tab w:val="right" w:pos="9026" w:leader="dot"/>
            </w:tabs>
            <w:rPr/>
          </w:pPr>
          <w:hyperlink w:anchor="__RefHeading___Toc3597619_1067777946">
            <w:r>
              <w:rPr>
                <w:webHidden/>
                <w:rStyle w:val="IndexLink"/>
                <w:rtl w:val="true"/>
              </w:rPr>
              <w:t>اختلاف متراهنين در زمان قبض</w:t>
            </w:r>
            <w:r>
              <w:rPr>
                <w:rStyle w:val="IndexLink"/>
                <w:rtl w:val="true"/>
              </w:rPr>
              <w:tab/>
            </w:r>
            <w:r>
              <w:rPr>
                <w:rStyle w:val="IndexLink"/>
              </w:rPr>
              <w:t>102</w:t>
            </w:r>
          </w:hyperlink>
        </w:p>
        <w:p>
          <w:pPr>
            <w:pStyle w:val="Contents4"/>
            <w:tabs>
              <w:tab w:val="clear" w:pos="8176"/>
              <w:tab w:val="right" w:pos="9026" w:leader="dot"/>
            </w:tabs>
            <w:rPr/>
          </w:pPr>
          <w:hyperlink w:anchor="__RefHeading___Toc3597621_1067777946">
            <w:r>
              <w:rPr>
                <w:webHidden/>
                <w:rStyle w:val="IndexLink"/>
                <w:rtl w:val="true"/>
              </w:rPr>
              <w:t>انقلاب به عصير قبل از قبض مشترى</w:t>
            </w:r>
            <w:r>
              <w:rPr>
                <w:rStyle w:val="IndexLink"/>
                <w:rtl w:val="true"/>
              </w:rPr>
              <w:tab/>
            </w:r>
            <w:r>
              <w:rPr>
                <w:rStyle w:val="IndexLink"/>
              </w:rPr>
              <w:t>103</w:t>
            </w:r>
          </w:hyperlink>
        </w:p>
        <w:p>
          <w:pPr>
            <w:pStyle w:val="Contents4"/>
            <w:tabs>
              <w:tab w:val="clear" w:pos="8176"/>
              <w:tab w:val="right" w:pos="9026" w:leader="dot"/>
            </w:tabs>
            <w:rPr/>
          </w:pPr>
          <w:hyperlink w:anchor="__RefHeading___Toc3597623_1067777946">
            <w:r>
              <w:rPr>
                <w:webHidden/>
                <w:rStyle w:val="IndexLink"/>
                <w:rtl w:val="true"/>
              </w:rPr>
              <w:t>حكم بعضى از نتايج رهن</w:t>
            </w:r>
            <w:r>
              <w:rPr>
                <w:rStyle w:val="IndexLink"/>
                <w:rtl w:val="true"/>
              </w:rPr>
              <w:tab/>
            </w:r>
            <w:r>
              <w:rPr>
                <w:rStyle w:val="IndexLink"/>
              </w:rPr>
              <w:t>103</w:t>
            </w:r>
          </w:hyperlink>
        </w:p>
        <w:p>
          <w:pPr>
            <w:pStyle w:val="Contents3"/>
            <w:tabs>
              <w:tab w:val="clear" w:pos="8459"/>
              <w:tab w:val="right" w:pos="9026" w:leader="dot"/>
            </w:tabs>
            <w:rPr/>
          </w:pPr>
          <w:hyperlink w:anchor="__RefHeading___Toc3597625_1067777946">
            <w:r>
              <w:rPr>
                <w:webHidden/>
                <w:rStyle w:val="IndexLink"/>
                <w:rtl w:val="true"/>
              </w:rPr>
              <w:t>فصل هشتم تنازع واقع در رهن</w:t>
            </w:r>
            <w:r>
              <w:rPr>
                <w:rStyle w:val="IndexLink"/>
                <w:rtl w:val="true"/>
              </w:rPr>
              <w:tab/>
            </w:r>
            <w:r>
              <w:rPr>
                <w:rStyle w:val="IndexLink"/>
              </w:rPr>
              <w:t>105</w:t>
            </w:r>
          </w:hyperlink>
        </w:p>
        <w:p>
          <w:pPr>
            <w:pStyle w:val="Contents4"/>
            <w:tabs>
              <w:tab w:val="clear" w:pos="8176"/>
              <w:tab w:val="right" w:pos="9026" w:leader="dot"/>
            </w:tabs>
            <w:rPr/>
          </w:pPr>
          <w:hyperlink w:anchor="__RefHeading___Toc3597627_106777794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597629_1067777946">
            <w:r>
              <w:rPr>
                <w:webHidden/>
                <w:rStyle w:val="IndexLink"/>
                <w:rtl w:val="true"/>
              </w:rPr>
              <w:t>اختلاف در امساك رهن مشاع</w:t>
            </w:r>
            <w:r>
              <w:rPr>
                <w:rStyle w:val="IndexLink"/>
                <w:rtl w:val="true"/>
              </w:rPr>
              <w:tab/>
            </w:r>
            <w:r>
              <w:rPr>
                <w:rStyle w:val="IndexLink"/>
              </w:rPr>
              <w:t>105</w:t>
            </w:r>
          </w:hyperlink>
        </w:p>
        <w:p>
          <w:pPr>
            <w:pStyle w:val="Contents4"/>
            <w:tabs>
              <w:tab w:val="clear" w:pos="8176"/>
              <w:tab w:val="right" w:pos="9026" w:leader="dot"/>
            </w:tabs>
            <w:rPr/>
          </w:pPr>
          <w:hyperlink w:anchor="__RefHeading___Toc3597631_1067777946">
            <w:r>
              <w:rPr>
                <w:webHidden/>
                <w:rStyle w:val="IndexLink"/>
                <w:rtl w:val="true"/>
              </w:rPr>
              <w:t>وفات مرتهن و انتقال حق رهانت</w:t>
            </w:r>
            <w:r>
              <w:rPr>
                <w:rStyle w:val="IndexLink"/>
                <w:rtl w:val="true"/>
              </w:rPr>
              <w:tab/>
            </w:r>
            <w:r>
              <w:rPr>
                <w:rStyle w:val="IndexLink"/>
              </w:rPr>
              <w:t>106</w:t>
            </w:r>
          </w:hyperlink>
        </w:p>
        <w:p>
          <w:pPr>
            <w:pStyle w:val="Contents4"/>
            <w:tabs>
              <w:tab w:val="clear" w:pos="8176"/>
              <w:tab w:val="right" w:pos="9026" w:leader="dot"/>
            </w:tabs>
            <w:rPr/>
          </w:pPr>
          <w:hyperlink w:anchor="__RefHeading___Toc3597633_1067777946">
            <w:r>
              <w:rPr>
                <w:webHidden/>
                <w:rStyle w:val="IndexLink"/>
                <w:rtl w:val="true"/>
              </w:rPr>
              <w:t>تلف عين مرهونه با تفريط</w:t>
            </w:r>
            <w:r>
              <w:rPr>
                <w:rStyle w:val="IndexLink"/>
                <w:rtl w:val="true"/>
              </w:rPr>
              <w:tab/>
            </w:r>
            <w:r>
              <w:rPr>
                <w:rStyle w:val="IndexLink"/>
              </w:rPr>
              <w:t>106</w:t>
            </w:r>
          </w:hyperlink>
        </w:p>
        <w:p>
          <w:pPr>
            <w:pStyle w:val="Contents4"/>
            <w:tabs>
              <w:tab w:val="clear" w:pos="8176"/>
              <w:tab w:val="right" w:pos="9026" w:leader="dot"/>
            </w:tabs>
            <w:rPr/>
          </w:pPr>
          <w:hyperlink w:anchor="__RefHeading___Toc3597635_1067777946">
            <w:r>
              <w:rPr>
                <w:webHidden/>
                <w:rStyle w:val="IndexLink"/>
                <w:rtl w:val="true"/>
              </w:rPr>
              <w:t>اختلاف راهن و مرتهن در قيمت تالف</w:t>
            </w:r>
            <w:r>
              <w:rPr>
                <w:rStyle w:val="IndexLink"/>
                <w:rtl w:val="true"/>
              </w:rPr>
              <w:tab/>
            </w:r>
            <w:r>
              <w:rPr>
                <w:rStyle w:val="IndexLink"/>
              </w:rPr>
              <w:t>106</w:t>
            </w:r>
          </w:hyperlink>
        </w:p>
        <w:p>
          <w:pPr>
            <w:pStyle w:val="Contents4"/>
            <w:tabs>
              <w:tab w:val="clear" w:pos="8176"/>
              <w:tab w:val="right" w:pos="9026" w:leader="dot"/>
            </w:tabs>
            <w:rPr/>
          </w:pPr>
          <w:hyperlink w:anchor="__RefHeading___Toc3597637_1067777946">
            <w:r>
              <w:rPr>
                <w:webHidden/>
                <w:rStyle w:val="IndexLink"/>
                <w:rtl w:val="true"/>
              </w:rPr>
              <w:t>اختلاف در رهن بودن يا وديعه بودن مال</w:t>
            </w:r>
            <w:r>
              <w:rPr>
                <w:rStyle w:val="IndexLink"/>
                <w:rtl w:val="true"/>
              </w:rPr>
              <w:tab/>
            </w:r>
            <w:r>
              <w:rPr>
                <w:rStyle w:val="IndexLink"/>
              </w:rPr>
              <w:t>107</w:t>
            </w:r>
          </w:hyperlink>
        </w:p>
        <w:p>
          <w:pPr>
            <w:pStyle w:val="Contents4"/>
            <w:tabs>
              <w:tab w:val="clear" w:pos="8176"/>
              <w:tab w:val="right" w:pos="9026" w:leader="dot"/>
            </w:tabs>
            <w:rPr/>
          </w:pPr>
          <w:hyperlink w:anchor="__RefHeading___Toc3597639_1067777946">
            <w:r>
              <w:rPr>
                <w:webHidden/>
                <w:rStyle w:val="IndexLink"/>
                <w:rtl w:val="true"/>
              </w:rPr>
              <w:t>اختلاف در تقديم رجوع بر بيع و تأخّر آن</w:t>
            </w:r>
            <w:r>
              <w:rPr>
                <w:rStyle w:val="IndexLink"/>
                <w:rtl w:val="true"/>
              </w:rPr>
              <w:tab/>
            </w:r>
            <w:r>
              <w:rPr>
                <w:rStyle w:val="IndexLink"/>
              </w:rPr>
              <w:t>107</w:t>
            </w:r>
          </w:hyperlink>
        </w:p>
        <w:p>
          <w:pPr>
            <w:pStyle w:val="Contents4"/>
            <w:tabs>
              <w:tab w:val="clear" w:pos="8176"/>
              <w:tab w:val="right" w:pos="9026" w:leader="dot"/>
            </w:tabs>
            <w:rPr/>
          </w:pPr>
          <w:hyperlink w:anchor="__RefHeading___Toc3597641_1067777946">
            <w:r>
              <w:rPr>
                <w:webHidden/>
                <w:rStyle w:val="IndexLink"/>
                <w:rtl w:val="true"/>
              </w:rPr>
              <w:t>اختلاف در انتفاع و اتلاف عين</w:t>
            </w:r>
            <w:r>
              <w:rPr>
                <w:rStyle w:val="IndexLink"/>
                <w:rtl w:val="true"/>
              </w:rPr>
              <w:tab/>
            </w:r>
            <w:r>
              <w:rPr>
                <w:rStyle w:val="IndexLink"/>
              </w:rPr>
              <w:t>108</w:t>
            </w:r>
          </w:hyperlink>
        </w:p>
        <w:p>
          <w:pPr>
            <w:pStyle w:val="Contents4"/>
            <w:tabs>
              <w:tab w:val="clear" w:pos="8176"/>
              <w:tab w:val="right" w:pos="9026" w:leader="dot"/>
            </w:tabs>
            <w:rPr/>
          </w:pPr>
          <w:hyperlink w:anchor="__RefHeading___Toc3597643_1067777946">
            <w:r>
              <w:rPr>
                <w:webHidden/>
                <w:rStyle w:val="IndexLink"/>
                <w:rtl w:val="true"/>
              </w:rPr>
              <w:t>الزام بر وفاى به عين رهن</w:t>
            </w:r>
            <w:r>
              <w:rPr>
                <w:rStyle w:val="IndexLink"/>
                <w:rtl w:val="true"/>
              </w:rPr>
              <w:tab/>
            </w:r>
            <w:r>
              <w:rPr>
                <w:rStyle w:val="IndexLink"/>
              </w:rPr>
              <w:t>109</w:t>
            </w:r>
          </w:hyperlink>
        </w:p>
        <w:p>
          <w:pPr>
            <w:pStyle w:val="Contents4"/>
            <w:tabs>
              <w:tab w:val="clear" w:pos="8176"/>
              <w:tab w:val="right" w:pos="9026" w:leader="dot"/>
            </w:tabs>
            <w:rPr/>
          </w:pPr>
          <w:hyperlink w:anchor="__RefHeading___Toc3597645_1067777946">
            <w:r>
              <w:rPr>
                <w:webHidden/>
                <w:rStyle w:val="IndexLink"/>
                <w:rtl w:val="true"/>
              </w:rPr>
              <w:t>ادّعاى رهنيّت توسط مرتهن و انكار راهن</w:t>
            </w:r>
            <w:r>
              <w:rPr>
                <w:rStyle w:val="IndexLink"/>
                <w:rtl w:val="true"/>
              </w:rPr>
              <w:tab/>
            </w:r>
            <w:r>
              <w:rPr>
                <w:rStyle w:val="IndexLink"/>
              </w:rPr>
              <w:t>109</w:t>
            </w:r>
          </w:hyperlink>
        </w:p>
        <w:p>
          <w:pPr>
            <w:pStyle w:val="Contents4"/>
            <w:tabs>
              <w:tab w:val="clear" w:pos="8176"/>
              <w:tab w:val="right" w:pos="9026" w:leader="dot"/>
            </w:tabs>
            <w:rPr/>
          </w:pPr>
          <w:hyperlink w:anchor="__RefHeading___Toc3597647_1067777946">
            <w:r>
              <w:rPr>
                <w:webHidden/>
                <w:rStyle w:val="IndexLink"/>
                <w:rtl w:val="true"/>
              </w:rPr>
              <w:t>اختلاف در دين متعلّق رهن</w:t>
            </w:r>
            <w:r>
              <w:rPr>
                <w:rStyle w:val="IndexLink"/>
                <w:rtl w:val="true"/>
              </w:rPr>
              <w:tab/>
            </w:r>
            <w:r>
              <w:rPr>
                <w:rStyle w:val="IndexLink"/>
              </w:rPr>
              <w:t>110</w:t>
            </w:r>
          </w:hyperlink>
        </w:p>
        <w:p>
          <w:pPr>
            <w:pStyle w:val="Contents4"/>
            <w:tabs>
              <w:tab w:val="clear" w:pos="8176"/>
              <w:tab w:val="right" w:pos="9026" w:leader="dot"/>
            </w:tabs>
            <w:rPr/>
          </w:pPr>
          <w:hyperlink w:anchor="__RefHeading___Toc3597649_1067777946">
            <w:r>
              <w:rPr>
                <w:webHidden/>
                <w:rStyle w:val="IndexLink"/>
                <w:rtl w:val="true"/>
              </w:rPr>
              <w:t>اختلاف در ردّ رهن</w:t>
            </w:r>
            <w:r>
              <w:rPr>
                <w:rStyle w:val="IndexLink"/>
                <w:rtl w:val="true"/>
              </w:rPr>
              <w:tab/>
            </w:r>
            <w:r>
              <w:rPr>
                <w:rStyle w:val="IndexLink"/>
              </w:rPr>
              <w:t>111</w:t>
            </w:r>
          </w:hyperlink>
        </w:p>
        <w:p>
          <w:pPr>
            <w:pStyle w:val="Contents2"/>
            <w:tabs>
              <w:tab w:val="clear" w:pos="8743"/>
              <w:tab w:val="right" w:pos="9026" w:leader="dot"/>
            </w:tabs>
            <w:rPr/>
          </w:pPr>
          <w:hyperlink w:anchor="__RefHeading___Toc3597651_1067777946">
            <w:r>
              <w:rPr>
                <w:webHidden/>
                <w:rStyle w:val="IndexLink"/>
                <w:rtl w:val="true"/>
              </w:rPr>
              <w:t>كتاب حَجر</w:t>
            </w:r>
            <w:r>
              <w:rPr>
                <w:rStyle w:val="IndexLink"/>
                <w:rtl w:val="true"/>
              </w:rPr>
              <w:tab/>
            </w:r>
            <w:r>
              <w:rPr>
                <w:rStyle w:val="IndexLink"/>
              </w:rPr>
              <w:t>112</w:t>
            </w:r>
          </w:hyperlink>
        </w:p>
        <w:p>
          <w:pPr>
            <w:pStyle w:val="Contents3"/>
            <w:tabs>
              <w:tab w:val="clear" w:pos="8459"/>
              <w:tab w:val="right" w:pos="9026" w:leader="dot"/>
            </w:tabs>
            <w:rPr/>
          </w:pPr>
          <w:hyperlink w:anchor="__RefHeading___Toc3597653_1067777946">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597655_1067777946">
            <w:r>
              <w:rPr>
                <w:webHidden/>
                <w:rStyle w:val="IndexLink"/>
                <w:rtl w:val="true"/>
              </w:rPr>
              <w:t>فصل اوّل موجبات حَجر</w:t>
            </w:r>
            <w:r>
              <w:rPr>
                <w:rStyle w:val="IndexLink"/>
                <w:rtl w:val="true"/>
              </w:rPr>
              <w:tab/>
            </w:r>
            <w:r>
              <w:rPr>
                <w:rStyle w:val="IndexLink"/>
              </w:rPr>
              <w:t>114</w:t>
            </w:r>
          </w:hyperlink>
        </w:p>
        <w:p>
          <w:pPr>
            <w:pStyle w:val="Contents4"/>
            <w:tabs>
              <w:tab w:val="clear" w:pos="8176"/>
              <w:tab w:val="right" w:pos="9026" w:leader="dot"/>
            </w:tabs>
            <w:rPr/>
          </w:pPr>
          <w:hyperlink w:anchor="__RefHeading___Toc3597657_1067777946">
            <w:r>
              <w:rPr>
                <w:webHidden/>
                <w:rStyle w:val="IndexLink"/>
                <w:rtl w:val="true"/>
              </w:rPr>
              <w:t>تعريف حجر</w:t>
            </w:r>
            <w:r>
              <w:rPr>
                <w:rStyle w:val="IndexLink"/>
                <w:rtl w:val="true"/>
              </w:rPr>
              <w:tab/>
            </w:r>
            <w:r>
              <w:rPr>
                <w:rStyle w:val="IndexLink"/>
              </w:rPr>
              <w:t>114</w:t>
            </w:r>
          </w:hyperlink>
        </w:p>
        <w:p>
          <w:pPr>
            <w:pStyle w:val="Contents4"/>
            <w:tabs>
              <w:tab w:val="clear" w:pos="8176"/>
              <w:tab w:val="right" w:pos="9026" w:leader="dot"/>
            </w:tabs>
            <w:rPr/>
          </w:pPr>
          <w:hyperlink w:anchor="__RefHeading___Toc3597659_1067777946">
            <w:r>
              <w:rPr>
                <w:webHidden/>
                <w:rStyle w:val="IndexLink"/>
              </w:rPr>
              <w:t>1</w:t>
            </w:r>
            <w:r>
              <w:rPr>
                <w:rStyle w:val="IndexLink"/>
                <w:rtl w:val="true"/>
              </w:rPr>
              <w:t xml:space="preserve">. </w:t>
            </w:r>
            <w:r>
              <w:rPr>
                <w:rStyle w:val="IndexLink"/>
                <w:rtl w:val="true"/>
              </w:rPr>
              <w:t>محجوريّت صغير</w:t>
            </w:r>
            <w:r>
              <w:rPr>
                <w:rStyle w:val="IndexLink"/>
                <w:rtl w:val="true"/>
              </w:rPr>
              <w:tab/>
            </w:r>
            <w:r>
              <w:rPr>
                <w:rStyle w:val="IndexLink"/>
              </w:rPr>
              <w:t>114</w:t>
            </w:r>
          </w:hyperlink>
        </w:p>
        <w:p>
          <w:pPr>
            <w:pStyle w:val="Contents5"/>
            <w:tabs>
              <w:tab w:val="clear" w:pos="7892"/>
              <w:tab w:val="right" w:pos="9026" w:leader="dot"/>
            </w:tabs>
            <w:rPr/>
          </w:pPr>
          <w:hyperlink w:anchor="__RefHeading___Toc3597661_106777794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597663_1067777946">
            <w:r>
              <w:rPr>
                <w:webHidden/>
                <w:rStyle w:val="IndexLink"/>
                <w:rtl w:val="true"/>
              </w:rPr>
              <w:t>بلوغ</w:t>
            </w:r>
            <w:r>
              <w:rPr>
                <w:rStyle w:val="IndexLink"/>
                <w:rtl w:val="true"/>
              </w:rPr>
              <w:tab/>
            </w:r>
            <w:r>
              <w:rPr>
                <w:rStyle w:val="IndexLink"/>
              </w:rPr>
              <w:t>114</w:t>
            </w:r>
          </w:hyperlink>
        </w:p>
        <w:p>
          <w:pPr>
            <w:pStyle w:val="Contents6"/>
            <w:tabs>
              <w:tab w:val="clear" w:pos="7609"/>
              <w:tab w:val="right" w:pos="9026" w:leader="dot"/>
            </w:tabs>
            <w:rPr/>
          </w:pPr>
          <w:hyperlink w:anchor="__RefHeading___Toc3597665_1067777946">
            <w:r>
              <w:rPr>
                <w:webHidden/>
                <w:rStyle w:val="IndexLink"/>
                <w:rtl w:val="true"/>
              </w:rPr>
              <w:t>تعريف بلوغ</w:t>
            </w:r>
            <w:r>
              <w:rPr>
                <w:rStyle w:val="IndexLink"/>
                <w:rtl w:val="true"/>
              </w:rPr>
              <w:tab/>
            </w:r>
            <w:r>
              <w:rPr>
                <w:rStyle w:val="IndexLink"/>
              </w:rPr>
              <w:t>114</w:t>
            </w:r>
          </w:hyperlink>
        </w:p>
        <w:p>
          <w:pPr>
            <w:pStyle w:val="Contents6"/>
            <w:tabs>
              <w:tab w:val="clear" w:pos="7609"/>
              <w:tab w:val="right" w:pos="9026" w:leader="dot"/>
            </w:tabs>
            <w:rPr/>
          </w:pPr>
          <w:hyperlink w:anchor="__RefHeading___Toc3597667_1067777946">
            <w:r>
              <w:rPr>
                <w:webHidden/>
                <w:rStyle w:val="IndexLink"/>
                <w:rtl w:val="true"/>
              </w:rPr>
              <w:t>علايم بلوغ</w:t>
            </w:r>
            <w:r>
              <w:rPr>
                <w:rStyle w:val="IndexLink"/>
                <w:rtl w:val="true"/>
              </w:rPr>
              <w:tab/>
            </w:r>
            <w:r>
              <w:rPr>
                <w:rStyle w:val="IndexLink"/>
              </w:rPr>
              <w:t>115</w:t>
            </w:r>
          </w:hyperlink>
        </w:p>
        <w:p>
          <w:pPr>
            <w:pStyle w:val="Contents6"/>
            <w:tabs>
              <w:tab w:val="clear" w:pos="7609"/>
              <w:tab w:val="right" w:pos="9026" w:leader="dot"/>
            </w:tabs>
            <w:rPr/>
          </w:pPr>
          <w:hyperlink w:anchor="__RefHeading___Toc3597669_1067777946">
            <w:r>
              <w:rPr>
                <w:webHidden/>
                <w:rStyle w:val="IndexLink"/>
                <w:rtl w:val="true"/>
              </w:rPr>
              <w:t>لحيه و شارب و انبات</w:t>
            </w:r>
            <w:r>
              <w:rPr>
                <w:rStyle w:val="IndexLink"/>
                <w:rtl w:val="true"/>
              </w:rPr>
              <w:tab/>
            </w:r>
            <w:r>
              <w:rPr>
                <w:rStyle w:val="IndexLink"/>
              </w:rPr>
              <w:t>115</w:t>
            </w:r>
          </w:hyperlink>
        </w:p>
        <w:p>
          <w:pPr>
            <w:pStyle w:val="Contents6"/>
            <w:tabs>
              <w:tab w:val="clear" w:pos="7609"/>
              <w:tab w:val="right" w:pos="9026" w:leader="dot"/>
            </w:tabs>
            <w:rPr/>
          </w:pPr>
          <w:hyperlink w:anchor="__RefHeading___Toc3597671_1067777946">
            <w:r>
              <w:rPr>
                <w:webHidden/>
                <w:rStyle w:val="IndexLink"/>
                <w:rtl w:val="true"/>
              </w:rPr>
              <w:t>مراد از احتلام و اماريّت معرضيّت نزول</w:t>
            </w:r>
            <w:r>
              <w:rPr>
                <w:rStyle w:val="IndexLink"/>
                <w:rtl w:val="true"/>
              </w:rPr>
              <w:tab/>
            </w:r>
            <w:r>
              <w:rPr>
                <w:rStyle w:val="IndexLink"/>
              </w:rPr>
              <w:t>116</w:t>
            </w:r>
          </w:hyperlink>
        </w:p>
        <w:p>
          <w:pPr>
            <w:pStyle w:val="Contents6"/>
            <w:tabs>
              <w:tab w:val="clear" w:pos="7609"/>
              <w:tab w:val="right" w:pos="9026" w:leader="dot"/>
            </w:tabs>
            <w:rPr/>
          </w:pPr>
          <w:hyperlink w:anchor="__RefHeading___Toc3597673_1067777946">
            <w:r>
              <w:rPr>
                <w:webHidden/>
                <w:rStyle w:val="IndexLink"/>
                <w:rtl w:val="true"/>
              </w:rPr>
              <w:t>اگر به بلوغ يقين و اطمينان حاصل نشود</w:t>
            </w:r>
            <w:r>
              <w:rPr>
                <w:rStyle w:val="IndexLink"/>
                <w:rtl w:val="true"/>
              </w:rPr>
              <w:tab/>
            </w:r>
            <w:r>
              <w:rPr>
                <w:rStyle w:val="IndexLink"/>
              </w:rPr>
              <w:t>116</w:t>
            </w:r>
          </w:hyperlink>
        </w:p>
        <w:p>
          <w:pPr>
            <w:pStyle w:val="Contents6"/>
            <w:tabs>
              <w:tab w:val="clear" w:pos="7609"/>
              <w:tab w:val="right" w:pos="9026" w:leader="dot"/>
            </w:tabs>
            <w:rPr/>
          </w:pPr>
          <w:hyperlink w:anchor="__RefHeading___Toc3597675_1067777946">
            <w:r>
              <w:rPr>
                <w:webHidden/>
                <w:rStyle w:val="IndexLink"/>
                <w:rtl w:val="true"/>
              </w:rPr>
              <w:t>خروج منى و تكوّن ولد از آن، از معرّفات قطع به بلوغ</w:t>
            </w:r>
            <w:r>
              <w:rPr>
                <w:rStyle w:val="IndexLink"/>
                <w:rtl w:val="true"/>
              </w:rPr>
              <w:tab/>
            </w:r>
            <w:r>
              <w:rPr>
                <w:rStyle w:val="IndexLink"/>
              </w:rPr>
              <w:t>117</w:t>
            </w:r>
          </w:hyperlink>
        </w:p>
        <w:p>
          <w:pPr>
            <w:pStyle w:val="Contents6"/>
            <w:tabs>
              <w:tab w:val="clear" w:pos="7609"/>
              <w:tab w:val="right" w:pos="9026" w:leader="dot"/>
            </w:tabs>
            <w:rPr/>
          </w:pPr>
          <w:hyperlink w:anchor="__RefHeading___Toc3597677_1067777946">
            <w:r>
              <w:rPr>
                <w:webHidden/>
                <w:rStyle w:val="IndexLink"/>
                <w:rtl w:val="true"/>
              </w:rPr>
              <w:t>سن بلوغ و احكام آن</w:t>
            </w:r>
            <w:r>
              <w:rPr>
                <w:rStyle w:val="IndexLink"/>
                <w:rtl w:val="true"/>
              </w:rPr>
              <w:tab/>
            </w:r>
            <w:r>
              <w:rPr>
                <w:rStyle w:val="IndexLink"/>
              </w:rPr>
              <w:t>117</w:t>
            </w:r>
          </w:hyperlink>
        </w:p>
        <w:p>
          <w:pPr>
            <w:pStyle w:val="Contents6"/>
            <w:tabs>
              <w:tab w:val="clear" w:pos="7609"/>
              <w:tab w:val="right" w:pos="9026" w:leader="dot"/>
            </w:tabs>
            <w:rPr/>
          </w:pPr>
          <w:hyperlink w:anchor="__RefHeading___Toc3597679_1067777946">
            <w:r>
              <w:rPr>
                <w:webHidden/>
                <w:rStyle w:val="IndexLink"/>
                <w:rtl w:val="true"/>
              </w:rPr>
              <w:t>راههاى اثبات بلوغ به سن</w:t>
            </w:r>
            <w:r>
              <w:rPr>
                <w:rStyle w:val="IndexLink"/>
                <w:rtl w:val="true"/>
              </w:rPr>
              <w:tab/>
            </w:r>
            <w:r>
              <w:rPr>
                <w:rStyle w:val="IndexLink"/>
              </w:rPr>
              <w:t>118</w:t>
            </w:r>
          </w:hyperlink>
        </w:p>
        <w:p>
          <w:pPr>
            <w:pStyle w:val="Contents6"/>
            <w:tabs>
              <w:tab w:val="clear" w:pos="7609"/>
              <w:tab w:val="right" w:pos="9026" w:leader="dot"/>
            </w:tabs>
            <w:rPr/>
          </w:pPr>
          <w:hyperlink w:anchor="__RefHeading___Toc3597681_1067777946">
            <w:r>
              <w:rPr>
                <w:webHidden/>
                <w:rStyle w:val="IndexLink"/>
                <w:rtl w:val="true"/>
              </w:rPr>
              <w:t>راههاى اثبات بلوغ خنثىٰ‌</w:t>
            </w:r>
            <w:r>
              <w:rPr>
                <w:rStyle w:val="IndexLink"/>
                <w:rtl w:val="true"/>
              </w:rPr>
              <w:tab/>
            </w:r>
            <w:r>
              <w:rPr>
                <w:rStyle w:val="IndexLink"/>
              </w:rPr>
              <w:t>118</w:t>
            </w:r>
          </w:hyperlink>
        </w:p>
        <w:p>
          <w:pPr>
            <w:pStyle w:val="Contents6"/>
            <w:tabs>
              <w:tab w:val="clear" w:pos="7609"/>
              <w:tab w:val="right" w:pos="9026" w:leader="dot"/>
            </w:tabs>
            <w:rPr/>
          </w:pPr>
          <w:hyperlink w:anchor="__RefHeading___Toc3597683_1067777946">
            <w:r>
              <w:rPr>
                <w:webHidden/>
                <w:rStyle w:val="IndexLink"/>
                <w:rtl w:val="true"/>
              </w:rPr>
              <w:t>تحقق بلوغ به اوصاف منى</w:t>
            </w:r>
            <w:r>
              <w:rPr>
                <w:rStyle w:val="IndexLink"/>
                <w:rtl w:val="true"/>
              </w:rPr>
              <w:tab/>
            </w:r>
            <w:r>
              <w:rPr>
                <w:rStyle w:val="IndexLink"/>
              </w:rPr>
              <w:t>119</w:t>
            </w:r>
          </w:hyperlink>
        </w:p>
        <w:p>
          <w:pPr>
            <w:pStyle w:val="Contents6"/>
            <w:tabs>
              <w:tab w:val="clear" w:pos="7609"/>
              <w:tab w:val="right" w:pos="9026" w:leader="dot"/>
            </w:tabs>
            <w:rPr/>
          </w:pPr>
          <w:hyperlink w:anchor="__RefHeading___Toc3597685_1067777946">
            <w:r>
              <w:rPr>
                <w:webHidden/>
                <w:rStyle w:val="IndexLink"/>
                <w:rtl w:val="true"/>
              </w:rPr>
              <w:t>يقين به حركت و حبس از خروج، امارۀ بلوغ</w:t>
            </w:r>
            <w:r>
              <w:rPr>
                <w:rStyle w:val="IndexLink"/>
                <w:rtl w:val="true"/>
              </w:rPr>
              <w:tab/>
            </w:r>
            <w:r>
              <w:rPr>
                <w:rStyle w:val="IndexLink"/>
              </w:rPr>
              <w:t>120</w:t>
            </w:r>
          </w:hyperlink>
        </w:p>
        <w:p>
          <w:pPr>
            <w:pStyle w:val="Contents6"/>
            <w:tabs>
              <w:tab w:val="clear" w:pos="7609"/>
              <w:tab w:val="right" w:pos="9026" w:leader="dot"/>
            </w:tabs>
            <w:rPr/>
          </w:pPr>
          <w:hyperlink w:anchor="__RefHeading___Toc3597687_1067777946">
            <w:r>
              <w:rPr>
                <w:webHidden/>
                <w:rStyle w:val="IndexLink"/>
                <w:rtl w:val="true"/>
              </w:rPr>
              <w:t>نحوۀ قبول دعواى بلوغ به سبب احتلام</w:t>
            </w:r>
            <w:r>
              <w:rPr>
                <w:rStyle w:val="IndexLink"/>
                <w:rtl w:val="true"/>
              </w:rPr>
              <w:tab/>
            </w:r>
            <w:r>
              <w:rPr>
                <w:rStyle w:val="IndexLink"/>
              </w:rPr>
              <w:t>120</w:t>
            </w:r>
          </w:hyperlink>
        </w:p>
        <w:p>
          <w:pPr>
            <w:pStyle w:val="Contents6"/>
            <w:tabs>
              <w:tab w:val="clear" w:pos="7609"/>
              <w:tab w:val="right" w:pos="9026" w:leader="dot"/>
            </w:tabs>
            <w:rPr/>
          </w:pPr>
          <w:hyperlink w:anchor="__RefHeading___Toc3597689_1067777946">
            <w:r>
              <w:rPr>
                <w:webHidden/>
                <w:rStyle w:val="IndexLink"/>
                <w:rtl w:val="true"/>
              </w:rPr>
              <w:t>نحوۀ اماريّت حيض و حمل</w:t>
            </w:r>
            <w:r>
              <w:rPr>
                <w:rStyle w:val="IndexLink"/>
                <w:rtl w:val="true"/>
              </w:rPr>
              <w:tab/>
            </w:r>
            <w:r>
              <w:rPr>
                <w:rStyle w:val="IndexLink"/>
              </w:rPr>
              <w:t>120</w:t>
            </w:r>
          </w:hyperlink>
        </w:p>
        <w:p>
          <w:pPr>
            <w:pStyle w:val="Contents6"/>
            <w:tabs>
              <w:tab w:val="clear" w:pos="7609"/>
              <w:tab w:val="right" w:pos="9026" w:leader="dot"/>
            </w:tabs>
            <w:rPr/>
          </w:pPr>
          <w:hyperlink w:anchor="__RefHeading___Toc3597691_1067777946">
            <w:r>
              <w:rPr>
                <w:webHidden/>
                <w:rStyle w:val="IndexLink"/>
                <w:rtl w:val="true"/>
              </w:rPr>
              <w:t>اماريّت خروج معلوم المنويّة</w:t>
            </w:r>
            <w:r>
              <w:rPr>
                <w:rStyle w:val="IndexLink"/>
                <w:rtl w:val="true"/>
              </w:rPr>
              <w:tab/>
            </w:r>
            <w:r>
              <w:rPr>
                <w:rStyle w:val="IndexLink"/>
              </w:rPr>
              <w:t>120</w:t>
            </w:r>
          </w:hyperlink>
        </w:p>
        <w:p>
          <w:pPr>
            <w:pStyle w:val="Contents6"/>
            <w:tabs>
              <w:tab w:val="clear" w:pos="7609"/>
              <w:tab w:val="right" w:pos="9026" w:leader="dot"/>
            </w:tabs>
            <w:rPr/>
          </w:pPr>
          <w:hyperlink w:anchor="__RefHeading___Toc3597693_1067777946">
            <w:r>
              <w:rPr>
                <w:webHidden/>
                <w:rStyle w:val="IndexLink"/>
                <w:rtl w:val="true"/>
              </w:rPr>
              <w:t>فرعى ديگر دربارۀ اماريّت حمل</w:t>
            </w:r>
            <w:r>
              <w:rPr>
                <w:rStyle w:val="IndexLink"/>
                <w:rtl w:val="true"/>
              </w:rPr>
              <w:tab/>
            </w:r>
            <w:r>
              <w:rPr>
                <w:rStyle w:val="IndexLink"/>
              </w:rPr>
              <w:t>121</w:t>
            </w:r>
          </w:hyperlink>
        </w:p>
        <w:p>
          <w:pPr>
            <w:pStyle w:val="Contents5"/>
            <w:tabs>
              <w:tab w:val="clear" w:pos="7892"/>
              <w:tab w:val="right" w:pos="9026" w:leader="dot"/>
            </w:tabs>
            <w:rPr/>
          </w:pPr>
          <w:hyperlink w:anchor="__RefHeading___Toc3597695_1067777946">
            <w:r>
              <w:rPr>
                <w:webHidden/>
                <w:rStyle w:val="IndexLink"/>
                <w:rtl w:val="true"/>
              </w:rPr>
              <w:t>رشد</w:t>
            </w:r>
            <w:r>
              <w:rPr>
                <w:rStyle w:val="IndexLink"/>
                <w:rtl w:val="true"/>
              </w:rPr>
              <w:tab/>
            </w:r>
            <w:r>
              <w:rPr>
                <w:rStyle w:val="IndexLink"/>
              </w:rPr>
              <w:t>121</w:t>
            </w:r>
          </w:hyperlink>
        </w:p>
        <w:p>
          <w:pPr>
            <w:pStyle w:val="Contents6"/>
            <w:tabs>
              <w:tab w:val="clear" w:pos="7609"/>
              <w:tab w:val="right" w:pos="9026" w:leader="dot"/>
            </w:tabs>
            <w:rPr/>
          </w:pPr>
          <w:hyperlink w:anchor="__RefHeading___Toc3597697_1067777946">
            <w:r>
              <w:rPr>
                <w:webHidden/>
                <w:rStyle w:val="IndexLink"/>
                <w:rtl w:val="true"/>
              </w:rPr>
              <w:t>معنى رشد</w:t>
            </w:r>
            <w:r>
              <w:rPr>
                <w:rStyle w:val="IndexLink"/>
                <w:rtl w:val="true"/>
              </w:rPr>
              <w:tab/>
            </w:r>
            <w:r>
              <w:rPr>
                <w:rStyle w:val="IndexLink"/>
              </w:rPr>
              <w:t>121</w:t>
            </w:r>
          </w:hyperlink>
        </w:p>
        <w:p>
          <w:pPr>
            <w:pStyle w:val="Contents6"/>
            <w:tabs>
              <w:tab w:val="clear" w:pos="7609"/>
              <w:tab w:val="right" w:pos="9026" w:leader="dot"/>
            </w:tabs>
            <w:rPr/>
          </w:pPr>
          <w:hyperlink w:anchor="__RefHeading___Toc3597699_1067777946">
            <w:r>
              <w:rPr>
                <w:webHidden/>
                <w:rStyle w:val="IndexLink"/>
                <w:rtl w:val="true"/>
              </w:rPr>
              <w:t>نحوۀ اثبات رشد</w:t>
            </w:r>
            <w:r>
              <w:rPr>
                <w:rStyle w:val="IndexLink"/>
                <w:rtl w:val="true"/>
              </w:rPr>
              <w:tab/>
            </w:r>
            <w:r>
              <w:rPr>
                <w:rStyle w:val="IndexLink"/>
              </w:rPr>
              <w:t>122</w:t>
            </w:r>
          </w:hyperlink>
        </w:p>
        <w:p>
          <w:pPr>
            <w:pStyle w:val="Contents4"/>
            <w:tabs>
              <w:tab w:val="clear" w:pos="8176"/>
              <w:tab w:val="right" w:pos="9026" w:leader="dot"/>
            </w:tabs>
            <w:rPr/>
          </w:pPr>
          <w:hyperlink w:anchor="__RefHeading___Toc3597701_1067777946">
            <w:r>
              <w:rPr>
                <w:webHidden/>
                <w:rStyle w:val="IndexLink"/>
              </w:rPr>
              <w:t>2</w:t>
            </w:r>
            <w:r>
              <w:rPr>
                <w:rStyle w:val="IndexLink"/>
                <w:rtl w:val="true"/>
              </w:rPr>
              <w:t xml:space="preserve">. </w:t>
            </w:r>
            <w:r>
              <w:rPr>
                <w:rStyle w:val="IndexLink"/>
                <w:rtl w:val="true"/>
              </w:rPr>
              <w:t>محجوريّت سفيه</w:t>
            </w:r>
            <w:r>
              <w:rPr>
                <w:rStyle w:val="IndexLink"/>
                <w:rtl w:val="true"/>
              </w:rPr>
              <w:tab/>
            </w:r>
            <w:r>
              <w:rPr>
                <w:rStyle w:val="IndexLink"/>
              </w:rPr>
              <w:t>122</w:t>
            </w:r>
          </w:hyperlink>
        </w:p>
        <w:p>
          <w:pPr>
            <w:pStyle w:val="Contents5"/>
            <w:tabs>
              <w:tab w:val="clear" w:pos="7892"/>
              <w:tab w:val="right" w:pos="9026" w:leader="dot"/>
            </w:tabs>
            <w:rPr/>
          </w:pPr>
          <w:hyperlink w:anchor="__RefHeading___Toc3597703_1067777946">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597705_1067777946">
            <w:r>
              <w:rPr>
                <w:webHidden/>
                <w:rStyle w:val="IndexLink"/>
                <w:rtl w:val="true"/>
              </w:rPr>
              <w:t>صحّت تصرفات غير ماليّه از سفيه</w:t>
            </w:r>
            <w:r>
              <w:rPr>
                <w:rStyle w:val="IndexLink"/>
                <w:rtl w:val="true"/>
              </w:rPr>
              <w:tab/>
            </w:r>
            <w:r>
              <w:rPr>
                <w:rStyle w:val="IndexLink"/>
              </w:rPr>
              <w:t>122</w:t>
            </w:r>
          </w:hyperlink>
        </w:p>
        <w:p>
          <w:pPr>
            <w:pStyle w:val="Contents5"/>
            <w:tabs>
              <w:tab w:val="clear" w:pos="7892"/>
              <w:tab w:val="right" w:pos="9026" w:leader="dot"/>
            </w:tabs>
            <w:rPr/>
          </w:pPr>
          <w:hyperlink w:anchor="__RefHeading___Toc3597707_1067777946">
            <w:r>
              <w:rPr>
                <w:webHidden/>
                <w:rStyle w:val="IndexLink"/>
                <w:rtl w:val="true"/>
              </w:rPr>
              <w:t>صحّت عقود سفيه و وكالت وى با اذن ولى</w:t>
            </w:r>
            <w:r>
              <w:rPr>
                <w:rStyle w:val="IndexLink"/>
                <w:rtl w:val="true"/>
              </w:rPr>
              <w:tab/>
            </w:r>
            <w:r>
              <w:rPr>
                <w:rStyle w:val="IndexLink"/>
              </w:rPr>
              <w:t>123</w:t>
            </w:r>
          </w:hyperlink>
        </w:p>
        <w:p>
          <w:pPr>
            <w:pStyle w:val="Contents4"/>
            <w:tabs>
              <w:tab w:val="clear" w:pos="8176"/>
              <w:tab w:val="right" w:pos="9026" w:leader="dot"/>
            </w:tabs>
            <w:rPr/>
          </w:pPr>
          <w:hyperlink w:anchor="__RefHeading___Toc3597709_1067777946">
            <w:r>
              <w:rPr>
                <w:webHidden/>
                <w:rStyle w:val="IndexLink"/>
              </w:rPr>
              <w:t>3</w:t>
            </w:r>
            <w:r>
              <w:rPr>
                <w:rStyle w:val="IndexLink"/>
                <w:rtl w:val="true"/>
              </w:rPr>
              <w:t xml:space="preserve">. </w:t>
            </w:r>
            <w:r>
              <w:rPr>
                <w:rStyle w:val="IndexLink"/>
                <w:rtl w:val="true"/>
              </w:rPr>
              <w:t>محجوريّت مملوك</w:t>
            </w:r>
            <w:r>
              <w:rPr>
                <w:rStyle w:val="IndexLink"/>
                <w:rtl w:val="true"/>
              </w:rPr>
              <w:tab/>
            </w:r>
            <w:r>
              <w:rPr>
                <w:rStyle w:val="IndexLink"/>
              </w:rPr>
              <w:t>123</w:t>
            </w:r>
          </w:hyperlink>
        </w:p>
        <w:p>
          <w:pPr>
            <w:pStyle w:val="Contents4"/>
            <w:tabs>
              <w:tab w:val="clear" w:pos="8176"/>
              <w:tab w:val="right" w:pos="9026" w:leader="dot"/>
            </w:tabs>
            <w:rPr/>
          </w:pPr>
          <w:hyperlink w:anchor="__RefHeading___Toc3597711_1067777946">
            <w:r>
              <w:rPr>
                <w:webHidden/>
                <w:rStyle w:val="IndexLink"/>
              </w:rPr>
              <w:t>4</w:t>
            </w:r>
            <w:r>
              <w:rPr>
                <w:rStyle w:val="IndexLink"/>
                <w:rtl w:val="true"/>
              </w:rPr>
              <w:t xml:space="preserve">. </w:t>
            </w:r>
            <w:r>
              <w:rPr>
                <w:rStyle w:val="IndexLink"/>
                <w:rtl w:val="true"/>
              </w:rPr>
              <w:t>محجوريّت مريض</w:t>
            </w:r>
            <w:r>
              <w:rPr>
                <w:rStyle w:val="IndexLink"/>
                <w:rtl w:val="true"/>
              </w:rPr>
              <w:tab/>
            </w:r>
            <w:r>
              <w:rPr>
                <w:rStyle w:val="IndexLink"/>
              </w:rPr>
              <w:t>123</w:t>
            </w:r>
          </w:hyperlink>
        </w:p>
        <w:p>
          <w:pPr>
            <w:pStyle w:val="Contents5"/>
            <w:tabs>
              <w:tab w:val="clear" w:pos="7892"/>
              <w:tab w:val="right" w:pos="9026" w:leader="dot"/>
            </w:tabs>
            <w:rPr/>
          </w:pPr>
          <w:hyperlink w:anchor="__RefHeading___Toc3597713_1067777946">
            <w:r>
              <w:rPr>
                <w:webHidden/>
                <w:rStyle w:val="IndexLink"/>
                <w:rtl w:val="true"/>
              </w:rPr>
              <w:t>منع وضعى در مريض از وصيت به اكثر از ثلث</w:t>
            </w:r>
            <w:r>
              <w:rPr>
                <w:rStyle w:val="IndexLink"/>
                <w:rtl w:val="true"/>
              </w:rPr>
              <w:tab/>
            </w:r>
            <w:r>
              <w:rPr>
                <w:rStyle w:val="IndexLink"/>
              </w:rPr>
              <w:t>123</w:t>
            </w:r>
          </w:hyperlink>
        </w:p>
        <w:p>
          <w:pPr>
            <w:pStyle w:val="Contents5"/>
            <w:tabs>
              <w:tab w:val="clear" w:pos="7892"/>
              <w:tab w:val="right" w:pos="9026" w:leader="dot"/>
            </w:tabs>
            <w:rPr/>
          </w:pPr>
          <w:hyperlink w:anchor="__RefHeading___Toc3597715_1067777946">
            <w:r>
              <w:rPr>
                <w:webHidden/>
                <w:rStyle w:val="IndexLink"/>
                <w:rtl w:val="true"/>
              </w:rPr>
              <w:t>منجّزات مريض</w:t>
            </w:r>
            <w:r>
              <w:rPr>
                <w:rStyle w:val="IndexLink"/>
                <w:rtl w:val="true"/>
              </w:rPr>
              <w:tab/>
            </w:r>
            <w:r>
              <w:rPr>
                <w:rStyle w:val="IndexLink"/>
              </w:rPr>
              <w:t>124</w:t>
            </w:r>
          </w:hyperlink>
        </w:p>
        <w:p>
          <w:pPr>
            <w:pStyle w:val="Contents6"/>
            <w:tabs>
              <w:tab w:val="clear" w:pos="7609"/>
              <w:tab w:val="right" w:pos="9026" w:leader="dot"/>
            </w:tabs>
            <w:rPr/>
          </w:pPr>
          <w:hyperlink w:anchor="__RefHeading___Toc3597717_1067777946">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597719_1067777946">
            <w:r>
              <w:rPr>
                <w:webHidden/>
                <w:rStyle w:val="IndexLink"/>
                <w:rtl w:val="true"/>
              </w:rPr>
              <w:t>دلاليل مرجّح نفوذ منجّزات از اصل</w:t>
            </w:r>
            <w:r>
              <w:rPr>
                <w:rStyle w:val="IndexLink"/>
                <w:rtl w:val="true"/>
              </w:rPr>
              <w:tab/>
            </w:r>
            <w:r>
              <w:rPr>
                <w:rStyle w:val="IndexLink"/>
              </w:rPr>
              <w:t>124</w:t>
            </w:r>
          </w:hyperlink>
        </w:p>
        <w:p>
          <w:pPr>
            <w:pStyle w:val="Contents6"/>
            <w:tabs>
              <w:tab w:val="clear" w:pos="7609"/>
              <w:tab w:val="right" w:pos="9026" w:leader="dot"/>
            </w:tabs>
            <w:rPr/>
          </w:pPr>
          <w:hyperlink w:anchor="__RefHeading___Toc3597721_1067777946">
            <w:r>
              <w:rPr>
                <w:webHidden/>
                <w:rStyle w:val="IndexLink"/>
                <w:rtl w:val="true"/>
              </w:rPr>
              <w:t>ردّ دلايل نفوذ منجّزات از ثلث</w:t>
            </w:r>
            <w:r>
              <w:rPr>
                <w:rStyle w:val="IndexLink"/>
                <w:rtl w:val="true"/>
              </w:rPr>
              <w:tab/>
            </w:r>
            <w:r>
              <w:rPr>
                <w:rStyle w:val="IndexLink"/>
              </w:rPr>
              <w:t>125</w:t>
            </w:r>
          </w:hyperlink>
        </w:p>
        <w:p>
          <w:pPr>
            <w:pStyle w:val="Contents6"/>
            <w:tabs>
              <w:tab w:val="clear" w:pos="7609"/>
              <w:tab w:val="right" w:pos="9026" w:leader="dot"/>
            </w:tabs>
            <w:rPr/>
          </w:pPr>
          <w:hyperlink w:anchor="__RefHeading___Toc3597723_1067777946">
            <w:r>
              <w:rPr>
                <w:webHidden/>
                <w:rStyle w:val="IndexLink"/>
                <w:rtl w:val="true"/>
              </w:rPr>
              <w:t>حكم عقد و ايقاع مريض</w:t>
            </w:r>
            <w:r>
              <w:rPr>
                <w:rStyle w:val="IndexLink"/>
                <w:rtl w:val="true"/>
              </w:rPr>
              <w:tab/>
            </w:r>
            <w:r>
              <w:rPr>
                <w:rStyle w:val="IndexLink"/>
              </w:rPr>
              <w:t>126</w:t>
            </w:r>
          </w:hyperlink>
        </w:p>
        <w:p>
          <w:pPr>
            <w:pStyle w:val="Contents5"/>
            <w:tabs>
              <w:tab w:val="clear" w:pos="7892"/>
              <w:tab w:val="right" w:pos="9026" w:leader="dot"/>
            </w:tabs>
            <w:rPr/>
          </w:pPr>
          <w:hyperlink w:anchor="__RefHeading___Toc3597725_1067777946">
            <w:r>
              <w:rPr>
                <w:webHidden/>
                <w:rStyle w:val="IndexLink"/>
                <w:rtl w:val="true"/>
              </w:rPr>
              <w:t>بيع به كمتر از قيمت و هبه و وقف و امثال آن</w:t>
            </w:r>
            <w:r>
              <w:rPr>
                <w:rStyle w:val="IndexLink"/>
                <w:rtl w:val="true"/>
              </w:rPr>
              <w:tab/>
            </w:r>
            <w:r>
              <w:rPr>
                <w:rStyle w:val="IndexLink"/>
              </w:rPr>
              <w:t>126</w:t>
            </w:r>
          </w:hyperlink>
        </w:p>
        <w:p>
          <w:pPr>
            <w:pStyle w:val="Contents5"/>
            <w:tabs>
              <w:tab w:val="clear" w:pos="7892"/>
              <w:tab w:val="right" w:pos="9026" w:leader="dot"/>
            </w:tabs>
            <w:rPr/>
          </w:pPr>
          <w:hyperlink w:anchor="__RefHeading___Toc3597727_1067777946">
            <w:r>
              <w:rPr>
                <w:webHidden/>
                <w:rStyle w:val="IndexLink"/>
                <w:rtl w:val="true"/>
              </w:rPr>
              <w:t>خروج حكم انفاقات شخصى از محل بحث</w:t>
            </w:r>
            <w:r>
              <w:rPr>
                <w:rStyle w:val="IndexLink"/>
                <w:rtl w:val="true"/>
              </w:rPr>
              <w:tab/>
            </w:r>
            <w:r>
              <w:rPr>
                <w:rStyle w:val="IndexLink"/>
              </w:rPr>
              <w:t>126</w:t>
            </w:r>
          </w:hyperlink>
        </w:p>
        <w:p>
          <w:pPr>
            <w:pStyle w:val="Contents5"/>
            <w:tabs>
              <w:tab w:val="clear" w:pos="7892"/>
              <w:tab w:val="right" w:pos="9026" w:leader="dot"/>
            </w:tabs>
            <w:rPr/>
          </w:pPr>
          <w:hyperlink w:anchor="__RefHeading___Toc3597729_1067777946">
            <w:r>
              <w:rPr>
                <w:webHidden/>
                <w:rStyle w:val="IndexLink"/>
                <w:rtl w:val="true"/>
              </w:rPr>
              <w:t>خروج اداى ديون واجب</w:t>
            </w:r>
            <w:r>
              <w:rPr>
                <w:rStyle w:val="IndexLink"/>
                <w:rtl w:val="true"/>
              </w:rPr>
              <w:tab/>
            </w:r>
            <w:r>
              <w:rPr>
                <w:rStyle w:val="IndexLink"/>
              </w:rPr>
              <w:t>126</w:t>
            </w:r>
          </w:hyperlink>
        </w:p>
        <w:p>
          <w:pPr>
            <w:pStyle w:val="Contents5"/>
            <w:tabs>
              <w:tab w:val="clear" w:pos="7892"/>
              <w:tab w:val="right" w:pos="9026" w:leader="dot"/>
            </w:tabs>
            <w:rPr/>
          </w:pPr>
          <w:hyperlink w:anchor="__RefHeading___Toc3597731_1067777946">
            <w:r>
              <w:rPr>
                <w:webHidden/>
                <w:rStyle w:val="IndexLink"/>
                <w:rtl w:val="true"/>
              </w:rPr>
              <w:t>لحوق زمان خوف موت به مرض</w:t>
            </w:r>
            <w:r>
              <w:rPr>
                <w:rStyle w:val="IndexLink"/>
                <w:rtl w:val="true"/>
              </w:rPr>
              <w:tab/>
            </w:r>
            <w:r>
              <w:rPr>
                <w:rStyle w:val="IndexLink"/>
              </w:rPr>
              <w:t>127</w:t>
            </w:r>
          </w:hyperlink>
        </w:p>
        <w:p>
          <w:pPr>
            <w:pStyle w:val="Contents5"/>
            <w:tabs>
              <w:tab w:val="clear" w:pos="7892"/>
              <w:tab w:val="right" w:pos="9026" w:leader="dot"/>
            </w:tabs>
            <w:rPr/>
          </w:pPr>
          <w:hyperlink w:anchor="__RefHeading___Toc3597733_1067777946">
            <w:r>
              <w:rPr>
                <w:webHidden/>
                <w:rStyle w:val="IndexLink"/>
                <w:rtl w:val="true"/>
              </w:rPr>
              <w:t>اقرار مريض در مرض موت</w:t>
            </w:r>
            <w:r>
              <w:rPr>
                <w:rStyle w:val="IndexLink"/>
                <w:rtl w:val="true"/>
              </w:rPr>
              <w:tab/>
            </w:r>
            <w:r>
              <w:rPr>
                <w:rStyle w:val="IndexLink"/>
              </w:rPr>
              <w:t>127</w:t>
            </w:r>
          </w:hyperlink>
        </w:p>
        <w:p>
          <w:pPr>
            <w:pStyle w:val="Contents5"/>
            <w:tabs>
              <w:tab w:val="clear" w:pos="7892"/>
              <w:tab w:val="right" w:pos="9026" w:leader="dot"/>
            </w:tabs>
            <w:rPr/>
          </w:pPr>
          <w:hyperlink w:anchor="__RefHeading___Toc3597735_1067777946">
            <w:r>
              <w:rPr>
                <w:webHidden/>
                <w:rStyle w:val="IndexLink"/>
                <w:rtl w:val="true"/>
              </w:rPr>
              <w:t>صفت اتهام، و مرضىّ و مأمون بودن</w:t>
            </w:r>
            <w:r>
              <w:rPr>
                <w:rStyle w:val="IndexLink"/>
                <w:rtl w:val="true"/>
              </w:rPr>
              <w:tab/>
            </w:r>
            <w:r>
              <w:rPr>
                <w:rStyle w:val="IndexLink"/>
              </w:rPr>
              <w:t>128</w:t>
            </w:r>
          </w:hyperlink>
        </w:p>
        <w:p>
          <w:pPr>
            <w:pStyle w:val="Contents5"/>
            <w:tabs>
              <w:tab w:val="clear" w:pos="7892"/>
              <w:tab w:val="right" w:pos="9026" w:leader="dot"/>
            </w:tabs>
            <w:rPr/>
          </w:pPr>
          <w:hyperlink w:anchor="__RefHeading___Toc3597737_1067777946">
            <w:r>
              <w:rPr>
                <w:webHidden/>
                <w:rStyle w:val="IndexLink"/>
                <w:rtl w:val="true"/>
              </w:rPr>
              <w:t>احتساب ديه از متروكات</w:t>
            </w:r>
            <w:r>
              <w:rPr>
                <w:rStyle w:val="IndexLink"/>
                <w:rtl w:val="true"/>
              </w:rPr>
              <w:tab/>
            </w:r>
            <w:r>
              <w:rPr>
                <w:rStyle w:val="IndexLink"/>
              </w:rPr>
              <w:t>128</w:t>
            </w:r>
          </w:hyperlink>
        </w:p>
        <w:p>
          <w:pPr>
            <w:pStyle w:val="Contents5"/>
            <w:tabs>
              <w:tab w:val="clear" w:pos="7892"/>
              <w:tab w:val="right" w:pos="9026" w:leader="dot"/>
            </w:tabs>
            <w:rPr/>
          </w:pPr>
          <w:hyperlink w:anchor="__RefHeading___Toc3597739_1067777946">
            <w:r>
              <w:rPr>
                <w:webHidden/>
                <w:rStyle w:val="IndexLink"/>
                <w:rtl w:val="true"/>
              </w:rPr>
              <w:t>اناطۀ نفوذ اخراج از زايد، به اذن وارث</w:t>
            </w:r>
            <w:r>
              <w:rPr>
                <w:rStyle w:val="IndexLink"/>
                <w:rtl w:val="true"/>
              </w:rPr>
              <w:tab/>
            </w:r>
            <w:r>
              <w:rPr>
                <w:rStyle w:val="IndexLink"/>
              </w:rPr>
              <w:t>128</w:t>
            </w:r>
          </w:hyperlink>
        </w:p>
        <w:p>
          <w:pPr>
            <w:pStyle w:val="Contents5"/>
            <w:tabs>
              <w:tab w:val="clear" w:pos="7892"/>
              <w:tab w:val="right" w:pos="9026" w:leader="dot"/>
            </w:tabs>
            <w:rPr/>
          </w:pPr>
          <w:hyperlink w:anchor="__RefHeading___Toc3597741_1067777946">
            <w:r>
              <w:rPr>
                <w:webHidden/>
                <w:rStyle w:val="IndexLink"/>
                <w:rtl w:val="true"/>
              </w:rPr>
              <w:t>مانعيّت و عدم مانعيّت دين از مالكيّت ورثه</w:t>
            </w:r>
            <w:r>
              <w:rPr>
                <w:rStyle w:val="IndexLink"/>
                <w:rtl w:val="true"/>
              </w:rPr>
              <w:tab/>
            </w:r>
            <w:r>
              <w:rPr>
                <w:rStyle w:val="IndexLink"/>
              </w:rPr>
              <w:t>128</w:t>
            </w:r>
          </w:hyperlink>
        </w:p>
        <w:p>
          <w:pPr>
            <w:pStyle w:val="Contents5"/>
            <w:tabs>
              <w:tab w:val="clear" w:pos="7892"/>
              <w:tab w:val="right" w:pos="9026" w:leader="dot"/>
            </w:tabs>
            <w:rPr/>
          </w:pPr>
          <w:hyperlink w:anchor="__RefHeading___Toc3597743_1067777946">
            <w:r>
              <w:rPr>
                <w:webHidden/>
                <w:rStyle w:val="IndexLink"/>
                <w:rtl w:val="true"/>
              </w:rPr>
              <w:t>نحوۀ تعلق حق به تركه</w:t>
            </w:r>
            <w:r>
              <w:rPr>
                <w:rStyle w:val="IndexLink"/>
                <w:rtl w:val="true"/>
              </w:rPr>
              <w:tab/>
            </w:r>
            <w:r>
              <w:rPr>
                <w:rStyle w:val="IndexLink"/>
              </w:rPr>
              <w:t>130</w:t>
            </w:r>
          </w:hyperlink>
        </w:p>
        <w:p>
          <w:pPr>
            <w:pStyle w:val="Contents5"/>
            <w:tabs>
              <w:tab w:val="clear" w:pos="7892"/>
              <w:tab w:val="right" w:pos="9026" w:leader="dot"/>
            </w:tabs>
            <w:rPr/>
          </w:pPr>
          <w:hyperlink w:anchor="__RefHeading___Toc3597745_1067777946">
            <w:r>
              <w:rPr>
                <w:webHidden/>
                <w:rStyle w:val="IndexLink"/>
                <w:rtl w:val="true"/>
              </w:rPr>
              <w:t>كلّى فى المعين بودن تعلق حق به تركه و ثمرۀ آن</w:t>
            </w:r>
            <w:r>
              <w:rPr>
                <w:rStyle w:val="IndexLink"/>
                <w:rtl w:val="true"/>
              </w:rPr>
              <w:tab/>
            </w:r>
            <w:r>
              <w:rPr>
                <w:rStyle w:val="IndexLink"/>
              </w:rPr>
              <w:t>130</w:t>
            </w:r>
          </w:hyperlink>
        </w:p>
        <w:p>
          <w:pPr>
            <w:pStyle w:val="Contents3"/>
            <w:tabs>
              <w:tab w:val="clear" w:pos="8459"/>
              <w:tab w:val="right" w:pos="9026" w:leader="dot"/>
            </w:tabs>
            <w:rPr/>
          </w:pPr>
          <w:hyperlink w:anchor="__RefHeading___Toc3597747_1067777946">
            <w:r>
              <w:rPr>
                <w:webHidden/>
                <w:rStyle w:val="IndexLink"/>
                <w:rtl w:val="true"/>
              </w:rPr>
              <w:t>فصل دوّم احكام حَجر</w:t>
            </w:r>
            <w:r>
              <w:rPr>
                <w:rStyle w:val="IndexLink"/>
                <w:rtl w:val="true"/>
              </w:rPr>
              <w:tab/>
            </w:r>
            <w:r>
              <w:rPr>
                <w:rStyle w:val="IndexLink"/>
              </w:rPr>
              <w:t>132</w:t>
            </w:r>
          </w:hyperlink>
        </w:p>
        <w:p>
          <w:pPr>
            <w:pStyle w:val="Contents4"/>
            <w:tabs>
              <w:tab w:val="clear" w:pos="8176"/>
              <w:tab w:val="right" w:pos="9026" w:leader="dot"/>
            </w:tabs>
            <w:rPr/>
          </w:pPr>
          <w:hyperlink w:anchor="__RefHeading___Toc3597749_1067777946">
            <w:r>
              <w:rPr>
                <w:webHidden/>
                <w:rStyle w:val="IndexLink"/>
                <w:rtl w:val="true"/>
              </w:rPr>
              <w:t>عدم توقف محجوريّت مفلّس به حكم حاكم</w:t>
            </w:r>
            <w:r>
              <w:rPr>
                <w:rStyle w:val="IndexLink"/>
                <w:rtl w:val="true"/>
              </w:rPr>
              <w:tab/>
            </w:r>
            <w:r>
              <w:rPr>
                <w:rStyle w:val="IndexLink"/>
              </w:rPr>
              <w:t>132</w:t>
            </w:r>
          </w:hyperlink>
        </w:p>
        <w:p>
          <w:pPr>
            <w:pStyle w:val="Contents4"/>
            <w:tabs>
              <w:tab w:val="clear" w:pos="8176"/>
              <w:tab w:val="right" w:pos="9026" w:leader="dot"/>
            </w:tabs>
            <w:rPr/>
          </w:pPr>
          <w:hyperlink w:anchor="__RefHeading___Toc3597751_1067777946">
            <w:r>
              <w:rPr>
                <w:webHidden/>
                <w:rStyle w:val="IndexLink"/>
                <w:rtl w:val="true"/>
              </w:rPr>
              <w:t>مقتضاى اصل</w:t>
            </w:r>
            <w:r>
              <w:rPr>
                <w:rStyle w:val="IndexLink"/>
                <w:rtl w:val="true"/>
              </w:rPr>
              <w:tab/>
            </w:r>
            <w:r>
              <w:rPr>
                <w:rStyle w:val="IndexLink"/>
              </w:rPr>
              <w:t>132</w:t>
            </w:r>
          </w:hyperlink>
        </w:p>
        <w:p>
          <w:pPr>
            <w:pStyle w:val="Contents4"/>
            <w:tabs>
              <w:tab w:val="clear" w:pos="8176"/>
              <w:tab w:val="right" w:pos="9026" w:leader="dot"/>
            </w:tabs>
            <w:rPr/>
          </w:pPr>
          <w:hyperlink w:anchor="__RefHeading___Toc3597753_1067777946">
            <w:r>
              <w:rPr>
                <w:webHidden/>
                <w:rStyle w:val="IndexLink"/>
                <w:rtl w:val="true"/>
              </w:rPr>
              <w:t>بطلان معامله با سفيه بدون اجازه يا اذن ولى</w:t>
            </w:r>
            <w:r>
              <w:rPr>
                <w:rStyle w:val="IndexLink"/>
                <w:rtl w:val="true"/>
              </w:rPr>
              <w:tab/>
            </w:r>
            <w:r>
              <w:rPr>
                <w:rStyle w:val="IndexLink"/>
              </w:rPr>
              <w:t>133</w:t>
            </w:r>
          </w:hyperlink>
        </w:p>
        <w:p>
          <w:pPr>
            <w:pStyle w:val="Contents4"/>
            <w:tabs>
              <w:tab w:val="clear" w:pos="8176"/>
              <w:tab w:val="right" w:pos="9026" w:leader="dot"/>
            </w:tabs>
            <w:rPr/>
          </w:pPr>
          <w:hyperlink w:anchor="__RefHeading___Toc3597755_1067777946">
            <w:r>
              <w:rPr>
                <w:webHidden/>
                <w:rStyle w:val="IndexLink"/>
                <w:rtl w:val="true"/>
              </w:rPr>
              <w:t>تلف مال كسى در دست سفيه و حكم ضمان او</w:t>
            </w:r>
            <w:r>
              <w:rPr>
                <w:rStyle w:val="IndexLink"/>
                <w:rtl w:val="true"/>
              </w:rPr>
              <w:tab/>
            </w:r>
            <w:r>
              <w:rPr>
                <w:rStyle w:val="IndexLink"/>
              </w:rPr>
              <w:t>133</w:t>
            </w:r>
          </w:hyperlink>
        </w:p>
        <w:p>
          <w:pPr>
            <w:pStyle w:val="Contents4"/>
            <w:tabs>
              <w:tab w:val="clear" w:pos="8176"/>
              <w:tab w:val="right" w:pos="9026" w:leader="dot"/>
            </w:tabs>
            <w:rPr/>
          </w:pPr>
          <w:hyperlink w:anchor="__RefHeading___Toc3597757_1067777946">
            <w:r>
              <w:rPr>
                <w:webHidden/>
                <w:rStyle w:val="IndexLink"/>
                <w:rtl w:val="true"/>
              </w:rPr>
              <w:t>حكم اقتراض سفيه</w:t>
            </w:r>
            <w:r>
              <w:rPr>
                <w:rStyle w:val="IndexLink"/>
                <w:rtl w:val="true"/>
              </w:rPr>
              <w:tab/>
            </w:r>
            <w:r>
              <w:rPr>
                <w:rStyle w:val="IndexLink"/>
              </w:rPr>
              <w:t>133</w:t>
            </w:r>
          </w:hyperlink>
        </w:p>
        <w:p>
          <w:pPr>
            <w:pStyle w:val="Contents4"/>
            <w:tabs>
              <w:tab w:val="clear" w:pos="8176"/>
              <w:tab w:val="right" w:pos="9026" w:leader="dot"/>
            </w:tabs>
            <w:rPr/>
          </w:pPr>
          <w:hyperlink w:anchor="__RefHeading___Toc3597759_1067777946">
            <w:r>
              <w:rPr>
                <w:webHidden/>
                <w:rStyle w:val="IndexLink"/>
                <w:rtl w:val="true"/>
              </w:rPr>
              <w:t>اناطۀ حجر در وقتى به سفه در همان وقت</w:t>
            </w:r>
            <w:r>
              <w:rPr>
                <w:rStyle w:val="IndexLink"/>
                <w:rtl w:val="true"/>
              </w:rPr>
              <w:tab/>
            </w:r>
            <w:r>
              <w:rPr>
                <w:rStyle w:val="IndexLink"/>
              </w:rPr>
              <w:t>134</w:t>
            </w:r>
          </w:hyperlink>
        </w:p>
        <w:p>
          <w:pPr>
            <w:pStyle w:val="Contents4"/>
            <w:tabs>
              <w:tab w:val="clear" w:pos="8176"/>
              <w:tab w:val="right" w:pos="9026" w:leader="dot"/>
            </w:tabs>
            <w:rPr/>
          </w:pPr>
          <w:hyperlink w:anchor="__RefHeading___Toc3597761_1067777946">
            <w:r>
              <w:rPr>
                <w:webHidden/>
                <w:rStyle w:val="IndexLink"/>
                <w:rtl w:val="true"/>
              </w:rPr>
              <w:t>ولايت بر طفل و مجنون</w:t>
            </w:r>
            <w:r>
              <w:rPr>
                <w:rStyle w:val="IndexLink"/>
                <w:rtl w:val="true"/>
              </w:rPr>
              <w:tab/>
            </w:r>
            <w:r>
              <w:rPr>
                <w:rStyle w:val="IndexLink"/>
              </w:rPr>
              <w:t>134</w:t>
            </w:r>
          </w:hyperlink>
        </w:p>
        <w:p>
          <w:pPr>
            <w:pStyle w:val="Contents4"/>
            <w:tabs>
              <w:tab w:val="clear" w:pos="8176"/>
              <w:tab w:val="right" w:pos="9026" w:leader="dot"/>
            </w:tabs>
            <w:rPr/>
          </w:pPr>
          <w:hyperlink w:anchor="__RefHeading___Toc3597763_1067777946">
            <w:r>
              <w:rPr>
                <w:webHidden/>
                <w:rStyle w:val="IndexLink"/>
                <w:rtl w:val="true"/>
              </w:rPr>
              <w:t>ولايت در مال سفيه، مفلّس و مجنون</w:t>
            </w:r>
            <w:r>
              <w:rPr>
                <w:rStyle w:val="IndexLink"/>
                <w:rtl w:val="true"/>
              </w:rPr>
              <w:tab/>
            </w:r>
            <w:r>
              <w:rPr>
                <w:rStyle w:val="IndexLink"/>
              </w:rPr>
              <w:t>135</w:t>
            </w:r>
          </w:hyperlink>
        </w:p>
        <w:p>
          <w:pPr>
            <w:pStyle w:val="Contents4"/>
            <w:tabs>
              <w:tab w:val="clear" w:pos="8176"/>
              <w:tab w:val="right" w:pos="9026" w:leader="dot"/>
            </w:tabs>
            <w:rPr/>
          </w:pPr>
          <w:hyperlink w:anchor="__RefHeading___Toc3597765_1067777946">
            <w:r>
              <w:rPr>
                <w:webHidden/>
                <w:rStyle w:val="IndexLink"/>
                <w:rtl w:val="true"/>
              </w:rPr>
              <w:t>نحوۀ تصرّفات سفيه براى عبادات ماليّه</w:t>
            </w:r>
            <w:r>
              <w:rPr>
                <w:rStyle w:val="IndexLink"/>
                <w:rtl w:val="true"/>
              </w:rPr>
              <w:tab/>
            </w:r>
            <w:r>
              <w:rPr>
                <w:rStyle w:val="IndexLink"/>
              </w:rPr>
              <w:t>135</w:t>
            </w:r>
          </w:hyperlink>
        </w:p>
        <w:p>
          <w:pPr>
            <w:pStyle w:val="Contents4"/>
            <w:tabs>
              <w:tab w:val="clear" w:pos="8176"/>
              <w:tab w:val="right" w:pos="9026" w:leader="dot"/>
            </w:tabs>
            <w:rPr/>
          </w:pPr>
          <w:hyperlink w:anchor="__RefHeading___Toc3597767_1067777946">
            <w:r>
              <w:rPr>
                <w:webHidden/>
                <w:rStyle w:val="IndexLink"/>
                <w:rtl w:val="true"/>
              </w:rPr>
              <w:t>ايقاع حلف توسّط سفيه</w:t>
            </w:r>
            <w:r>
              <w:rPr>
                <w:rStyle w:val="IndexLink"/>
                <w:rtl w:val="true"/>
              </w:rPr>
              <w:tab/>
            </w:r>
            <w:r>
              <w:rPr>
                <w:rStyle w:val="IndexLink"/>
              </w:rPr>
              <w:t>136</w:t>
            </w:r>
          </w:hyperlink>
        </w:p>
        <w:p>
          <w:pPr>
            <w:pStyle w:val="Contents4"/>
            <w:tabs>
              <w:tab w:val="clear" w:pos="8176"/>
              <w:tab w:val="right" w:pos="9026" w:leader="dot"/>
            </w:tabs>
            <w:rPr/>
          </w:pPr>
          <w:hyperlink w:anchor="__RefHeading___Toc3597769_1067777946">
            <w:r>
              <w:rPr>
                <w:webHidden/>
                <w:rStyle w:val="IndexLink"/>
                <w:rtl w:val="true"/>
              </w:rPr>
              <w:t>حق عفو در قصاص براى سفيه</w:t>
            </w:r>
            <w:r>
              <w:rPr>
                <w:rStyle w:val="IndexLink"/>
                <w:rtl w:val="true"/>
              </w:rPr>
              <w:tab/>
            </w:r>
            <w:r>
              <w:rPr>
                <w:rStyle w:val="IndexLink"/>
              </w:rPr>
              <w:t>136</w:t>
            </w:r>
          </w:hyperlink>
        </w:p>
        <w:p>
          <w:pPr>
            <w:pStyle w:val="Contents4"/>
            <w:tabs>
              <w:tab w:val="clear" w:pos="8176"/>
              <w:tab w:val="right" w:pos="9026" w:leader="dot"/>
            </w:tabs>
            <w:rPr/>
          </w:pPr>
          <w:hyperlink w:anchor="__RefHeading___Toc3597771_1067777946">
            <w:r>
              <w:rPr>
                <w:webHidden/>
                <w:rStyle w:val="IndexLink"/>
                <w:rtl w:val="true"/>
              </w:rPr>
              <w:t>اختبار صبىّ براى شناخت رشد او</w:t>
            </w:r>
            <w:r>
              <w:rPr>
                <w:rStyle w:val="IndexLink"/>
                <w:rtl w:val="true"/>
              </w:rPr>
              <w:tab/>
            </w:r>
            <w:r>
              <w:rPr>
                <w:rStyle w:val="IndexLink"/>
              </w:rPr>
              <w:t>137</w:t>
            </w:r>
          </w:hyperlink>
        </w:p>
        <w:p>
          <w:pPr>
            <w:pStyle w:val="Contents2"/>
            <w:tabs>
              <w:tab w:val="clear" w:pos="8743"/>
              <w:tab w:val="right" w:pos="9026" w:leader="dot"/>
            </w:tabs>
            <w:rPr/>
          </w:pPr>
          <w:hyperlink w:anchor="__RefHeading___Toc3597773_1067777946">
            <w:r>
              <w:rPr>
                <w:webHidden/>
                <w:rStyle w:val="IndexLink"/>
                <w:rtl w:val="true"/>
              </w:rPr>
              <w:t>كتاب صلح</w:t>
            </w:r>
            <w:r>
              <w:rPr>
                <w:rStyle w:val="IndexLink"/>
                <w:rtl w:val="true"/>
              </w:rPr>
              <w:tab/>
            </w:r>
            <w:r>
              <w:rPr>
                <w:rStyle w:val="IndexLink"/>
              </w:rPr>
              <w:t>138</w:t>
            </w:r>
          </w:hyperlink>
        </w:p>
        <w:p>
          <w:pPr>
            <w:pStyle w:val="Contents3"/>
            <w:tabs>
              <w:tab w:val="clear" w:pos="8459"/>
              <w:tab w:val="right" w:pos="9026" w:leader="dot"/>
            </w:tabs>
            <w:rPr/>
          </w:pPr>
          <w:hyperlink w:anchor="__RefHeading___Toc3597775_1067777946">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597777_1067777946">
            <w:r>
              <w:rPr>
                <w:webHidden/>
                <w:rStyle w:val="IndexLink"/>
                <w:rtl w:val="true"/>
              </w:rPr>
              <w:t>فصل اوّل معناى صلح و شرايط آن</w:t>
            </w:r>
            <w:r>
              <w:rPr>
                <w:rStyle w:val="IndexLink"/>
                <w:rtl w:val="true"/>
              </w:rPr>
              <w:tab/>
            </w:r>
            <w:r>
              <w:rPr>
                <w:rStyle w:val="IndexLink"/>
              </w:rPr>
              <w:t>140</w:t>
            </w:r>
          </w:hyperlink>
        </w:p>
        <w:p>
          <w:pPr>
            <w:pStyle w:val="Contents4"/>
            <w:tabs>
              <w:tab w:val="clear" w:pos="8176"/>
              <w:tab w:val="right" w:pos="9026" w:leader="dot"/>
            </w:tabs>
            <w:rPr/>
          </w:pPr>
          <w:hyperlink w:anchor="__RefHeading___Toc3597779_1067777946">
            <w:r>
              <w:rPr>
                <w:webHidden/>
                <w:rStyle w:val="IndexLink"/>
                <w:rtl w:val="true"/>
              </w:rPr>
              <w:t>معناى صلح</w:t>
            </w:r>
            <w:r>
              <w:rPr>
                <w:rStyle w:val="IndexLink"/>
                <w:rtl w:val="true"/>
              </w:rPr>
              <w:tab/>
            </w:r>
            <w:r>
              <w:rPr>
                <w:rStyle w:val="IndexLink"/>
              </w:rPr>
              <w:t>140</w:t>
            </w:r>
          </w:hyperlink>
        </w:p>
        <w:p>
          <w:pPr>
            <w:pStyle w:val="Contents4"/>
            <w:tabs>
              <w:tab w:val="clear" w:pos="8176"/>
              <w:tab w:val="right" w:pos="9026" w:leader="dot"/>
            </w:tabs>
            <w:rPr/>
          </w:pPr>
          <w:hyperlink w:anchor="__RefHeading___Toc3597781_1067777946">
            <w:r>
              <w:rPr>
                <w:webHidden/>
                <w:rStyle w:val="IndexLink"/>
                <w:rtl w:val="true"/>
              </w:rPr>
              <w:t>برخى شرايط و كيفيات مورد بحث در صلح</w:t>
            </w:r>
            <w:r>
              <w:rPr>
                <w:rStyle w:val="IndexLink"/>
                <w:rtl w:val="true"/>
              </w:rPr>
              <w:tab/>
            </w:r>
            <w:r>
              <w:rPr>
                <w:rStyle w:val="IndexLink"/>
              </w:rPr>
              <w:t>140</w:t>
            </w:r>
          </w:hyperlink>
        </w:p>
        <w:p>
          <w:pPr>
            <w:pStyle w:val="Contents5"/>
            <w:tabs>
              <w:tab w:val="clear" w:pos="7892"/>
              <w:tab w:val="right" w:pos="9026" w:leader="dot"/>
            </w:tabs>
            <w:rPr/>
          </w:pPr>
          <w:hyperlink w:anchor="__RefHeading___Toc3597783_1067777946">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597785_1067777946">
            <w:r>
              <w:rPr>
                <w:webHidden/>
                <w:rStyle w:val="IndexLink"/>
              </w:rPr>
              <w:t>1</w:t>
            </w:r>
            <w:r>
              <w:rPr>
                <w:rStyle w:val="IndexLink"/>
                <w:rtl w:val="true"/>
              </w:rPr>
              <w:t xml:space="preserve">. </w:t>
            </w:r>
            <w:r>
              <w:rPr>
                <w:rStyle w:val="IndexLink"/>
                <w:rtl w:val="true"/>
              </w:rPr>
              <w:t>اشتراط سبق نزاع يا عدم آن</w:t>
            </w:r>
            <w:r>
              <w:rPr>
                <w:rStyle w:val="IndexLink"/>
                <w:rtl w:val="true"/>
              </w:rPr>
              <w:tab/>
            </w:r>
            <w:r>
              <w:rPr>
                <w:rStyle w:val="IndexLink"/>
              </w:rPr>
              <w:t>140</w:t>
            </w:r>
          </w:hyperlink>
        </w:p>
        <w:p>
          <w:pPr>
            <w:pStyle w:val="Contents5"/>
            <w:tabs>
              <w:tab w:val="clear" w:pos="7892"/>
              <w:tab w:val="right" w:pos="9026" w:leader="dot"/>
            </w:tabs>
            <w:rPr/>
          </w:pPr>
          <w:hyperlink w:anchor="__RefHeading___Toc3597787_1067777946">
            <w:r>
              <w:rPr>
                <w:webHidden/>
                <w:rStyle w:val="IndexLink"/>
              </w:rPr>
              <w:t>2</w:t>
            </w:r>
            <w:r>
              <w:rPr>
                <w:rStyle w:val="IndexLink"/>
                <w:rtl w:val="true"/>
              </w:rPr>
              <w:t xml:space="preserve">. </w:t>
            </w:r>
            <w:r>
              <w:rPr>
                <w:rStyle w:val="IndexLink"/>
                <w:rtl w:val="true"/>
              </w:rPr>
              <w:t>استقلال يا تبعيّت صلح</w:t>
            </w:r>
            <w:r>
              <w:rPr>
                <w:rStyle w:val="IndexLink"/>
                <w:rtl w:val="true"/>
              </w:rPr>
              <w:tab/>
            </w:r>
            <w:r>
              <w:rPr>
                <w:rStyle w:val="IndexLink"/>
              </w:rPr>
              <w:t>141</w:t>
            </w:r>
          </w:hyperlink>
        </w:p>
        <w:p>
          <w:pPr>
            <w:pStyle w:val="Contents6"/>
            <w:tabs>
              <w:tab w:val="clear" w:pos="7609"/>
              <w:tab w:val="right" w:pos="9026" w:leader="dot"/>
            </w:tabs>
            <w:rPr/>
          </w:pPr>
          <w:hyperlink w:anchor="__RefHeading___Toc3597789_106777794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3597791_1067777946">
            <w:r>
              <w:rPr>
                <w:webHidden/>
                <w:rStyle w:val="IndexLink"/>
                <w:rtl w:val="true"/>
              </w:rPr>
              <w:t>صحّت واقعيّه يا ظاهريۀ صلح</w:t>
            </w:r>
            <w:r>
              <w:rPr>
                <w:rStyle w:val="IndexLink"/>
                <w:rtl w:val="true"/>
              </w:rPr>
              <w:tab/>
            </w:r>
            <w:r>
              <w:rPr>
                <w:rStyle w:val="IndexLink"/>
              </w:rPr>
              <w:t>142</w:t>
            </w:r>
          </w:hyperlink>
        </w:p>
        <w:p>
          <w:pPr>
            <w:pStyle w:val="Contents5"/>
            <w:tabs>
              <w:tab w:val="clear" w:pos="7892"/>
              <w:tab w:val="right" w:pos="9026" w:leader="dot"/>
            </w:tabs>
            <w:rPr/>
          </w:pPr>
          <w:hyperlink w:anchor="__RefHeading___Toc3597793_1067777946">
            <w:r>
              <w:rPr>
                <w:webHidden/>
                <w:rStyle w:val="IndexLink"/>
              </w:rPr>
              <w:t>3</w:t>
            </w:r>
            <w:r>
              <w:rPr>
                <w:rStyle w:val="IndexLink"/>
                <w:rtl w:val="true"/>
              </w:rPr>
              <w:t xml:space="preserve">. </w:t>
            </w:r>
            <w:r>
              <w:rPr>
                <w:rStyle w:val="IndexLink"/>
                <w:rtl w:val="true"/>
              </w:rPr>
              <w:t>اناطۀ نفوذ صلح به عدم تحليل حرام و عدم تحريم حلال</w:t>
            </w:r>
            <w:r>
              <w:rPr>
                <w:rStyle w:val="IndexLink"/>
                <w:rtl w:val="true"/>
              </w:rPr>
              <w:tab/>
            </w:r>
            <w:r>
              <w:rPr>
                <w:rStyle w:val="IndexLink"/>
              </w:rPr>
              <w:t>142</w:t>
            </w:r>
          </w:hyperlink>
        </w:p>
        <w:p>
          <w:pPr>
            <w:pStyle w:val="Contents4"/>
            <w:tabs>
              <w:tab w:val="clear" w:pos="8176"/>
              <w:tab w:val="right" w:pos="9026" w:leader="dot"/>
            </w:tabs>
            <w:rPr/>
          </w:pPr>
          <w:hyperlink w:anchor="__RefHeading___Toc3597795_1067777946">
            <w:r>
              <w:rPr>
                <w:webHidden/>
                <w:rStyle w:val="IndexLink"/>
                <w:rtl w:val="true"/>
              </w:rPr>
              <w:t>عدم اعتبار علم، در صلح</w:t>
            </w:r>
            <w:r>
              <w:rPr>
                <w:rStyle w:val="IndexLink"/>
                <w:rtl w:val="true"/>
              </w:rPr>
              <w:tab/>
            </w:r>
            <w:r>
              <w:rPr>
                <w:rStyle w:val="IndexLink"/>
              </w:rPr>
              <w:t>143</w:t>
            </w:r>
          </w:hyperlink>
        </w:p>
        <w:p>
          <w:pPr>
            <w:pStyle w:val="Contents4"/>
            <w:tabs>
              <w:tab w:val="clear" w:pos="8176"/>
              <w:tab w:val="right" w:pos="9026" w:leader="dot"/>
            </w:tabs>
            <w:rPr/>
          </w:pPr>
          <w:hyperlink w:anchor="__RefHeading___Toc3597797_1067777946">
            <w:r>
              <w:rPr>
                <w:webHidden/>
                <w:rStyle w:val="IndexLink"/>
                <w:rtl w:val="true"/>
              </w:rPr>
              <w:t>ادامۀ كلام در صلح واقعيّه است يا ظاهريّه</w:t>
            </w:r>
            <w:r>
              <w:rPr>
                <w:rStyle w:val="IndexLink"/>
                <w:rtl w:val="true"/>
              </w:rPr>
              <w:tab/>
            </w:r>
            <w:r>
              <w:rPr>
                <w:rStyle w:val="IndexLink"/>
              </w:rPr>
              <w:t>143</w:t>
            </w:r>
          </w:hyperlink>
        </w:p>
        <w:p>
          <w:pPr>
            <w:pStyle w:val="Contents4"/>
            <w:tabs>
              <w:tab w:val="clear" w:pos="8176"/>
              <w:tab w:val="right" w:pos="9026" w:leader="dot"/>
            </w:tabs>
            <w:rPr/>
          </w:pPr>
          <w:hyperlink w:anchor="__RefHeading___Toc3597799_1067777946">
            <w:r>
              <w:rPr>
                <w:webHidden/>
                <w:rStyle w:val="IndexLink"/>
                <w:rtl w:val="true"/>
              </w:rPr>
              <w:t>صلح معاطاتى</w:t>
            </w:r>
            <w:r>
              <w:rPr>
                <w:rStyle w:val="IndexLink"/>
                <w:rtl w:val="true"/>
              </w:rPr>
              <w:tab/>
            </w:r>
            <w:r>
              <w:rPr>
                <w:rStyle w:val="IndexLink"/>
              </w:rPr>
              <w:t>144</w:t>
            </w:r>
          </w:hyperlink>
        </w:p>
        <w:p>
          <w:pPr>
            <w:pStyle w:val="Contents3"/>
            <w:tabs>
              <w:tab w:val="clear" w:pos="8459"/>
              <w:tab w:val="right" w:pos="9026" w:leader="dot"/>
            </w:tabs>
            <w:rPr/>
          </w:pPr>
          <w:hyperlink w:anchor="__RefHeading___Toc3597801_1067777946">
            <w:r>
              <w:rPr>
                <w:webHidden/>
                <w:rStyle w:val="IndexLink"/>
                <w:rtl w:val="true"/>
              </w:rPr>
              <w:t>فصل دوّم احكام صلح و بعض مسائل</w:t>
            </w:r>
            <w:r>
              <w:rPr>
                <w:rStyle w:val="IndexLink"/>
                <w:rtl w:val="true"/>
              </w:rPr>
              <w:tab/>
            </w:r>
            <w:r>
              <w:rPr>
                <w:rStyle w:val="IndexLink"/>
              </w:rPr>
              <w:t>145</w:t>
            </w:r>
          </w:hyperlink>
        </w:p>
        <w:p>
          <w:pPr>
            <w:pStyle w:val="Contents4"/>
            <w:tabs>
              <w:tab w:val="clear" w:pos="8176"/>
              <w:tab w:val="right" w:pos="9026" w:leader="dot"/>
            </w:tabs>
            <w:rPr/>
          </w:pPr>
          <w:hyperlink w:anchor="__RefHeading___Toc3597803_1067777946">
            <w:r>
              <w:rPr>
                <w:webHidden/>
                <w:rStyle w:val="IndexLink"/>
                <w:rtl w:val="true"/>
              </w:rPr>
              <w:t>تصالح بر بودن سرمايه براى يكى و سود و زيان براى ديگرى</w:t>
            </w:r>
            <w:r>
              <w:rPr>
                <w:rStyle w:val="IndexLink"/>
                <w:rtl w:val="true"/>
              </w:rPr>
              <w:tab/>
            </w:r>
            <w:r>
              <w:rPr>
                <w:rStyle w:val="IndexLink"/>
              </w:rPr>
              <w:t>145</w:t>
            </w:r>
          </w:hyperlink>
        </w:p>
        <w:p>
          <w:pPr>
            <w:pStyle w:val="Contents4"/>
            <w:tabs>
              <w:tab w:val="clear" w:pos="8176"/>
              <w:tab w:val="right" w:pos="9026" w:leader="dot"/>
            </w:tabs>
            <w:rPr/>
          </w:pPr>
          <w:hyperlink w:anchor="__RefHeading___Toc3597805_1067777946">
            <w:r>
              <w:rPr>
                <w:webHidden/>
                <w:rStyle w:val="IndexLink"/>
                <w:rtl w:val="true"/>
              </w:rPr>
              <w:t>نفوذ صلح با فرض فقدان خصوصيّات مذكوره</w:t>
            </w:r>
            <w:r>
              <w:rPr>
                <w:rStyle w:val="IndexLink"/>
                <w:rtl w:val="true"/>
              </w:rPr>
              <w:tab/>
            </w:r>
            <w:r>
              <w:rPr>
                <w:rStyle w:val="IndexLink"/>
              </w:rPr>
              <w:t>145</w:t>
            </w:r>
          </w:hyperlink>
        </w:p>
        <w:p>
          <w:pPr>
            <w:pStyle w:val="Contents4"/>
            <w:tabs>
              <w:tab w:val="clear" w:pos="8176"/>
              <w:tab w:val="right" w:pos="9026" w:leader="dot"/>
            </w:tabs>
            <w:rPr/>
          </w:pPr>
          <w:hyperlink w:anchor="__RefHeading___Toc3597807_1067777946">
            <w:r>
              <w:rPr>
                <w:webHidden/>
                <w:rStyle w:val="IndexLink"/>
                <w:rtl w:val="true"/>
              </w:rPr>
              <w:t>تصالح ادّعاى تمام دو درهم و ادّعاى يك درهم</w:t>
            </w:r>
            <w:r>
              <w:rPr>
                <w:rStyle w:val="IndexLink"/>
                <w:rtl w:val="true"/>
              </w:rPr>
              <w:tab/>
            </w:r>
            <w:r>
              <w:rPr>
                <w:rStyle w:val="IndexLink"/>
              </w:rPr>
              <w:t>145</w:t>
            </w:r>
          </w:hyperlink>
        </w:p>
        <w:p>
          <w:pPr>
            <w:pStyle w:val="Contents4"/>
            <w:tabs>
              <w:tab w:val="clear" w:pos="8176"/>
              <w:tab w:val="right" w:pos="9026" w:leader="dot"/>
            </w:tabs>
            <w:rPr/>
          </w:pPr>
          <w:hyperlink w:anchor="__RefHeading___Toc3597809_1067777946">
            <w:r>
              <w:rPr>
                <w:webHidden/>
                <w:rStyle w:val="IndexLink"/>
                <w:rtl w:val="true"/>
              </w:rPr>
              <w:t>حكم صور ديگر در مسأله</w:t>
            </w:r>
            <w:r>
              <w:rPr>
                <w:rStyle w:val="IndexLink"/>
                <w:rtl w:val="true"/>
              </w:rPr>
              <w:tab/>
            </w:r>
            <w:r>
              <w:rPr>
                <w:rStyle w:val="IndexLink"/>
              </w:rPr>
              <w:t>146</w:t>
            </w:r>
          </w:hyperlink>
        </w:p>
        <w:p>
          <w:pPr>
            <w:pStyle w:val="Contents4"/>
            <w:tabs>
              <w:tab w:val="clear" w:pos="8176"/>
              <w:tab w:val="right" w:pos="9026" w:leader="dot"/>
            </w:tabs>
            <w:rPr/>
          </w:pPr>
          <w:hyperlink w:anchor="__RefHeading___Toc3597811_1067777946">
            <w:r>
              <w:rPr>
                <w:webHidden/>
                <w:rStyle w:val="IndexLink"/>
                <w:rtl w:val="true"/>
              </w:rPr>
              <w:t>حكم تلف بعض مال مشترك در نزد ودعى</w:t>
            </w:r>
            <w:r>
              <w:rPr>
                <w:rStyle w:val="IndexLink"/>
                <w:rtl w:val="true"/>
              </w:rPr>
              <w:tab/>
            </w:r>
            <w:r>
              <w:rPr>
                <w:rStyle w:val="IndexLink"/>
              </w:rPr>
              <w:t>146</w:t>
            </w:r>
          </w:hyperlink>
        </w:p>
        <w:p>
          <w:pPr>
            <w:pStyle w:val="Contents4"/>
            <w:tabs>
              <w:tab w:val="clear" w:pos="8176"/>
              <w:tab w:val="right" w:pos="9026" w:leader="dot"/>
            </w:tabs>
            <w:rPr/>
          </w:pPr>
          <w:hyperlink w:anchor="__RefHeading___Toc3597813_1067777946">
            <w:r>
              <w:rPr>
                <w:webHidden/>
                <w:rStyle w:val="IndexLink"/>
                <w:rtl w:val="true"/>
              </w:rPr>
              <w:t>تفريط ودعى در فرض مسألۀ گذشته</w:t>
            </w:r>
            <w:r>
              <w:rPr>
                <w:rStyle w:val="IndexLink"/>
                <w:rtl w:val="true"/>
              </w:rPr>
              <w:tab/>
            </w:r>
            <w:r>
              <w:rPr>
                <w:rStyle w:val="IndexLink"/>
              </w:rPr>
              <w:t>147</w:t>
            </w:r>
          </w:hyperlink>
        </w:p>
        <w:p>
          <w:pPr>
            <w:pStyle w:val="Contents4"/>
            <w:tabs>
              <w:tab w:val="clear" w:pos="8176"/>
              <w:tab w:val="right" w:pos="9026" w:leader="dot"/>
            </w:tabs>
            <w:rPr/>
          </w:pPr>
          <w:hyperlink w:anchor="__RefHeading___Toc3597815_1067777946">
            <w:r>
              <w:rPr>
                <w:webHidden/>
                <w:rStyle w:val="IndexLink"/>
                <w:rtl w:val="true"/>
              </w:rPr>
              <w:t>تصالح در فرض اشتباه دو شىء گران و ارزان</w:t>
            </w:r>
            <w:r>
              <w:rPr>
                <w:rStyle w:val="IndexLink"/>
                <w:rtl w:val="true"/>
              </w:rPr>
              <w:tab/>
            </w:r>
            <w:r>
              <w:rPr>
                <w:rStyle w:val="IndexLink"/>
              </w:rPr>
              <w:t>148</w:t>
            </w:r>
          </w:hyperlink>
        </w:p>
        <w:p>
          <w:pPr>
            <w:pStyle w:val="Contents4"/>
            <w:tabs>
              <w:tab w:val="clear" w:pos="8176"/>
              <w:tab w:val="right" w:pos="9026" w:leader="dot"/>
            </w:tabs>
            <w:rPr/>
          </w:pPr>
          <w:hyperlink w:anchor="__RefHeading___Toc3597817_1067777946">
            <w:r>
              <w:rPr>
                <w:webHidden/>
                <w:rStyle w:val="IndexLink"/>
                <w:rtl w:val="true"/>
              </w:rPr>
              <w:t>ظهور عدم مالكيّت عدم ماليّت يكى از عوضين در صلح</w:t>
            </w:r>
            <w:r>
              <w:rPr>
                <w:rStyle w:val="IndexLink"/>
                <w:rtl w:val="true"/>
              </w:rPr>
              <w:tab/>
            </w:r>
            <w:r>
              <w:rPr>
                <w:rStyle w:val="IndexLink"/>
              </w:rPr>
              <w:t>148</w:t>
            </w:r>
          </w:hyperlink>
        </w:p>
        <w:p>
          <w:pPr>
            <w:pStyle w:val="Contents4"/>
            <w:tabs>
              <w:tab w:val="clear" w:pos="8176"/>
              <w:tab w:val="right" w:pos="9026" w:leader="dot"/>
            </w:tabs>
            <w:rPr/>
          </w:pPr>
          <w:hyperlink w:anchor="__RefHeading___Toc3597819_1067777946">
            <w:r>
              <w:rPr>
                <w:webHidden/>
                <w:rStyle w:val="IndexLink"/>
                <w:rtl w:val="true"/>
              </w:rPr>
              <w:t>ظهور عيب در يكى از عوضين</w:t>
            </w:r>
            <w:r>
              <w:rPr>
                <w:rStyle w:val="IndexLink"/>
                <w:rtl w:val="true"/>
              </w:rPr>
              <w:tab/>
            </w:r>
            <w:r>
              <w:rPr>
                <w:rStyle w:val="IndexLink"/>
              </w:rPr>
              <w:t>149</w:t>
            </w:r>
          </w:hyperlink>
        </w:p>
        <w:p>
          <w:pPr>
            <w:pStyle w:val="Contents4"/>
            <w:tabs>
              <w:tab w:val="clear" w:pos="8176"/>
              <w:tab w:val="right" w:pos="9026" w:leader="dot"/>
            </w:tabs>
            <w:rPr/>
          </w:pPr>
          <w:hyperlink w:anchor="__RefHeading___Toc3597821_1067777946">
            <w:r>
              <w:rPr>
                <w:webHidden/>
                <w:rStyle w:val="IndexLink"/>
                <w:rtl w:val="true"/>
              </w:rPr>
              <w:t>جواز صلح در منفعت و حقّ‌</w:t>
            </w:r>
            <w:r>
              <w:rPr>
                <w:rStyle w:val="IndexLink"/>
                <w:rtl w:val="true"/>
              </w:rPr>
              <w:tab/>
            </w:r>
            <w:r>
              <w:rPr>
                <w:rStyle w:val="IndexLink"/>
              </w:rPr>
              <w:t>149</w:t>
            </w:r>
          </w:hyperlink>
        </w:p>
        <w:p>
          <w:pPr>
            <w:pStyle w:val="Contents4"/>
            <w:tabs>
              <w:tab w:val="clear" w:pos="8176"/>
              <w:tab w:val="right" w:pos="9026" w:leader="dot"/>
            </w:tabs>
            <w:rPr/>
          </w:pPr>
          <w:hyperlink w:anchor="__RefHeading___Toc3597823_1067777946">
            <w:r>
              <w:rPr>
                <w:webHidden/>
                <w:rStyle w:val="IndexLink"/>
                <w:rtl w:val="true"/>
              </w:rPr>
              <w:t>جواز تصالح به ازيد از قيمت</w:t>
            </w:r>
            <w:r>
              <w:rPr>
                <w:rStyle w:val="IndexLink"/>
                <w:rtl w:val="true"/>
              </w:rPr>
              <w:tab/>
            </w:r>
            <w:r>
              <w:rPr>
                <w:rStyle w:val="IndexLink"/>
              </w:rPr>
              <w:t>149</w:t>
            </w:r>
          </w:hyperlink>
        </w:p>
        <w:p>
          <w:pPr>
            <w:pStyle w:val="Contents4"/>
            <w:tabs>
              <w:tab w:val="clear" w:pos="8176"/>
              <w:tab w:val="right" w:pos="9026" w:leader="dot"/>
            </w:tabs>
            <w:rPr/>
          </w:pPr>
          <w:hyperlink w:anchor="__RefHeading___Toc3597825_1067777946">
            <w:r>
              <w:rPr>
                <w:webHidden/>
                <w:rStyle w:val="IndexLink"/>
                <w:rtl w:val="true"/>
              </w:rPr>
              <w:t>تصالح در فرض اقرار و انكار</w:t>
            </w:r>
            <w:r>
              <w:rPr>
                <w:rStyle w:val="IndexLink"/>
                <w:rtl w:val="true"/>
              </w:rPr>
              <w:tab/>
            </w:r>
            <w:r>
              <w:rPr>
                <w:rStyle w:val="IndexLink"/>
              </w:rPr>
              <w:t>150</w:t>
            </w:r>
          </w:hyperlink>
        </w:p>
        <w:p>
          <w:pPr>
            <w:pStyle w:val="Contents4"/>
            <w:tabs>
              <w:tab w:val="clear" w:pos="8176"/>
              <w:tab w:val="right" w:pos="9026" w:leader="dot"/>
            </w:tabs>
            <w:rPr/>
          </w:pPr>
          <w:hyperlink w:anchor="__RefHeading___Toc3597827_1067777946">
            <w:r>
              <w:rPr>
                <w:webHidden/>
                <w:rStyle w:val="IndexLink"/>
                <w:rtl w:val="true"/>
              </w:rPr>
              <w:t>ادّعاى شراكت دو نفر و اقرار مدّعىٰ عليه به نفع يكى از آن دو</w:t>
            </w:r>
            <w:r>
              <w:rPr>
                <w:rStyle w:val="IndexLink"/>
                <w:rtl w:val="true"/>
              </w:rPr>
              <w:tab/>
            </w:r>
            <w:r>
              <w:rPr>
                <w:rStyle w:val="IndexLink"/>
              </w:rPr>
              <w:t>150</w:t>
            </w:r>
          </w:hyperlink>
        </w:p>
        <w:p>
          <w:pPr>
            <w:pStyle w:val="Contents4"/>
            <w:tabs>
              <w:tab w:val="clear" w:pos="8176"/>
              <w:tab w:val="right" w:pos="9026" w:leader="dot"/>
            </w:tabs>
            <w:rPr/>
          </w:pPr>
          <w:hyperlink w:anchor="__RefHeading___Toc3597829_1067777946">
            <w:r>
              <w:rPr>
                <w:webHidden/>
                <w:rStyle w:val="IndexLink"/>
                <w:rtl w:val="true"/>
              </w:rPr>
              <w:t>اگر اقرار براى يكى، به تحقّق سبب واحد مالكيت بر هر دو باشد</w:t>
            </w:r>
            <w:r>
              <w:rPr>
                <w:rStyle w:val="IndexLink"/>
                <w:rtl w:val="true"/>
              </w:rPr>
              <w:tab/>
            </w:r>
            <w:r>
              <w:rPr>
                <w:rStyle w:val="IndexLink"/>
              </w:rPr>
              <w:t>151</w:t>
            </w:r>
          </w:hyperlink>
        </w:p>
        <w:p>
          <w:pPr>
            <w:pStyle w:val="Contents4"/>
            <w:tabs>
              <w:tab w:val="clear" w:pos="8176"/>
              <w:tab w:val="right" w:pos="9026" w:leader="dot"/>
            </w:tabs>
            <w:rPr/>
          </w:pPr>
          <w:hyperlink w:anchor="__RefHeading___Toc3597831_1067777946">
            <w:r>
              <w:rPr>
                <w:webHidden/>
                <w:rStyle w:val="IndexLink"/>
                <w:rtl w:val="true"/>
              </w:rPr>
              <w:t>اگر ادّعاى هر دو نفر مالكيت به دو سبب باشد</w:t>
            </w:r>
            <w:r>
              <w:rPr>
                <w:rStyle w:val="IndexLink"/>
                <w:rtl w:val="true"/>
              </w:rPr>
              <w:tab/>
            </w:r>
            <w:r>
              <w:rPr>
                <w:rStyle w:val="IndexLink"/>
              </w:rPr>
              <w:t>152</w:t>
            </w:r>
          </w:hyperlink>
        </w:p>
        <w:p>
          <w:pPr>
            <w:pStyle w:val="Contents4"/>
            <w:tabs>
              <w:tab w:val="clear" w:pos="8176"/>
              <w:tab w:val="right" w:pos="9026" w:leader="dot"/>
            </w:tabs>
            <w:rPr/>
          </w:pPr>
          <w:hyperlink w:anchor="__RefHeading___Toc3597833_1067777946">
            <w:r>
              <w:rPr>
                <w:webHidden/>
                <w:rStyle w:val="IndexLink"/>
                <w:rtl w:val="true"/>
              </w:rPr>
              <w:t>عدم فرق بين وقوع صلح بعد و يا قبل از قبض</w:t>
            </w:r>
            <w:r>
              <w:rPr>
                <w:rStyle w:val="IndexLink"/>
                <w:rtl w:val="true"/>
              </w:rPr>
              <w:tab/>
            </w:r>
            <w:r>
              <w:rPr>
                <w:rStyle w:val="IndexLink"/>
              </w:rPr>
              <w:t>152</w:t>
            </w:r>
          </w:hyperlink>
        </w:p>
        <w:p>
          <w:pPr>
            <w:pStyle w:val="Contents4"/>
            <w:tabs>
              <w:tab w:val="clear" w:pos="8176"/>
              <w:tab w:val="right" w:pos="9026" w:leader="dot"/>
            </w:tabs>
            <w:rPr/>
          </w:pPr>
          <w:hyperlink w:anchor="__RefHeading___Toc3597835_1067777946">
            <w:r>
              <w:rPr>
                <w:webHidden/>
                <w:rStyle w:val="IndexLink"/>
                <w:rtl w:val="true"/>
              </w:rPr>
              <w:t>صورت اذن شريك و عمل به آن</w:t>
            </w:r>
            <w:r>
              <w:rPr>
                <w:rStyle w:val="IndexLink"/>
                <w:rtl w:val="true"/>
              </w:rPr>
              <w:tab/>
            </w:r>
            <w:r>
              <w:rPr>
                <w:rStyle w:val="IndexLink"/>
              </w:rPr>
              <w:t>152</w:t>
            </w:r>
          </w:hyperlink>
        </w:p>
        <w:p>
          <w:pPr>
            <w:pStyle w:val="Contents4"/>
            <w:tabs>
              <w:tab w:val="clear" w:pos="8176"/>
              <w:tab w:val="right" w:pos="9026" w:leader="dot"/>
            </w:tabs>
            <w:rPr/>
          </w:pPr>
          <w:hyperlink w:anchor="__RefHeading___Toc3597837_1067777946">
            <w:r>
              <w:rPr>
                <w:webHidden/>
                <w:rStyle w:val="IndexLink"/>
                <w:rtl w:val="true"/>
              </w:rPr>
              <w:t>حكم ربا در صلح</w:t>
            </w:r>
            <w:r>
              <w:rPr>
                <w:rStyle w:val="IndexLink"/>
                <w:rtl w:val="true"/>
              </w:rPr>
              <w:tab/>
            </w:r>
            <w:r>
              <w:rPr>
                <w:rStyle w:val="IndexLink"/>
              </w:rPr>
              <w:t>153</w:t>
            </w:r>
          </w:hyperlink>
        </w:p>
        <w:p>
          <w:pPr>
            <w:pStyle w:val="Contents4"/>
            <w:tabs>
              <w:tab w:val="clear" w:pos="8176"/>
              <w:tab w:val="right" w:pos="9026" w:leader="dot"/>
            </w:tabs>
            <w:rPr/>
          </w:pPr>
          <w:hyperlink w:anchor="__RefHeading___Toc3597839_1067777946">
            <w:r>
              <w:rPr>
                <w:webHidden/>
                <w:rStyle w:val="IndexLink"/>
                <w:rtl w:val="true"/>
              </w:rPr>
              <w:t>عدم دلالت طلب صلح بر اقرار بر مالكيّت مطلوب منه</w:t>
            </w:r>
            <w:r>
              <w:rPr>
                <w:rStyle w:val="IndexLink"/>
                <w:rtl w:val="true"/>
              </w:rPr>
              <w:tab/>
            </w:r>
            <w:r>
              <w:rPr>
                <w:rStyle w:val="IndexLink"/>
              </w:rPr>
              <w:t>154</w:t>
            </w:r>
          </w:hyperlink>
        </w:p>
        <w:p>
          <w:pPr>
            <w:pStyle w:val="Contents2"/>
            <w:tabs>
              <w:tab w:val="clear" w:pos="8743"/>
              <w:tab w:val="right" w:pos="9026" w:leader="dot"/>
            </w:tabs>
            <w:rPr/>
          </w:pPr>
          <w:hyperlink w:anchor="__RefHeading___Toc3597841_1067777946">
            <w:r>
              <w:rPr>
                <w:webHidden/>
                <w:rStyle w:val="IndexLink"/>
                <w:rtl w:val="true"/>
              </w:rPr>
              <w:t>كتاب تزاحم حقوق و املاك</w:t>
            </w:r>
            <w:r>
              <w:rPr>
                <w:rStyle w:val="IndexLink"/>
                <w:rtl w:val="true"/>
              </w:rPr>
              <w:tab/>
            </w:r>
            <w:r>
              <w:rPr>
                <w:rStyle w:val="IndexLink"/>
              </w:rPr>
              <w:t>156</w:t>
            </w:r>
          </w:hyperlink>
        </w:p>
        <w:p>
          <w:pPr>
            <w:pStyle w:val="Contents3"/>
            <w:tabs>
              <w:tab w:val="clear" w:pos="8459"/>
              <w:tab w:val="right" w:pos="9026" w:leader="dot"/>
            </w:tabs>
            <w:rPr/>
          </w:pPr>
          <w:hyperlink w:anchor="__RefHeading___Toc3597843_1067777946">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597845_1067777946">
            <w:r>
              <w:rPr>
                <w:webHidden/>
                <w:rStyle w:val="IndexLink"/>
                <w:rtl w:val="true"/>
              </w:rPr>
              <w:t>فصل اوّل احكام طُرُق نافذۀ عامّه</w:t>
            </w:r>
            <w:r>
              <w:rPr>
                <w:rStyle w:val="IndexLink"/>
                <w:rtl w:val="true"/>
              </w:rPr>
              <w:tab/>
            </w:r>
            <w:r>
              <w:rPr>
                <w:rStyle w:val="IndexLink"/>
              </w:rPr>
              <w:t>158</w:t>
            </w:r>
          </w:hyperlink>
        </w:p>
        <w:p>
          <w:pPr>
            <w:pStyle w:val="Contents4"/>
            <w:tabs>
              <w:tab w:val="clear" w:pos="8176"/>
              <w:tab w:val="right" w:pos="9026" w:leader="dot"/>
            </w:tabs>
            <w:rPr/>
          </w:pPr>
          <w:hyperlink w:anchor="__RefHeading___Toc3597847_1067777946">
            <w:r>
              <w:rPr>
                <w:webHidden/>
                <w:rStyle w:val="IndexLink"/>
                <w:rtl w:val="true"/>
              </w:rPr>
              <w:t>جواز اخراج روزنه و اجنحه و شرايط آن</w:t>
            </w:r>
            <w:r>
              <w:rPr>
                <w:rStyle w:val="IndexLink"/>
                <w:rtl w:val="true"/>
              </w:rPr>
              <w:tab/>
            </w:r>
            <w:r>
              <w:rPr>
                <w:rStyle w:val="IndexLink"/>
              </w:rPr>
              <w:t>158</w:t>
            </w:r>
          </w:hyperlink>
        </w:p>
        <w:p>
          <w:pPr>
            <w:pStyle w:val="Contents4"/>
            <w:tabs>
              <w:tab w:val="clear" w:pos="8176"/>
              <w:tab w:val="right" w:pos="9026" w:leader="dot"/>
            </w:tabs>
            <w:rPr/>
          </w:pPr>
          <w:hyperlink w:anchor="__RefHeading___Toc3597849_1067777946">
            <w:r>
              <w:rPr>
                <w:webHidden/>
                <w:rStyle w:val="IndexLink"/>
                <w:rtl w:val="true"/>
              </w:rPr>
              <w:t>حكم اخراج جناح در صورت امكان اشراف</w:t>
            </w:r>
            <w:r>
              <w:rPr>
                <w:rStyle w:val="IndexLink"/>
                <w:rtl w:val="true"/>
              </w:rPr>
              <w:tab/>
            </w:r>
            <w:r>
              <w:rPr>
                <w:rStyle w:val="IndexLink"/>
              </w:rPr>
              <w:t>158</w:t>
            </w:r>
          </w:hyperlink>
        </w:p>
        <w:p>
          <w:pPr>
            <w:pStyle w:val="Contents4"/>
            <w:tabs>
              <w:tab w:val="clear" w:pos="8176"/>
              <w:tab w:val="right" w:pos="9026" w:leader="dot"/>
            </w:tabs>
            <w:rPr/>
          </w:pPr>
          <w:hyperlink w:anchor="__RefHeading___Toc3597851_1067777946">
            <w:r>
              <w:rPr>
                <w:webHidden/>
                <w:rStyle w:val="IndexLink"/>
                <w:rtl w:val="true"/>
              </w:rPr>
              <w:t>حكم اخراج جناح در صورتِ تعارض نفع و ضرر در اخراج جناح</w:t>
            </w:r>
            <w:r>
              <w:rPr>
                <w:rStyle w:val="IndexLink"/>
                <w:rtl w:val="true"/>
              </w:rPr>
              <w:tab/>
            </w:r>
            <w:r>
              <w:rPr>
                <w:rStyle w:val="IndexLink"/>
              </w:rPr>
              <w:t>159</w:t>
            </w:r>
          </w:hyperlink>
        </w:p>
        <w:p>
          <w:pPr>
            <w:pStyle w:val="Contents4"/>
            <w:tabs>
              <w:tab w:val="clear" w:pos="8176"/>
              <w:tab w:val="right" w:pos="9026" w:leader="dot"/>
            </w:tabs>
            <w:rPr/>
          </w:pPr>
          <w:hyperlink w:anchor="__RefHeading___Toc3597853_1067777946">
            <w:r>
              <w:rPr>
                <w:webHidden/>
                <w:rStyle w:val="IndexLink"/>
                <w:rtl w:val="true"/>
              </w:rPr>
              <w:t>حكم اخراج جناح غير جايز</w:t>
            </w:r>
            <w:r>
              <w:rPr>
                <w:rStyle w:val="IndexLink"/>
                <w:rtl w:val="true"/>
              </w:rPr>
              <w:tab/>
            </w:r>
            <w:r>
              <w:rPr>
                <w:rStyle w:val="IndexLink"/>
              </w:rPr>
              <w:t>159</w:t>
            </w:r>
          </w:hyperlink>
        </w:p>
        <w:p>
          <w:pPr>
            <w:pStyle w:val="Contents4"/>
            <w:tabs>
              <w:tab w:val="clear" w:pos="8176"/>
              <w:tab w:val="right" w:pos="9026" w:leader="dot"/>
            </w:tabs>
            <w:rPr/>
          </w:pPr>
          <w:hyperlink w:anchor="__RefHeading___Toc3597855_1067777946">
            <w:r>
              <w:rPr>
                <w:webHidden/>
                <w:rStyle w:val="IndexLink"/>
                <w:rtl w:val="true"/>
              </w:rPr>
              <w:t>گشودن درها و ناودانها به طرف راههاى عمومى</w:t>
            </w:r>
            <w:r>
              <w:rPr>
                <w:rStyle w:val="IndexLink"/>
                <w:rtl w:val="true"/>
              </w:rPr>
              <w:tab/>
            </w:r>
            <w:r>
              <w:rPr>
                <w:rStyle w:val="IndexLink"/>
              </w:rPr>
              <w:t>159</w:t>
            </w:r>
          </w:hyperlink>
        </w:p>
        <w:p>
          <w:pPr>
            <w:pStyle w:val="Contents4"/>
            <w:tabs>
              <w:tab w:val="clear" w:pos="8176"/>
              <w:tab w:val="right" w:pos="9026" w:leader="dot"/>
            </w:tabs>
            <w:rPr/>
          </w:pPr>
          <w:hyperlink w:anchor="__RefHeading___Toc3597857_1067777946">
            <w:r>
              <w:rPr>
                <w:webHidden/>
                <w:rStyle w:val="IndexLink"/>
                <w:rtl w:val="true"/>
              </w:rPr>
              <w:t>احداث زيرزمين در راههاى عمومى</w:t>
            </w:r>
            <w:r>
              <w:rPr>
                <w:rStyle w:val="IndexLink"/>
                <w:rtl w:val="true"/>
              </w:rPr>
              <w:tab/>
            </w:r>
            <w:r>
              <w:rPr>
                <w:rStyle w:val="IndexLink"/>
              </w:rPr>
              <w:t>159</w:t>
            </w:r>
          </w:hyperlink>
        </w:p>
        <w:p>
          <w:pPr>
            <w:pStyle w:val="Contents4"/>
            <w:tabs>
              <w:tab w:val="clear" w:pos="8176"/>
              <w:tab w:val="right" w:pos="9026" w:leader="dot"/>
            </w:tabs>
            <w:rPr/>
          </w:pPr>
          <w:hyperlink w:anchor="__RefHeading___Toc3597859_1067777946">
            <w:r>
              <w:rPr>
                <w:webHidden/>
                <w:rStyle w:val="IndexLink"/>
                <w:rtl w:val="true"/>
              </w:rPr>
              <w:t>حكم تملّك زيرزمين احداث شده</w:t>
            </w:r>
            <w:r>
              <w:rPr>
                <w:rStyle w:val="IndexLink"/>
                <w:rtl w:val="true"/>
              </w:rPr>
              <w:tab/>
            </w:r>
            <w:r>
              <w:rPr>
                <w:rStyle w:val="IndexLink"/>
              </w:rPr>
              <w:t>160</w:t>
            </w:r>
          </w:hyperlink>
        </w:p>
        <w:p>
          <w:pPr>
            <w:pStyle w:val="Contents4"/>
            <w:tabs>
              <w:tab w:val="clear" w:pos="8176"/>
              <w:tab w:val="right" w:pos="9026" w:leader="dot"/>
            </w:tabs>
            <w:rPr/>
          </w:pPr>
          <w:hyperlink w:anchor="__RefHeading___Toc3597861_1067777946">
            <w:r>
              <w:rPr>
                <w:webHidden/>
                <w:rStyle w:val="IndexLink"/>
                <w:rtl w:val="true"/>
              </w:rPr>
              <w:t>احداث دكّه و بالوعه و كاشت درخت و دفن اموات در راههاى عمومى</w:t>
            </w:r>
            <w:r>
              <w:rPr>
                <w:rStyle w:val="IndexLink"/>
                <w:rtl w:val="true"/>
              </w:rPr>
              <w:tab/>
            </w:r>
            <w:r>
              <w:rPr>
                <w:rStyle w:val="IndexLink"/>
              </w:rPr>
              <w:t>160</w:t>
            </w:r>
          </w:hyperlink>
        </w:p>
        <w:p>
          <w:pPr>
            <w:pStyle w:val="Contents4"/>
            <w:tabs>
              <w:tab w:val="clear" w:pos="8176"/>
              <w:tab w:val="right" w:pos="9026" w:leader="dot"/>
            </w:tabs>
            <w:rPr/>
          </w:pPr>
          <w:hyperlink w:anchor="__RefHeading___Toc3597863_1067777946">
            <w:r>
              <w:rPr>
                <w:webHidden/>
                <w:rStyle w:val="IndexLink"/>
                <w:rtl w:val="true"/>
              </w:rPr>
              <w:t>حكم خاك اخذ شده از طرق عمومى</w:t>
            </w:r>
            <w:r>
              <w:rPr>
                <w:rStyle w:val="IndexLink"/>
                <w:rtl w:val="true"/>
              </w:rPr>
              <w:tab/>
            </w:r>
            <w:r>
              <w:rPr>
                <w:rStyle w:val="IndexLink"/>
              </w:rPr>
              <w:t>160</w:t>
            </w:r>
          </w:hyperlink>
        </w:p>
        <w:p>
          <w:pPr>
            <w:pStyle w:val="Contents4"/>
            <w:tabs>
              <w:tab w:val="clear" w:pos="8176"/>
              <w:tab w:val="right" w:pos="9026" w:leader="dot"/>
            </w:tabs>
            <w:rPr/>
          </w:pPr>
          <w:hyperlink w:anchor="__RefHeading___Toc3597865_1067777946">
            <w:r>
              <w:rPr>
                <w:webHidden/>
                <w:rStyle w:val="IndexLink"/>
                <w:rtl w:val="true"/>
              </w:rPr>
              <w:t>شرط جواز استطراق طرق</w:t>
            </w:r>
            <w:r>
              <w:rPr>
                <w:rStyle w:val="IndexLink"/>
                <w:rtl w:val="true"/>
              </w:rPr>
              <w:tab/>
            </w:r>
            <w:r>
              <w:rPr>
                <w:rStyle w:val="IndexLink"/>
              </w:rPr>
              <w:t>160</w:t>
            </w:r>
          </w:hyperlink>
        </w:p>
        <w:p>
          <w:pPr>
            <w:pStyle w:val="Contents4"/>
            <w:tabs>
              <w:tab w:val="clear" w:pos="8176"/>
              <w:tab w:val="right" w:pos="9026" w:leader="dot"/>
            </w:tabs>
            <w:rPr/>
          </w:pPr>
          <w:hyperlink w:anchor="__RefHeading___Toc3597867_1067777946">
            <w:r>
              <w:rPr>
                <w:webHidden/>
                <w:rStyle w:val="IndexLink"/>
                <w:rtl w:val="true"/>
              </w:rPr>
              <w:t>جواز فتح طريق مسدود شده</w:t>
            </w:r>
            <w:r>
              <w:rPr>
                <w:rStyle w:val="IndexLink"/>
                <w:rtl w:val="true"/>
              </w:rPr>
              <w:tab/>
            </w:r>
            <w:r>
              <w:rPr>
                <w:rStyle w:val="IndexLink"/>
              </w:rPr>
              <w:t>161</w:t>
            </w:r>
          </w:hyperlink>
        </w:p>
        <w:p>
          <w:pPr>
            <w:pStyle w:val="Contents4"/>
            <w:tabs>
              <w:tab w:val="clear" w:pos="8176"/>
              <w:tab w:val="right" w:pos="9026" w:leader="dot"/>
            </w:tabs>
            <w:rPr/>
          </w:pPr>
          <w:hyperlink w:anchor="__RefHeading___Toc3597869_1067777946">
            <w:r>
              <w:rPr>
                <w:webHidden/>
                <w:rStyle w:val="IndexLink"/>
                <w:rtl w:val="true"/>
              </w:rPr>
              <w:t>احداث ساقيه</w:t>
            </w:r>
            <w:r>
              <w:rPr>
                <w:rStyle w:val="IndexLink"/>
                <w:rtl w:val="true"/>
              </w:rPr>
              <w:tab/>
            </w:r>
            <w:r>
              <w:rPr>
                <w:rStyle w:val="IndexLink"/>
              </w:rPr>
              <w:t>161</w:t>
            </w:r>
          </w:hyperlink>
        </w:p>
        <w:p>
          <w:pPr>
            <w:pStyle w:val="Contents4"/>
            <w:tabs>
              <w:tab w:val="clear" w:pos="8176"/>
              <w:tab w:val="right" w:pos="9026" w:leader="dot"/>
            </w:tabs>
            <w:rPr/>
          </w:pPr>
          <w:hyperlink w:anchor="__RefHeading___Toc3597871_1067777946">
            <w:r>
              <w:rPr>
                <w:webHidden/>
                <w:rStyle w:val="IndexLink"/>
                <w:rtl w:val="true"/>
              </w:rPr>
              <w:t>رجوع در آنچه كه داخل راه نموده باشد</w:t>
            </w:r>
            <w:r>
              <w:rPr>
                <w:rStyle w:val="IndexLink"/>
                <w:rtl w:val="true"/>
              </w:rPr>
              <w:tab/>
            </w:r>
            <w:r>
              <w:rPr>
                <w:rStyle w:val="IndexLink"/>
              </w:rPr>
              <w:t>161</w:t>
            </w:r>
          </w:hyperlink>
        </w:p>
        <w:p>
          <w:pPr>
            <w:pStyle w:val="Contents4"/>
            <w:tabs>
              <w:tab w:val="clear" w:pos="8176"/>
              <w:tab w:val="right" w:pos="9026" w:leader="dot"/>
            </w:tabs>
            <w:rPr/>
          </w:pPr>
          <w:hyperlink w:anchor="__RefHeading___Toc3597873_1067777946">
            <w:r>
              <w:rPr>
                <w:webHidden/>
                <w:rStyle w:val="IndexLink"/>
                <w:rtl w:val="true"/>
              </w:rPr>
              <w:t>حكم نشستن در خيابانها و حكم نماز و تخلى</w:t>
            </w:r>
            <w:r>
              <w:rPr>
                <w:rStyle w:val="IndexLink"/>
                <w:rtl w:val="true"/>
              </w:rPr>
              <w:tab/>
            </w:r>
            <w:r>
              <w:rPr>
                <w:rStyle w:val="IndexLink"/>
              </w:rPr>
              <w:t>161</w:t>
            </w:r>
          </w:hyperlink>
        </w:p>
        <w:p>
          <w:pPr>
            <w:pStyle w:val="Contents4"/>
            <w:tabs>
              <w:tab w:val="clear" w:pos="8176"/>
              <w:tab w:val="right" w:pos="9026" w:leader="dot"/>
            </w:tabs>
            <w:rPr/>
          </w:pPr>
          <w:hyperlink w:anchor="__RefHeading___Toc3597875_1067777946">
            <w:r>
              <w:rPr>
                <w:webHidden/>
                <w:rStyle w:val="IndexLink"/>
                <w:rtl w:val="true"/>
              </w:rPr>
              <w:t>تبديل راه</w:t>
            </w:r>
            <w:r>
              <w:rPr>
                <w:rStyle w:val="IndexLink"/>
                <w:rtl w:val="true"/>
              </w:rPr>
              <w:tab/>
            </w:r>
            <w:r>
              <w:rPr>
                <w:rStyle w:val="IndexLink"/>
              </w:rPr>
              <w:t>161</w:t>
            </w:r>
          </w:hyperlink>
        </w:p>
        <w:p>
          <w:pPr>
            <w:pStyle w:val="Contents4"/>
            <w:tabs>
              <w:tab w:val="clear" w:pos="8176"/>
              <w:tab w:val="right" w:pos="9026" w:leader="dot"/>
            </w:tabs>
            <w:rPr/>
          </w:pPr>
          <w:hyperlink w:anchor="__RefHeading___Toc3597877_1067777946">
            <w:r>
              <w:rPr>
                <w:webHidden/>
                <w:rStyle w:val="IndexLink"/>
                <w:rtl w:val="true"/>
              </w:rPr>
              <w:t>حكم ترتب اتلاف بر تصرف در طريق</w:t>
            </w:r>
            <w:r>
              <w:rPr>
                <w:rStyle w:val="IndexLink"/>
                <w:rtl w:val="true"/>
              </w:rPr>
              <w:tab/>
            </w:r>
            <w:r>
              <w:rPr>
                <w:rStyle w:val="IndexLink"/>
              </w:rPr>
              <w:t>161</w:t>
            </w:r>
          </w:hyperlink>
        </w:p>
        <w:p>
          <w:pPr>
            <w:pStyle w:val="Contents4"/>
            <w:tabs>
              <w:tab w:val="clear" w:pos="8176"/>
              <w:tab w:val="right" w:pos="9026" w:leader="dot"/>
            </w:tabs>
            <w:rPr/>
          </w:pPr>
          <w:hyperlink w:anchor="__RefHeading___Toc3597879_1067777946">
            <w:r>
              <w:rPr>
                <w:webHidden/>
                <w:rStyle w:val="IndexLink"/>
                <w:rtl w:val="true"/>
              </w:rPr>
              <w:t>تغيير شارع عام براى جهت ديگر</w:t>
            </w:r>
            <w:r>
              <w:rPr>
                <w:rStyle w:val="IndexLink"/>
                <w:rtl w:val="true"/>
              </w:rPr>
              <w:tab/>
            </w:r>
            <w:r>
              <w:rPr>
                <w:rStyle w:val="IndexLink"/>
              </w:rPr>
              <w:t>162</w:t>
            </w:r>
          </w:hyperlink>
        </w:p>
        <w:p>
          <w:pPr>
            <w:pStyle w:val="Contents4"/>
            <w:tabs>
              <w:tab w:val="clear" w:pos="8176"/>
              <w:tab w:val="right" w:pos="9026" w:leader="dot"/>
            </w:tabs>
            <w:rPr/>
          </w:pPr>
          <w:hyperlink w:anchor="__RefHeading___Toc3597881_1067777946">
            <w:r>
              <w:rPr>
                <w:webHidden/>
                <w:rStyle w:val="IndexLink"/>
                <w:rtl w:val="true"/>
              </w:rPr>
              <w:t>حدّ راه در زمين مباح</w:t>
            </w:r>
            <w:r>
              <w:rPr>
                <w:rStyle w:val="IndexLink"/>
                <w:rtl w:val="true"/>
              </w:rPr>
              <w:tab/>
            </w:r>
            <w:r>
              <w:rPr>
                <w:rStyle w:val="IndexLink"/>
              </w:rPr>
              <w:t>162</w:t>
            </w:r>
          </w:hyperlink>
        </w:p>
        <w:p>
          <w:pPr>
            <w:pStyle w:val="Contents3"/>
            <w:tabs>
              <w:tab w:val="clear" w:pos="8459"/>
              <w:tab w:val="right" w:pos="9026" w:leader="dot"/>
            </w:tabs>
            <w:rPr/>
          </w:pPr>
          <w:hyperlink w:anchor="__RefHeading___Toc3597883_1067777946">
            <w:r>
              <w:rPr>
                <w:webHidden/>
                <w:rStyle w:val="IndexLink"/>
                <w:rtl w:val="true"/>
              </w:rPr>
              <w:t>فصل دوّم احكام طُرُق مرفوعۀ مختصه</w:t>
            </w:r>
            <w:r>
              <w:rPr>
                <w:rStyle w:val="IndexLink"/>
                <w:rtl w:val="true"/>
              </w:rPr>
              <w:tab/>
            </w:r>
            <w:r>
              <w:rPr>
                <w:rStyle w:val="IndexLink"/>
              </w:rPr>
              <w:t>163</w:t>
            </w:r>
          </w:hyperlink>
        </w:p>
        <w:p>
          <w:pPr>
            <w:pStyle w:val="Contents4"/>
            <w:tabs>
              <w:tab w:val="clear" w:pos="8176"/>
              <w:tab w:val="right" w:pos="9026" w:leader="dot"/>
            </w:tabs>
            <w:rPr/>
          </w:pPr>
          <w:hyperlink w:anchor="__RefHeading___Toc3597885_1067777946">
            <w:r>
              <w:rPr>
                <w:webHidden/>
                <w:rStyle w:val="IndexLink"/>
                <w:rtl w:val="true"/>
              </w:rPr>
              <w:t>تصرف در طرق مرفوعۀ مختصه به صاحبان خانه هاى مخصوصه</w:t>
            </w:r>
            <w:r>
              <w:rPr>
                <w:rStyle w:val="IndexLink"/>
                <w:rtl w:val="true"/>
              </w:rPr>
              <w:tab/>
            </w:r>
            <w:r>
              <w:rPr>
                <w:rStyle w:val="IndexLink"/>
              </w:rPr>
              <w:t>163</w:t>
            </w:r>
          </w:hyperlink>
        </w:p>
        <w:p>
          <w:pPr>
            <w:pStyle w:val="Contents4"/>
            <w:tabs>
              <w:tab w:val="clear" w:pos="8176"/>
              <w:tab w:val="right" w:pos="9026" w:leader="dot"/>
            </w:tabs>
            <w:rPr/>
          </w:pPr>
          <w:hyperlink w:anchor="__RefHeading___Toc3597887_1067777946">
            <w:r>
              <w:rPr>
                <w:webHidden/>
                <w:rStyle w:val="IndexLink"/>
                <w:rtl w:val="true"/>
              </w:rPr>
              <w:t>تصرف در طرق مرفوعۀ مختصه به صاحبان باب در اين طرق</w:t>
            </w:r>
            <w:r>
              <w:rPr>
                <w:rStyle w:val="IndexLink"/>
                <w:rtl w:val="true"/>
              </w:rPr>
              <w:tab/>
            </w:r>
            <w:r>
              <w:rPr>
                <w:rStyle w:val="IndexLink"/>
              </w:rPr>
              <w:t>163</w:t>
            </w:r>
          </w:hyperlink>
        </w:p>
        <w:p>
          <w:pPr>
            <w:pStyle w:val="Contents4"/>
            <w:tabs>
              <w:tab w:val="clear" w:pos="8176"/>
              <w:tab w:val="right" w:pos="9026" w:leader="dot"/>
            </w:tabs>
            <w:rPr/>
          </w:pPr>
          <w:hyperlink w:anchor="__RefHeading___Toc3597889_1067777946">
            <w:r>
              <w:rPr>
                <w:webHidden/>
                <w:rStyle w:val="IndexLink"/>
                <w:rtl w:val="true"/>
              </w:rPr>
              <w:t>رعايت صاحب اختصاص</w:t>
            </w:r>
            <w:r>
              <w:rPr>
                <w:rStyle w:val="IndexLink"/>
                <w:rtl w:val="true"/>
              </w:rPr>
              <w:tab/>
            </w:r>
            <w:r>
              <w:rPr>
                <w:rStyle w:val="IndexLink"/>
              </w:rPr>
              <w:t>164</w:t>
            </w:r>
          </w:hyperlink>
        </w:p>
        <w:p>
          <w:pPr>
            <w:pStyle w:val="Contents4"/>
            <w:tabs>
              <w:tab w:val="clear" w:pos="8176"/>
              <w:tab w:val="right" w:pos="9026" w:leader="dot"/>
            </w:tabs>
            <w:rPr/>
          </w:pPr>
          <w:hyperlink w:anchor="__RefHeading___Toc3597891_1067777946">
            <w:r>
              <w:rPr>
                <w:webHidden/>
                <w:rStyle w:val="IndexLink"/>
                <w:rtl w:val="true"/>
              </w:rPr>
              <w:t>حكم مسجد در طرق مرفوعه</w:t>
            </w:r>
            <w:r>
              <w:rPr>
                <w:rStyle w:val="IndexLink"/>
                <w:rtl w:val="true"/>
              </w:rPr>
              <w:tab/>
            </w:r>
            <w:r>
              <w:rPr>
                <w:rStyle w:val="IndexLink"/>
              </w:rPr>
              <w:t>164</w:t>
            </w:r>
          </w:hyperlink>
        </w:p>
        <w:p>
          <w:pPr>
            <w:pStyle w:val="Contents4"/>
            <w:tabs>
              <w:tab w:val="clear" w:pos="8176"/>
              <w:tab w:val="right" w:pos="9026" w:leader="dot"/>
            </w:tabs>
            <w:rPr/>
          </w:pPr>
          <w:hyperlink w:anchor="__RefHeading___Toc3597893_1067777946">
            <w:r>
              <w:rPr>
                <w:webHidden/>
                <w:rStyle w:val="IndexLink"/>
                <w:rtl w:val="true"/>
              </w:rPr>
              <w:t>فتح باب در طريق مرفوع</w:t>
            </w:r>
            <w:r>
              <w:rPr>
                <w:rStyle w:val="IndexLink"/>
                <w:rtl w:val="true"/>
              </w:rPr>
              <w:tab/>
            </w:r>
            <w:r>
              <w:rPr>
                <w:rStyle w:val="IndexLink"/>
              </w:rPr>
              <w:t>164</w:t>
            </w:r>
          </w:hyperlink>
        </w:p>
        <w:p>
          <w:pPr>
            <w:pStyle w:val="Contents4"/>
            <w:tabs>
              <w:tab w:val="clear" w:pos="8176"/>
              <w:tab w:val="right" w:pos="9026" w:leader="dot"/>
            </w:tabs>
            <w:rPr/>
          </w:pPr>
          <w:hyperlink w:anchor="__RefHeading___Toc3597895_1067777946">
            <w:r>
              <w:rPr>
                <w:webHidden/>
                <w:rStyle w:val="IndexLink"/>
                <w:rtl w:val="true"/>
              </w:rPr>
              <w:t>موارد جواز و عدم جواز فتح روزنه و شباك</w:t>
            </w:r>
            <w:r>
              <w:rPr>
                <w:rStyle w:val="IndexLink"/>
                <w:rtl w:val="true"/>
              </w:rPr>
              <w:tab/>
            </w:r>
            <w:r>
              <w:rPr>
                <w:rStyle w:val="IndexLink"/>
              </w:rPr>
              <w:t>164</w:t>
            </w:r>
          </w:hyperlink>
        </w:p>
        <w:p>
          <w:pPr>
            <w:pStyle w:val="Contents4"/>
            <w:tabs>
              <w:tab w:val="clear" w:pos="8176"/>
              <w:tab w:val="right" w:pos="9026" w:leader="dot"/>
            </w:tabs>
            <w:rPr/>
          </w:pPr>
          <w:hyperlink w:anchor="__RefHeading___Toc3597897_1067777946">
            <w:r>
              <w:rPr>
                <w:webHidden/>
                <w:rStyle w:val="IndexLink"/>
                <w:rtl w:val="true"/>
              </w:rPr>
              <w:t>مصالحه در اخراج جناح</w:t>
            </w:r>
            <w:r>
              <w:rPr>
                <w:rStyle w:val="IndexLink"/>
                <w:rtl w:val="true"/>
              </w:rPr>
              <w:tab/>
            </w:r>
            <w:r>
              <w:rPr>
                <w:rStyle w:val="IndexLink"/>
              </w:rPr>
              <w:t>165</w:t>
            </w:r>
          </w:hyperlink>
        </w:p>
        <w:p>
          <w:pPr>
            <w:pStyle w:val="Contents4"/>
            <w:tabs>
              <w:tab w:val="clear" w:pos="8176"/>
              <w:tab w:val="right" w:pos="9026" w:leader="dot"/>
            </w:tabs>
            <w:rPr/>
          </w:pPr>
          <w:hyperlink w:anchor="__RefHeading___Toc3597899_1067777946">
            <w:r>
              <w:rPr>
                <w:webHidden/>
                <w:rStyle w:val="IndexLink"/>
                <w:rtl w:val="true"/>
              </w:rPr>
              <w:t>اگر اخراج جناح مضر باشد</w:t>
            </w:r>
            <w:r>
              <w:rPr>
                <w:rStyle w:val="IndexLink"/>
                <w:rtl w:val="true"/>
              </w:rPr>
              <w:tab/>
            </w:r>
            <w:r>
              <w:rPr>
                <w:rStyle w:val="IndexLink"/>
              </w:rPr>
              <w:t>165</w:t>
            </w:r>
          </w:hyperlink>
        </w:p>
        <w:p>
          <w:pPr>
            <w:pStyle w:val="Contents4"/>
            <w:tabs>
              <w:tab w:val="clear" w:pos="8176"/>
              <w:tab w:val="right" w:pos="9026" w:leader="dot"/>
            </w:tabs>
            <w:rPr/>
          </w:pPr>
          <w:hyperlink w:anchor="__RefHeading___Toc3597901_1067777946">
            <w:r>
              <w:rPr>
                <w:webHidden/>
                <w:rStyle w:val="IndexLink"/>
                <w:rtl w:val="true"/>
              </w:rPr>
              <w:t>اگر اخراج غير مضرّ ولى بدون از بعض اهل طريق باشد</w:t>
            </w:r>
            <w:r>
              <w:rPr>
                <w:rStyle w:val="IndexLink"/>
                <w:rtl w:val="true"/>
              </w:rPr>
              <w:tab/>
            </w:r>
            <w:r>
              <w:rPr>
                <w:rStyle w:val="IndexLink"/>
              </w:rPr>
              <w:t>166</w:t>
            </w:r>
          </w:hyperlink>
        </w:p>
        <w:p>
          <w:pPr>
            <w:pStyle w:val="Contents4"/>
            <w:tabs>
              <w:tab w:val="clear" w:pos="8176"/>
              <w:tab w:val="right" w:pos="9026" w:leader="dot"/>
            </w:tabs>
            <w:rPr/>
          </w:pPr>
          <w:hyperlink w:anchor="__RefHeading___Toc3597903_1067777946">
            <w:r>
              <w:rPr>
                <w:webHidden/>
                <w:rStyle w:val="IndexLink"/>
                <w:rtl w:val="true"/>
              </w:rPr>
              <w:t>حكم امكان دادن استطراق از طريقى به طريق ديگر</w:t>
            </w:r>
            <w:r>
              <w:rPr>
                <w:rStyle w:val="IndexLink"/>
                <w:rtl w:val="true"/>
              </w:rPr>
              <w:tab/>
            </w:r>
            <w:r>
              <w:rPr>
                <w:rStyle w:val="IndexLink"/>
              </w:rPr>
              <w:t>166</w:t>
            </w:r>
          </w:hyperlink>
        </w:p>
        <w:p>
          <w:pPr>
            <w:pStyle w:val="Contents4"/>
            <w:tabs>
              <w:tab w:val="clear" w:pos="8176"/>
              <w:tab w:val="right" w:pos="9026" w:leader="dot"/>
            </w:tabs>
            <w:rPr/>
          </w:pPr>
          <w:hyperlink w:anchor="__RefHeading___Toc3597905_1067777946">
            <w:r>
              <w:rPr>
                <w:webHidden/>
                <w:rStyle w:val="IndexLink"/>
                <w:rtl w:val="true"/>
              </w:rPr>
              <w:t>حكم تصرف در ديوار بين دو خانه</w:t>
            </w:r>
            <w:r>
              <w:rPr>
                <w:rStyle w:val="IndexLink"/>
                <w:rtl w:val="true"/>
              </w:rPr>
              <w:tab/>
            </w:r>
            <w:r>
              <w:rPr>
                <w:rStyle w:val="IndexLink"/>
              </w:rPr>
              <w:t>167</w:t>
            </w:r>
          </w:hyperlink>
        </w:p>
        <w:p>
          <w:pPr>
            <w:pStyle w:val="Contents4"/>
            <w:tabs>
              <w:tab w:val="clear" w:pos="8176"/>
              <w:tab w:val="right" w:pos="9026" w:leader="dot"/>
            </w:tabs>
            <w:rPr/>
          </w:pPr>
          <w:hyperlink w:anchor="__RefHeading___Toc3597907_1067777946">
            <w:r>
              <w:rPr>
                <w:webHidden/>
                <w:rStyle w:val="IndexLink"/>
                <w:rtl w:val="true"/>
              </w:rPr>
              <w:t>رجوع مالك از اذن در تصرّف در ديوار</w:t>
            </w:r>
            <w:r>
              <w:rPr>
                <w:rStyle w:val="IndexLink"/>
                <w:rtl w:val="true"/>
              </w:rPr>
              <w:tab/>
            </w:r>
            <w:r>
              <w:rPr>
                <w:rStyle w:val="IndexLink"/>
              </w:rPr>
              <w:t>167</w:t>
            </w:r>
          </w:hyperlink>
        </w:p>
        <w:p>
          <w:pPr>
            <w:pStyle w:val="Contents4"/>
            <w:tabs>
              <w:tab w:val="clear" w:pos="8176"/>
              <w:tab w:val="right" w:pos="9026" w:leader="dot"/>
            </w:tabs>
            <w:rPr/>
          </w:pPr>
          <w:hyperlink w:anchor="__RefHeading___Toc3597909_1067777946">
            <w:r>
              <w:rPr>
                <w:webHidden/>
                <w:rStyle w:val="IndexLink"/>
                <w:rtl w:val="true"/>
              </w:rPr>
              <w:t>لزوم اذن جديد، در صورت تجديد وضع بر جدار مختص</w:t>
            </w:r>
            <w:r>
              <w:rPr>
                <w:rStyle w:val="IndexLink"/>
                <w:rtl w:val="true"/>
              </w:rPr>
              <w:tab/>
            </w:r>
            <w:r>
              <w:rPr>
                <w:rStyle w:val="IndexLink"/>
              </w:rPr>
              <w:t>167</w:t>
            </w:r>
          </w:hyperlink>
        </w:p>
        <w:p>
          <w:pPr>
            <w:pStyle w:val="Contents4"/>
            <w:tabs>
              <w:tab w:val="clear" w:pos="8176"/>
              <w:tab w:val="right" w:pos="9026" w:leader="dot"/>
            </w:tabs>
            <w:rPr/>
          </w:pPr>
          <w:hyperlink w:anchor="__RefHeading___Toc3597911_1067777946">
            <w:r>
              <w:rPr>
                <w:webHidden/>
                <w:rStyle w:val="IndexLink"/>
                <w:rtl w:val="true"/>
              </w:rPr>
              <w:t>مرجع تصميم گيرى در املاك عمومى</w:t>
            </w:r>
            <w:r>
              <w:rPr>
                <w:rStyle w:val="IndexLink"/>
                <w:rtl w:val="true"/>
              </w:rPr>
              <w:tab/>
            </w:r>
            <w:r>
              <w:rPr>
                <w:rStyle w:val="IndexLink"/>
              </w:rPr>
              <w:t>168</w:t>
            </w:r>
          </w:hyperlink>
        </w:p>
        <w:p>
          <w:pPr>
            <w:pStyle w:val="Contents4"/>
            <w:tabs>
              <w:tab w:val="clear" w:pos="8176"/>
              <w:tab w:val="right" w:pos="9026" w:leader="dot"/>
            </w:tabs>
            <w:rPr/>
          </w:pPr>
          <w:hyperlink w:anchor="__RefHeading___Toc3597913_1067777946">
            <w:r>
              <w:rPr>
                <w:webHidden/>
                <w:rStyle w:val="IndexLink"/>
                <w:rtl w:val="true"/>
              </w:rPr>
              <w:t>نزاع در ملكيّت ديوار بين دو خانه</w:t>
            </w:r>
            <w:r>
              <w:rPr>
                <w:rStyle w:val="IndexLink"/>
                <w:rtl w:val="true"/>
              </w:rPr>
              <w:tab/>
            </w:r>
            <w:r>
              <w:rPr>
                <w:rStyle w:val="IndexLink"/>
              </w:rPr>
              <w:t>168</w:t>
            </w:r>
          </w:hyperlink>
        </w:p>
        <w:p>
          <w:pPr>
            <w:pStyle w:val="Contents5"/>
            <w:tabs>
              <w:tab w:val="clear" w:pos="7892"/>
              <w:tab w:val="right" w:pos="9026" w:leader="dot"/>
            </w:tabs>
            <w:rPr/>
          </w:pPr>
          <w:hyperlink w:anchor="__RefHeading___Toc3597915_1067777946">
            <w:r>
              <w:rPr>
                <w:webHidden/>
                <w:rStyle w:val="IndexLink"/>
                <w:rtl w:val="true"/>
              </w:rPr>
              <w:t>صور مختلف اختلاف تداعى دو نفر در ملكيّت ديوار بين خانه هاى آنها</w:t>
            </w:r>
            <w:r>
              <w:rPr>
                <w:rStyle w:val="IndexLink"/>
                <w:rtl w:val="true"/>
              </w:rPr>
              <w:tab/>
            </w:r>
            <w:r>
              <w:rPr>
                <w:rStyle w:val="IndexLink"/>
              </w:rPr>
              <w:t>168</w:t>
            </w:r>
          </w:hyperlink>
        </w:p>
        <w:p>
          <w:pPr>
            <w:pStyle w:val="Contents5"/>
            <w:tabs>
              <w:tab w:val="clear" w:pos="7892"/>
              <w:tab w:val="right" w:pos="9026" w:leader="dot"/>
            </w:tabs>
            <w:rPr/>
          </w:pPr>
          <w:hyperlink w:anchor="__RefHeading___Toc3597917_1067777946">
            <w:r>
              <w:rPr>
                <w:webHidden/>
                <w:rStyle w:val="IndexLink"/>
                <w:rtl w:val="true"/>
              </w:rPr>
              <w:t>اگر ديوار متصل به بناى يكى از دو نفر بود</w:t>
            </w:r>
            <w:r>
              <w:rPr>
                <w:rStyle w:val="IndexLink"/>
                <w:rtl w:val="true"/>
              </w:rPr>
              <w:tab/>
            </w:r>
            <w:r>
              <w:rPr>
                <w:rStyle w:val="IndexLink"/>
              </w:rPr>
              <w:t>169</w:t>
            </w:r>
          </w:hyperlink>
        </w:p>
        <w:p>
          <w:pPr>
            <w:pStyle w:val="Contents5"/>
            <w:tabs>
              <w:tab w:val="clear" w:pos="7892"/>
              <w:tab w:val="right" w:pos="9026" w:leader="dot"/>
            </w:tabs>
            <w:rPr/>
          </w:pPr>
          <w:hyperlink w:anchor="__RefHeading___Toc3597919_1067777946">
            <w:r>
              <w:rPr>
                <w:webHidden/>
                <w:rStyle w:val="IndexLink"/>
                <w:rtl w:val="true"/>
              </w:rPr>
              <w:t>اگر مثلاً چوب يكى بر ديوار موضوع گذاشته شده بود</w:t>
            </w:r>
            <w:r>
              <w:rPr>
                <w:rStyle w:val="IndexLink"/>
                <w:rtl w:val="true"/>
              </w:rPr>
              <w:tab/>
            </w:r>
            <w:r>
              <w:rPr>
                <w:rStyle w:val="IndexLink"/>
              </w:rPr>
              <w:t>169</w:t>
            </w:r>
          </w:hyperlink>
        </w:p>
        <w:p>
          <w:pPr>
            <w:pStyle w:val="Contents5"/>
            <w:tabs>
              <w:tab w:val="clear" w:pos="7892"/>
              <w:tab w:val="right" w:pos="9026" w:leader="dot"/>
            </w:tabs>
            <w:rPr/>
          </w:pPr>
          <w:hyperlink w:anchor="__RefHeading___Toc3597921_1067777946">
            <w:r>
              <w:rPr>
                <w:webHidden/>
                <w:rStyle w:val="IndexLink"/>
                <w:rtl w:val="true"/>
              </w:rPr>
              <w:t>يكى ديگر از مرجّحات اختصاص ديوار به صاحب زمين</w:t>
            </w:r>
            <w:r>
              <w:rPr>
                <w:rStyle w:val="IndexLink"/>
                <w:rtl w:val="true"/>
              </w:rPr>
              <w:tab/>
            </w:r>
            <w:r>
              <w:rPr>
                <w:rStyle w:val="IndexLink"/>
              </w:rPr>
              <w:t>170</w:t>
            </w:r>
          </w:hyperlink>
        </w:p>
        <w:p>
          <w:pPr>
            <w:pStyle w:val="Contents5"/>
            <w:tabs>
              <w:tab w:val="clear" w:pos="7892"/>
              <w:tab w:val="right" w:pos="9026" w:leader="dot"/>
            </w:tabs>
            <w:rPr/>
          </w:pPr>
          <w:hyperlink w:anchor="__RefHeading___Toc3597923_1067777946">
            <w:r>
              <w:rPr>
                <w:webHidden/>
                <w:rStyle w:val="IndexLink"/>
                <w:rtl w:val="true"/>
              </w:rPr>
              <w:t>صورتِ تعارض مرجّحات و تساوى آنها</w:t>
            </w:r>
            <w:r>
              <w:rPr>
                <w:rStyle w:val="IndexLink"/>
                <w:rtl w:val="true"/>
              </w:rPr>
              <w:tab/>
            </w:r>
            <w:r>
              <w:rPr>
                <w:rStyle w:val="IndexLink"/>
              </w:rPr>
              <w:t>170</w:t>
            </w:r>
          </w:hyperlink>
        </w:p>
        <w:p>
          <w:pPr>
            <w:pStyle w:val="Contents5"/>
            <w:tabs>
              <w:tab w:val="clear" w:pos="7892"/>
              <w:tab w:val="right" w:pos="9026" w:leader="dot"/>
            </w:tabs>
            <w:rPr/>
          </w:pPr>
          <w:hyperlink w:anchor="__RefHeading___Toc3597925_1067777946">
            <w:r>
              <w:rPr>
                <w:webHidden/>
                <w:rStyle w:val="IndexLink"/>
                <w:rtl w:val="true"/>
              </w:rPr>
              <w:t>حكم زمين ديوارى كه در آن نزاع واقع شده</w:t>
            </w:r>
            <w:r>
              <w:rPr>
                <w:rStyle w:val="IndexLink"/>
                <w:rtl w:val="true"/>
              </w:rPr>
              <w:tab/>
            </w:r>
            <w:r>
              <w:rPr>
                <w:rStyle w:val="IndexLink"/>
              </w:rPr>
              <w:t>170</w:t>
            </w:r>
          </w:hyperlink>
        </w:p>
        <w:p>
          <w:pPr>
            <w:pStyle w:val="Contents5"/>
            <w:tabs>
              <w:tab w:val="clear" w:pos="7892"/>
              <w:tab w:val="right" w:pos="9026" w:leader="dot"/>
            </w:tabs>
            <w:rPr/>
          </w:pPr>
          <w:hyperlink w:anchor="__RefHeading___Toc3597927_1067777946">
            <w:r>
              <w:rPr>
                <w:webHidden/>
                <w:rStyle w:val="IndexLink"/>
                <w:rtl w:val="true"/>
              </w:rPr>
              <w:t>حكم نزاع در خُصّ و نظاير آن</w:t>
            </w:r>
            <w:r>
              <w:rPr>
                <w:rStyle w:val="IndexLink"/>
                <w:rtl w:val="true"/>
              </w:rPr>
              <w:tab/>
            </w:r>
            <w:r>
              <w:rPr>
                <w:rStyle w:val="IndexLink"/>
              </w:rPr>
              <w:t>170</w:t>
            </w:r>
          </w:hyperlink>
        </w:p>
        <w:p>
          <w:pPr>
            <w:pStyle w:val="Contents5"/>
            <w:tabs>
              <w:tab w:val="clear" w:pos="7892"/>
              <w:tab w:val="right" w:pos="9026" w:leader="dot"/>
            </w:tabs>
            <w:rPr/>
          </w:pPr>
          <w:hyperlink w:anchor="__RefHeading___Toc3597929_1067777946">
            <w:r>
              <w:rPr>
                <w:webHidden/>
                <w:rStyle w:val="IndexLink"/>
                <w:rtl w:val="true"/>
              </w:rPr>
              <w:t>حكم ديوار مشترك</w:t>
            </w:r>
            <w:r>
              <w:rPr>
                <w:rStyle w:val="IndexLink"/>
                <w:rtl w:val="true"/>
              </w:rPr>
              <w:tab/>
            </w:r>
            <w:r>
              <w:rPr>
                <w:rStyle w:val="IndexLink"/>
              </w:rPr>
              <w:t>170</w:t>
            </w:r>
          </w:hyperlink>
        </w:p>
        <w:p>
          <w:pPr>
            <w:pStyle w:val="Contents5"/>
            <w:tabs>
              <w:tab w:val="clear" w:pos="7892"/>
              <w:tab w:val="right" w:pos="9026" w:leader="dot"/>
            </w:tabs>
            <w:rPr/>
          </w:pPr>
          <w:hyperlink w:anchor="__RefHeading___Toc3597931_1067777946">
            <w:r>
              <w:rPr>
                <w:webHidden/>
                <w:rStyle w:val="IndexLink"/>
                <w:rtl w:val="true"/>
              </w:rPr>
              <w:t>تعمير يا ساخت ديوار اشتراكى منهدم شده</w:t>
            </w:r>
            <w:r>
              <w:rPr>
                <w:rStyle w:val="IndexLink"/>
                <w:rtl w:val="true"/>
              </w:rPr>
              <w:tab/>
            </w:r>
            <w:r>
              <w:rPr>
                <w:rStyle w:val="IndexLink"/>
              </w:rPr>
              <w:t>171</w:t>
            </w:r>
          </w:hyperlink>
        </w:p>
        <w:p>
          <w:pPr>
            <w:pStyle w:val="Contents5"/>
            <w:tabs>
              <w:tab w:val="clear" w:pos="7892"/>
              <w:tab w:val="right" w:pos="9026" w:leader="dot"/>
            </w:tabs>
            <w:rPr/>
          </w:pPr>
          <w:hyperlink w:anchor="__RefHeading___Toc3597933_1067777946">
            <w:r>
              <w:rPr>
                <w:webHidden/>
                <w:rStyle w:val="IndexLink"/>
                <w:rtl w:val="true"/>
              </w:rPr>
              <w:t>لزوم رفع خطر از ديوارى كه در معرض خراب شدن است</w:t>
            </w:r>
            <w:r>
              <w:rPr>
                <w:rStyle w:val="IndexLink"/>
                <w:rtl w:val="true"/>
              </w:rPr>
              <w:tab/>
            </w:r>
            <w:r>
              <w:rPr>
                <w:rStyle w:val="IndexLink"/>
              </w:rPr>
              <w:t>171</w:t>
            </w:r>
          </w:hyperlink>
        </w:p>
        <w:p>
          <w:pPr>
            <w:pStyle w:val="Contents5"/>
            <w:tabs>
              <w:tab w:val="clear" w:pos="7892"/>
              <w:tab w:val="right" w:pos="9026" w:leader="dot"/>
            </w:tabs>
            <w:rPr/>
          </w:pPr>
          <w:hyperlink w:anchor="__RefHeading___Toc3597935_1067777946">
            <w:r>
              <w:rPr>
                <w:webHidden/>
                <w:rStyle w:val="IndexLink"/>
                <w:rtl w:val="true"/>
              </w:rPr>
              <w:t>تخريب ديوار مشترك بدون اذن يا وجوب</w:t>
            </w:r>
            <w:r>
              <w:rPr>
                <w:rStyle w:val="IndexLink"/>
                <w:rtl w:val="true"/>
              </w:rPr>
              <w:tab/>
            </w:r>
            <w:r>
              <w:rPr>
                <w:rStyle w:val="IndexLink"/>
              </w:rPr>
              <w:t>172</w:t>
            </w:r>
          </w:hyperlink>
        </w:p>
        <w:p>
          <w:pPr>
            <w:pStyle w:val="Contents3"/>
            <w:tabs>
              <w:tab w:val="clear" w:pos="8459"/>
              <w:tab w:val="right" w:pos="9026" w:leader="dot"/>
            </w:tabs>
            <w:rPr/>
          </w:pPr>
          <w:hyperlink w:anchor="__RefHeading___Toc3597937_1067777946">
            <w:r>
              <w:rPr>
                <w:webHidden/>
                <w:rStyle w:val="IndexLink"/>
                <w:rtl w:val="true"/>
              </w:rPr>
              <w:t>فصل سوّم مسائل متفرقۀ تزاحم املاك</w:t>
            </w:r>
            <w:r>
              <w:rPr>
                <w:rStyle w:val="IndexLink"/>
                <w:rtl w:val="true"/>
              </w:rPr>
              <w:tab/>
            </w:r>
            <w:r>
              <w:rPr>
                <w:rStyle w:val="IndexLink"/>
              </w:rPr>
              <w:t>173</w:t>
            </w:r>
          </w:hyperlink>
        </w:p>
        <w:p>
          <w:pPr>
            <w:pStyle w:val="Contents4"/>
            <w:tabs>
              <w:tab w:val="clear" w:pos="8176"/>
              <w:tab w:val="right" w:pos="9026" w:leader="dot"/>
            </w:tabs>
            <w:rPr/>
          </w:pPr>
          <w:hyperlink w:anchor="__RefHeading___Toc3597939_1067777946">
            <w:r>
              <w:rPr>
                <w:webHidden/>
                <w:rStyle w:val="IndexLink"/>
                <w:rtl w:val="true"/>
              </w:rPr>
              <w:t>اصلاح قنات مشترك و امثال آن</w:t>
            </w:r>
            <w:r>
              <w:rPr>
                <w:rStyle w:val="IndexLink"/>
                <w:rtl w:val="true"/>
              </w:rPr>
              <w:tab/>
            </w:r>
            <w:r>
              <w:rPr>
                <w:rStyle w:val="IndexLink"/>
              </w:rPr>
              <w:t>173</w:t>
            </w:r>
          </w:hyperlink>
        </w:p>
        <w:p>
          <w:pPr>
            <w:pStyle w:val="Contents4"/>
            <w:tabs>
              <w:tab w:val="clear" w:pos="8176"/>
              <w:tab w:val="right" w:pos="9026" w:leader="dot"/>
            </w:tabs>
            <w:rPr/>
          </w:pPr>
          <w:hyperlink w:anchor="__RefHeading___Toc3597941_1067777946">
            <w:r>
              <w:rPr>
                <w:webHidden/>
                <w:rStyle w:val="IndexLink"/>
                <w:rtl w:val="true"/>
              </w:rPr>
              <w:t>ساخت و تعمير دو بناى عالى و سافل منهدم شده</w:t>
            </w:r>
            <w:r>
              <w:rPr>
                <w:rStyle w:val="IndexLink"/>
                <w:rtl w:val="true"/>
              </w:rPr>
              <w:tab/>
            </w:r>
            <w:r>
              <w:rPr>
                <w:rStyle w:val="IndexLink"/>
              </w:rPr>
              <w:t>173</w:t>
            </w:r>
          </w:hyperlink>
        </w:p>
        <w:p>
          <w:pPr>
            <w:pStyle w:val="Contents4"/>
            <w:tabs>
              <w:tab w:val="clear" w:pos="8176"/>
              <w:tab w:val="right" w:pos="9026" w:leader="dot"/>
            </w:tabs>
            <w:rPr/>
          </w:pPr>
          <w:hyperlink w:anchor="__RefHeading___Toc3597943_1067777946">
            <w:r>
              <w:rPr>
                <w:webHidden/>
                <w:rStyle w:val="IndexLink"/>
                <w:rtl w:val="true"/>
              </w:rPr>
              <w:t>حكم ضمان در تخريب ديوارى كه در معرض هدم است</w:t>
            </w:r>
            <w:r>
              <w:rPr>
                <w:rStyle w:val="IndexLink"/>
                <w:rtl w:val="true"/>
              </w:rPr>
              <w:tab/>
            </w:r>
            <w:r>
              <w:rPr>
                <w:rStyle w:val="IndexLink"/>
              </w:rPr>
              <w:t>174</w:t>
            </w:r>
          </w:hyperlink>
        </w:p>
        <w:p>
          <w:pPr>
            <w:pStyle w:val="Contents4"/>
            <w:tabs>
              <w:tab w:val="clear" w:pos="8176"/>
              <w:tab w:val="right" w:pos="9026" w:leader="dot"/>
            </w:tabs>
            <w:rPr/>
          </w:pPr>
          <w:hyperlink w:anchor="__RefHeading___Toc3597945_1067777946">
            <w:r>
              <w:rPr>
                <w:webHidden/>
                <w:rStyle w:val="IndexLink"/>
                <w:rtl w:val="true"/>
              </w:rPr>
              <w:t>اختلاف صاحب خانۀ بالا و پايين در مالكيّت ديوار خانۀ پايينى</w:t>
            </w:r>
            <w:r>
              <w:rPr>
                <w:rStyle w:val="IndexLink"/>
                <w:rtl w:val="true"/>
              </w:rPr>
              <w:tab/>
            </w:r>
            <w:r>
              <w:rPr>
                <w:rStyle w:val="IndexLink"/>
              </w:rPr>
              <w:t>174</w:t>
            </w:r>
          </w:hyperlink>
        </w:p>
        <w:p>
          <w:pPr>
            <w:pStyle w:val="Contents4"/>
            <w:tabs>
              <w:tab w:val="clear" w:pos="8176"/>
              <w:tab w:val="right" w:pos="9026" w:leader="dot"/>
            </w:tabs>
            <w:rPr/>
          </w:pPr>
          <w:hyperlink w:anchor="__RefHeading___Toc3597947_1067777946">
            <w:r>
              <w:rPr>
                <w:webHidden/>
                <w:rStyle w:val="IndexLink"/>
                <w:rtl w:val="true"/>
              </w:rPr>
              <w:t>اختلاف در مالكيت سقف خانۀ پايين</w:t>
            </w:r>
            <w:r>
              <w:rPr>
                <w:rStyle w:val="IndexLink"/>
                <w:rtl w:val="true"/>
              </w:rPr>
              <w:tab/>
            </w:r>
            <w:r>
              <w:rPr>
                <w:rStyle w:val="IndexLink"/>
              </w:rPr>
              <w:t>174</w:t>
            </w:r>
          </w:hyperlink>
        </w:p>
        <w:p>
          <w:pPr>
            <w:pStyle w:val="Contents4"/>
            <w:tabs>
              <w:tab w:val="clear" w:pos="8176"/>
              <w:tab w:val="right" w:pos="9026" w:leader="dot"/>
            </w:tabs>
            <w:rPr/>
          </w:pPr>
          <w:hyperlink w:anchor="__RefHeading___Toc3597949_1067777946">
            <w:r>
              <w:rPr>
                <w:webHidden/>
                <w:rStyle w:val="IndexLink"/>
                <w:rtl w:val="true"/>
              </w:rPr>
              <w:t>اختلاف در مالكيّت سقف غرفه</w:t>
            </w:r>
            <w:r>
              <w:rPr>
                <w:rStyle w:val="IndexLink"/>
                <w:rtl w:val="true"/>
              </w:rPr>
              <w:tab/>
            </w:r>
            <w:r>
              <w:rPr>
                <w:rStyle w:val="IndexLink"/>
              </w:rPr>
              <w:t>175</w:t>
            </w:r>
          </w:hyperlink>
        </w:p>
        <w:p>
          <w:pPr>
            <w:pStyle w:val="Contents4"/>
            <w:tabs>
              <w:tab w:val="clear" w:pos="8176"/>
              <w:tab w:val="right" w:pos="9026" w:leader="dot"/>
            </w:tabs>
            <w:rPr/>
          </w:pPr>
          <w:hyperlink w:anchor="__RefHeading___Toc3597951_1067777946">
            <w:r>
              <w:rPr>
                <w:webHidden/>
                <w:rStyle w:val="IndexLink"/>
                <w:rtl w:val="true"/>
              </w:rPr>
              <w:t>حكم شاخه هاى وارد شده به ملك ديگرى</w:t>
            </w:r>
            <w:r>
              <w:rPr>
                <w:rStyle w:val="IndexLink"/>
                <w:rtl w:val="true"/>
              </w:rPr>
              <w:tab/>
            </w:r>
            <w:r>
              <w:rPr>
                <w:rStyle w:val="IndexLink"/>
              </w:rPr>
              <w:t>175</w:t>
            </w:r>
          </w:hyperlink>
        </w:p>
        <w:p>
          <w:pPr>
            <w:pStyle w:val="Contents4"/>
            <w:tabs>
              <w:tab w:val="clear" w:pos="8176"/>
              <w:tab w:val="right" w:pos="9026" w:leader="dot"/>
            </w:tabs>
            <w:rPr/>
          </w:pPr>
          <w:hyperlink w:anchor="__RefHeading___Toc3597953_1067777946">
            <w:r>
              <w:rPr>
                <w:webHidden/>
                <w:rStyle w:val="IndexLink"/>
                <w:rtl w:val="true"/>
              </w:rPr>
              <w:t>كج شدن ديوار به خانۀ همسايه</w:t>
            </w:r>
            <w:r>
              <w:rPr>
                <w:rStyle w:val="IndexLink"/>
                <w:rtl w:val="true"/>
              </w:rPr>
              <w:tab/>
            </w:r>
            <w:r>
              <w:rPr>
                <w:rStyle w:val="IndexLink"/>
              </w:rPr>
              <w:t>176</w:t>
            </w:r>
          </w:hyperlink>
        </w:p>
        <w:p>
          <w:pPr>
            <w:pStyle w:val="Contents4"/>
            <w:tabs>
              <w:tab w:val="clear" w:pos="8176"/>
              <w:tab w:val="right" w:pos="9026" w:leader="dot"/>
            </w:tabs>
            <w:rPr/>
          </w:pPr>
          <w:hyperlink w:anchor="__RefHeading___Toc3597955_1067777946">
            <w:r>
              <w:rPr>
                <w:webHidden/>
                <w:rStyle w:val="IndexLink"/>
                <w:rtl w:val="true"/>
              </w:rPr>
              <w:t>خاكى كه در ملك غير ريخته شود</w:t>
            </w:r>
            <w:r>
              <w:rPr>
                <w:rStyle w:val="IndexLink"/>
                <w:rtl w:val="true"/>
              </w:rPr>
              <w:tab/>
            </w:r>
            <w:r>
              <w:rPr>
                <w:rStyle w:val="IndexLink"/>
              </w:rPr>
              <w:t>176</w:t>
            </w:r>
          </w:hyperlink>
        </w:p>
        <w:p>
          <w:pPr>
            <w:pStyle w:val="Contents4"/>
            <w:tabs>
              <w:tab w:val="clear" w:pos="8176"/>
              <w:tab w:val="right" w:pos="9026" w:leader="dot"/>
            </w:tabs>
            <w:rPr/>
          </w:pPr>
          <w:hyperlink w:anchor="__RefHeading___Toc3597957_1067777946">
            <w:r>
              <w:rPr>
                <w:webHidden/>
                <w:rStyle w:val="IndexLink"/>
                <w:rtl w:val="true"/>
              </w:rPr>
              <w:t>حكم اخراج حيوانى كه داخل خانۀ شخصى شود</w:t>
            </w:r>
            <w:r>
              <w:rPr>
                <w:rStyle w:val="IndexLink"/>
                <w:rtl w:val="true"/>
              </w:rPr>
              <w:tab/>
            </w:r>
            <w:r>
              <w:rPr>
                <w:rStyle w:val="IndexLink"/>
              </w:rPr>
              <w:t>176</w:t>
            </w:r>
          </w:hyperlink>
        </w:p>
        <w:p>
          <w:pPr>
            <w:pStyle w:val="Contents4"/>
            <w:tabs>
              <w:tab w:val="clear" w:pos="8176"/>
              <w:tab w:val="right" w:pos="9026" w:leader="dot"/>
            </w:tabs>
            <w:rPr/>
          </w:pPr>
          <w:hyperlink w:anchor="__RefHeading___Toc3597959_1067777946">
            <w:r>
              <w:rPr>
                <w:webHidden/>
                <w:rStyle w:val="IndexLink"/>
                <w:rtl w:val="true"/>
              </w:rPr>
              <w:t>لزوم رفع اشغال از ملك غير</w:t>
            </w:r>
            <w:r>
              <w:rPr>
                <w:rStyle w:val="IndexLink"/>
                <w:rtl w:val="true"/>
              </w:rPr>
              <w:tab/>
            </w:r>
            <w:r>
              <w:rPr>
                <w:rStyle w:val="IndexLink"/>
              </w:rPr>
              <w:t>176</w:t>
            </w:r>
          </w:hyperlink>
        </w:p>
        <w:p>
          <w:pPr>
            <w:pStyle w:val="Contents4"/>
            <w:tabs>
              <w:tab w:val="clear" w:pos="8176"/>
              <w:tab w:val="right" w:pos="9026" w:leader="dot"/>
            </w:tabs>
            <w:rPr/>
          </w:pPr>
          <w:hyperlink w:anchor="__RefHeading___Toc3597961_1067777946">
            <w:r>
              <w:rPr>
                <w:webHidden/>
                <w:rStyle w:val="IndexLink"/>
                <w:rtl w:val="true"/>
              </w:rPr>
              <w:t>مصالحۀ صاحب شاخه هاى درخت با مالك هوا يا ديوار</w:t>
            </w:r>
            <w:r>
              <w:rPr>
                <w:rStyle w:val="IndexLink"/>
                <w:rtl w:val="true"/>
              </w:rPr>
              <w:tab/>
            </w:r>
            <w:r>
              <w:rPr>
                <w:rStyle w:val="IndexLink"/>
              </w:rPr>
              <w:t>176</w:t>
            </w:r>
          </w:hyperlink>
        </w:p>
        <w:p>
          <w:pPr>
            <w:pStyle w:val="Contents4"/>
            <w:tabs>
              <w:tab w:val="clear" w:pos="8176"/>
              <w:tab w:val="right" w:pos="9026" w:leader="dot"/>
            </w:tabs>
            <w:rPr/>
          </w:pPr>
          <w:hyperlink w:anchor="__RefHeading___Toc3597963_1067777946">
            <w:r>
              <w:rPr>
                <w:webHidden/>
                <w:rStyle w:val="IndexLink"/>
                <w:rtl w:val="true"/>
              </w:rPr>
              <w:t>تنازع صاحب خانه بالا با صاحب خانه پايين در راه پله</w:t>
            </w:r>
            <w:r>
              <w:rPr>
                <w:rStyle w:val="IndexLink"/>
                <w:rtl w:val="true"/>
              </w:rPr>
              <w:tab/>
            </w:r>
            <w:r>
              <w:rPr>
                <w:rStyle w:val="IndexLink"/>
              </w:rPr>
              <w:t>177</w:t>
            </w:r>
          </w:hyperlink>
        </w:p>
        <w:p>
          <w:pPr>
            <w:pStyle w:val="Contents4"/>
            <w:tabs>
              <w:tab w:val="clear" w:pos="8176"/>
              <w:tab w:val="right" w:pos="9026" w:leader="dot"/>
            </w:tabs>
            <w:rPr/>
          </w:pPr>
          <w:hyperlink w:anchor="__RefHeading___Toc3597965_1067777946">
            <w:r>
              <w:rPr>
                <w:webHidden/>
                <w:rStyle w:val="IndexLink"/>
                <w:rtl w:val="true"/>
              </w:rPr>
              <w:t>نزاع راكب حيوان و گيرندۀ لجام آن در ملكيّت آن حيوان</w:t>
            </w:r>
            <w:r>
              <w:rPr>
                <w:rStyle w:val="IndexLink"/>
                <w:rtl w:val="true"/>
              </w:rPr>
              <w:tab/>
            </w:r>
            <w:r>
              <w:rPr>
                <w:rStyle w:val="IndexLink"/>
              </w:rPr>
              <w:t>178</w:t>
            </w:r>
          </w:hyperlink>
        </w:p>
        <w:p>
          <w:pPr>
            <w:pStyle w:val="Contents4"/>
            <w:tabs>
              <w:tab w:val="clear" w:pos="8176"/>
              <w:tab w:val="right" w:pos="9026" w:leader="dot"/>
            </w:tabs>
            <w:rPr/>
          </w:pPr>
          <w:hyperlink w:anchor="__RefHeading___Toc3597967_1067777946">
            <w:r>
              <w:rPr>
                <w:webHidden/>
                <w:rStyle w:val="IndexLink"/>
                <w:rtl w:val="true"/>
              </w:rPr>
              <w:t>اختلاف گيرنده اكثر لباس با اقلّ لباس در ملكيت آن</w:t>
            </w:r>
            <w:r>
              <w:rPr>
                <w:rStyle w:val="IndexLink"/>
                <w:rtl w:val="true"/>
              </w:rPr>
              <w:tab/>
            </w:r>
            <w:r>
              <w:rPr>
                <w:rStyle w:val="IndexLink"/>
              </w:rPr>
              <w:t>179</w:t>
            </w:r>
          </w:hyperlink>
        </w:p>
        <w:p>
          <w:pPr>
            <w:pStyle w:val="Contents4"/>
            <w:tabs>
              <w:tab w:val="clear" w:pos="8176"/>
              <w:tab w:val="right" w:pos="9026" w:leader="dot"/>
            </w:tabs>
            <w:rPr/>
          </w:pPr>
          <w:hyperlink w:anchor="__RefHeading___Toc3597969_1067777946">
            <w:r>
              <w:rPr>
                <w:webHidden/>
                <w:rStyle w:val="IndexLink"/>
                <w:rtl w:val="true"/>
              </w:rPr>
              <w:t>نزاع دو نفر در حيوانى كه بارش مال يكى از آنها است</w:t>
            </w:r>
            <w:r>
              <w:rPr>
                <w:rStyle w:val="IndexLink"/>
                <w:rtl w:val="true"/>
              </w:rPr>
              <w:tab/>
            </w:r>
            <w:r>
              <w:rPr>
                <w:rStyle w:val="IndexLink"/>
              </w:rPr>
              <w:t>179</w:t>
            </w:r>
          </w:hyperlink>
        </w:p>
        <w:p>
          <w:pPr>
            <w:pStyle w:val="Contents4"/>
            <w:tabs>
              <w:tab w:val="clear" w:pos="8176"/>
              <w:tab w:val="right" w:pos="9026" w:leader="dot"/>
            </w:tabs>
            <w:rPr/>
          </w:pPr>
          <w:hyperlink w:anchor="__RefHeading___Toc3597971_1067777946">
            <w:r>
              <w:rPr>
                <w:webHidden/>
                <w:rStyle w:val="IndexLink"/>
                <w:rtl w:val="true"/>
              </w:rPr>
              <w:t>نزاع در غرفۀ بالاخانه</w:t>
            </w:r>
            <w:r>
              <w:rPr>
                <w:rStyle w:val="IndexLink"/>
                <w:rtl w:val="true"/>
              </w:rPr>
              <w:tab/>
            </w:r>
            <w:r>
              <w:rPr>
                <w:rStyle w:val="IndexLink"/>
              </w:rPr>
              <w:t>179</w:t>
            </w:r>
          </w:hyperlink>
        </w:p>
        <w:p>
          <w:pPr>
            <w:pStyle w:val="Contents4"/>
            <w:tabs>
              <w:tab w:val="clear" w:pos="8176"/>
              <w:tab w:val="right" w:pos="9026" w:leader="dot"/>
            </w:tabs>
            <w:rPr/>
          </w:pPr>
          <w:hyperlink w:anchor="__RefHeading___Toc3597973_1067777946">
            <w:r>
              <w:rPr>
                <w:webHidden/>
                <w:rStyle w:val="IndexLink"/>
                <w:rtl w:val="true"/>
              </w:rPr>
              <w:t>حكم مال غير بر جدار و ميزان ذو اليد بودن</w:t>
            </w:r>
            <w:r>
              <w:rPr>
                <w:rStyle w:val="IndexLink"/>
                <w:rtl w:val="true"/>
              </w:rPr>
              <w:tab/>
            </w:r>
            <w:r>
              <w:rPr>
                <w:rStyle w:val="IndexLink"/>
              </w:rPr>
              <w:t>180</w:t>
            </w:r>
          </w:hyperlink>
        </w:p>
        <w:p>
          <w:pPr>
            <w:pStyle w:val="Contents2"/>
            <w:tabs>
              <w:tab w:val="clear" w:pos="8743"/>
              <w:tab w:val="right" w:pos="9026" w:leader="dot"/>
            </w:tabs>
            <w:rPr/>
          </w:pPr>
          <w:hyperlink w:anchor="__RefHeading___Toc3597975_1067777946">
            <w:r>
              <w:rPr>
                <w:webHidden/>
                <w:rStyle w:val="IndexLink"/>
                <w:rtl w:val="true"/>
              </w:rPr>
              <w:t>كتاب الشركه</w:t>
            </w:r>
            <w:r>
              <w:rPr>
                <w:rStyle w:val="IndexLink"/>
                <w:rtl w:val="true"/>
              </w:rPr>
              <w:tab/>
            </w:r>
            <w:r>
              <w:rPr>
                <w:rStyle w:val="IndexLink"/>
              </w:rPr>
              <w:t>182</w:t>
            </w:r>
          </w:hyperlink>
        </w:p>
        <w:p>
          <w:pPr>
            <w:pStyle w:val="Contents3"/>
            <w:tabs>
              <w:tab w:val="clear" w:pos="8459"/>
              <w:tab w:val="right" w:pos="9026" w:leader="dot"/>
            </w:tabs>
            <w:rPr/>
          </w:pPr>
          <w:hyperlink w:anchor="__RefHeading___Toc3597977_1067777946">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597979_1067777946">
            <w:r>
              <w:rPr>
                <w:webHidden/>
                <w:rStyle w:val="IndexLink"/>
                <w:rtl w:val="true"/>
              </w:rPr>
              <w:t>فصل اوّل در اقسام شركت</w:t>
            </w:r>
            <w:r>
              <w:rPr>
                <w:rStyle w:val="IndexLink"/>
                <w:rtl w:val="true"/>
              </w:rPr>
              <w:tab/>
            </w:r>
            <w:r>
              <w:rPr>
                <w:rStyle w:val="IndexLink"/>
              </w:rPr>
              <w:t>184</w:t>
            </w:r>
          </w:hyperlink>
        </w:p>
        <w:p>
          <w:pPr>
            <w:pStyle w:val="Contents4"/>
            <w:tabs>
              <w:tab w:val="clear" w:pos="8176"/>
              <w:tab w:val="right" w:pos="9026" w:leader="dot"/>
            </w:tabs>
            <w:rPr/>
          </w:pPr>
          <w:hyperlink w:anchor="__RefHeading___Toc3597981_1067777946">
            <w:r>
              <w:rPr>
                <w:webHidden/>
                <w:rStyle w:val="IndexLink"/>
                <w:rtl w:val="true"/>
              </w:rPr>
              <w:t>معنى شركت</w:t>
            </w:r>
            <w:r>
              <w:rPr>
                <w:rStyle w:val="IndexLink"/>
                <w:rtl w:val="true"/>
              </w:rPr>
              <w:tab/>
            </w:r>
            <w:r>
              <w:rPr>
                <w:rStyle w:val="IndexLink"/>
              </w:rPr>
              <w:t>184</w:t>
            </w:r>
          </w:hyperlink>
        </w:p>
        <w:p>
          <w:pPr>
            <w:pStyle w:val="Contents4"/>
            <w:tabs>
              <w:tab w:val="clear" w:pos="8176"/>
              <w:tab w:val="right" w:pos="9026" w:leader="dot"/>
            </w:tabs>
            <w:rPr/>
          </w:pPr>
          <w:hyperlink w:anchor="__RefHeading___Toc3597983_1067777946">
            <w:r>
              <w:rPr>
                <w:webHidden/>
                <w:rStyle w:val="IndexLink"/>
                <w:rtl w:val="true"/>
              </w:rPr>
              <w:t>ملك صاع از صبره معيّنه از مصاديق شركت مصطلح نيست</w:t>
            </w:r>
            <w:r>
              <w:rPr>
                <w:rStyle w:val="IndexLink"/>
                <w:rtl w:val="true"/>
              </w:rPr>
              <w:tab/>
            </w:r>
            <w:r>
              <w:rPr>
                <w:rStyle w:val="IndexLink"/>
              </w:rPr>
              <w:t>184</w:t>
            </w:r>
          </w:hyperlink>
        </w:p>
        <w:p>
          <w:pPr>
            <w:pStyle w:val="Contents4"/>
            <w:tabs>
              <w:tab w:val="clear" w:pos="8176"/>
              <w:tab w:val="right" w:pos="9026" w:leader="dot"/>
            </w:tabs>
            <w:rPr/>
          </w:pPr>
          <w:hyperlink w:anchor="__RefHeading___Toc3597985_1067777946">
            <w:r>
              <w:rPr>
                <w:webHidden/>
                <w:rStyle w:val="IndexLink"/>
                <w:rtl w:val="true"/>
              </w:rPr>
              <w:t>شركت عقديّه و غير عقديّه</w:t>
            </w:r>
            <w:r>
              <w:rPr>
                <w:rStyle w:val="IndexLink"/>
                <w:rtl w:val="true"/>
              </w:rPr>
              <w:tab/>
            </w:r>
            <w:r>
              <w:rPr>
                <w:rStyle w:val="IndexLink"/>
              </w:rPr>
              <w:t>184</w:t>
            </w:r>
          </w:hyperlink>
        </w:p>
        <w:p>
          <w:pPr>
            <w:pStyle w:val="Contents5"/>
            <w:tabs>
              <w:tab w:val="clear" w:pos="7892"/>
              <w:tab w:val="right" w:pos="9026" w:leader="dot"/>
            </w:tabs>
            <w:rPr/>
          </w:pPr>
          <w:hyperlink w:anchor="__RefHeading___Toc3597987_1067777946">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597989_1067777946">
            <w:r>
              <w:rPr>
                <w:webHidden/>
                <w:rStyle w:val="IndexLink"/>
                <w:rtl w:val="true"/>
              </w:rPr>
              <w:t>حكم مزج</w:t>
            </w:r>
            <w:r>
              <w:rPr>
                <w:rStyle w:val="IndexLink"/>
                <w:rtl w:val="true"/>
              </w:rPr>
              <w:tab/>
            </w:r>
            <w:r>
              <w:rPr>
                <w:rStyle w:val="IndexLink"/>
              </w:rPr>
              <w:t>184</w:t>
            </w:r>
          </w:hyperlink>
        </w:p>
        <w:p>
          <w:pPr>
            <w:pStyle w:val="Contents5"/>
            <w:tabs>
              <w:tab w:val="clear" w:pos="7892"/>
              <w:tab w:val="right" w:pos="9026" w:leader="dot"/>
            </w:tabs>
            <w:rPr/>
          </w:pPr>
          <w:hyperlink w:anchor="__RefHeading___Toc3597991_1067777946">
            <w:r>
              <w:rPr>
                <w:webHidden/>
                <w:rStyle w:val="IndexLink"/>
                <w:rtl w:val="true"/>
              </w:rPr>
              <w:t>حكم اختلاط در تعدّى</w:t>
            </w:r>
            <w:r>
              <w:rPr>
                <w:rStyle w:val="IndexLink"/>
                <w:rtl w:val="true"/>
              </w:rPr>
              <w:tab/>
            </w:r>
            <w:r>
              <w:rPr>
                <w:rStyle w:val="IndexLink"/>
              </w:rPr>
              <w:t>185</w:t>
            </w:r>
          </w:hyperlink>
        </w:p>
        <w:p>
          <w:pPr>
            <w:pStyle w:val="Contents4"/>
            <w:tabs>
              <w:tab w:val="clear" w:pos="8176"/>
              <w:tab w:val="right" w:pos="9026" w:leader="dot"/>
            </w:tabs>
            <w:rPr/>
          </w:pPr>
          <w:hyperlink w:anchor="__RefHeading___Toc3597993_1067777946">
            <w:r>
              <w:rPr>
                <w:webHidden/>
                <w:rStyle w:val="IndexLink"/>
                <w:rtl w:val="true"/>
              </w:rPr>
              <w:t>اقسام محل شركت</w:t>
            </w:r>
            <w:r>
              <w:rPr>
                <w:rStyle w:val="IndexLink"/>
                <w:rtl w:val="true"/>
              </w:rPr>
              <w:tab/>
            </w:r>
            <w:r>
              <w:rPr>
                <w:rStyle w:val="IndexLink"/>
              </w:rPr>
              <w:t>185</w:t>
            </w:r>
          </w:hyperlink>
        </w:p>
        <w:p>
          <w:pPr>
            <w:pStyle w:val="Contents4"/>
            <w:tabs>
              <w:tab w:val="clear" w:pos="8176"/>
              <w:tab w:val="right" w:pos="9026" w:leader="dot"/>
            </w:tabs>
            <w:rPr/>
          </w:pPr>
          <w:hyperlink w:anchor="__RefHeading___Toc3597995_1067777946">
            <w:r>
              <w:rPr>
                <w:webHidden/>
                <w:rStyle w:val="IndexLink"/>
                <w:rtl w:val="true"/>
              </w:rPr>
              <w:t>اسباب شركت</w:t>
            </w:r>
            <w:r>
              <w:rPr>
                <w:rStyle w:val="IndexLink"/>
                <w:rtl w:val="true"/>
              </w:rPr>
              <w:tab/>
            </w:r>
            <w:r>
              <w:rPr>
                <w:rStyle w:val="IndexLink"/>
              </w:rPr>
              <w:t>185</w:t>
            </w:r>
          </w:hyperlink>
        </w:p>
        <w:p>
          <w:pPr>
            <w:pStyle w:val="Contents5"/>
            <w:tabs>
              <w:tab w:val="clear" w:pos="7892"/>
              <w:tab w:val="right" w:pos="9026" w:leader="dot"/>
            </w:tabs>
            <w:rPr/>
          </w:pPr>
          <w:hyperlink w:anchor="__RefHeading___Toc3597997_1067777946">
            <w:r>
              <w:rPr>
                <w:webHidden/>
                <w:rStyle w:val="IndexLink"/>
                <w:rtl w:val="true"/>
              </w:rPr>
              <w:t>ارث</w:t>
            </w:r>
            <w:r>
              <w:rPr>
                <w:rStyle w:val="IndexLink"/>
                <w:rtl w:val="true"/>
              </w:rPr>
              <w:tab/>
            </w:r>
            <w:r>
              <w:rPr>
                <w:rStyle w:val="IndexLink"/>
              </w:rPr>
              <w:t>185</w:t>
            </w:r>
          </w:hyperlink>
        </w:p>
        <w:p>
          <w:pPr>
            <w:pStyle w:val="Contents5"/>
            <w:tabs>
              <w:tab w:val="clear" w:pos="7892"/>
              <w:tab w:val="right" w:pos="9026" w:leader="dot"/>
            </w:tabs>
            <w:rPr/>
          </w:pPr>
          <w:hyperlink w:anchor="__RefHeading___Toc3597999_1067777946">
            <w:r>
              <w:rPr>
                <w:webHidden/>
                <w:rStyle w:val="IndexLink"/>
                <w:rtl w:val="true"/>
              </w:rPr>
              <w:t>عقد</w:t>
            </w:r>
            <w:r>
              <w:rPr>
                <w:rStyle w:val="IndexLink"/>
                <w:rtl w:val="true"/>
              </w:rPr>
              <w:tab/>
            </w:r>
            <w:r>
              <w:rPr>
                <w:rStyle w:val="IndexLink"/>
              </w:rPr>
              <w:t>186</w:t>
            </w:r>
          </w:hyperlink>
        </w:p>
        <w:p>
          <w:pPr>
            <w:pStyle w:val="Contents5"/>
            <w:tabs>
              <w:tab w:val="clear" w:pos="7892"/>
              <w:tab w:val="right" w:pos="9026" w:leader="dot"/>
            </w:tabs>
            <w:rPr/>
          </w:pPr>
          <w:hyperlink w:anchor="__RefHeading___Toc3598001_1067777946">
            <w:r>
              <w:rPr>
                <w:webHidden/>
                <w:rStyle w:val="IndexLink"/>
                <w:rtl w:val="true"/>
              </w:rPr>
              <w:t>مزج و خلط</w:t>
            </w:r>
            <w:r>
              <w:rPr>
                <w:rStyle w:val="IndexLink"/>
                <w:rtl w:val="true"/>
              </w:rPr>
              <w:tab/>
            </w:r>
            <w:r>
              <w:rPr>
                <w:rStyle w:val="IndexLink"/>
              </w:rPr>
              <w:t>186</w:t>
            </w:r>
          </w:hyperlink>
        </w:p>
        <w:p>
          <w:pPr>
            <w:pStyle w:val="Contents4"/>
            <w:tabs>
              <w:tab w:val="clear" w:pos="8176"/>
              <w:tab w:val="right" w:pos="9026" w:leader="dot"/>
            </w:tabs>
            <w:rPr/>
          </w:pPr>
          <w:hyperlink w:anchor="__RefHeading___Toc3598003_1067777946">
            <w:r>
              <w:rPr>
                <w:webHidden/>
                <w:rStyle w:val="IndexLink"/>
                <w:rtl w:val="true"/>
              </w:rPr>
              <w:t>اشتراك به سبب حيازت</w:t>
            </w:r>
            <w:r>
              <w:rPr>
                <w:rStyle w:val="IndexLink"/>
                <w:rtl w:val="true"/>
              </w:rPr>
              <w:tab/>
            </w:r>
            <w:r>
              <w:rPr>
                <w:rStyle w:val="IndexLink"/>
              </w:rPr>
              <w:t>186</w:t>
            </w:r>
          </w:hyperlink>
        </w:p>
        <w:p>
          <w:pPr>
            <w:pStyle w:val="Contents4"/>
            <w:tabs>
              <w:tab w:val="clear" w:pos="8176"/>
              <w:tab w:val="right" w:pos="9026" w:leader="dot"/>
            </w:tabs>
            <w:rPr/>
          </w:pPr>
          <w:hyperlink w:anchor="__RefHeading___Toc3598005_1067777946">
            <w:r>
              <w:rPr>
                <w:webHidden/>
                <w:rStyle w:val="IndexLink"/>
                <w:rtl w:val="true"/>
              </w:rPr>
              <w:t>شرايط شركت عقديّه</w:t>
            </w:r>
            <w:r>
              <w:rPr>
                <w:rStyle w:val="IndexLink"/>
                <w:rtl w:val="true"/>
              </w:rPr>
              <w:tab/>
            </w:r>
            <w:r>
              <w:rPr>
                <w:rStyle w:val="IndexLink"/>
              </w:rPr>
              <w:t>187</w:t>
            </w:r>
          </w:hyperlink>
        </w:p>
        <w:p>
          <w:pPr>
            <w:pStyle w:val="Contents4"/>
            <w:tabs>
              <w:tab w:val="clear" w:pos="8176"/>
              <w:tab w:val="right" w:pos="9026" w:leader="dot"/>
            </w:tabs>
            <w:rPr/>
          </w:pPr>
          <w:hyperlink w:anchor="__RefHeading___Toc3598007_1067777946">
            <w:r>
              <w:rPr>
                <w:webHidden/>
                <w:rStyle w:val="IndexLink"/>
                <w:rtl w:val="true"/>
              </w:rPr>
              <w:t>تصرّف در مال مشترك تابع اذن شريك است</w:t>
            </w:r>
            <w:r>
              <w:rPr>
                <w:rStyle w:val="IndexLink"/>
                <w:rtl w:val="true"/>
              </w:rPr>
              <w:tab/>
            </w:r>
            <w:r>
              <w:rPr>
                <w:rStyle w:val="IndexLink"/>
              </w:rPr>
              <w:t>187</w:t>
            </w:r>
          </w:hyperlink>
        </w:p>
        <w:p>
          <w:pPr>
            <w:pStyle w:val="Contents4"/>
            <w:tabs>
              <w:tab w:val="clear" w:pos="8176"/>
              <w:tab w:val="right" w:pos="9026" w:leader="dot"/>
            </w:tabs>
            <w:rPr/>
          </w:pPr>
          <w:hyperlink w:anchor="__RefHeading___Toc3598009_1067777946">
            <w:r>
              <w:rPr>
                <w:webHidden/>
                <w:rStyle w:val="IndexLink"/>
                <w:rtl w:val="true"/>
              </w:rPr>
              <w:t>شركت عقديّه در اعمال</w:t>
            </w:r>
            <w:r>
              <w:rPr>
                <w:rStyle w:val="IndexLink"/>
                <w:rtl w:val="true"/>
              </w:rPr>
              <w:tab/>
            </w:r>
            <w:r>
              <w:rPr>
                <w:rStyle w:val="IndexLink"/>
              </w:rPr>
              <w:t>187</w:t>
            </w:r>
          </w:hyperlink>
        </w:p>
        <w:p>
          <w:pPr>
            <w:pStyle w:val="Contents4"/>
            <w:tabs>
              <w:tab w:val="clear" w:pos="8176"/>
              <w:tab w:val="right" w:pos="9026" w:leader="dot"/>
            </w:tabs>
            <w:rPr/>
          </w:pPr>
          <w:hyperlink w:anchor="__RefHeading___Toc3598011_1067777946">
            <w:r>
              <w:rPr>
                <w:webHidden/>
                <w:rStyle w:val="IndexLink"/>
                <w:rtl w:val="true"/>
              </w:rPr>
              <w:t>شركت عقديّه بر وجوه</w:t>
            </w:r>
            <w:r>
              <w:rPr>
                <w:rStyle w:val="IndexLink"/>
                <w:rtl w:val="true"/>
              </w:rPr>
              <w:tab/>
            </w:r>
            <w:r>
              <w:rPr>
                <w:rStyle w:val="IndexLink"/>
              </w:rPr>
              <w:t>188</w:t>
            </w:r>
          </w:hyperlink>
        </w:p>
        <w:p>
          <w:pPr>
            <w:pStyle w:val="Contents4"/>
            <w:tabs>
              <w:tab w:val="clear" w:pos="8176"/>
              <w:tab w:val="right" w:pos="9026" w:leader="dot"/>
            </w:tabs>
            <w:rPr/>
          </w:pPr>
          <w:hyperlink w:anchor="__RefHeading___Toc3598013_1067777946">
            <w:r>
              <w:rPr>
                <w:webHidden/>
                <w:rStyle w:val="IndexLink"/>
                <w:rtl w:val="true"/>
              </w:rPr>
              <w:t>شركت عقديّه در مفاوضه</w:t>
            </w:r>
            <w:r>
              <w:rPr>
                <w:rStyle w:val="IndexLink"/>
                <w:rtl w:val="true"/>
              </w:rPr>
              <w:tab/>
            </w:r>
            <w:r>
              <w:rPr>
                <w:rStyle w:val="IndexLink"/>
              </w:rPr>
              <w:t>188</w:t>
            </w:r>
          </w:hyperlink>
        </w:p>
        <w:p>
          <w:pPr>
            <w:pStyle w:val="Contents4"/>
            <w:tabs>
              <w:tab w:val="clear" w:pos="8176"/>
              <w:tab w:val="right" w:pos="9026" w:leader="dot"/>
            </w:tabs>
            <w:rPr/>
          </w:pPr>
          <w:hyperlink w:anchor="__RefHeading___Toc3598015_1067777946">
            <w:r>
              <w:rPr>
                <w:webHidden/>
                <w:rStyle w:val="IndexLink"/>
                <w:rtl w:val="true"/>
              </w:rPr>
              <w:t>مسائل شركت</w:t>
            </w:r>
            <w:r>
              <w:rPr>
                <w:rStyle w:val="IndexLink"/>
                <w:rtl w:val="true"/>
              </w:rPr>
              <w:tab/>
            </w:r>
            <w:r>
              <w:rPr>
                <w:rStyle w:val="IndexLink"/>
              </w:rPr>
              <w:t>189</w:t>
            </w:r>
          </w:hyperlink>
        </w:p>
        <w:p>
          <w:pPr>
            <w:pStyle w:val="Contents5"/>
            <w:tabs>
              <w:tab w:val="clear" w:pos="7892"/>
              <w:tab w:val="right" w:pos="9026" w:leader="dot"/>
            </w:tabs>
            <w:rPr/>
          </w:pPr>
          <w:hyperlink w:anchor="__RefHeading___Toc3598017_1067777946">
            <w:r>
              <w:rPr>
                <w:webHidden/>
                <w:rStyle w:val="IndexLink"/>
                <w:rtl w:val="true"/>
              </w:rPr>
              <w:t>نحوۀ محاسبۀ سود و زيان</w:t>
            </w:r>
            <w:r>
              <w:rPr>
                <w:rStyle w:val="IndexLink"/>
                <w:rtl w:val="true"/>
              </w:rPr>
              <w:tab/>
            </w:r>
            <w:r>
              <w:rPr>
                <w:rStyle w:val="IndexLink"/>
              </w:rPr>
              <w:t>189</w:t>
            </w:r>
          </w:hyperlink>
        </w:p>
        <w:p>
          <w:pPr>
            <w:pStyle w:val="Contents5"/>
            <w:tabs>
              <w:tab w:val="clear" w:pos="7892"/>
              <w:tab w:val="right" w:pos="9026" w:leader="dot"/>
            </w:tabs>
            <w:rPr/>
          </w:pPr>
          <w:hyperlink w:anchor="__RefHeading___Toc3598019_1067777946">
            <w:r>
              <w:rPr>
                <w:webHidden/>
                <w:rStyle w:val="IndexLink"/>
                <w:rtl w:val="true"/>
              </w:rPr>
              <w:t>صحّت شرط زيادتى ربح با تساوى مال و عمل</w:t>
            </w:r>
            <w:r>
              <w:rPr>
                <w:rStyle w:val="IndexLink"/>
                <w:rtl w:val="true"/>
              </w:rPr>
              <w:tab/>
            </w:r>
            <w:r>
              <w:rPr>
                <w:rStyle w:val="IndexLink"/>
              </w:rPr>
              <w:t>189</w:t>
            </w:r>
          </w:hyperlink>
        </w:p>
        <w:p>
          <w:pPr>
            <w:pStyle w:val="Contents5"/>
            <w:tabs>
              <w:tab w:val="clear" w:pos="7892"/>
              <w:tab w:val="right" w:pos="9026" w:leader="dot"/>
            </w:tabs>
            <w:rPr/>
          </w:pPr>
          <w:hyperlink w:anchor="__RefHeading___Toc3598021_1067777946">
            <w:r>
              <w:rPr>
                <w:webHidden/>
                <w:rStyle w:val="IndexLink"/>
                <w:rtl w:val="true"/>
              </w:rPr>
              <w:t>صورت فساد عقد شركت</w:t>
            </w:r>
            <w:r>
              <w:rPr>
                <w:rStyle w:val="IndexLink"/>
                <w:rtl w:val="true"/>
              </w:rPr>
              <w:tab/>
            </w:r>
            <w:r>
              <w:rPr>
                <w:rStyle w:val="IndexLink"/>
              </w:rPr>
              <w:t>189</w:t>
            </w:r>
          </w:hyperlink>
        </w:p>
        <w:p>
          <w:pPr>
            <w:pStyle w:val="Contents5"/>
            <w:tabs>
              <w:tab w:val="clear" w:pos="7892"/>
              <w:tab w:val="right" w:pos="9026" w:leader="dot"/>
            </w:tabs>
            <w:rPr/>
          </w:pPr>
          <w:hyperlink w:anchor="__RefHeading___Toc3598023_1067777946">
            <w:r>
              <w:rPr>
                <w:webHidden/>
                <w:rStyle w:val="IndexLink"/>
                <w:rtl w:val="true"/>
              </w:rPr>
              <w:t>اجرت عامل با اشتراط زيادتى ربع و عدم آن</w:t>
            </w:r>
            <w:r>
              <w:rPr>
                <w:rStyle w:val="IndexLink"/>
                <w:rtl w:val="true"/>
              </w:rPr>
              <w:tab/>
            </w:r>
            <w:r>
              <w:rPr>
                <w:rStyle w:val="IndexLink"/>
              </w:rPr>
              <w:t>190</w:t>
            </w:r>
          </w:hyperlink>
        </w:p>
        <w:p>
          <w:pPr>
            <w:pStyle w:val="Contents5"/>
            <w:tabs>
              <w:tab w:val="clear" w:pos="7892"/>
              <w:tab w:val="right" w:pos="9026" w:leader="dot"/>
            </w:tabs>
            <w:rPr/>
          </w:pPr>
          <w:hyperlink w:anchor="__RefHeading___Toc3598025_1067777946">
            <w:r>
              <w:rPr>
                <w:webHidden/>
                <w:rStyle w:val="IndexLink"/>
                <w:rtl w:val="true"/>
              </w:rPr>
              <w:t>خارج بودن عمل از اصل شركت</w:t>
            </w:r>
            <w:r>
              <w:rPr>
                <w:rStyle w:val="IndexLink"/>
                <w:rtl w:val="true"/>
              </w:rPr>
              <w:tab/>
            </w:r>
            <w:r>
              <w:rPr>
                <w:rStyle w:val="IndexLink"/>
              </w:rPr>
              <w:t>190</w:t>
            </w:r>
          </w:hyperlink>
        </w:p>
        <w:p>
          <w:pPr>
            <w:pStyle w:val="Contents5"/>
            <w:tabs>
              <w:tab w:val="clear" w:pos="7892"/>
              <w:tab w:val="right" w:pos="9026" w:leader="dot"/>
            </w:tabs>
            <w:rPr/>
          </w:pPr>
          <w:hyperlink w:anchor="__RefHeading___Toc3598027_1067777946">
            <w:r>
              <w:rPr>
                <w:webHidden/>
                <w:rStyle w:val="IndexLink"/>
                <w:rtl w:val="true"/>
              </w:rPr>
              <w:t>اذن در تصرّف در شركت عقديّه و قهريّه</w:t>
            </w:r>
            <w:r>
              <w:rPr>
                <w:rStyle w:val="IndexLink"/>
                <w:rtl w:val="true"/>
              </w:rPr>
              <w:tab/>
            </w:r>
            <w:r>
              <w:rPr>
                <w:rStyle w:val="IndexLink"/>
              </w:rPr>
              <w:t>190</w:t>
            </w:r>
          </w:hyperlink>
        </w:p>
        <w:p>
          <w:pPr>
            <w:pStyle w:val="Contents5"/>
            <w:tabs>
              <w:tab w:val="clear" w:pos="7892"/>
              <w:tab w:val="right" w:pos="9026" w:leader="dot"/>
            </w:tabs>
            <w:rPr/>
          </w:pPr>
          <w:hyperlink w:anchor="__RefHeading___Toc3598029_1067777946">
            <w:r>
              <w:rPr>
                <w:webHidden/>
                <w:rStyle w:val="IndexLink"/>
                <w:rtl w:val="true"/>
              </w:rPr>
              <w:t>ثبوت ضمان در صورت تعدّى از مورد خاص معيّن</w:t>
            </w:r>
            <w:r>
              <w:rPr>
                <w:rStyle w:val="IndexLink"/>
                <w:rtl w:val="true"/>
              </w:rPr>
              <w:tab/>
            </w:r>
            <w:r>
              <w:rPr>
                <w:rStyle w:val="IndexLink"/>
              </w:rPr>
              <w:t>191</w:t>
            </w:r>
          </w:hyperlink>
        </w:p>
        <w:p>
          <w:pPr>
            <w:pStyle w:val="Contents5"/>
            <w:tabs>
              <w:tab w:val="clear" w:pos="7892"/>
              <w:tab w:val="right" w:pos="9026" w:leader="dot"/>
            </w:tabs>
            <w:rPr/>
          </w:pPr>
          <w:hyperlink w:anchor="__RefHeading___Toc3598031_1067777946">
            <w:r>
              <w:rPr>
                <w:webHidden/>
                <w:rStyle w:val="IndexLink"/>
                <w:rtl w:val="true"/>
              </w:rPr>
              <w:t>جواز رجوع در شركت عقديّه</w:t>
            </w:r>
            <w:r>
              <w:rPr>
                <w:rStyle w:val="IndexLink"/>
                <w:rtl w:val="true"/>
              </w:rPr>
              <w:tab/>
            </w:r>
            <w:r>
              <w:rPr>
                <w:rStyle w:val="IndexLink"/>
              </w:rPr>
              <w:t>191</w:t>
            </w:r>
          </w:hyperlink>
        </w:p>
        <w:p>
          <w:pPr>
            <w:pStyle w:val="Contents5"/>
            <w:tabs>
              <w:tab w:val="clear" w:pos="7892"/>
              <w:tab w:val="right" w:pos="9026" w:leader="dot"/>
            </w:tabs>
            <w:rPr/>
          </w:pPr>
          <w:hyperlink w:anchor="__RefHeading___Toc3598033_1067777946">
            <w:r>
              <w:rPr>
                <w:webHidden/>
                <w:rStyle w:val="IndexLink"/>
                <w:rtl w:val="true"/>
              </w:rPr>
              <w:t>تفصيل در نفوذ اشتراط تأجيل در عقد شركت</w:t>
            </w:r>
            <w:r>
              <w:rPr>
                <w:rStyle w:val="IndexLink"/>
                <w:rtl w:val="true"/>
              </w:rPr>
              <w:tab/>
            </w:r>
            <w:r>
              <w:rPr>
                <w:rStyle w:val="IndexLink"/>
              </w:rPr>
              <w:t>191</w:t>
            </w:r>
          </w:hyperlink>
        </w:p>
        <w:p>
          <w:pPr>
            <w:pStyle w:val="Contents5"/>
            <w:tabs>
              <w:tab w:val="clear" w:pos="7892"/>
              <w:tab w:val="right" w:pos="9026" w:leader="dot"/>
            </w:tabs>
            <w:rPr/>
          </w:pPr>
          <w:hyperlink w:anchor="__RefHeading___Toc3598035_1067777946">
            <w:r>
              <w:rPr>
                <w:webHidden/>
                <w:rStyle w:val="IndexLink"/>
                <w:rtl w:val="true"/>
              </w:rPr>
              <w:t>امين بودن شريك و مسموع بودن قول او باليمين</w:t>
            </w:r>
            <w:r>
              <w:rPr>
                <w:rStyle w:val="IndexLink"/>
                <w:rtl w:val="true"/>
              </w:rPr>
              <w:tab/>
            </w:r>
            <w:r>
              <w:rPr>
                <w:rStyle w:val="IndexLink"/>
              </w:rPr>
              <w:t>192</w:t>
            </w:r>
          </w:hyperlink>
        </w:p>
        <w:p>
          <w:pPr>
            <w:pStyle w:val="Contents5"/>
            <w:tabs>
              <w:tab w:val="clear" w:pos="7892"/>
              <w:tab w:val="right" w:pos="9026" w:leader="dot"/>
            </w:tabs>
            <w:rPr/>
          </w:pPr>
          <w:hyperlink w:anchor="__RefHeading___Toc3598037_1067777946">
            <w:r>
              <w:rPr>
                <w:webHidden/>
                <w:rStyle w:val="IndexLink"/>
                <w:rtl w:val="true"/>
              </w:rPr>
              <w:t>بطلان شركت به زوال اهليّت اذن</w:t>
            </w:r>
            <w:r>
              <w:rPr>
                <w:rStyle w:val="IndexLink"/>
                <w:rtl w:val="true"/>
              </w:rPr>
              <w:tab/>
            </w:r>
            <w:r>
              <w:rPr>
                <w:rStyle w:val="IndexLink"/>
              </w:rPr>
              <w:t>192</w:t>
            </w:r>
          </w:hyperlink>
        </w:p>
        <w:p>
          <w:pPr>
            <w:pStyle w:val="Contents3"/>
            <w:tabs>
              <w:tab w:val="clear" w:pos="8459"/>
              <w:tab w:val="right" w:pos="9026" w:leader="dot"/>
            </w:tabs>
            <w:rPr/>
          </w:pPr>
          <w:hyperlink w:anchor="__RefHeading___Toc3598039_1067777946">
            <w:r>
              <w:rPr>
                <w:webHidden/>
                <w:rStyle w:val="IndexLink"/>
                <w:rtl w:val="true"/>
              </w:rPr>
              <w:t>فصل دوّم در قسمت</w:t>
            </w:r>
            <w:r>
              <w:rPr>
                <w:rStyle w:val="IndexLink"/>
                <w:rtl w:val="true"/>
              </w:rPr>
              <w:tab/>
            </w:r>
            <w:r>
              <w:rPr>
                <w:rStyle w:val="IndexLink"/>
              </w:rPr>
              <w:t>193</w:t>
            </w:r>
          </w:hyperlink>
        </w:p>
        <w:p>
          <w:pPr>
            <w:pStyle w:val="Contents4"/>
            <w:tabs>
              <w:tab w:val="clear" w:pos="8176"/>
              <w:tab w:val="right" w:pos="9026" w:leader="dot"/>
            </w:tabs>
            <w:rPr/>
          </w:pPr>
          <w:hyperlink w:anchor="__RefHeading___Toc3598041_1067777946">
            <w:r>
              <w:rPr>
                <w:webHidden/>
                <w:rStyle w:val="IndexLink"/>
                <w:rtl w:val="true"/>
              </w:rPr>
              <w:t>تعريف قسمت</w:t>
            </w:r>
            <w:r>
              <w:rPr>
                <w:rStyle w:val="IndexLink"/>
                <w:rtl w:val="true"/>
              </w:rPr>
              <w:tab/>
            </w:r>
            <w:r>
              <w:rPr>
                <w:rStyle w:val="IndexLink"/>
              </w:rPr>
              <w:t>193</w:t>
            </w:r>
          </w:hyperlink>
        </w:p>
        <w:p>
          <w:pPr>
            <w:pStyle w:val="Contents4"/>
            <w:tabs>
              <w:tab w:val="clear" w:pos="8176"/>
              <w:tab w:val="right" w:pos="9026" w:leader="dot"/>
            </w:tabs>
            <w:rPr/>
          </w:pPr>
          <w:hyperlink w:anchor="__RefHeading___Toc3598043_1067777946">
            <w:r>
              <w:rPr>
                <w:webHidden/>
                <w:rStyle w:val="IndexLink"/>
                <w:rtl w:val="true"/>
              </w:rPr>
              <w:t>قسمت مشتمل بر عدم ضرر</w:t>
            </w:r>
            <w:r>
              <w:rPr>
                <w:rStyle w:val="IndexLink"/>
                <w:rtl w:val="true"/>
              </w:rPr>
              <w:tab/>
            </w:r>
            <w:r>
              <w:rPr>
                <w:rStyle w:val="IndexLink"/>
              </w:rPr>
              <w:t>193</w:t>
            </w:r>
          </w:hyperlink>
        </w:p>
        <w:p>
          <w:pPr>
            <w:pStyle w:val="Contents4"/>
            <w:tabs>
              <w:tab w:val="clear" w:pos="8176"/>
              <w:tab w:val="right" w:pos="9026" w:leader="dot"/>
            </w:tabs>
            <w:rPr/>
          </w:pPr>
          <w:hyperlink w:anchor="__RefHeading___Toc3598045_1067777946">
            <w:r>
              <w:rPr>
                <w:webHidden/>
                <w:rStyle w:val="IndexLink"/>
                <w:rtl w:val="true"/>
              </w:rPr>
              <w:t>كيفيّت قسمت با قرعه در صورت اتفاق سهام و يا اختلاف آنها</w:t>
            </w:r>
            <w:r>
              <w:rPr>
                <w:rStyle w:val="IndexLink"/>
                <w:rtl w:val="true"/>
              </w:rPr>
              <w:tab/>
            </w:r>
            <w:r>
              <w:rPr>
                <w:rStyle w:val="IndexLink"/>
              </w:rPr>
              <w:t>194</w:t>
            </w:r>
          </w:hyperlink>
        </w:p>
        <w:p>
          <w:pPr>
            <w:pStyle w:val="Contents4"/>
            <w:tabs>
              <w:tab w:val="clear" w:pos="8176"/>
              <w:tab w:val="right" w:pos="9026" w:leader="dot"/>
            </w:tabs>
            <w:rPr/>
          </w:pPr>
          <w:hyperlink w:anchor="__RefHeading___Toc3598047_1067777946">
            <w:r>
              <w:rPr>
                <w:webHidden/>
                <w:rStyle w:val="IndexLink"/>
                <w:rtl w:val="true"/>
              </w:rPr>
              <w:t>مثال براى صورت اختلاف</w:t>
            </w:r>
            <w:r>
              <w:rPr>
                <w:rStyle w:val="IndexLink"/>
                <w:rtl w:val="true"/>
              </w:rPr>
              <w:tab/>
            </w:r>
            <w:r>
              <w:rPr>
                <w:rStyle w:val="IndexLink"/>
              </w:rPr>
              <w:t>194</w:t>
            </w:r>
          </w:hyperlink>
        </w:p>
        <w:p>
          <w:pPr>
            <w:pStyle w:val="Contents4"/>
            <w:tabs>
              <w:tab w:val="clear" w:pos="8176"/>
              <w:tab w:val="right" w:pos="9026" w:leader="dot"/>
            </w:tabs>
            <w:rPr/>
          </w:pPr>
          <w:hyperlink w:anchor="__RefHeading___Toc3598049_1067777946">
            <w:r>
              <w:rPr>
                <w:webHidden/>
                <w:rStyle w:val="IndexLink"/>
                <w:rtl w:val="true"/>
              </w:rPr>
              <w:t>عدم خصوصيت كتابت در قرعه</w:t>
            </w:r>
            <w:r>
              <w:rPr>
                <w:rStyle w:val="IndexLink"/>
                <w:rtl w:val="true"/>
              </w:rPr>
              <w:tab/>
            </w:r>
            <w:r>
              <w:rPr>
                <w:rStyle w:val="IndexLink"/>
              </w:rPr>
              <w:t>195</w:t>
            </w:r>
          </w:hyperlink>
        </w:p>
        <w:p>
          <w:pPr>
            <w:pStyle w:val="Contents4"/>
            <w:tabs>
              <w:tab w:val="clear" w:pos="8176"/>
              <w:tab w:val="right" w:pos="9026" w:leader="dot"/>
            </w:tabs>
            <w:rPr/>
          </w:pPr>
          <w:hyperlink w:anchor="__RefHeading___Toc3598051_1067777946">
            <w:r>
              <w:rPr>
                <w:webHidden/>
                <w:rStyle w:val="IndexLink"/>
                <w:rtl w:val="true"/>
              </w:rPr>
              <w:t>قسمت به افراز و قسمت به تعديل</w:t>
            </w:r>
            <w:r>
              <w:rPr>
                <w:rStyle w:val="IndexLink"/>
                <w:rtl w:val="true"/>
              </w:rPr>
              <w:tab/>
            </w:r>
            <w:r>
              <w:rPr>
                <w:rStyle w:val="IndexLink"/>
              </w:rPr>
              <w:t>195</w:t>
            </w:r>
          </w:hyperlink>
        </w:p>
        <w:p>
          <w:pPr>
            <w:pStyle w:val="Contents4"/>
            <w:tabs>
              <w:tab w:val="clear" w:pos="8176"/>
              <w:tab w:val="right" w:pos="9026" w:leader="dot"/>
            </w:tabs>
            <w:rPr/>
          </w:pPr>
          <w:hyperlink w:anchor="__RefHeading___Toc3598053_1067777946">
            <w:r>
              <w:rPr>
                <w:webHidden/>
                <w:rStyle w:val="IndexLink"/>
                <w:rtl w:val="true"/>
              </w:rPr>
              <w:t>اعتبار قرعه در لزوم قسمت در اعيان</w:t>
            </w:r>
            <w:r>
              <w:rPr>
                <w:rStyle w:val="IndexLink"/>
                <w:rtl w:val="true"/>
              </w:rPr>
              <w:tab/>
            </w:r>
            <w:r>
              <w:rPr>
                <w:rStyle w:val="IndexLink"/>
              </w:rPr>
              <w:t>195</w:t>
            </w:r>
          </w:hyperlink>
        </w:p>
        <w:p>
          <w:pPr>
            <w:pStyle w:val="Contents4"/>
            <w:tabs>
              <w:tab w:val="clear" w:pos="8176"/>
              <w:tab w:val="right" w:pos="9026" w:leader="dot"/>
            </w:tabs>
            <w:rPr/>
          </w:pPr>
          <w:hyperlink w:anchor="__RefHeading___Toc3598055_1067777946">
            <w:r>
              <w:rPr>
                <w:webHidden/>
                <w:rStyle w:val="IndexLink"/>
                <w:rtl w:val="true"/>
              </w:rPr>
              <w:t>قسمت مشتمل بر ضرر</w:t>
            </w:r>
            <w:r>
              <w:rPr>
                <w:rStyle w:val="IndexLink"/>
                <w:rtl w:val="true"/>
              </w:rPr>
              <w:tab/>
            </w:r>
            <w:r>
              <w:rPr>
                <w:rStyle w:val="IndexLink"/>
              </w:rPr>
              <w:t>195</w:t>
            </w:r>
          </w:hyperlink>
        </w:p>
        <w:p>
          <w:pPr>
            <w:pStyle w:val="Contents4"/>
            <w:tabs>
              <w:tab w:val="clear" w:pos="8176"/>
              <w:tab w:val="right" w:pos="9026" w:leader="dot"/>
            </w:tabs>
            <w:rPr/>
          </w:pPr>
          <w:hyperlink w:anchor="__RefHeading___Toc3598057_1067777946">
            <w:r>
              <w:rPr>
                <w:webHidden/>
                <w:rStyle w:val="IndexLink"/>
                <w:rtl w:val="true"/>
              </w:rPr>
              <w:t xml:space="preserve">مهايات </w:t>
            </w:r>
            <w:r>
              <w:rPr>
                <w:rStyle w:val="IndexLink"/>
                <w:rtl w:val="true"/>
              </w:rPr>
              <w:t>(</w:t>
            </w:r>
            <w:r>
              <w:rPr>
                <w:rStyle w:val="IndexLink"/>
                <w:rtl w:val="true"/>
              </w:rPr>
              <w:t>قسمت منافع</w:t>
            </w:r>
            <w:r>
              <w:rPr>
                <w:rStyle w:val="IndexLink"/>
                <w:rtl w:val="true"/>
              </w:rPr>
              <w:t>)</w:t>
              <w:tab/>
            </w:r>
            <w:r>
              <w:rPr>
                <w:rStyle w:val="IndexLink"/>
              </w:rPr>
              <w:t>196</w:t>
            </w:r>
          </w:hyperlink>
        </w:p>
        <w:p>
          <w:pPr>
            <w:pStyle w:val="Contents4"/>
            <w:tabs>
              <w:tab w:val="clear" w:pos="8176"/>
              <w:tab w:val="right" w:pos="9026" w:leader="dot"/>
            </w:tabs>
            <w:rPr/>
          </w:pPr>
          <w:hyperlink w:anchor="__RefHeading___Toc3598059_1067777946">
            <w:r>
              <w:rPr>
                <w:webHidden/>
                <w:rStyle w:val="IndexLink"/>
                <w:rtl w:val="true"/>
              </w:rPr>
              <w:t>حكم صورت امتناع قسمت و دوام تنازع</w:t>
            </w:r>
            <w:r>
              <w:rPr>
                <w:rStyle w:val="IndexLink"/>
                <w:rtl w:val="true"/>
              </w:rPr>
              <w:tab/>
            </w:r>
            <w:r>
              <w:rPr>
                <w:rStyle w:val="IndexLink"/>
              </w:rPr>
              <w:t>196</w:t>
            </w:r>
          </w:hyperlink>
        </w:p>
        <w:p>
          <w:pPr>
            <w:pStyle w:val="Contents4"/>
            <w:tabs>
              <w:tab w:val="clear" w:pos="8176"/>
              <w:tab w:val="right" w:pos="9026" w:leader="dot"/>
            </w:tabs>
            <w:rPr/>
          </w:pPr>
          <w:hyperlink w:anchor="__RefHeading___Toc3598061_1067777946">
            <w:r>
              <w:rPr>
                <w:webHidden/>
                <w:rStyle w:val="IndexLink"/>
                <w:rtl w:val="true"/>
              </w:rPr>
              <w:t>ميزان در عدم جواز اجبار بر قسمت</w:t>
            </w:r>
            <w:r>
              <w:rPr>
                <w:rStyle w:val="IndexLink"/>
                <w:rtl w:val="true"/>
              </w:rPr>
              <w:tab/>
            </w:r>
            <w:r>
              <w:rPr>
                <w:rStyle w:val="IndexLink"/>
              </w:rPr>
              <w:t>196</w:t>
            </w:r>
          </w:hyperlink>
        </w:p>
        <w:p>
          <w:pPr>
            <w:pStyle w:val="Contents4"/>
            <w:tabs>
              <w:tab w:val="clear" w:pos="8176"/>
              <w:tab w:val="right" w:pos="9026" w:leader="dot"/>
            </w:tabs>
            <w:rPr/>
          </w:pPr>
          <w:hyperlink w:anchor="__RefHeading___Toc3598063_1067777946">
            <w:r>
              <w:rPr>
                <w:webHidden/>
                <w:rStyle w:val="IndexLink"/>
                <w:rtl w:val="true"/>
              </w:rPr>
              <w:t>حكم تعارض ضرر يكى به قسمت و ضرر ديگرى به افراز</w:t>
            </w:r>
            <w:r>
              <w:rPr>
                <w:rStyle w:val="IndexLink"/>
                <w:rtl w:val="true"/>
              </w:rPr>
              <w:tab/>
            </w:r>
            <w:r>
              <w:rPr>
                <w:rStyle w:val="IndexLink"/>
              </w:rPr>
              <w:t>197</w:t>
            </w:r>
          </w:hyperlink>
        </w:p>
        <w:p>
          <w:pPr>
            <w:pStyle w:val="Contents4"/>
            <w:tabs>
              <w:tab w:val="clear" w:pos="8176"/>
              <w:tab w:val="right" w:pos="9026" w:leader="dot"/>
            </w:tabs>
            <w:rPr/>
          </w:pPr>
          <w:hyperlink w:anchor="__RefHeading___Toc3598065_1067777946">
            <w:r>
              <w:rPr>
                <w:webHidden/>
                <w:rStyle w:val="IndexLink"/>
                <w:rtl w:val="true"/>
              </w:rPr>
              <w:t>فرض متضرّر شدن هر دو از قسمت</w:t>
            </w:r>
            <w:r>
              <w:rPr>
                <w:rStyle w:val="IndexLink"/>
                <w:rtl w:val="true"/>
              </w:rPr>
              <w:tab/>
            </w:r>
            <w:r>
              <w:rPr>
                <w:rStyle w:val="IndexLink"/>
              </w:rPr>
              <w:t>197</w:t>
            </w:r>
          </w:hyperlink>
        </w:p>
        <w:p>
          <w:pPr>
            <w:pStyle w:val="Contents4"/>
            <w:tabs>
              <w:tab w:val="clear" w:pos="8176"/>
              <w:tab w:val="right" w:pos="9026" w:leader="dot"/>
            </w:tabs>
            <w:rPr/>
          </w:pPr>
          <w:hyperlink w:anchor="__RefHeading___Toc3598067_1067777946">
            <w:r>
              <w:rPr>
                <w:webHidden/>
                <w:rStyle w:val="IndexLink"/>
                <w:rtl w:val="true"/>
              </w:rPr>
              <w:t>اگر قسمت مستلزم رد عوض باشد</w:t>
            </w:r>
            <w:r>
              <w:rPr>
                <w:rStyle w:val="IndexLink"/>
                <w:rtl w:val="true"/>
              </w:rPr>
              <w:tab/>
            </w:r>
            <w:r>
              <w:rPr>
                <w:rStyle w:val="IndexLink"/>
              </w:rPr>
              <w:t>197</w:t>
            </w:r>
          </w:hyperlink>
        </w:p>
        <w:p>
          <w:pPr>
            <w:pStyle w:val="Contents4"/>
            <w:tabs>
              <w:tab w:val="clear" w:pos="8176"/>
              <w:tab w:val="right" w:pos="9026" w:leader="dot"/>
            </w:tabs>
            <w:rPr/>
          </w:pPr>
          <w:hyperlink w:anchor="__RefHeading___Toc3598069_1067777946">
            <w:r>
              <w:rPr>
                <w:webHidden/>
                <w:rStyle w:val="IndexLink"/>
                <w:rtl w:val="true"/>
              </w:rPr>
              <w:t>مرجع اجبار بر قسمت</w:t>
            </w:r>
            <w:r>
              <w:rPr>
                <w:rStyle w:val="IndexLink"/>
                <w:rtl w:val="true"/>
              </w:rPr>
              <w:tab/>
            </w:r>
            <w:r>
              <w:rPr>
                <w:rStyle w:val="IndexLink"/>
              </w:rPr>
              <w:t>198</w:t>
            </w:r>
          </w:hyperlink>
        </w:p>
        <w:p>
          <w:pPr>
            <w:pStyle w:val="Contents4"/>
            <w:tabs>
              <w:tab w:val="clear" w:pos="8176"/>
              <w:tab w:val="right" w:pos="9026" w:leader="dot"/>
            </w:tabs>
            <w:rPr/>
          </w:pPr>
          <w:hyperlink w:anchor="__RefHeading___Toc3598071_1067777946">
            <w:r>
              <w:rPr>
                <w:webHidden/>
                <w:rStyle w:val="IndexLink"/>
                <w:rtl w:val="true"/>
              </w:rPr>
              <w:t>ملاك ضرر موجب عدم اجبار بر قسمت</w:t>
            </w:r>
            <w:r>
              <w:rPr>
                <w:rStyle w:val="IndexLink"/>
                <w:rtl w:val="true"/>
              </w:rPr>
              <w:tab/>
            </w:r>
            <w:r>
              <w:rPr>
                <w:rStyle w:val="IndexLink"/>
              </w:rPr>
              <w:t>198</w:t>
            </w:r>
          </w:hyperlink>
        </w:p>
        <w:p>
          <w:pPr>
            <w:pStyle w:val="Contents4"/>
            <w:tabs>
              <w:tab w:val="clear" w:pos="8176"/>
              <w:tab w:val="right" w:pos="9026" w:leader="dot"/>
            </w:tabs>
            <w:rPr/>
          </w:pPr>
          <w:hyperlink w:anchor="__RefHeading___Toc3598073_1067777946">
            <w:r>
              <w:rPr>
                <w:webHidden/>
                <w:rStyle w:val="IndexLink"/>
                <w:rtl w:val="true"/>
              </w:rPr>
              <w:t>مجبور بر قسمت در مال محجور و محلّ اخذ اجرت قاسم</w:t>
            </w:r>
            <w:r>
              <w:rPr>
                <w:rStyle w:val="IndexLink"/>
                <w:rtl w:val="true"/>
              </w:rPr>
              <w:tab/>
            </w:r>
            <w:r>
              <w:rPr>
                <w:rStyle w:val="IndexLink"/>
              </w:rPr>
              <w:t>198</w:t>
            </w:r>
          </w:hyperlink>
        </w:p>
        <w:p>
          <w:pPr>
            <w:pStyle w:val="Contents4"/>
            <w:tabs>
              <w:tab w:val="clear" w:pos="8176"/>
              <w:tab w:val="right" w:pos="9026" w:leader="dot"/>
            </w:tabs>
            <w:rPr/>
          </w:pPr>
          <w:hyperlink w:anchor="__RefHeading___Toc3598075_1067777946">
            <w:r>
              <w:rPr>
                <w:webHidden/>
                <w:rStyle w:val="IndexLink"/>
                <w:rtl w:val="true"/>
              </w:rPr>
              <w:t>مسائل قسمت</w:t>
            </w:r>
            <w:r>
              <w:rPr>
                <w:rStyle w:val="IndexLink"/>
                <w:rtl w:val="true"/>
              </w:rPr>
              <w:tab/>
            </w:r>
            <w:r>
              <w:rPr>
                <w:rStyle w:val="IndexLink"/>
              </w:rPr>
              <w:t>198</w:t>
            </w:r>
          </w:hyperlink>
        </w:p>
        <w:p>
          <w:pPr>
            <w:pStyle w:val="Contents5"/>
            <w:tabs>
              <w:tab w:val="clear" w:pos="7892"/>
              <w:tab w:val="right" w:pos="9026" w:leader="dot"/>
            </w:tabs>
            <w:rPr/>
          </w:pPr>
          <w:hyperlink w:anchor="__RefHeading___Toc3598077_1067777946">
            <w:r>
              <w:rPr>
                <w:webHidden/>
                <w:rStyle w:val="IndexLink"/>
                <w:rtl w:val="true"/>
              </w:rPr>
              <w:t>اگر بعد از تقسيم تركه، بدهى ميّت معلوم شود</w:t>
            </w:r>
            <w:r>
              <w:rPr>
                <w:rStyle w:val="IndexLink"/>
                <w:rtl w:val="true"/>
              </w:rPr>
              <w:tab/>
            </w:r>
            <w:r>
              <w:rPr>
                <w:rStyle w:val="IndexLink"/>
              </w:rPr>
              <w:t>198</w:t>
            </w:r>
          </w:hyperlink>
        </w:p>
        <w:p>
          <w:pPr>
            <w:pStyle w:val="Contents5"/>
            <w:tabs>
              <w:tab w:val="clear" w:pos="7892"/>
              <w:tab w:val="right" w:pos="9026" w:leader="dot"/>
            </w:tabs>
            <w:rPr/>
          </w:pPr>
          <w:hyperlink w:anchor="__RefHeading___Toc3598079_1067777946">
            <w:r>
              <w:rPr>
                <w:webHidden/>
                <w:rStyle w:val="IndexLink"/>
                <w:rtl w:val="true"/>
              </w:rPr>
              <w:t>اگر قسمتى از مال مقسوم، مال غير باشد</w:t>
            </w:r>
            <w:r>
              <w:rPr>
                <w:rStyle w:val="IndexLink"/>
                <w:rtl w:val="true"/>
              </w:rPr>
              <w:tab/>
            </w:r>
            <w:r>
              <w:rPr>
                <w:rStyle w:val="IndexLink"/>
              </w:rPr>
              <w:t>199</w:t>
            </w:r>
          </w:hyperlink>
        </w:p>
        <w:p>
          <w:pPr>
            <w:pStyle w:val="Contents5"/>
            <w:tabs>
              <w:tab w:val="clear" w:pos="7892"/>
              <w:tab w:val="right" w:pos="9026" w:leader="dot"/>
            </w:tabs>
            <w:rPr/>
          </w:pPr>
          <w:hyperlink w:anchor="__RefHeading___Toc3598081_1067777946">
            <w:r>
              <w:rPr>
                <w:webHidden/>
                <w:rStyle w:val="IndexLink"/>
                <w:rtl w:val="true"/>
              </w:rPr>
              <w:t>ظهور مالكيّت غير به گونۀ اشاعه</w:t>
            </w:r>
            <w:r>
              <w:rPr>
                <w:rStyle w:val="IndexLink"/>
                <w:rtl w:val="true"/>
              </w:rPr>
              <w:tab/>
            </w:r>
            <w:r>
              <w:rPr>
                <w:rStyle w:val="IndexLink"/>
              </w:rPr>
              <w:t>199</w:t>
            </w:r>
          </w:hyperlink>
        </w:p>
        <w:p>
          <w:pPr>
            <w:pStyle w:val="Contents5"/>
            <w:tabs>
              <w:tab w:val="clear" w:pos="7892"/>
              <w:tab w:val="right" w:pos="9026" w:leader="dot"/>
            </w:tabs>
            <w:rPr/>
          </w:pPr>
          <w:hyperlink w:anchor="__RefHeading___Toc3598083_1067777946">
            <w:r>
              <w:rPr>
                <w:webHidden/>
                <w:rStyle w:val="IndexLink"/>
                <w:rtl w:val="true"/>
              </w:rPr>
              <w:t>عدم صحّت فسخ مگر با رضايت شركا</w:t>
            </w:r>
            <w:r>
              <w:rPr>
                <w:rStyle w:val="IndexLink"/>
                <w:rtl w:val="true"/>
              </w:rPr>
              <w:tab/>
            </w:r>
            <w:r>
              <w:rPr>
                <w:rStyle w:val="IndexLink"/>
              </w:rPr>
              <w:t>200</w:t>
            </w:r>
          </w:hyperlink>
        </w:p>
        <w:p>
          <w:pPr>
            <w:pStyle w:val="Contents5"/>
            <w:tabs>
              <w:tab w:val="clear" w:pos="7892"/>
              <w:tab w:val="right" w:pos="9026" w:leader="dot"/>
            </w:tabs>
            <w:rPr/>
          </w:pPr>
          <w:hyperlink w:anchor="__RefHeading___Toc3598085_1067777946">
            <w:r>
              <w:rPr>
                <w:webHidden/>
                <w:rStyle w:val="IndexLink"/>
                <w:rtl w:val="true"/>
              </w:rPr>
              <w:t>ظهور اشتباه و غلط در قسمت</w:t>
            </w:r>
            <w:r>
              <w:rPr>
                <w:rStyle w:val="IndexLink"/>
                <w:rtl w:val="true"/>
              </w:rPr>
              <w:tab/>
            </w:r>
            <w:r>
              <w:rPr>
                <w:rStyle w:val="IndexLink"/>
              </w:rPr>
              <w:t>200</w:t>
            </w:r>
          </w:hyperlink>
        </w:p>
        <w:p>
          <w:pPr>
            <w:pStyle w:val="Contents5"/>
            <w:tabs>
              <w:tab w:val="clear" w:pos="7892"/>
              <w:tab w:val="right" w:pos="9026" w:leader="dot"/>
            </w:tabs>
            <w:rPr/>
          </w:pPr>
          <w:hyperlink w:anchor="__RefHeading___Toc3598087_1067777946">
            <w:r>
              <w:rPr>
                <w:webHidden/>
                <w:rStyle w:val="IndexLink"/>
                <w:rtl w:val="true"/>
              </w:rPr>
              <w:t>ادعاى غلط در قسمت</w:t>
            </w:r>
            <w:r>
              <w:rPr>
                <w:rStyle w:val="IndexLink"/>
                <w:rtl w:val="true"/>
              </w:rPr>
              <w:tab/>
            </w:r>
            <w:r>
              <w:rPr>
                <w:rStyle w:val="IndexLink"/>
              </w:rPr>
              <w:t>200</w:t>
            </w:r>
          </w:hyperlink>
        </w:p>
        <w:p>
          <w:pPr>
            <w:pStyle w:val="Contents5"/>
            <w:tabs>
              <w:tab w:val="clear" w:pos="7892"/>
              <w:tab w:val="right" w:pos="9026" w:leader="dot"/>
            </w:tabs>
            <w:rPr/>
          </w:pPr>
          <w:hyperlink w:anchor="__RefHeading___Toc3598089_1067777946">
            <w:r>
              <w:rPr>
                <w:webHidden/>
                <w:rStyle w:val="IndexLink"/>
                <w:rtl w:val="true"/>
              </w:rPr>
              <w:t>اگر در وقت قسمت، تركه ميت عين مال بعض طلبكاران موجود باشد</w:t>
            </w:r>
            <w:r>
              <w:rPr>
                <w:rStyle w:val="IndexLink"/>
                <w:rtl w:val="true"/>
              </w:rPr>
              <w:tab/>
            </w:r>
            <w:r>
              <w:rPr>
                <w:rStyle w:val="IndexLink"/>
              </w:rPr>
              <w:t>200</w:t>
            </w:r>
          </w:hyperlink>
        </w:p>
        <w:p>
          <w:pPr>
            <w:pStyle w:val="Contents5"/>
            <w:tabs>
              <w:tab w:val="clear" w:pos="7892"/>
              <w:tab w:val="right" w:pos="9026" w:leader="dot"/>
            </w:tabs>
            <w:rPr/>
          </w:pPr>
          <w:hyperlink w:anchor="__RefHeading___Toc3598091_1067777946">
            <w:r>
              <w:rPr>
                <w:webHidden/>
                <w:rStyle w:val="IndexLink"/>
                <w:rtl w:val="true"/>
              </w:rPr>
              <w:t>جواز اخذ عين مال از محجور عليه و مفلس در مقام قسمت</w:t>
            </w:r>
            <w:r>
              <w:rPr>
                <w:rStyle w:val="IndexLink"/>
                <w:rtl w:val="true"/>
              </w:rPr>
              <w:tab/>
            </w:r>
            <w:r>
              <w:rPr>
                <w:rStyle w:val="IndexLink"/>
              </w:rPr>
              <w:t>201</w:t>
            </w:r>
          </w:hyperlink>
        </w:p>
        <w:p>
          <w:pPr>
            <w:pStyle w:val="Contents5"/>
            <w:tabs>
              <w:tab w:val="clear" w:pos="7892"/>
              <w:tab w:val="right" w:pos="9026" w:leader="dot"/>
            </w:tabs>
            <w:rPr/>
          </w:pPr>
          <w:hyperlink w:anchor="__RefHeading___Toc3598093_1067777946">
            <w:r>
              <w:rPr>
                <w:webHidden/>
                <w:rStyle w:val="IndexLink"/>
                <w:rtl w:val="true"/>
              </w:rPr>
              <w:t>موارد جواز و عدم جواز قسمت وقف</w:t>
            </w:r>
            <w:r>
              <w:rPr>
                <w:rStyle w:val="IndexLink"/>
                <w:rtl w:val="true"/>
              </w:rPr>
              <w:tab/>
            </w:r>
            <w:r>
              <w:rPr>
                <w:rStyle w:val="IndexLink"/>
              </w:rPr>
              <w:t>201</w:t>
            </w:r>
          </w:hyperlink>
        </w:p>
        <w:p>
          <w:pPr>
            <w:pStyle w:val="Contents5"/>
            <w:tabs>
              <w:tab w:val="clear" w:pos="7892"/>
              <w:tab w:val="right" w:pos="9026" w:leader="dot"/>
            </w:tabs>
            <w:rPr/>
          </w:pPr>
          <w:hyperlink w:anchor="__RefHeading___Toc3598095_1067777946">
            <w:r>
              <w:rPr>
                <w:webHidden/>
                <w:rStyle w:val="IndexLink"/>
                <w:rtl w:val="true"/>
              </w:rPr>
              <w:t>مسائلى از شركت</w:t>
            </w:r>
            <w:r>
              <w:rPr>
                <w:rStyle w:val="IndexLink"/>
                <w:rtl w:val="true"/>
              </w:rPr>
              <w:tab/>
            </w:r>
            <w:r>
              <w:rPr>
                <w:rStyle w:val="IndexLink"/>
              </w:rPr>
              <w:t>201</w:t>
            </w:r>
          </w:hyperlink>
        </w:p>
        <w:p>
          <w:pPr>
            <w:pStyle w:val="Contents5"/>
            <w:tabs>
              <w:tab w:val="clear" w:pos="7892"/>
              <w:tab w:val="right" w:pos="9026" w:leader="dot"/>
            </w:tabs>
            <w:rPr/>
          </w:pPr>
          <w:hyperlink w:anchor="__RefHeading___Toc3598097_1067777946">
            <w:r>
              <w:rPr>
                <w:webHidden/>
                <w:rStyle w:val="IndexLink"/>
                <w:rtl w:val="true"/>
              </w:rPr>
              <w:t>جايز بودن عقد شركت</w:t>
            </w:r>
            <w:r>
              <w:rPr>
                <w:rStyle w:val="IndexLink"/>
                <w:rtl w:val="true"/>
              </w:rPr>
              <w:tab/>
            </w:r>
            <w:r>
              <w:rPr>
                <w:rStyle w:val="IndexLink"/>
              </w:rPr>
              <w:t>201</w:t>
            </w:r>
          </w:hyperlink>
        </w:p>
        <w:p>
          <w:pPr>
            <w:pStyle w:val="Contents5"/>
            <w:tabs>
              <w:tab w:val="clear" w:pos="7892"/>
              <w:tab w:val="right" w:pos="9026" w:leader="dot"/>
            </w:tabs>
            <w:rPr/>
          </w:pPr>
          <w:hyperlink w:anchor="__RefHeading___Toc3598099_1067777946">
            <w:r>
              <w:rPr>
                <w:webHidden/>
                <w:rStyle w:val="IndexLink"/>
                <w:rtl w:val="true"/>
              </w:rPr>
              <w:t>امين بودن شريك</w:t>
            </w:r>
            <w:r>
              <w:rPr>
                <w:rStyle w:val="IndexLink"/>
                <w:rtl w:val="true"/>
              </w:rPr>
              <w:tab/>
            </w:r>
            <w:r>
              <w:rPr>
                <w:rStyle w:val="IndexLink"/>
              </w:rPr>
              <w:t>202</w:t>
            </w:r>
          </w:hyperlink>
        </w:p>
        <w:p>
          <w:pPr>
            <w:pStyle w:val="Contents5"/>
            <w:tabs>
              <w:tab w:val="clear" w:pos="7892"/>
              <w:tab w:val="right" w:pos="9026" w:leader="dot"/>
            </w:tabs>
            <w:rPr/>
          </w:pPr>
          <w:hyperlink w:anchor="__RefHeading___Toc3598101_1067777946">
            <w:r>
              <w:rPr>
                <w:webHidden/>
                <w:rStyle w:val="IndexLink"/>
                <w:rtl w:val="true"/>
              </w:rPr>
              <w:t>تأجيل شركت و حكم شرط عدم رجوع</w:t>
            </w:r>
            <w:r>
              <w:rPr>
                <w:rStyle w:val="IndexLink"/>
                <w:rtl w:val="true"/>
              </w:rPr>
              <w:tab/>
            </w:r>
            <w:r>
              <w:rPr>
                <w:rStyle w:val="IndexLink"/>
              </w:rPr>
              <w:t>202</w:t>
            </w:r>
          </w:hyperlink>
        </w:p>
        <w:p>
          <w:pPr>
            <w:pStyle w:val="Contents3"/>
            <w:tabs>
              <w:tab w:val="clear" w:pos="8459"/>
              <w:tab w:val="right" w:pos="9026" w:leader="dot"/>
            </w:tabs>
            <w:rPr/>
          </w:pPr>
          <w:hyperlink w:anchor="__RefHeading___Toc3598103_1067777946">
            <w:r>
              <w:rPr>
                <w:webHidden/>
                <w:rStyle w:val="IndexLink"/>
                <w:rtl w:val="true"/>
              </w:rPr>
              <w:t>فصل سوّم در لواحق شركت</w:t>
            </w:r>
            <w:r>
              <w:rPr>
                <w:rStyle w:val="IndexLink"/>
                <w:rtl w:val="true"/>
              </w:rPr>
              <w:tab/>
            </w:r>
            <w:r>
              <w:rPr>
                <w:rStyle w:val="IndexLink"/>
              </w:rPr>
              <w:t>203</w:t>
            </w:r>
          </w:hyperlink>
        </w:p>
        <w:p>
          <w:pPr>
            <w:pStyle w:val="Contents4"/>
            <w:tabs>
              <w:tab w:val="clear" w:pos="8176"/>
              <w:tab w:val="right" w:pos="9026" w:leader="dot"/>
            </w:tabs>
            <w:rPr/>
          </w:pPr>
          <w:hyperlink w:anchor="__RefHeading___Toc3598105_1067777946">
            <w:r>
              <w:rPr>
                <w:webHidden/>
                <w:rStyle w:val="IndexLink"/>
                <w:rtl w:val="true"/>
              </w:rPr>
              <w:t>جواز شركت در منفعت بين مالك دابّه و سقّا</w:t>
            </w:r>
            <w:r>
              <w:rPr>
                <w:rStyle w:val="IndexLink"/>
                <w:rtl w:val="true"/>
              </w:rPr>
              <w:tab/>
            </w:r>
            <w:r>
              <w:rPr>
                <w:rStyle w:val="IndexLink"/>
              </w:rPr>
              <w:t>203</w:t>
            </w:r>
          </w:hyperlink>
        </w:p>
        <w:p>
          <w:pPr>
            <w:pStyle w:val="Contents4"/>
            <w:tabs>
              <w:tab w:val="clear" w:pos="8176"/>
              <w:tab w:val="right" w:pos="9026" w:leader="dot"/>
            </w:tabs>
            <w:rPr/>
          </w:pPr>
          <w:hyperlink w:anchor="__RefHeading___Toc3598107_1067777946">
            <w:r>
              <w:rPr>
                <w:webHidden/>
                <w:rStyle w:val="IndexLink"/>
                <w:rtl w:val="true"/>
              </w:rPr>
              <w:t>اگر شركت فقط در عين آب بود</w:t>
            </w:r>
            <w:r>
              <w:rPr>
                <w:rStyle w:val="IndexLink"/>
                <w:rtl w:val="true"/>
              </w:rPr>
              <w:tab/>
            </w:r>
            <w:r>
              <w:rPr>
                <w:rStyle w:val="IndexLink"/>
              </w:rPr>
              <w:t>203</w:t>
            </w:r>
          </w:hyperlink>
        </w:p>
        <w:p>
          <w:pPr>
            <w:pStyle w:val="Contents4"/>
            <w:tabs>
              <w:tab w:val="clear" w:pos="8176"/>
              <w:tab w:val="right" w:pos="9026" w:leader="dot"/>
            </w:tabs>
            <w:rPr/>
          </w:pPr>
          <w:hyperlink w:anchor="__RefHeading___Toc3598109_1067777946">
            <w:r>
              <w:rPr>
                <w:webHidden/>
                <w:rStyle w:val="IndexLink"/>
                <w:rtl w:val="true"/>
              </w:rPr>
              <w:t>احكام وكالت در حيازت</w:t>
            </w:r>
            <w:r>
              <w:rPr>
                <w:rStyle w:val="IndexLink"/>
                <w:rtl w:val="true"/>
              </w:rPr>
              <w:tab/>
            </w:r>
            <w:r>
              <w:rPr>
                <w:rStyle w:val="IndexLink"/>
              </w:rPr>
              <w:t>204</w:t>
            </w:r>
          </w:hyperlink>
        </w:p>
        <w:p>
          <w:pPr>
            <w:pStyle w:val="Contents4"/>
            <w:tabs>
              <w:tab w:val="clear" w:pos="8176"/>
              <w:tab w:val="right" w:pos="9026" w:leader="dot"/>
            </w:tabs>
            <w:rPr/>
          </w:pPr>
          <w:hyperlink w:anchor="__RefHeading___Toc3598111_1067777946">
            <w:r>
              <w:rPr>
                <w:webHidden/>
                <w:rStyle w:val="IndexLink"/>
                <w:rtl w:val="true"/>
              </w:rPr>
              <w:t>جواز اختصاص عامل به سود بيشتر در مال مشترك به تنصيف</w:t>
            </w:r>
            <w:r>
              <w:rPr>
                <w:rStyle w:val="IndexLink"/>
                <w:rtl w:val="true"/>
              </w:rPr>
              <w:tab/>
            </w:r>
            <w:r>
              <w:rPr>
                <w:rStyle w:val="IndexLink"/>
              </w:rPr>
              <w:t>204</w:t>
            </w:r>
          </w:hyperlink>
        </w:p>
        <w:p>
          <w:pPr>
            <w:pStyle w:val="Contents4"/>
            <w:tabs>
              <w:tab w:val="clear" w:pos="8176"/>
              <w:tab w:val="right" w:pos="9026" w:leader="dot"/>
            </w:tabs>
            <w:rPr/>
          </w:pPr>
          <w:hyperlink w:anchor="__RefHeading___Toc3598113_1067777946">
            <w:r>
              <w:rPr>
                <w:webHidden/>
                <w:rStyle w:val="IndexLink"/>
                <w:rtl w:val="true"/>
              </w:rPr>
              <w:t>موارد تقديم قول خريدار يا شريك</w:t>
            </w:r>
            <w:r>
              <w:rPr>
                <w:rStyle w:val="IndexLink"/>
                <w:rtl w:val="true"/>
              </w:rPr>
              <w:tab/>
            </w:r>
            <w:r>
              <w:rPr>
                <w:rStyle w:val="IndexLink"/>
              </w:rPr>
              <w:t>205</w:t>
            </w:r>
          </w:hyperlink>
        </w:p>
        <w:p>
          <w:pPr>
            <w:pStyle w:val="Contents4"/>
            <w:tabs>
              <w:tab w:val="clear" w:pos="8176"/>
              <w:tab w:val="right" w:pos="9026" w:leader="dot"/>
            </w:tabs>
            <w:rPr/>
          </w:pPr>
          <w:hyperlink w:anchor="__RefHeading___Toc3598115_1067777946">
            <w:r>
              <w:rPr>
                <w:webHidden/>
                <w:rStyle w:val="IndexLink"/>
                <w:rtl w:val="true"/>
              </w:rPr>
              <w:t>فروض اختلاف در قبض ثمن توسط مشترى</w:t>
            </w:r>
            <w:r>
              <w:rPr>
                <w:rStyle w:val="IndexLink"/>
                <w:rtl w:val="true"/>
              </w:rPr>
              <w:tab/>
            </w:r>
            <w:r>
              <w:rPr>
                <w:rStyle w:val="IndexLink"/>
              </w:rPr>
              <w:t>205</w:t>
            </w:r>
          </w:hyperlink>
        </w:p>
        <w:p>
          <w:pPr>
            <w:pStyle w:val="Contents4"/>
            <w:tabs>
              <w:tab w:val="clear" w:pos="8176"/>
              <w:tab w:val="right" w:pos="9026" w:leader="dot"/>
            </w:tabs>
            <w:rPr/>
          </w:pPr>
          <w:hyperlink w:anchor="__RefHeading___Toc3598117_1067777946">
            <w:r>
              <w:rPr>
                <w:webHidden/>
                <w:rStyle w:val="IndexLink"/>
                <w:rtl w:val="true"/>
              </w:rPr>
              <w:t>اگر شريك مأذون از بايع نباشد</w:t>
            </w:r>
            <w:r>
              <w:rPr>
                <w:rStyle w:val="IndexLink"/>
                <w:rtl w:val="true"/>
              </w:rPr>
              <w:tab/>
            </w:r>
            <w:r>
              <w:rPr>
                <w:rStyle w:val="IndexLink"/>
              </w:rPr>
              <w:t>207</w:t>
            </w:r>
          </w:hyperlink>
        </w:p>
        <w:p>
          <w:pPr>
            <w:pStyle w:val="Contents4"/>
            <w:tabs>
              <w:tab w:val="clear" w:pos="8176"/>
              <w:tab w:val="right" w:pos="9026" w:leader="dot"/>
            </w:tabs>
            <w:rPr/>
          </w:pPr>
          <w:hyperlink w:anchor="__RefHeading___Toc3598119_1067777946">
            <w:r>
              <w:rPr>
                <w:webHidden/>
                <w:rStyle w:val="IndexLink"/>
                <w:rtl w:val="true"/>
              </w:rPr>
              <w:t>صحّت بيع دو شيء مختلف القيمه به ثمن واحد</w:t>
            </w:r>
            <w:r>
              <w:rPr>
                <w:rStyle w:val="IndexLink"/>
                <w:rtl w:val="true"/>
              </w:rPr>
              <w:tab/>
            </w:r>
            <w:r>
              <w:rPr>
                <w:rStyle w:val="IndexLink"/>
              </w:rPr>
              <w:t>207</w:t>
            </w:r>
          </w:hyperlink>
        </w:p>
        <w:p>
          <w:pPr>
            <w:pStyle w:val="Contents4"/>
            <w:tabs>
              <w:tab w:val="clear" w:pos="8176"/>
              <w:tab w:val="right" w:pos="9026" w:leader="dot"/>
            </w:tabs>
            <w:rPr/>
          </w:pPr>
          <w:hyperlink w:anchor="__RefHeading___Toc3598121_1067777946">
            <w:r>
              <w:rPr>
                <w:webHidden/>
                <w:rStyle w:val="IndexLink"/>
                <w:rtl w:val="true"/>
              </w:rPr>
              <w:t>بطلان شركت در ابدان و صحّت اجارۀ آن</w:t>
            </w:r>
            <w:r>
              <w:rPr>
                <w:rStyle w:val="IndexLink"/>
                <w:rtl w:val="true"/>
              </w:rPr>
              <w:tab/>
            </w:r>
            <w:r>
              <w:rPr>
                <w:rStyle w:val="IndexLink"/>
              </w:rPr>
              <w:t>208</w:t>
            </w:r>
          </w:hyperlink>
        </w:p>
        <w:p>
          <w:pPr>
            <w:pStyle w:val="Contents4"/>
            <w:tabs>
              <w:tab w:val="clear" w:pos="8176"/>
              <w:tab w:val="right" w:pos="9026" w:leader="dot"/>
            </w:tabs>
            <w:rPr/>
          </w:pPr>
          <w:hyperlink w:anchor="__RefHeading___Toc3598123_1067777946">
            <w:r>
              <w:rPr>
                <w:webHidden/>
                <w:rStyle w:val="IndexLink"/>
                <w:rtl w:val="true"/>
              </w:rPr>
              <w:t>حكم شركت در ما فى الذّمة</w:t>
            </w:r>
            <w:r>
              <w:rPr>
                <w:rStyle w:val="IndexLink"/>
                <w:rtl w:val="true"/>
              </w:rPr>
              <w:tab/>
            </w:r>
            <w:r>
              <w:rPr>
                <w:rStyle w:val="IndexLink"/>
              </w:rPr>
              <w:t>209</w:t>
            </w:r>
          </w:hyperlink>
        </w:p>
        <w:p>
          <w:pPr>
            <w:pStyle w:val="Contents4"/>
            <w:tabs>
              <w:tab w:val="clear" w:pos="8176"/>
              <w:tab w:val="right" w:pos="9026" w:leader="dot"/>
            </w:tabs>
            <w:rPr/>
          </w:pPr>
          <w:hyperlink w:anchor="__RefHeading___Toc3598125_1067777946">
            <w:r>
              <w:rPr>
                <w:webHidden/>
                <w:rStyle w:val="IndexLink"/>
                <w:rtl w:val="true"/>
              </w:rPr>
              <w:t>صحّت مالكيّت با حيازت اجير به نيّت مستأجر</w:t>
            </w:r>
            <w:r>
              <w:rPr>
                <w:rStyle w:val="IndexLink"/>
                <w:rtl w:val="true"/>
              </w:rPr>
              <w:tab/>
            </w:r>
            <w:r>
              <w:rPr>
                <w:rStyle w:val="IndexLink"/>
              </w:rPr>
              <w:t>209</w:t>
            </w:r>
          </w:hyperlink>
        </w:p>
        <w:p>
          <w:pPr>
            <w:pStyle w:val="Contents2"/>
            <w:tabs>
              <w:tab w:val="clear" w:pos="8743"/>
              <w:tab w:val="right" w:pos="9026" w:leader="dot"/>
            </w:tabs>
            <w:rPr/>
          </w:pPr>
          <w:hyperlink w:anchor="__RefHeading___Toc3598127_1067777946">
            <w:r>
              <w:rPr>
                <w:webHidden/>
                <w:rStyle w:val="IndexLink"/>
                <w:rtl w:val="true"/>
              </w:rPr>
              <w:t>كتاب مضاربه</w:t>
            </w:r>
            <w:r>
              <w:rPr>
                <w:rStyle w:val="IndexLink"/>
                <w:rtl w:val="true"/>
              </w:rPr>
              <w:tab/>
            </w:r>
            <w:r>
              <w:rPr>
                <w:rStyle w:val="IndexLink"/>
              </w:rPr>
              <w:t>212</w:t>
            </w:r>
          </w:hyperlink>
        </w:p>
        <w:p>
          <w:pPr>
            <w:pStyle w:val="Contents3"/>
            <w:tabs>
              <w:tab w:val="clear" w:pos="8459"/>
              <w:tab w:val="right" w:pos="9026" w:leader="dot"/>
            </w:tabs>
            <w:rPr/>
          </w:pPr>
          <w:hyperlink w:anchor="__RefHeading___Toc3598129_1067777946">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3598131_1067777946">
            <w:r>
              <w:rPr>
                <w:webHidden/>
                <w:rStyle w:val="IndexLink"/>
                <w:rtl w:val="true"/>
              </w:rPr>
              <w:t>فصل اوّل عقد مضاربه و شرايط آن</w:t>
            </w:r>
            <w:r>
              <w:rPr>
                <w:rStyle w:val="IndexLink"/>
                <w:rtl w:val="true"/>
              </w:rPr>
              <w:tab/>
            </w:r>
            <w:r>
              <w:rPr>
                <w:rStyle w:val="IndexLink"/>
              </w:rPr>
              <w:t>214</w:t>
            </w:r>
          </w:hyperlink>
        </w:p>
        <w:p>
          <w:pPr>
            <w:pStyle w:val="Contents4"/>
            <w:tabs>
              <w:tab w:val="clear" w:pos="8176"/>
              <w:tab w:val="right" w:pos="9026" w:leader="dot"/>
            </w:tabs>
            <w:rPr/>
          </w:pPr>
          <w:hyperlink w:anchor="__RefHeading___Toc3598133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598135_1067777946">
            <w:r>
              <w:rPr>
                <w:webHidden/>
                <w:rStyle w:val="IndexLink"/>
                <w:rtl w:val="true"/>
              </w:rPr>
              <w:t>مراد از مضاربه و فرق آن با قرض و بضاعت</w:t>
            </w:r>
            <w:r>
              <w:rPr>
                <w:rStyle w:val="IndexLink"/>
                <w:rtl w:val="true"/>
              </w:rPr>
              <w:tab/>
            </w:r>
            <w:r>
              <w:rPr>
                <w:rStyle w:val="IndexLink"/>
              </w:rPr>
              <w:t>214</w:t>
            </w:r>
          </w:hyperlink>
        </w:p>
        <w:p>
          <w:pPr>
            <w:pStyle w:val="Contents4"/>
            <w:tabs>
              <w:tab w:val="clear" w:pos="8176"/>
              <w:tab w:val="right" w:pos="9026" w:leader="dot"/>
            </w:tabs>
            <w:rPr/>
          </w:pPr>
          <w:hyperlink w:anchor="__RefHeading___Toc3598137_1067777946">
            <w:r>
              <w:rPr>
                <w:webHidden/>
                <w:rStyle w:val="IndexLink"/>
                <w:rtl w:val="true"/>
              </w:rPr>
              <w:t>صيغۀ مضاربه</w:t>
            </w:r>
            <w:r>
              <w:rPr>
                <w:rStyle w:val="IndexLink"/>
                <w:rtl w:val="true"/>
              </w:rPr>
              <w:tab/>
            </w:r>
            <w:r>
              <w:rPr>
                <w:rStyle w:val="IndexLink"/>
              </w:rPr>
              <w:t>215</w:t>
            </w:r>
          </w:hyperlink>
        </w:p>
        <w:p>
          <w:pPr>
            <w:pStyle w:val="Contents4"/>
            <w:tabs>
              <w:tab w:val="clear" w:pos="8176"/>
              <w:tab w:val="right" w:pos="9026" w:leader="dot"/>
            </w:tabs>
            <w:rPr/>
          </w:pPr>
          <w:hyperlink w:anchor="__RefHeading___Toc3598139_1067777946">
            <w:r>
              <w:rPr>
                <w:webHidden/>
                <w:rStyle w:val="IndexLink"/>
                <w:rtl w:val="true"/>
              </w:rPr>
              <w:t>جريان معاطات در مضاربه</w:t>
            </w:r>
            <w:r>
              <w:rPr>
                <w:rStyle w:val="IndexLink"/>
                <w:rtl w:val="true"/>
              </w:rPr>
              <w:tab/>
            </w:r>
            <w:r>
              <w:rPr>
                <w:rStyle w:val="IndexLink"/>
              </w:rPr>
              <w:t>215</w:t>
            </w:r>
          </w:hyperlink>
        </w:p>
        <w:p>
          <w:pPr>
            <w:pStyle w:val="Contents4"/>
            <w:tabs>
              <w:tab w:val="clear" w:pos="8176"/>
              <w:tab w:val="right" w:pos="9026" w:leader="dot"/>
            </w:tabs>
            <w:rPr/>
          </w:pPr>
          <w:hyperlink w:anchor="__RefHeading___Toc3598141_1067777946">
            <w:r>
              <w:rPr>
                <w:webHidden/>
                <w:rStyle w:val="IndexLink"/>
                <w:rtl w:val="true"/>
              </w:rPr>
              <w:t>اعتبار هر چه در وحدت فعليّۀ معامله معتبر است</w:t>
            </w:r>
            <w:r>
              <w:rPr>
                <w:rStyle w:val="IndexLink"/>
                <w:rtl w:val="true"/>
              </w:rPr>
              <w:tab/>
            </w:r>
            <w:r>
              <w:rPr>
                <w:rStyle w:val="IndexLink"/>
              </w:rPr>
              <w:t>215</w:t>
            </w:r>
          </w:hyperlink>
        </w:p>
        <w:p>
          <w:pPr>
            <w:pStyle w:val="Contents4"/>
            <w:tabs>
              <w:tab w:val="clear" w:pos="8176"/>
              <w:tab w:val="right" w:pos="9026" w:leader="dot"/>
            </w:tabs>
            <w:rPr/>
          </w:pPr>
          <w:hyperlink w:anchor="__RefHeading___Toc3598143_1067777946">
            <w:r>
              <w:rPr>
                <w:webHidden/>
                <w:rStyle w:val="IndexLink"/>
                <w:rtl w:val="true"/>
              </w:rPr>
              <w:t>جايز بودن عقد مضاربه</w:t>
            </w:r>
            <w:r>
              <w:rPr>
                <w:rStyle w:val="IndexLink"/>
                <w:rtl w:val="true"/>
              </w:rPr>
              <w:tab/>
            </w:r>
            <w:r>
              <w:rPr>
                <w:rStyle w:val="IndexLink"/>
              </w:rPr>
              <w:t>215</w:t>
            </w:r>
          </w:hyperlink>
        </w:p>
        <w:p>
          <w:pPr>
            <w:pStyle w:val="Contents4"/>
            <w:tabs>
              <w:tab w:val="clear" w:pos="8176"/>
              <w:tab w:val="right" w:pos="9026" w:leader="dot"/>
            </w:tabs>
            <w:rPr/>
          </w:pPr>
          <w:hyperlink w:anchor="__RefHeading___Toc3598145_1067777946">
            <w:r>
              <w:rPr>
                <w:webHidden/>
                <w:rStyle w:val="IndexLink"/>
                <w:rtl w:val="true"/>
              </w:rPr>
              <w:t>بعضى از شروط ضمن عقد مضاربه و احكام آن</w:t>
            </w:r>
            <w:r>
              <w:rPr>
                <w:rStyle w:val="IndexLink"/>
                <w:rtl w:val="true"/>
              </w:rPr>
              <w:tab/>
            </w:r>
            <w:r>
              <w:rPr>
                <w:rStyle w:val="IndexLink"/>
              </w:rPr>
              <w:t>216</w:t>
            </w:r>
          </w:hyperlink>
        </w:p>
        <w:p>
          <w:pPr>
            <w:pStyle w:val="Contents4"/>
            <w:tabs>
              <w:tab w:val="clear" w:pos="8176"/>
              <w:tab w:val="right" w:pos="9026" w:leader="dot"/>
            </w:tabs>
            <w:rPr/>
          </w:pPr>
          <w:hyperlink w:anchor="__RefHeading___Toc3598147_1067777946">
            <w:r>
              <w:rPr>
                <w:webHidden/>
                <w:rStyle w:val="IndexLink"/>
                <w:rtl w:val="true"/>
              </w:rPr>
              <w:t>آنچه در عقد مضاربه معتبر است</w:t>
            </w:r>
            <w:r>
              <w:rPr>
                <w:rStyle w:val="IndexLink"/>
                <w:rtl w:val="true"/>
              </w:rPr>
              <w:tab/>
            </w:r>
            <w:r>
              <w:rPr>
                <w:rStyle w:val="IndexLink"/>
              </w:rPr>
              <w:t>216</w:t>
            </w:r>
          </w:hyperlink>
        </w:p>
        <w:p>
          <w:pPr>
            <w:pStyle w:val="Contents4"/>
            <w:tabs>
              <w:tab w:val="clear" w:pos="8176"/>
              <w:tab w:val="right" w:pos="9026" w:leader="dot"/>
            </w:tabs>
            <w:rPr/>
          </w:pPr>
          <w:hyperlink w:anchor="__RefHeading___Toc3598149_1067777946">
            <w:r>
              <w:rPr>
                <w:webHidden/>
                <w:rStyle w:val="IndexLink"/>
                <w:rtl w:val="true"/>
              </w:rPr>
              <w:t>چند مسأله</w:t>
            </w:r>
            <w:r>
              <w:rPr>
                <w:rStyle w:val="IndexLink"/>
                <w:rtl w:val="true"/>
              </w:rPr>
              <w:tab/>
            </w:r>
            <w:r>
              <w:rPr>
                <w:rStyle w:val="IndexLink"/>
              </w:rPr>
              <w:t>217</w:t>
            </w:r>
          </w:hyperlink>
        </w:p>
        <w:p>
          <w:pPr>
            <w:pStyle w:val="Contents5"/>
            <w:tabs>
              <w:tab w:val="clear" w:pos="7892"/>
              <w:tab w:val="right" w:pos="9026" w:leader="dot"/>
            </w:tabs>
            <w:rPr/>
          </w:pPr>
          <w:hyperlink w:anchor="__RefHeading___Toc3598151_1067777946">
            <w:r>
              <w:rPr>
                <w:webHidden/>
                <w:rStyle w:val="IndexLink"/>
                <w:rtl w:val="true"/>
              </w:rPr>
              <w:t>موارد فسخ و عدم فسخ شرط به فسخ اصل مضاربه</w:t>
            </w:r>
            <w:r>
              <w:rPr>
                <w:rStyle w:val="IndexLink"/>
                <w:rtl w:val="true"/>
              </w:rPr>
              <w:tab/>
            </w:r>
            <w:r>
              <w:rPr>
                <w:rStyle w:val="IndexLink"/>
              </w:rPr>
              <w:t>217</w:t>
            </w:r>
          </w:hyperlink>
        </w:p>
        <w:p>
          <w:pPr>
            <w:pStyle w:val="Contents5"/>
            <w:tabs>
              <w:tab w:val="clear" w:pos="7892"/>
              <w:tab w:val="right" w:pos="9026" w:leader="dot"/>
            </w:tabs>
            <w:rPr/>
          </w:pPr>
          <w:hyperlink w:anchor="__RefHeading___Toc3598153_1067777946">
            <w:r>
              <w:rPr>
                <w:webHidden/>
                <w:rStyle w:val="IndexLink"/>
                <w:rtl w:val="true"/>
              </w:rPr>
              <w:t>بعضى از شروط جايز ضمن عقد</w:t>
            </w:r>
            <w:r>
              <w:rPr>
                <w:rStyle w:val="IndexLink"/>
                <w:rtl w:val="true"/>
              </w:rPr>
              <w:tab/>
            </w:r>
            <w:r>
              <w:rPr>
                <w:rStyle w:val="IndexLink"/>
              </w:rPr>
              <w:t>218</w:t>
            </w:r>
          </w:hyperlink>
        </w:p>
        <w:p>
          <w:pPr>
            <w:pStyle w:val="Contents5"/>
            <w:tabs>
              <w:tab w:val="clear" w:pos="7892"/>
              <w:tab w:val="right" w:pos="9026" w:leader="dot"/>
            </w:tabs>
            <w:rPr/>
          </w:pPr>
          <w:hyperlink w:anchor="__RefHeading___Toc3598155_1067777946">
            <w:r>
              <w:rPr>
                <w:webHidden/>
                <w:rStyle w:val="IndexLink"/>
                <w:rtl w:val="true"/>
              </w:rPr>
              <w:t>انصراف اطلاق اذن، به تجارات معموله</w:t>
            </w:r>
            <w:r>
              <w:rPr>
                <w:rStyle w:val="IndexLink"/>
                <w:rtl w:val="true"/>
              </w:rPr>
              <w:tab/>
            </w:r>
            <w:r>
              <w:rPr>
                <w:rStyle w:val="IndexLink"/>
              </w:rPr>
              <w:t>218</w:t>
            </w:r>
          </w:hyperlink>
        </w:p>
        <w:p>
          <w:pPr>
            <w:pStyle w:val="Contents5"/>
            <w:tabs>
              <w:tab w:val="clear" w:pos="7892"/>
              <w:tab w:val="right" w:pos="9026" w:leader="dot"/>
            </w:tabs>
            <w:rPr/>
          </w:pPr>
          <w:hyperlink w:anchor="__RefHeading___Toc3598157_1067777946">
            <w:r>
              <w:rPr>
                <w:webHidden/>
                <w:rStyle w:val="IndexLink"/>
                <w:rtl w:val="true"/>
              </w:rPr>
              <w:t>هزينۀ عامل</w:t>
            </w:r>
            <w:r>
              <w:rPr>
                <w:rStyle w:val="IndexLink"/>
                <w:rtl w:val="true"/>
              </w:rPr>
              <w:tab/>
            </w:r>
            <w:r>
              <w:rPr>
                <w:rStyle w:val="IndexLink"/>
              </w:rPr>
              <w:t>218</w:t>
            </w:r>
          </w:hyperlink>
        </w:p>
        <w:p>
          <w:pPr>
            <w:pStyle w:val="Contents5"/>
            <w:tabs>
              <w:tab w:val="clear" w:pos="7892"/>
              <w:tab w:val="right" w:pos="9026" w:leader="dot"/>
            </w:tabs>
            <w:rPr/>
          </w:pPr>
          <w:hyperlink w:anchor="__RefHeading___Toc3598159_1067777946">
            <w:r>
              <w:rPr>
                <w:webHidden/>
                <w:rStyle w:val="IndexLink"/>
                <w:rtl w:val="true"/>
              </w:rPr>
              <w:t>توزيع هزينه در مسافرتِ به دو مقصود</w:t>
            </w:r>
            <w:r>
              <w:rPr>
                <w:rStyle w:val="IndexLink"/>
                <w:rtl w:val="true"/>
              </w:rPr>
              <w:tab/>
            </w:r>
            <w:r>
              <w:rPr>
                <w:rStyle w:val="IndexLink"/>
              </w:rPr>
              <w:t>219</w:t>
            </w:r>
          </w:hyperlink>
        </w:p>
        <w:p>
          <w:pPr>
            <w:pStyle w:val="Contents5"/>
            <w:tabs>
              <w:tab w:val="clear" w:pos="7892"/>
              <w:tab w:val="right" w:pos="9026" w:leader="dot"/>
            </w:tabs>
            <w:rPr/>
          </w:pPr>
          <w:hyperlink w:anchor="__RefHeading___Toc3598161_1067777946">
            <w:r>
              <w:rPr>
                <w:webHidden/>
                <w:rStyle w:val="IndexLink"/>
                <w:rtl w:val="true"/>
              </w:rPr>
              <w:t>شرط نفقه و كمال نفقه</w:t>
            </w:r>
            <w:r>
              <w:rPr>
                <w:rStyle w:val="IndexLink"/>
                <w:rtl w:val="true"/>
              </w:rPr>
              <w:tab/>
            </w:r>
            <w:r>
              <w:rPr>
                <w:rStyle w:val="IndexLink"/>
              </w:rPr>
              <w:t>220</w:t>
            </w:r>
          </w:hyperlink>
        </w:p>
        <w:p>
          <w:pPr>
            <w:pStyle w:val="Contents5"/>
            <w:tabs>
              <w:tab w:val="clear" w:pos="7892"/>
              <w:tab w:val="right" w:pos="9026" w:leader="dot"/>
            </w:tabs>
            <w:rPr/>
          </w:pPr>
          <w:hyperlink w:anchor="__RefHeading___Toc3598163_1067777946">
            <w:r>
              <w:rPr>
                <w:webHidden/>
                <w:rStyle w:val="IndexLink"/>
                <w:rtl w:val="true"/>
              </w:rPr>
              <w:t>هزينۀ عود عامل بر فرض فسخ مضاربه</w:t>
            </w:r>
            <w:r>
              <w:rPr>
                <w:rStyle w:val="IndexLink"/>
                <w:rtl w:val="true"/>
              </w:rPr>
              <w:tab/>
            </w:r>
            <w:r>
              <w:rPr>
                <w:rStyle w:val="IndexLink"/>
              </w:rPr>
              <w:t>220</w:t>
            </w:r>
          </w:hyperlink>
        </w:p>
        <w:p>
          <w:pPr>
            <w:pStyle w:val="Contents5"/>
            <w:tabs>
              <w:tab w:val="clear" w:pos="7892"/>
              <w:tab w:val="right" w:pos="9026" w:leader="dot"/>
            </w:tabs>
            <w:rPr/>
          </w:pPr>
          <w:hyperlink w:anchor="__RefHeading___Toc3598165_1067777946">
            <w:r>
              <w:rPr>
                <w:webHidden/>
                <w:rStyle w:val="IndexLink"/>
                <w:rtl w:val="true"/>
              </w:rPr>
              <w:t>نفوذ تصرّف عامل، تابع مصلحت و يا اذن مالك</w:t>
            </w:r>
            <w:r>
              <w:rPr>
                <w:rStyle w:val="IndexLink"/>
                <w:rtl w:val="true"/>
              </w:rPr>
              <w:tab/>
            </w:r>
            <w:r>
              <w:rPr>
                <w:rStyle w:val="IndexLink"/>
              </w:rPr>
              <w:t>220</w:t>
            </w:r>
          </w:hyperlink>
        </w:p>
        <w:p>
          <w:pPr>
            <w:pStyle w:val="Contents5"/>
            <w:tabs>
              <w:tab w:val="clear" w:pos="7892"/>
              <w:tab w:val="right" w:pos="9026" w:leader="dot"/>
            </w:tabs>
            <w:rPr/>
          </w:pPr>
          <w:hyperlink w:anchor="__RefHeading___Toc3598167_1067777946">
            <w:r>
              <w:rPr>
                <w:webHidden/>
                <w:rStyle w:val="IndexLink"/>
                <w:rtl w:val="true"/>
              </w:rPr>
              <w:t>لزوم معاملۀ عامل به عين و مسأله خريد به ذمّه</w:t>
            </w:r>
            <w:r>
              <w:rPr>
                <w:rStyle w:val="IndexLink"/>
                <w:rtl w:val="true"/>
              </w:rPr>
              <w:tab/>
            </w:r>
            <w:r>
              <w:rPr>
                <w:rStyle w:val="IndexLink"/>
              </w:rPr>
              <w:t>221</w:t>
            </w:r>
          </w:hyperlink>
        </w:p>
        <w:p>
          <w:pPr>
            <w:pStyle w:val="Contents5"/>
            <w:tabs>
              <w:tab w:val="clear" w:pos="7892"/>
              <w:tab w:val="right" w:pos="9026" w:leader="dot"/>
            </w:tabs>
            <w:rPr/>
          </w:pPr>
          <w:hyperlink w:anchor="__RefHeading___Toc3598169_1067777946">
            <w:r>
              <w:rPr>
                <w:webHidden/>
                <w:rStyle w:val="IndexLink"/>
                <w:rtl w:val="true"/>
              </w:rPr>
              <w:t>نهى و امر مالك مال</w:t>
            </w:r>
            <w:r>
              <w:rPr>
                <w:rStyle w:val="IndexLink"/>
                <w:rtl w:val="true"/>
              </w:rPr>
              <w:tab/>
            </w:r>
            <w:r>
              <w:rPr>
                <w:rStyle w:val="IndexLink"/>
              </w:rPr>
              <w:t>221</w:t>
            </w:r>
          </w:hyperlink>
        </w:p>
        <w:p>
          <w:pPr>
            <w:pStyle w:val="Contents5"/>
            <w:tabs>
              <w:tab w:val="clear" w:pos="7892"/>
              <w:tab w:val="right" w:pos="9026" w:leader="dot"/>
            </w:tabs>
            <w:rPr/>
          </w:pPr>
          <w:hyperlink w:anchor="__RefHeading___Toc3598171_1067777946">
            <w:r>
              <w:rPr>
                <w:webHidden/>
                <w:rStyle w:val="IndexLink"/>
                <w:rtl w:val="true"/>
              </w:rPr>
              <w:t>جواز مضاربۀ عامل با عامل ديگر با اذن مالك</w:t>
            </w:r>
            <w:r>
              <w:rPr>
                <w:rStyle w:val="IndexLink"/>
                <w:rtl w:val="true"/>
              </w:rPr>
              <w:tab/>
            </w:r>
            <w:r>
              <w:rPr>
                <w:rStyle w:val="IndexLink"/>
              </w:rPr>
              <w:t>222</w:t>
            </w:r>
          </w:hyperlink>
        </w:p>
        <w:p>
          <w:pPr>
            <w:pStyle w:val="Contents5"/>
            <w:tabs>
              <w:tab w:val="clear" w:pos="7892"/>
              <w:tab w:val="right" w:pos="9026" w:leader="dot"/>
            </w:tabs>
            <w:rPr/>
          </w:pPr>
          <w:hyperlink w:anchor="__RefHeading___Toc3598173_1067777946">
            <w:r>
              <w:rPr>
                <w:webHidden/>
                <w:rStyle w:val="IndexLink"/>
                <w:rtl w:val="true"/>
              </w:rPr>
              <w:t>جواز توكيل عامل در اخذ دين و ايقاع عقد مضاربه</w:t>
            </w:r>
            <w:r>
              <w:rPr>
                <w:rStyle w:val="IndexLink"/>
                <w:rtl w:val="true"/>
              </w:rPr>
              <w:tab/>
            </w:r>
            <w:r>
              <w:rPr>
                <w:rStyle w:val="IndexLink"/>
              </w:rPr>
              <w:t>222</w:t>
            </w:r>
          </w:hyperlink>
        </w:p>
        <w:p>
          <w:pPr>
            <w:pStyle w:val="Contents5"/>
            <w:tabs>
              <w:tab w:val="clear" w:pos="7892"/>
              <w:tab w:val="right" w:pos="9026" w:leader="dot"/>
            </w:tabs>
            <w:rPr/>
          </w:pPr>
          <w:hyperlink w:anchor="__RefHeading___Toc3598175_1067777946">
            <w:r>
              <w:rPr>
                <w:webHidden/>
                <w:rStyle w:val="IndexLink"/>
                <w:rtl w:val="true"/>
              </w:rPr>
              <w:t>اصطياد با شبكه به عقد مضاربه فاسده و با شبكه مغصوبه</w:t>
            </w:r>
            <w:r>
              <w:rPr>
                <w:rStyle w:val="IndexLink"/>
                <w:rtl w:val="true"/>
              </w:rPr>
              <w:tab/>
            </w:r>
            <w:r>
              <w:rPr>
                <w:rStyle w:val="IndexLink"/>
              </w:rPr>
              <w:t>222</w:t>
            </w:r>
          </w:hyperlink>
        </w:p>
        <w:p>
          <w:pPr>
            <w:pStyle w:val="Contents5"/>
            <w:tabs>
              <w:tab w:val="clear" w:pos="7892"/>
              <w:tab w:val="right" w:pos="9026" w:leader="dot"/>
            </w:tabs>
            <w:rPr/>
          </w:pPr>
          <w:hyperlink w:anchor="__RefHeading___Toc3598177_1067777946">
            <w:r>
              <w:rPr>
                <w:webHidden/>
                <w:rStyle w:val="IndexLink"/>
                <w:rtl w:val="true"/>
              </w:rPr>
              <w:t>جواز تعدد عامل يا مالك در عقد مضاربه</w:t>
            </w:r>
            <w:r>
              <w:rPr>
                <w:rStyle w:val="IndexLink"/>
                <w:rtl w:val="true"/>
              </w:rPr>
              <w:tab/>
            </w:r>
            <w:r>
              <w:rPr>
                <w:rStyle w:val="IndexLink"/>
              </w:rPr>
              <w:t>223</w:t>
            </w:r>
          </w:hyperlink>
        </w:p>
        <w:p>
          <w:pPr>
            <w:pStyle w:val="Contents5"/>
            <w:tabs>
              <w:tab w:val="clear" w:pos="7892"/>
              <w:tab w:val="right" w:pos="9026" w:leader="dot"/>
            </w:tabs>
            <w:rPr/>
          </w:pPr>
          <w:hyperlink w:anchor="__RefHeading___Toc3598179_1067777946">
            <w:r>
              <w:rPr>
                <w:webHidden/>
                <w:rStyle w:val="IndexLink"/>
                <w:rtl w:val="true"/>
              </w:rPr>
              <w:t>نحوۀ جبران خسارت در مال المضاربه</w:t>
            </w:r>
            <w:r>
              <w:rPr>
                <w:rStyle w:val="IndexLink"/>
                <w:rtl w:val="true"/>
              </w:rPr>
              <w:tab/>
            </w:r>
            <w:r>
              <w:rPr>
                <w:rStyle w:val="IndexLink"/>
              </w:rPr>
              <w:t>223</w:t>
            </w:r>
          </w:hyperlink>
        </w:p>
        <w:p>
          <w:pPr>
            <w:pStyle w:val="Contents5"/>
            <w:tabs>
              <w:tab w:val="clear" w:pos="7892"/>
              <w:tab w:val="right" w:pos="9026" w:leader="dot"/>
            </w:tabs>
            <w:rPr/>
          </w:pPr>
          <w:hyperlink w:anchor="__RefHeading___Toc3598181_1067777946">
            <w:r>
              <w:rPr>
                <w:webHidden/>
                <w:rStyle w:val="IndexLink"/>
                <w:rtl w:val="true"/>
              </w:rPr>
              <w:t>حكم تحصيل مالى كه دين و در ذمۀ ديگران است با فسخ مالك يا عامل</w:t>
            </w:r>
            <w:r>
              <w:rPr>
                <w:rStyle w:val="IndexLink"/>
                <w:rtl w:val="true"/>
              </w:rPr>
              <w:tab/>
            </w:r>
            <w:r>
              <w:rPr>
                <w:rStyle w:val="IndexLink"/>
              </w:rPr>
              <w:t>223</w:t>
            </w:r>
          </w:hyperlink>
        </w:p>
        <w:p>
          <w:pPr>
            <w:pStyle w:val="Contents5"/>
            <w:tabs>
              <w:tab w:val="clear" w:pos="7892"/>
              <w:tab w:val="right" w:pos="9026" w:leader="dot"/>
            </w:tabs>
            <w:rPr/>
          </w:pPr>
          <w:hyperlink w:anchor="__RefHeading___Toc3598183_1067777946">
            <w:r>
              <w:rPr>
                <w:webHidden/>
                <w:rStyle w:val="IndexLink"/>
                <w:rtl w:val="true"/>
              </w:rPr>
              <w:t>حكم ايصال مال به مالك بعد از فسخ يا انفساخ</w:t>
            </w:r>
            <w:r>
              <w:rPr>
                <w:rStyle w:val="IndexLink"/>
                <w:rtl w:val="true"/>
              </w:rPr>
              <w:tab/>
            </w:r>
            <w:r>
              <w:rPr>
                <w:rStyle w:val="IndexLink"/>
              </w:rPr>
              <w:t>224</w:t>
            </w:r>
          </w:hyperlink>
        </w:p>
        <w:p>
          <w:pPr>
            <w:pStyle w:val="Contents5"/>
            <w:tabs>
              <w:tab w:val="clear" w:pos="7892"/>
              <w:tab w:val="right" w:pos="9026" w:leader="dot"/>
            </w:tabs>
            <w:rPr/>
          </w:pPr>
          <w:hyperlink w:anchor="__RefHeading___Toc3598185_1067777946">
            <w:r>
              <w:rPr>
                <w:webHidden/>
                <w:rStyle w:val="IndexLink"/>
                <w:rtl w:val="true"/>
              </w:rPr>
              <w:t>حكم سود و ضمان و نفقۀ در سفر در مضاربۀ فاسد</w:t>
            </w:r>
            <w:r>
              <w:rPr>
                <w:rStyle w:val="IndexLink"/>
                <w:rtl w:val="true"/>
              </w:rPr>
              <w:tab/>
            </w:r>
            <w:r>
              <w:rPr>
                <w:rStyle w:val="IndexLink"/>
              </w:rPr>
              <w:t>224</w:t>
            </w:r>
          </w:hyperlink>
        </w:p>
        <w:p>
          <w:pPr>
            <w:pStyle w:val="Contents5"/>
            <w:tabs>
              <w:tab w:val="clear" w:pos="7892"/>
              <w:tab w:val="right" w:pos="9026" w:leader="dot"/>
            </w:tabs>
            <w:rPr/>
          </w:pPr>
          <w:hyperlink w:anchor="__RefHeading___Toc3598187_1067777946">
            <w:r>
              <w:rPr>
                <w:webHidden/>
                <w:rStyle w:val="IndexLink"/>
                <w:rtl w:val="true"/>
              </w:rPr>
              <w:t>مضاربۀ فضولى</w:t>
            </w:r>
            <w:r>
              <w:rPr>
                <w:rStyle w:val="IndexLink"/>
                <w:rtl w:val="true"/>
              </w:rPr>
              <w:tab/>
            </w:r>
            <w:r>
              <w:rPr>
                <w:rStyle w:val="IndexLink"/>
              </w:rPr>
              <w:t>224</w:t>
            </w:r>
          </w:hyperlink>
        </w:p>
        <w:p>
          <w:pPr>
            <w:pStyle w:val="Contents5"/>
            <w:tabs>
              <w:tab w:val="clear" w:pos="7892"/>
              <w:tab w:val="right" w:pos="9026" w:leader="dot"/>
            </w:tabs>
            <w:rPr/>
          </w:pPr>
          <w:hyperlink w:anchor="__RefHeading___Toc3598189_1067777946">
            <w:r>
              <w:rPr>
                <w:webHidden/>
                <w:rStyle w:val="IndexLink"/>
                <w:rtl w:val="true"/>
              </w:rPr>
              <w:t>حكم نسيه به اذن مالك</w:t>
            </w:r>
            <w:r>
              <w:rPr>
                <w:rStyle w:val="IndexLink"/>
                <w:rtl w:val="true"/>
              </w:rPr>
              <w:tab/>
            </w:r>
            <w:r>
              <w:rPr>
                <w:rStyle w:val="IndexLink"/>
              </w:rPr>
              <w:t>225</w:t>
            </w:r>
          </w:hyperlink>
        </w:p>
        <w:p>
          <w:pPr>
            <w:pStyle w:val="Contents5"/>
            <w:tabs>
              <w:tab w:val="clear" w:pos="7892"/>
              <w:tab w:val="right" w:pos="9026" w:leader="dot"/>
            </w:tabs>
            <w:rPr/>
          </w:pPr>
          <w:hyperlink w:anchor="__RefHeading___Toc3598191_1067777946">
            <w:r>
              <w:rPr>
                <w:webHidden/>
                <w:rStyle w:val="IndexLink"/>
                <w:rtl w:val="true"/>
              </w:rPr>
              <w:t>دو مضاربه با دو مال از يك مالك و عامل</w:t>
            </w:r>
            <w:r>
              <w:rPr>
                <w:rStyle w:val="IndexLink"/>
                <w:rtl w:val="true"/>
              </w:rPr>
              <w:tab/>
            </w:r>
            <w:r>
              <w:rPr>
                <w:rStyle w:val="IndexLink"/>
              </w:rPr>
              <w:t>225</w:t>
            </w:r>
          </w:hyperlink>
        </w:p>
        <w:p>
          <w:pPr>
            <w:pStyle w:val="Contents5"/>
            <w:tabs>
              <w:tab w:val="clear" w:pos="7892"/>
              <w:tab w:val="right" w:pos="9026" w:leader="dot"/>
            </w:tabs>
            <w:rPr/>
          </w:pPr>
          <w:hyperlink w:anchor="__RefHeading___Toc3598193_1067777946">
            <w:r>
              <w:rPr>
                <w:webHidden/>
                <w:rStyle w:val="IndexLink"/>
                <w:rtl w:val="true"/>
              </w:rPr>
              <w:t>مضاربه دو نفر يا دو مال با يك عامل و فسخ يكى</w:t>
            </w:r>
            <w:r>
              <w:rPr>
                <w:rStyle w:val="IndexLink"/>
                <w:rtl w:val="true"/>
              </w:rPr>
              <w:tab/>
            </w:r>
            <w:r>
              <w:rPr>
                <w:rStyle w:val="IndexLink"/>
              </w:rPr>
              <w:t>226</w:t>
            </w:r>
          </w:hyperlink>
        </w:p>
        <w:p>
          <w:pPr>
            <w:pStyle w:val="Contents5"/>
            <w:tabs>
              <w:tab w:val="clear" w:pos="7892"/>
              <w:tab w:val="right" w:pos="9026" w:leader="dot"/>
            </w:tabs>
            <w:rPr/>
          </w:pPr>
          <w:hyperlink w:anchor="__RefHeading___Toc3598195_1067777946">
            <w:r>
              <w:rPr>
                <w:webHidden/>
                <w:rStyle w:val="IndexLink"/>
                <w:rtl w:val="true"/>
              </w:rPr>
              <w:t>مسائل تنازع</w:t>
            </w:r>
            <w:r>
              <w:rPr>
                <w:rStyle w:val="IndexLink"/>
                <w:rtl w:val="true"/>
              </w:rPr>
              <w:tab/>
            </w:r>
            <w:r>
              <w:rPr>
                <w:rStyle w:val="IndexLink"/>
              </w:rPr>
              <w:t>226</w:t>
            </w:r>
          </w:hyperlink>
        </w:p>
        <w:p>
          <w:pPr>
            <w:pStyle w:val="Contents5"/>
            <w:tabs>
              <w:tab w:val="clear" w:pos="7892"/>
              <w:tab w:val="right" w:pos="9026" w:leader="dot"/>
            </w:tabs>
            <w:rPr/>
          </w:pPr>
          <w:hyperlink w:anchor="__RefHeading___Toc3598197_1067777946">
            <w:r>
              <w:rPr>
                <w:webHidden/>
                <w:rStyle w:val="IndexLink"/>
                <w:rtl w:val="true"/>
              </w:rPr>
              <w:t>منازعۀ مالك با عامل در مقدار سرمايه</w:t>
            </w:r>
            <w:r>
              <w:rPr>
                <w:rStyle w:val="IndexLink"/>
                <w:rtl w:val="true"/>
              </w:rPr>
              <w:tab/>
            </w:r>
            <w:r>
              <w:rPr>
                <w:rStyle w:val="IndexLink"/>
              </w:rPr>
              <w:t>226</w:t>
            </w:r>
          </w:hyperlink>
        </w:p>
        <w:p>
          <w:pPr>
            <w:pStyle w:val="Contents5"/>
            <w:tabs>
              <w:tab w:val="clear" w:pos="7892"/>
              <w:tab w:val="right" w:pos="9026" w:leader="dot"/>
            </w:tabs>
            <w:rPr/>
          </w:pPr>
          <w:hyperlink w:anchor="__RefHeading___Toc3598199_1067777946">
            <w:r>
              <w:rPr>
                <w:webHidden/>
                <w:rStyle w:val="IndexLink"/>
                <w:rtl w:val="true"/>
              </w:rPr>
              <w:t>اختلاف در كمى و زيادى نصيب عامل</w:t>
            </w:r>
            <w:r>
              <w:rPr>
                <w:rStyle w:val="IndexLink"/>
                <w:rtl w:val="true"/>
              </w:rPr>
              <w:tab/>
            </w:r>
            <w:r>
              <w:rPr>
                <w:rStyle w:val="IndexLink"/>
              </w:rPr>
              <w:t>226</w:t>
            </w:r>
          </w:hyperlink>
        </w:p>
        <w:p>
          <w:pPr>
            <w:pStyle w:val="Contents5"/>
            <w:tabs>
              <w:tab w:val="clear" w:pos="7892"/>
              <w:tab w:val="right" w:pos="9026" w:leader="dot"/>
            </w:tabs>
            <w:rPr/>
          </w:pPr>
          <w:hyperlink w:anchor="__RefHeading___Toc3598201_1067777946">
            <w:r>
              <w:rPr>
                <w:webHidden/>
                <w:rStyle w:val="IndexLink"/>
                <w:rtl w:val="true"/>
              </w:rPr>
              <w:t>اختلاف در صدور اذن</w:t>
            </w:r>
            <w:r>
              <w:rPr>
                <w:rStyle w:val="IndexLink"/>
                <w:rtl w:val="true"/>
              </w:rPr>
              <w:tab/>
            </w:r>
            <w:r>
              <w:rPr>
                <w:rStyle w:val="IndexLink"/>
              </w:rPr>
              <w:t>226</w:t>
            </w:r>
          </w:hyperlink>
        </w:p>
        <w:p>
          <w:pPr>
            <w:pStyle w:val="Contents5"/>
            <w:tabs>
              <w:tab w:val="clear" w:pos="7892"/>
              <w:tab w:val="right" w:pos="9026" w:leader="dot"/>
            </w:tabs>
            <w:rPr/>
          </w:pPr>
          <w:hyperlink w:anchor="__RefHeading___Toc3598203_1067777946">
            <w:r>
              <w:rPr>
                <w:webHidden/>
                <w:rStyle w:val="IndexLink"/>
                <w:rtl w:val="true"/>
              </w:rPr>
              <w:t>اختلاف در ردّ مال به مالك</w:t>
            </w:r>
            <w:r>
              <w:rPr>
                <w:rStyle w:val="IndexLink"/>
                <w:rtl w:val="true"/>
              </w:rPr>
              <w:tab/>
            </w:r>
            <w:r>
              <w:rPr>
                <w:rStyle w:val="IndexLink"/>
              </w:rPr>
              <w:t>227</w:t>
            </w:r>
          </w:hyperlink>
        </w:p>
        <w:p>
          <w:pPr>
            <w:pStyle w:val="Contents5"/>
            <w:tabs>
              <w:tab w:val="clear" w:pos="7892"/>
              <w:tab w:val="right" w:pos="9026" w:leader="dot"/>
            </w:tabs>
            <w:rPr/>
          </w:pPr>
          <w:hyperlink w:anchor="__RefHeading___Toc3598205_1067777946">
            <w:r>
              <w:rPr>
                <w:webHidden/>
                <w:rStyle w:val="IndexLink"/>
                <w:rtl w:val="true"/>
              </w:rPr>
              <w:t>اختلاف در معاملۀ مالى</w:t>
            </w:r>
            <w:r>
              <w:rPr>
                <w:rStyle w:val="IndexLink"/>
                <w:rtl w:val="true"/>
              </w:rPr>
              <w:tab/>
            </w:r>
            <w:r>
              <w:rPr>
                <w:rStyle w:val="IndexLink"/>
              </w:rPr>
              <w:t>227</w:t>
            </w:r>
          </w:hyperlink>
        </w:p>
        <w:p>
          <w:pPr>
            <w:pStyle w:val="Contents5"/>
            <w:tabs>
              <w:tab w:val="clear" w:pos="7892"/>
              <w:tab w:val="right" w:pos="9026" w:leader="dot"/>
            </w:tabs>
            <w:rPr/>
          </w:pPr>
          <w:hyperlink w:anchor="__RefHeading___Toc3598207_1067777946">
            <w:r>
              <w:rPr>
                <w:webHidden/>
                <w:rStyle w:val="IndexLink"/>
                <w:rtl w:val="true"/>
              </w:rPr>
              <w:t>اختلاف در اقراض يا مقارضه و مضاربه</w:t>
            </w:r>
            <w:r>
              <w:rPr>
                <w:rStyle w:val="IndexLink"/>
                <w:rtl w:val="true"/>
              </w:rPr>
              <w:tab/>
            </w:r>
            <w:r>
              <w:rPr>
                <w:rStyle w:val="IndexLink"/>
              </w:rPr>
              <w:t>227</w:t>
            </w:r>
          </w:hyperlink>
        </w:p>
        <w:p>
          <w:pPr>
            <w:pStyle w:val="Contents4"/>
            <w:tabs>
              <w:tab w:val="clear" w:pos="8176"/>
              <w:tab w:val="right" w:pos="9026" w:leader="dot"/>
            </w:tabs>
            <w:rPr/>
          </w:pPr>
          <w:hyperlink w:anchor="__RefHeading___Toc3598209_1067777946">
            <w:r>
              <w:rPr>
                <w:webHidden/>
                <w:rStyle w:val="IndexLink"/>
                <w:rtl w:val="true"/>
              </w:rPr>
              <w:t>چند مسأله</w:t>
            </w:r>
            <w:r>
              <w:rPr>
                <w:rStyle w:val="IndexLink"/>
                <w:rtl w:val="true"/>
              </w:rPr>
              <w:tab/>
            </w:r>
            <w:r>
              <w:rPr>
                <w:rStyle w:val="IndexLink"/>
              </w:rPr>
              <w:t>227</w:t>
            </w:r>
          </w:hyperlink>
        </w:p>
        <w:p>
          <w:pPr>
            <w:pStyle w:val="Contents5"/>
            <w:tabs>
              <w:tab w:val="clear" w:pos="7892"/>
              <w:tab w:val="right" w:pos="9026" w:leader="dot"/>
            </w:tabs>
            <w:rPr/>
          </w:pPr>
          <w:hyperlink w:anchor="__RefHeading___Toc3598211_1067777946">
            <w:r>
              <w:rPr>
                <w:webHidden/>
                <w:rStyle w:val="IndexLink"/>
                <w:rtl w:val="true"/>
              </w:rPr>
              <w:t>اخذ نتيجۀ مضاربه به ايقاع جعاله و يا به عقد شركت</w:t>
            </w:r>
            <w:r>
              <w:rPr>
                <w:rStyle w:val="IndexLink"/>
                <w:rtl w:val="true"/>
              </w:rPr>
              <w:tab/>
            </w:r>
            <w:r>
              <w:rPr>
                <w:rStyle w:val="IndexLink"/>
              </w:rPr>
              <w:t>227</w:t>
            </w:r>
          </w:hyperlink>
        </w:p>
        <w:p>
          <w:pPr>
            <w:pStyle w:val="Contents5"/>
            <w:tabs>
              <w:tab w:val="clear" w:pos="7892"/>
              <w:tab w:val="right" w:pos="9026" w:leader="dot"/>
            </w:tabs>
            <w:rPr/>
          </w:pPr>
          <w:hyperlink w:anchor="__RefHeading___Toc3598213_1067777946">
            <w:r>
              <w:rPr>
                <w:webHidden/>
                <w:rStyle w:val="IndexLink"/>
                <w:rtl w:val="true"/>
              </w:rPr>
              <w:t>جواز مضاربۀ ولى با مال صغير با مراعات غبطه</w:t>
            </w:r>
            <w:r>
              <w:rPr>
                <w:rStyle w:val="IndexLink"/>
                <w:rtl w:val="true"/>
              </w:rPr>
              <w:tab/>
            </w:r>
            <w:r>
              <w:rPr>
                <w:rStyle w:val="IndexLink"/>
              </w:rPr>
              <w:t>228</w:t>
            </w:r>
          </w:hyperlink>
        </w:p>
        <w:p>
          <w:pPr>
            <w:pStyle w:val="Contents5"/>
            <w:tabs>
              <w:tab w:val="clear" w:pos="7892"/>
              <w:tab w:val="right" w:pos="9026" w:leader="dot"/>
            </w:tabs>
            <w:rPr/>
          </w:pPr>
          <w:hyperlink w:anchor="__RefHeading___Toc3598215_1067777946">
            <w:r>
              <w:rPr>
                <w:webHidden/>
                <w:rStyle w:val="IndexLink"/>
                <w:rtl w:val="true"/>
              </w:rPr>
              <w:t>مضاربۀ وصىّ ميّت در ثلث</w:t>
            </w:r>
            <w:r>
              <w:rPr>
                <w:rStyle w:val="IndexLink"/>
                <w:rtl w:val="true"/>
              </w:rPr>
              <w:tab/>
            </w:r>
            <w:r>
              <w:rPr>
                <w:rStyle w:val="IndexLink"/>
              </w:rPr>
              <w:t>228</w:t>
            </w:r>
          </w:hyperlink>
        </w:p>
        <w:p>
          <w:pPr>
            <w:pStyle w:val="Contents5"/>
            <w:tabs>
              <w:tab w:val="clear" w:pos="7892"/>
              <w:tab w:val="right" w:pos="9026" w:leader="dot"/>
            </w:tabs>
            <w:rPr/>
          </w:pPr>
          <w:hyperlink w:anchor="__RefHeading___Toc3598217_1067777946">
            <w:r>
              <w:rPr>
                <w:webHidden/>
                <w:rStyle w:val="IndexLink"/>
                <w:rtl w:val="true"/>
              </w:rPr>
              <w:t>وفات عامل</w:t>
            </w:r>
            <w:r>
              <w:rPr>
                <w:rStyle w:val="IndexLink"/>
                <w:rtl w:val="true"/>
              </w:rPr>
              <w:tab/>
            </w:r>
            <w:r>
              <w:rPr>
                <w:rStyle w:val="IndexLink"/>
              </w:rPr>
              <w:t>228</w:t>
            </w:r>
          </w:hyperlink>
        </w:p>
        <w:p>
          <w:pPr>
            <w:pStyle w:val="Contents3"/>
            <w:tabs>
              <w:tab w:val="clear" w:pos="8459"/>
              <w:tab w:val="right" w:pos="9026" w:leader="dot"/>
            </w:tabs>
            <w:rPr/>
          </w:pPr>
          <w:hyperlink w:anchor="__RefHeading___Toc3598219_1067777946">
            <w:r>
              <w:rPr>
                <w:webHidden/>
                <w:rStyle w:val="IndexLink"/>
                <w:rtl w:val="true"/>
              </w:rPr>
              <w:t>فصل دوّم فى تعميم مال القراض</w:t>
            </w:r>
            <w:r>
              <w:rPr>
                <w:rStyle w:val="IndexLink"/>
                <w:rtl w:val="true"/>
              </w:rPr>
              <w:tab/>
            </w:r>
            <w:r>
              <w:rPr>
                <w:rStyle w:val="IndexLink"/>
              </w:rPr>
              <w:t>230</w:t>
            </w:r>
          </w:hyperlink>
        </w:p>
        <w:p>
          <w:pPr>
            <w:pStyle w:val="Contents4"/>
            <w:tabs>
              <w:tab w:val="clear" w:pos="8176"/>
              <w:tab w:val="right" w:pos="9026" w:leader="dot"/>
            </w:tabs>
            <w:rPr/>
          </w:pPr>
          <w:hyperlink w:anchor="__RefHeading___Toc3598221_1067777946">
            <w:r>
              <w:rPr>
                <w:webHidden/>
                <w:rStyle w:val="IndexLink"/>
                <w:rtl w:val="true"/>
              </w:rPr>
              <w:t>مسألة</w:t>
            </w:r>
            <w:r>
              <w:rPr>
                <w:rStyle w:val="IndexLink"/>
                <w:rtl w:val="true"/>
              </w:rPr>
              <w:t>:</w:t>
              <w:tab/>
            </w:r>
            <w:r>
              <w:rPr>
                <w:rStyle w:val="IndexLink"/>
              </w:rPr>
              <w:t>230</w:t>
            </w:r>
          </w:hyperlink>
        </w:p>
        <w:p>
          <w:pPr>
            <w:pStyle w:val="Contents4"/>
            <w:tabs>
              <w:tab w:val="clear" w:pos="8176"/>
              <w:tab w:val="right" w:pos="9026" w:leader="dot"/>
            </w:tabs>
            <w:rPr/>
          </w:pPr>
          <w:hyperlink w:anchor="__RefHeading___Toc3598223_1067777946">
            <w:r>
              <w:rPr>
                <w:webHidden/>
                <w:rStyle w:val="IndexLink"/>
                <w:rtl w:val="true"/>
              </w:rPr>
              <w:t>صحّت مضاربه با اسكناس متداول</w:t>
            </w:r>
            <w:r>
              <w:rPr>
                <w:rStyle w:val="IndexLink"/>
                <w:rtl w:val="true"/>
              </w:rPr>
              <w:tab/>
            </w:r>
            <w:r>
              <w:rPr>
                <w:rStyle w:val="IndexLink"/>
              </w:rPr>
              <w:t>232</w:t>
            </w:r>
          </w:hyperlink>
        </w:p>
        <w:p>
          <w:pPr>
            <w:pStyle w:val="Contents2"/>
            <w:tabs>
              <w:tab w:val="clear" w:pos="8743"/>
              <w:tab w:val="right" w:pos="9026" w:leader="dot"/>
            </w:tabs>
            <w:rPr/>
          </w:pPr>
          <w:hyperlink w:anchor="__RefHeading___Toc3598225_1067777946">
            <w:r>
              <w:rPr>
                <w:webHidden/>
                <w:rStyle w:val="IndexLink"/>
                <w:rtl w:val="true"/>
              </w:rPr>
              <w:t>كتاب مزارعه</w:t>
            </w:r>
            <w:r>
              <w:rPr>
                <w:rStyle w:val="IndexLink"/>
                <w:rtl w:val="true"/>
              </w:rPr>
              <w:tab/>
            </w:r>
            <w:r>
              <w:rPr>
                <w:rStyle w:val="IndexLink"/>
              </w:rPr>
              <w:t>234</w:t>
            </w:r>
          </w:hyperlink>
        </w:p>
        <w:p>
          <w:pPr>
            <w:pStyle w:val="Contents3"/>
            <w:tabs>
              <w:tab w:val="clear" w:pos="8459"/>
              <w:tab w:val="right" w:pos="9026" w:leader="dot"/>
            </w:tabs>
            <w:rPr/>
          </w:pPr>
          <w:hyperlink w:anchor="__RefHeading___Toc3598227_1067777946">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598229_1067777946">
            <w:r>
              <w:rPr>
                <w:webHidden/>
                <w:rStyle w:val="IndexLink"/>
                <w:rtl w:val="true"/>
              </w:rPr>
              <w:t>فصل اوّل مزارعه و شرايط آن</w:t>
            </w:r>
            <w:r>
              <w:rPr>
                <w:rStyle w:val="IndexLink"/>
                <w:rtl w:val="true"/>
              </w:rPr>
              <w:tab/>
            </w:r>
            <w:r>
              <w:rPr>
                <w:rStyle w:val="IndexLink"/>
              </w:rPr>
              <w:t>236</w:t>
            </w:r>
          </w:hyperlink>
        </w:p>
        <w:p>
          <w:pPr>
            <w:pStyle w:val="Contents4"/>
            <w:tabs>
              <w:tab w:val="clear" w:pos="8176"/>
              <w:tab w:val="right" w:pos="9026" w:leader="dot"/>
            </w:tabs>
            <w:rPr/>
          </w:pPr>
          <w:hyperlink w:anchor="__RefHeading___Toc3598231_1067777946">
            <w:r>
              <w:rPr>
                <w:webHidden/>
                <w:rStyle w:val="IndexLink"/>
                <w:rtl w:val="true"/>
              </w:rPr>
              <w:t>تعريف مزارعه</w:t>
            </w:r>
            <w:r>
              <w:rPr>
                <w:rStyle w:val="IndexLink"/>
                <w:rtl w:val="true"/>
              </w:rPr>
              <w:tab/>
            </w:r>
            <w:r>
              <w:rPr>
                <w:rStyle w:val="IndexLink"/>
              </w:rPr>
              <w:t>236</w:t>
            </w:r>
          </w:hyperlink>
        </w:p>
        <w:p>
          <w:pPr>
            <w:pStyle w:val="Contents4"/>
            <w:tabs>
              <w:tab w:val="clear" w:pos="8176"/>
              <w:tab w:val="right" w:pos="9026" w:leader="dot"/>
            </w:tabs>
            <w:rPr/>
          </w:pPr>
          <w:hyperlink w:anchor="__RefHeading___Toc3598233_1067777946">
            <w:r>
              <w:rPr>
                <w:webHidden/>
                <w:rStyle w:val="IndexLink"/>
                <w:rtl w:val="true"/>
              </w:rPr>
              <w:t>عقد مزارعه</w:t>
            </w:r>
            <w:r>
              <w:rPr>
                <w:rStyle w:val="IndexLink"/>
                <w:rtl w:val="true"/>
              </w:rPr>
              <w:tab/>
            </w:r>
            <w:r>
              <w:rPr>
                <w:rStyle w:val="IndexLink"/>
              </w:rPr>
              <w:t>236</w:t>
            </w:r>
          </w:hyperlink>
        </w:p>
        <w:p>
          <w:pPr>
            <w:pStyle w:val="Contents4"/>
            <w:tabs>
              <w:tab w:val="clear" w:pos="8176"/>
              <w:tab w:val="right" w:pos="9026" w:leader="dot"/>
            </w:tabs>
            <w:rPr/>
          </w:pPr>
          <w:hyperlink w:anchor="__RefHeading___Toc3598235_1067777946">
            <w:r>
              <w:rPr>
                <w:webHidden/>
                <w:rStyle w:val="IndexLink"/>
                <w:rtl w:val="true"/>
              </w:rPr>
              <w:t>لزوم عقد مزارعه</w:t>
            </w:r>
            <w:r>
              <w:rPr>
                <w:rStyle w:val="IndexLink"/>
                <w:rtl w:val="true"/>
              </w:rPr>
              <w:tab/>
            </w:r>
            <w:r>
              <w:rPr>
                <w:rStyle w:val="IndexLink"/>
              </w:rPr>
              <w:t>236</w:t>
            </w:r>
          </w:hyperlink>
        </w:p>
        <w:p>
          <w:pPr>
            <w:pStyle w:val="Contents4"/>
            <w:tabs>
              <w:tab w:val="clear" w:pos="8176"/>
              <w:tab w:val="right" w:pos="9026" w:leader="dot"/>
            </w:tabs>
            <w:rPr/>
          </w:pPr>
          <w:hyperlink w:anchor="__RefHeading___Toc3598237_1067777946">
            <w:r>
              <w:rPr>
                <w:webHidden/>
                <w:rStyle w:val="IndexLink"/>
                <w:rtl w:val="true"/>
              </w:rPr>
              <w:t>شرط مباشرت در عقد مزارعه</w:t>
            </w:r>
            <w:r>
              <w:rPr>
                <w:rStyle w:val="IndexLink"/>
                <w:rtl w:val="true"/>
              </w:rPr>
              <w:tab/>
            </w:r>
            <w:r>
              <w:rPr>
                <w:rStyle w:val="IndexLink"/>
              </w:rPr>
              <w:t>237</w:t>
            </w:r>
          </w:hyperlink>
        </w:p>
        <w:p>
          <w:pPr>
            <w:pStyle w:val="Contents4"/>
            <w:tabs>
              <w:tab w:val="clear" w:pos="8176"/>
              <w:tab w:val="right" w:pos="9026" w:leader="dot"/>
            </w:tabs>
            <w:rPr/>
          </w:pPr>
          <w:hyperlink w:anchor="__RefHeading___Toc3598239_1067777946">
            <w:r>
              <w:rPr>
                <w:webHidden/>
                <w:rStyle w:val="IndexLink"/>
                <w:rtl w:val="true"/>
              </w:rPr>
              <w:t>اگر متعلق عقد، عمل شخص به نحو دخولِ اضافه و تقيّد باشد</w:t>
            </w:r>
            <w:r>
              <w:rPr>
                <w:rStyle w:val="IndexLink"/>
                <w:rtl w:val="true"/>
              </w:rPr>
              <w:tab/>
            </w:r>
            <w:r>
              <w:rPr>
                <w:rStyle w:val="IndexLink"/>
              </w:rPr>
              <w:t>237</w:t>
            </w:r>
          </w:hyperlink>
        </w:p>
        <w:p>
          <w:pPr>
            <w:pStyle w:val="Contents4"/>
            <w:tabs>
              <w:tab w:val="clear" w:pos="8176"/>
              <w:tab w:val="right" w:pos="9026" w:leader="dot"/>
            </w:tabs>
            <w:rPr/>
          </w:pPr>
          <w:hyperlink w:anchor="__RefHeading___Toc3598241_1067777946">
            <w:r>
              <w:rPr>
                <w:webHidden/>
                <w:rStyle w:val="IndexLink"/>
                <w:rtl w:val="true"/>
              </w:rPr>
              <w:t>در شروط مزارعه است</w:t>
            </w:r>
            <w:r>
              <w:rPr>
                <w:rStyle w:val="IndexLink"/>
                <w:rtl w:val="true"/>
              </w:rPr>
              <w:tab/>
            </w:r>
            <w:r>
              <w:rPr>
                <w:rStyle w:val="IndexLink"/>
              </w:rPr>
              <w:t>237</w:t>
            </w:r>
          </w:hyperlink>
        </w:p>
        <w:p>
          <w:pPr>
            <w:pStyle w:val="Contents5"/>
            <w:tabs>
              <w:tab w:val="clear" w:pos="7892"/>
              <w:tab w:val="right" w:pos="9026" w:leader="dot"/>
            </w:tabs>
            <w:rPr/>
          </w:pPr>
          <w:hyperlink w:anchor="__RefHeading___Toc3598243_1067777946">
            <w:r>
              <w:rPr>
                <w:webHidden/>
                <w:rStyle w:val="IndexLink"/>
              </w:rPr>
              <w:t>1</w:t>
            </w:r>
            <w:r>
              <w:rPr>
                <w:rStyle w:val="IndexLink"/>
                <w:rtl w:val="true"/>
              </w:rPr>
              <w:t xml:space="preserve">. </w:t>
            </w:r>
            <w:r>
              <w:rPr>
                <w:rStyle w:val="IndexLink"/>
                <w:rtl w:val="true"/>
              </w:rPr>
              <w:t>مشاع بودن نما، بين طرفين</w:t>
            </w:r>
            <w:r>
              <w:rPr>
                <w:rStyle w:val="IndexLink"/>
                <w:rtl w:val="true"/>
              </w:rPr>
              <w:tab/>
            </w:r>
            <w:r>
              <w:rPr>
                <w:rStyle w:val="IndexLink"/>
              </w:rPr>
              <w:t>237</w:t>
            </w:r>
          </w:hyperlink>
        </w:p>
        <w:p>
          <w:pPr>
            <w:pStyle w:val="Contents6"/>
            <w:tabs>
              <w:tab w:val="clear" w:pos="7609"/>
              <w:tab w:val="right" w:pos="9026" w:leader="dot"/>
            </w:tabs>
            <w:rPr/>
          </w:pPr>
          <w:hyperlink w:anchor="__RefHeading___Toc3598245_1067777946">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3598247_1067777946">
            <w:r>
              <w:rPr>
                <w:webHidden/>
                <w:rStyle w:val="IndexLink"/>
                <w:rtl w:val="true"/>
              </w:rPr>
              <w:t>كراهت اجارۀ زمين در صورت عوض قرار دادن گندم حاصل از همان زمين</w:t>
            </w:r>
            <w:r>
              <w:rPr>
                <w:rStyle w:val="IndexLink"/>
                <w:rtl w:val="true"/>
              </w:rPr>
              <w:tab/>
            </w:r>
            <w:r>
              <w:rPr>
                <w:rStyle w:val="IndexLink"/>
              </w:rPr>
              <w:t>238</w:t>
            </w:r>
          </w:hyperlink>
        </w:p>
        <w:p>
          <w:pPr>
            <w:pStyle w:val="Contents5"/>
            <w:tabs>
              <w:tab w:val="clear" w:pos="7892"/>
              <w:tab w:val="right" w:pos="9026" w:leader="dot"/>
            </w:tabs>
            <w:rPr/>
          </w:pPr>
          <w:hyperlink w:anchor="__RefHeading___Toc3598249_1067777946">
            <w:r>
              <w:rPr>
                <w:webHidden/>
                <w:rStyle w:val="IndexLink"/>
              </w:rPr>
              <w:t>2</w:t>
            </w:r>
            <w:r>
              <w:rPr>
                <w:rStyle w:val="IndexLink"/>
                <w:rtl w:val="true"/>
              </w:rPr>
              <w:t xml:space="preserve">. </w:t>
            </w:r>
            <w:r>
              <w:rPr>
                <w:rStyle w:val="IndexLink"/>
                <w:rtl w:val="true"/>
              </w:rPr>
              <w:t>تعيين مدّت</w:t>
            </w:r>
            <w:r>
              <w:rPr>
                <w:rStyle w:val="IndexLink"/>
                <w:rtl w:val="true"/>
              </w:rPr>
              <w:tab/>
            </w:r>
            <w:r>
              <w:rPr>
                <w:rStyle w:val="IndexLink"/>
              </w:rPr>
              <w:t>238</w:t>
            </w:r>
          </w:hyperlink>
        </w:p>
        <w:p>
          <w:pPr>
            <w:pStyle w:val="Contents6"/>
            <w:tabs>
              <w:tab w:val="clear" w:pos="7609"/>
              <w:tab w:val="right" w:pos="9026" w:leader="dot"/>
            </w:tabs>
            <w:rPr/>
          </w:pPr>
          <w:hyperlink w:anchor="__RefHeading___Toc3598251_1067777946">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3598253_1067777946">
            <w:r>
              <w:rPr>
                <w:webHidden/>
                <w:rStyle w:val="IndexLink"/>
                <w:rtl w:val="true"/>
              </w:rPr>
              <w:t>فرض مضىّ مدّت و عدم ادراك زرع</w:t>
            </w:r>
            <w:r>
              <w:rPr>
                <w:rStyle w:val="IndexLink"/>
                <w:rtl w:val="true"/>
              </w:rPr>
              <w:tab/>
            </w:r>
            <w:r>
              <w:rPr>
                <w:rStyle w:val="IndexLink"/>
              </w:rPr>
              <w:t>238</w:t>
            </w:r>
          </w:hyperlink>
        </w:p>
        <w:p>
          <w:pPr>
            <w:pStyle w:val="Contents6"/>
            <w:tabs>
              <w:tab w:val="clear" w:pos="7609"/>
              <w:tab w:val="right" w:pos="9026" w:leader="dot"/>
            </w:tabs>
            <w:rPr/>
          </w:pPr>
          <w:hyperlink w:anchor="__RefHeading___Toc3598255_1067777946">
            <w:r>
              <w:rPr>
                <w:webHidden/>
                <w:rStyle w:val="IndexLink"/>
                <w:rtl w:val="true"/>
              </w:rPr>
              <w:t>نقص فاحش حاصل به تفريط عامل</w:t>
            </w:r>
            <w:r>
              <w:rPr>
                <w:rStyle w:val="IndexLink"/>
                <w:rtl w:val="true"/>
              </w:rPr>
              <w:tab/>
            </w:r>
            <w:r>
              <w:rPr>
                <w:rStyle w:val="IndexLink"/>
              </w:rPr>
              <w:t>239</w:t>
            </w:r>
          </w:hyperlink>
        </w:p>
        <w:p>
          <w:pPr>
            <w:pStyle w:val="Contents6"/>
            <w:tabs>
              <w:tab w:val="clear" w:pos="7609"/>
              <w:tab w:val="right" w:pos="9026" w:leader="dot"/>
            </w:tabs>
            <w:rPr/>
          </w:pPr>
          <w:hyperlink w:anchor="__RefHeading___Toc3598257_1067777946">
            <w:r>
              <w:rPr>
                <w:webHidden/>
                <w:rStyle w:val="IndexLink"/>
                <w:rtl w:val="true"/>
              </w:rPr>
              <w:t>اتفاق طرفين بر ابقاى زرع بعد از مدّت اجاره</w:t>
            </w:r>
            <w:r>
              <w:rPr>
                <w:rStyle w:val="IndexLink"/>
                <w:rtl w:val="true"/>
              </w:rPr>
              <w:tab/>
            </w:r>
            <w:r>
              <w:rPr>
                <w:rStyle w:val="IndexLink"/>
              </w:rPr>
              <w:t>239</w:t>
            </w:r>
          </w:hyperlink>
        </w:p>
        <w:p>
          <w:pPr>
            <w:pStyle w:val="Contents6"/>
            <w:tabs>
              <w:tab w:val="clear" w:pos="7609"/>
              <w:tab w:val="right" w:pos="9026" w:leader="dot"/>
            </w:tabs>
            <w:rPr/>
          </w:pPr>
          <w:hyperlink w:anchor="__RefHeading___Toc3598259_1067777946">
            <w:r>
              <w:rPr>
                <w:webHidden/>
                <w:rStyle w:val="IndexLink"/>
                <w:rtl w:val="true"/>
              </w:rPr>
              <w:t>شرط استحقاق ابقا يا عدم قلع در عقد مزارعه</w:t>
            </w:r>
            <w:r>
              <w:rPr>
                <w:rStyle w:val="IndexLink"/>
                <w:rtl w:val="true"/>
              </w:rPr>
              <w:tab/>
            </w:r>
            <w:r>
              <w:rPr>
                <w:rStyle w:val="IndexLink"/>
              </w:rPr>
              <w:t>239</w:t>
            </w:r>
          </w:hyperlink>
        </w:p>
        <w:p>
          <w:pPr>
            <w:pStyle w:val="Contents6"/>
            <w:tabs>
              <w:tab w:val="clear" w:pos="7609"/>
              <w:tab w:val="right" w:pos="9026" w:leader="dot"/>
            </w:tabs>
            <w:rPr/>
          </w:pPr>
          <w:hyperlink w:anchor="__RefHeading___Toc3598261_1067777946">
            <w:r>
              <w:rPr>
                <w:webHidden/>
                <w:rStyle w:val="IndexLink"/>
                <w:rtl w:val="true"/>
              </w:rPr>
              <w:t>اگر عامل زراعت را ترك نمايد و يا به مالك تسليم نكند</w:t>
            </w:r>
            <w:r>
              <w:rPr>
                <w:rStyle w:val="IndexLink"/>
                <w:rtl w:val="true"/>
              </w:rPr>
              <w:tab/>
            </w:r>
            <w:r>
              <w:rPr>
                <w:rStyle w:val="IndexLink"/>
              </w:rPr>
              <w:t>240</w:t>
            </w:r>
          </w:hyperlink>
        </w:p>
        <w:p>
          <w:pPr>
            <w:pStyle w:val="Contents6"/>
            <w:tabs>
              <w:tab w:val="clear" w:pos="7609"/>
              <w:tab w:val="right" w:pos="9026" w:leader="dot"/>
            </w:tabs>
            <w:rPr/>
          </w:pPr>
          <w:hyperlink w:anchor="__RefHeading___Toc3598263_1067777946">
            <w:r>
              <w:rPr>
                <w:webHidden/>
                <w:rStyle w:val="IndexLink"/>
                <w:rtl w:val="true"/>
              </w:rPr>
              <w:t>ارش نقص زمين در فرض مسأله</w:t>
            </w:r>
            <w:r>
              <w:rPr>
                <w:rStyle w:val="IndexLink"/>
                <w:rtl w:val="true"/>
              </w:rPr>
              <w:tab/>
            </w:r>
            <w:r>
              <w:rPr>
                <w:rStyle w:val="IndexLink"/>
              </w:rPr>
              <w:t>240</w:t>
            </w:r>
          </w:hyperlink>
        </w:p>
        <w:p>
          <w:pPr>
            <w:pStyle w:val="Contents5"/>
            <w:tabs>
              <w:tab w:val="clear" w:pos="7892"/>
              <w:tab w:val="right" w:pos="9026" w:leader="dot"/>
            </w:tabs>
            <w:rPr/>
          </w:pPr>
          <w:hyperlink w:anchor="__RefHeading___Toc3598265_1067777946">
            <w:r>
              <w:rPr>
                <w:webHidden/>
                <w:rStyle w:val="IndexLink"/>
              </w:rPr>
              <w:t>3</w:t>
            </w:r>
            <w:r>
              <w:rPr>
                <w:rStyle w:val="IndexLink"/>
                <w:rtl w:val="true"/>
              </w:rPr>
              <w:t xml:space="preserve">. </w:t>
            </w:r>
            <w:r>
              <w:rPr>
                <w:rStyle w:val="IndexLink"/>
                <w:rtl w:val="true"/>
              </w:rPr>
              <w:t>امكان انتفاع از زمين</w:t>
            </w:r>
            <w:r>
              <w:rPr>
                <w:rStyle w:val="IndexLink"/>
                <w:rtl w:val="true"/>
              </w:rPr>
              <w:tab/>
            </w:r>
            <w:r>
              <w:rPr>
                <w:rStyle w:val="IndexLink"/>
              </w:rPr>
              <w:t>240</w:t>
            </w:r>
          </w:hyperlink>
        </w:p>
        <w:p>
          <w:pPr>
            <w:pStyle w:val="Contents6"/>
            <w:tabs>
              <w:tab w:val="clear" w:pos="7609"/>
              <w:tab w:val="right" w:pos="9026" w:leader="dot"/>
            </w:tabs>
            <w:rPr/>
          </w:pPr>
          <w:hyperlink w:anchor="__RefHeading___Toc3598267_1067777946">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3598269_1067777946">
            <w:r>
              <w:rPr>
                <w:webHidden/>
                <w:rStyle w:val="IndexLink"/>
                <w:rtl w:val="true"/>
              </w:rPr>
              <w:t>انكشاف عدم امكان انتفاع</w:t>
            </w:r>
            <w:r>
              <w:rPr>
                <w:rStyle w:val="IndexLink"/>
                <w:rtl w:val="true"/>
              </w:rPr>
              <w:tab/>
            </w:r>
            <w:r>
              <w:rPr>
                <w:rStyle w:val="IndexLink"/>
              </w:rPr>
              <w:t>241</w:t>
            </w:r>
          </w:hyperlink>
        </w:p>
        <w:p>
          <w:pPr>
            <w:pStyle w:val="Contents6"/>
            <w:tabs>
              <w:tab w:val="clear" w:pos="7609"/>
              <w:tab w:val="right" w:pos="9026" w:leader="dot"/>
            </w:tabs>
            <w:rPr/>
          </w:pPr>
          <w:hyperlink w:anchor="__RefHeading___Toc3598271_1067777946">
            <w:r>
              <w:rPr>
                <w:webHidden/>
                <w:rStyle w:val="IndexLink"/>
                <w:rtl w:val="true"/>
              </w:rPr>
              <w:t>انقطاع آب در اثناى مدّت و عمل</w:t>
            </w:r>
            <w:r>
              <w:rPr>
                <w:rStyle w:val="IndexLink"/>
                <w:rtl w:val="true"/>
              </w:rPr>
              <w:tab/>
            </w:r>
            <w:r>
              <w:rPr>
                <w:rStyle w:val="IndexLink"/>
              </w:rPr>
              <w:t>241</w:t>
            </w:r>
          </w:hyperlink>
        </w:p>
        <w:p>
          <w:pPr>
            <w:pStyle w:val="Contents6"/>
            <w:tabs>
              <w:tab w:val="clear" w:pos="7609"/>
              <w:tab w:val="right" w:pos="9026" w:leader="dot"/>
            </w:tabs>
            <w:rPr/>
          </w:pPr>
          <w:hyperlink w:anchor="__RefHeading___Toc3598273_1067777946">
            <w:r>
              <w:rPr>
                <w:webHidden/>
                <w:rStyle w:val="IndexLink"/>
                <w:rtl w:val="true"/>
              </w:rPr>
              <w:t>اختيار تعيين نوع زرع</w:t>
            </w:r>
            <w:r>
              <w:rPr>
                <w:rStyle w:val="IndexLink"/>
                <w:rtl w:val="true"/>
              </w:rPr>
              <w:tab/>
            </w:r>
            <w:r>
              <w:rPr>
                <w:rStyle w:val="IndexLink"/>
              </w:rPr>
              <w:t>241</w:t>
            </w:r>
          </w:hyperlink>
        </w:p>
        <w:p>
          <w:pPr>
            <w:pStyle w:val="Contents6"/>
            <w:tabs>
              <w:tab w:val="clear" w:pos="7609"/>
              <w:tab w:val="right" w:pos="9026" w:leader="dot"/>
            </w:tabs>
            <w:rPr/>
          </w:pPr>
          <w:hyperlink w:anchor="__RefHeading___Toc3598275_1067777946">
            <w:r>
              <w:rPr>
                <w:webHidden/>
                <w:rStyle w:val="IndexLink"/>
                <w:rtl w:val="true"/>
              </w:rPr>
              <w:t>تعيين زرع مخصوص در ضمن عقد و تخلّف از آن</w:t>
            </w:r>
            <w:r>
              <w:rPr>
                <w:rStyle w:val="IndexLink"/>
                <w:rtl w:val="true"/>
              </w:rPr>
              <w:tab/>
            </w:r>
            <w:r>
              <w:rPr>
                <w:rStyle w:val="IndexLink"/>
              </w:rPr>
              <w:t>242</w:t>
            </w:r>
          </w:hyperlink>
        </w:p>
        <w:p>
          <w:pPr>
            <w:pStyle w:val="Contents6"/>
            <w:tabs>
              <w:tab w:val="clear" w:pos="7609"/>
              <w:tab w:val="right" w:pos="9026" w:leader="dot"/>
            </w:tabs>
            <w:rPr/>
          </w:pPr>
          <w:hyperlink w:anchor="__RefHeading___Toc3598277_1067777946">
            <w:r>
              <w:rPr>
                <w:webHidden/>
                <w:rStyle w:val="IndexLink"/>
                <w:rtl w:val="true"/>
              </w:rPr>
              <w:t>انكشاف عدم وجود آب در واقع</w:t>
            </w:r>
            <w:r>
              <w:rPr>
                <w:rStyle w:val="IndexLink"/>
                <w:rtl w:val="true"/>
              </w:rPr>
              <w:tab/>
            </w:r>
            <w:r>
              <w:rPr>
                <w:rStyle w:val="IndexLink"/>
              </w:rPr>
              <w:t>242</w:t>
            </w:r>
          </w:hyperlink>
        </w:p>
        <w:p>
          <w:pPr>
            <w:pStyle w:val="Contents6"/>
            <w:tabs>
              <w:tab w:val="clear" w:pos="7609"/>
              <w:tab w:val="right" w:pos="9026" w:leader="dot"/>
            </w:tabs>
            <w:rPr/>
          </w:pPr>
          <w:hyperlink w:anchor="__RefHeading___Toc3598279_1067777946">
            <w:r>
              <w:rPr>
                <w:webHidden/>
                <w:rStyle w:val="IndexLink"/>
                <w:rtl w:val="true"/>
              </w:rPr>
              <w:t>عدم تقييد عقد استيجار به زراعت در فرض مسأله</w:t>
            </w:r>
            <w:r>
              <w:rPr>
                <w:rStyle w:val="IndexLink"/>
                <w:rtl w:val="true"/>
              </w:rPr>
              <w:tab/>
            </w:r>
            <w:r>
              <w:rPr>
                <w:rStyle w:val="IndexLink"/>
              </w:rPr>
              <w:t>243</w:t>
            </w:r>
          </w:hyperlink>
        </w:p>
        <w:p>
          <w:pPr>
            <w:pStyle w:val="Contents6"/>
            <w:tabs>
              <w:tab w:val="clear" w:pos="7609"/>
              <w:tab w:val="right" w:pos="9026" w:leader="dot"/>
            </w:tabs>
            <w:rPr/>
          </w:pPr>
          <w:hyperlink w:anchor="__RefHeading___Toc3598281_1067777946">
            <w:r>
              <w:rPr>
                <w:webHidden/>
                <w:rStyle w:val="IndexLink"/>
                <w:rtl w:val="true"/>
              </w:rPr>
              <w:t>فرض عدم انقطاع آب</w:t>
            </w:r>
            <w:r>
              <w:rPr>
                <w:rStyle w:val="IndexLink"/>
                <w:rtl w:val="true"/>
              </w:rPr>
              <w:tab/>
            </w:r>
            <w:r>
              <w:rPr>
                <w:rStyle w:val="IndexLink"/>
              </w:rPr>
              <w:t>243</w:t>
            </w:r>
          </w:hyperlink>
        </w:p>
        <w:p>
          <w:pPr>
            <w:pStyle w:val="Contents6"/>
            <w:tabs>
              <w:tab w:val="clear" w:pos="7609"/>
              <w:tab w:val="right" w:pos="9026" w:leader="dot"/>
            </w:tabs>
            <w:rPr/>
          </w:pPr>
          <w:hyperlink w:anchor="__RefHeading___Toc3598283_1067777946">
            <w:r>
              <w:rPr>
                <w:webHidden/>
                <w:rStyle w:val="IndexLink"/>
                <w:rtl w:val="true"/>
              </w:rPr>
              <w:t>لزوم تعيين قدر، غرس يا زرع</w:t>
            </w:r>
            <w:r>
              <w:rPr>
                <w:rStyle w:val="IndexLink"/>
                <w:rtl w:val="true"/>
              </w:rPr>
              <w:tab/>
            </w:r>
            <w:r>
              <w:rPr>
                <w:rStyle w:val="IndexLink"/>
              </w:rPr>
              <w:t>243</w:t>
            </w:r>
          </w:hyperlink>
        </w:p>
        <w:p>
          <w:pPr>
            <w:pStyle w:val="Contents6"/>
            <w:tabs>
              <w:tab w:val="clear" w:pos="7609"/>
              <w:tab w:val="right" w:pos="9026" w:leader="dot"/>
            </w:tabs>
            <w:rPr/>
          </w:pPr>
          <w:hyperlink w:anchor="__RefHeading___Toc3598285_1067777946">
            <w:r>
              <w:rPr>
                <w:webHidden/>
                <w:rStyle w:val="IndexLink"/>
                <w:rtl w:val="true"/>
              </w:rPr>
              <w:t>استيجار براى درختى كه بعد از مدت قرارداد باقى مى ماند</w:t>
            </w:r>
            <w:r>
              <w:rPr>
                <w:rStyle w:val="IndexLink"/>
                <w:rtl w:val="true"/>
              </w:rPr>
              <w:tab/>
            </w:r>
            <w:r>
              <w:rPr>
                <w:rStyle w:val="IndexLink"/>
              </w:rPr>
              <w:t>244</w:t>
            </w:r>
          </w:hyperlink>
        </w:p>
        <w:p>
          <w:pPr>
            <w:pStyle w:val="Contents3"/>
            <w:tabs>
              <w:tab w:val="clear" w:pos="8459"/>
              <w:tab w:val="right" w:pos="9026" w:leader="dot"/>
            </w:tabs>
            <w:rPr/>
          </w:pPr>
          <w:hyperlink w:anchor="__RefHeading___Toc3598287_1067777946">
            <w:r>
              <w:rPr>
                <w:webHidden/>
                <w:rStyle w:val="IndexLink"/>
                <w:rtl w:val="true"/>
              </w:rPr>
              <w:t>فصل دوّم احكام مزارعه</w:t>
            </w:r>
            <w:r>
              <w:rPr>
                <w:rStyle w:val="IndexLink"/>
                <w:rtl w:val="true"/>
              </w:rPr>
              <w:tab/>
            </w:r>
            <w:r>
              <w:rPr>
                <w:rStyle w:val="IndexLink"/>
              </w:rPr>
              <w:t>245</w:t>
            </w:r>
          </w:hyperlink>
        </w:p>
        <w:p>
          <w:pPr>
            <w:pStyle w:val="Contents4"/>
            <w:tabs>
              <w:tab w:val="clear" w:pos="8176"/>
              <w:tab w:val="right" w:pos="9026" w:leader="dot"/>
            </w:tabs>
            <w:rPr/>
          </w:pPr>
          <w:hyperlink w:anchor="__RefHeading___Toc3598289_1067777946">
            <w:r>
              <w:rPr>
                <w:webHidden/>
                <w:rStyle w:val="IndexLink"/>
                <w:rtl w:val="true"/>
              </w:rPr>
              <w:t>جواز صور مختلف مزارعه</w:t>
            </w:r>
            <w:r>
              <w:rPr>
                <w:rStyle w:val="IndexLink"/>
                <w:rtl w:val="true"/>
              </w:rPr>
              <w:tab/>
            </w:r>
            <w:r>
              <w:rPr>
                <w:rStyle w:val="IndexLink"/>
              </w:rPr>
              <w:t>245</w:t>
            </w:r>
          </w:hyperlink>
        </w:p>
        <w:p>
          <w:pPr>
            <w:pStyle w:val="Contents4"/>
            <w:tabs>
              <w:tab w:val="clear" w:pos="8176"/>
              <w:tab w:val="right" w:pos="9026" w:leader="dot"/>
            </w:tabs>
            <w:rPr/>
          </w:pPr>
          <w:hyperlink w:anchor="__RefHeading___Toc3598291_1067777946">
            <w:r>
              <w:rPr>
                <w:webHidden/>
                <w:rStyle w:val="IndexLink"/>
                <w:rtl w:val="true"/>
              </w:rPr>
              <w:t>تنازع طرفين مزارعه</w:t>
            </w:r>
            <w:r>
              <w:rPr>
                <w:rStyle w:val="IndexLink"/>
                <w:rtl w:val="true"/>
              </w:rPr>
              <w:tab/>
            </w:r>
            <w:r>
              <w:rPr>
                <w:rStyle w:val="IndexLink"/>
              </w:rPr>
              <w:t>245</w:t>
            </w:r>
          </w:hyperlink>
        </w:p>
        <w:p>
          <w:pPr>
            <w:pStyle w:val="Contents4"/>
            <w:tabs>
              <w:tab w:val="clear" w:pos="8176"/>
              <w:tab w:val="right" w:pos="9026" w:leader="dot"/>
            </w:tabs>
            <w:rPr/>
          </w:pPr>
          <w:hyperlink w:anchor="__RefHeading___Toc3598293_1067777946">
            <w:r>
              <w:rPr>
                <w:webHidden/>
                <w:rStyle w:val="IndexLink"/>
                <w:rtl w:val="true"/>
              </w:rPr>
              <w:t>صور ديگر تنازع طرفين</w:t>
            </w:r>
            <w:r>
              <w:rPr>
                <w:rStyle w:val="IndexLink"/>
                <w:rtl w:val="true"/>
              </w:rPr>
              <w:tab/>
            </w:r>
            <w:r>
              <w:rPr>
                <w:rStyle w:val="IndexLink"/>
              </w:rPr>
              <w:t>246</w:t>
            </w:r>
          </w:hyperlink>
        </w:p>
        <w:p>
          <w:pPr>
            <w:pStyle w:val="Contents4"/>
            <w:tabs>
              <w:tab w:val="clear" w:pos="8176"/>
              <w:tab w:val="right" w:pos="9026" w:leader="dot"/>
            </w:tabs>
            <w:rPr/>
          </w:pPr>
          <w:hyperlink w:anchor="__RefHeading___Toc3598295_1067777946">
            <w:r>
              <w:rPr>
                <w:webHidden/>
                <w:rStyle w:val="IndexLink"/>
                <w:rtl w:val="true"/>
              </w:rPr>
              <w:t>محدودۀ اختيار مزارع و مستأجر</w:t>
            </w:r>
            <w:r>
              <w:rPr>
                <w:rStyle w:val="IndexLink"/>
                <w:rtl w:val="true"/>
              </w:rPr>
              <w:tab/>
            </w:r>
            <w:r>
              <w:rPr>
                <w:rStyle w:val="IndexLink"/>
              </w:rPr>
              <w:t>247</w:t>
            </w:r>
          </w:hyperlink>
        </w:p>
        <w:p>
          <w:pPr>
            <w:pStyle w:val="Contents4"/>
            <w:tabs>
              <w:tab w:val="clear" w:pos="8176"/>
              <w:tab w:val="right" w:pos="9026" w:leader="dot"/>
            </w:tabs>
            <w:rPr/>
          </w:pPr>
          <w:hyperlink w:anchor="__RefHeading___Toc3598297_1067777946">
            <w:r>
              <w:rPr>
                <w:webHidden/>
                <w:rStyle w:val="IndexLink"/>
                <w:rtl w:val="true"/>
              </w:rPr>
              <w:t>خراج سلطان و ديگر مؤونه ها</w:t>
            </w:r>
            <w:r>
              <w:rPr>
                <w:rStyle w:val="IndexLink"/>
                <w:rtl w:val="true"/>
              </w:rPr>
              <w:tab/>
            </w:r>
            <w:r>
              <w:rPr>
                <w:rStyle w:val="IndexLink"/>
              </w:rPr>
              <w:t>247</w:t>
            </w:r>
          </w:hyperlink>
        </w:p>
        <w:p>
          <w:pPr>
            <w:pStyle w:val="Contents4"/>
            <w:tabs>
              <w:tab w:val="clear" w:pos="8176"/>
              <w:tab w:val="right" w:pos="9026" w:leader="dot"/>
            </w:tabs>
            <w:rPr/>
          </w:pPr>
          <w:hyperlink w:anchor="__RefHeading___Toc3598299_1067777946">
            <w:r>
              <w:rPr>
                <w:webHidden/>
                <w:rStyle w:val="IndexLink"/>
                <w:rtl w:val="true"/>
              </w:rPr>
              <w:t>حكم فساد مزارعه</w:t>
            </w:r>
            <w:r>
              <w:rPr>
                <w:rStyle w:val="IndexLink"/>
                <w:rtl w:val="true"/>
              </w:rPr>
              <w:tab/>
            </w:r>
            <w:r>
              <w:rPr>
                <w:rStyle w:val="IndexLink"/>
              </w:rPr>
              <w:t>247</w:t>
            </w:r>
          </w:hyperlink>
        </w:p>
        <w:p>
          <w:pPr>
            <w:pStyle w:val="Contents4"/>
            <w:tabs>
              <w:tab w:val="clear" w:pos="8176"/>
              <w:tab w:val="right" w:pos="9026" w:leader="dot"/>
            </w:tabs>
            <w:rPr/>
          </w:pPr>
          <w:hyperlink w:anchor="__RefHeading___Toc3598301_1067777946">
            <w:r>
              <w:rPr>
                <w:webHidden/>
                <w:rStyle w:val="IndexLink"/>
                <w:rtl w:val="true"/>
              </w:rPr>
              <w:t>جواز خرص براى مالك</w:t>
            </w:r>
            <w:r>
              <w:rPr>
                <w:rStyle w:val="IndexLink"/>
                <w:rtl w:val="true"/>
              </w:rPr>
              <w:tab/>
            </w:r>
            <w:r>
              <w:rPr>
                <w:rStyle w:val="IndexLink"/>
              </w:rPr>
              <w:t>248</w:t>
            </w:r>
          </w:hyperlink>
        </w:p>
        <w:p>
          <w:pPr>
            <w:pStyle w:val="Contents4"/>
            <w:tabs>
              <w:tab w:val="clear" w:pos="8176"/>
              <w:tab w:val="right" w:pos="9026" w:leader="dot"/>
            </w:tabs>
            <w:rPr/>
          </w:pPr>
          <w:hyperlink w:anchor="__RefHeading___Toc3598303_1067777946">
            <w:r>
              <w:rPr>
                <w:webHidden/>
                <w:rStyle w:val="IndexLink"/>
                <w:rtl w:val="true"/>
              </w:rPr>
              <w:t>نحوۀ تأمين بذر و ساير نفقات</w:t>
            </w:r>
            <w:r>
              <w:rPr>
                <w:rStyle w:val="IndexLink"/>
                <w:rtl w:val="true"/>
              </w:rPr>
              <w:tab/>
            </w:r>
            <w:r>
              <w:rPr>
                <w:rStyle w:val="IndexLink"/>
              </w:rPr>
              <w:t>248</w:t>
            </w:r>
          </w:hyperlink>
        </w:p>
        <w:p>
          <w:pPr>
            <w:pStyle w:val="Contents4"/>
            <w:tabs>
              <w:tab w:val="clear" w:pos="8176"/>
              <w:tab w:val="right" w:pos="9026" w:leader="dot"/>
            </w:tabs>
            <w:rPr/>
          </w:pPr>
          <w:hyperlink w:anchor="__RefHeading___Toc3598305_1067777946">
            <w:r>
              <w:rPr>
                <w:webHidden/>
                <w:rStyle w:val="IndexLink"/>
                <w:rtl w:val="true"/>
              </w:rPr>
              <w:t>آنچه بعد از مدّت مزارعه باقى مى ماند</w:t>
            </w:r>
            <w:r>
              <w:rPr>
                <w:rStyle w:val="IndexLink"/>
                <w:rtl w:val="true"/>
              </w:rPr>
              <w:tab/>
            </w:r>
            <w:r>
              <w:rPr>
                <w:rStyle w:val="IndexLink"/>
              </w:rPr>
              <w:t>249</w:t>
            </w:r>
          </w:hyperlink>
        </w:p>
        <w:p>
          <w:pPr>
            <w:pStyle w:val="Contents4"/>
            <w:tabs>
              <w:tab w:val="clear" w:pos="8176"/>
              <w:tab w:val="right" w:pos="9026" w:leader="dot"/>
            </w:tabs>
            <w:rPr/>
          </w:pPr>
          <w:hyperlink w:anchor="__RefHeading___Toc3598307_1067777946">
            <w:r>
              <w:rPr>
                <w:webHidden/>
                <w:rStyle w:val="IndexLink"/>
                <w:rtl w:val="true"/>
              </w:rPr>
              <w:t>عدم خروج قبالۀ زمين از مزارعه و</w:t>
            </w:r>
            <w:r>
              <w:rPr>
                <w:rStyle w:val="IndexLink"/>
                <w:rtl w:val="true"/>
              </w:rPr>
              <w:t>...</w:t>
              <w:tab/>
            </w:r>
            <w:r>
              <w:rPr>
                <w:rStyle w:val="IndexLink"/>
              </w:rPr>
              <w:t>249</w:t>
            </w:r>
          </w:hyperlink>
        </w:p>
        <w:p>
          <w:pPr>
            <w:pStyle w:val="Contents4"/>
            <w:tabs>
              <w:tab w:val="clear" w:pos="8176"/>
              <w:tab w:val="right" w:pos="9026" w:leader="dot"/>
            </w:tabs>
            <w:rPr/>
          </w:pPr>
          <w:hyperlink w:anchor="__RefHeading___Toc3598309_1067777946">
            <w:r>
              <w:rPr>
                <w:webHidden/>
                <w:rStyle w:val="IndexLink"/>
                <w:rtl w:val="true"/>
              </w:rPr>
              <w:t>حكم ضمان حقّ مستحقّين زكات در موارد قلع زرع</w:t>
            </w:r>
            <w:r>
              <w:rPr>
                <w:rStyle w:val="IndexLink"/>
                <w:rtl w:val="true"/>
              </w:rPr>
              <w:tab/>
            </w:r>
            <w:r>
              <w:rPr>
                <w:rStyle w:val="IndexLink"/>
              </w:rPr>
              <w:t>249</w:t>
            </w:r>
          </w:hyperlink>
        </w:p>
        <w:p>
          <w:pPr>
            <w:pStyle w:val="Contents2"/>
            <w:tabs>
              <w:tab w:val="clear" w:pos="8743"/>
              <w:tab w:val="right" w:pos="9026" w:leader="dot"/>
            </w:tabs>
            <w:rPr/>
          </w:pPr>
          <w:hyperlink w:anchor="__RefHeading___Toc3598311_1067777946">
            <w:r>
              <w:rPr>
                <w:webHidden/>
                <w:rStyle w:val="IndexLink"/>
                <w:rtl w:val="true"/>
              </w:rPr>
              <w:t>كتاب مساقات</w:t>
            </w:r>
            <w:r>
              <w:rPr>
                <w:rStyle w:val="IndexLink"/>
                <w:rtl w:val="true"/>
              </w:rPr>
              <w:tab/>
            </w:r>
            <w:r>
              <w:rPr>
                <w:rStyle w:val="IndexLink"/>
              </w:rPr>
              <w:t>250</w:t>
            </w:r>
          </w:hyperlink>
        </w:p>
        <w:p>
          <w:pPr>
            <w:pStyle w:val="Contents3"/>
            <w:tabs>
              <w:tab w:val="clear" w:pos="8459"/>
              <w:tab w:val="right" w:pos="9026" w:leader="dot"/>
            </w:tabs>
            <w:rPr/>
          </w:pPr>
          <w:hyperlink w:anchor="__RefHeading___Toc3598313_1067777946">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598315_1067777946">
            <w:r>
              <w:rPr>
                <w:webHidden/>
                <w:rStyle w:val="IndexLink"/>
                <w:rtl w:val="true"/>
              </w:rPr>
              <w:t>فصل اوّل مساقات و شرايط آن و فايده</w:t>
            </w:r>
            <w:r>
              <w:rPr>
                <w:rStyle w:val="IndexLink"/>
                <w:rtl w:val="true"/>
              </w:rPr>
              <w:tab/>
            </w:r>
            <w:r>
              <w:rPr>
                <w:rStyle w:val="IndexLink"/>
              </w:rPr>
              <w:t>252</w:t>
            </w:r>
          </w:hyperlink>
        </w:p>
        <w:p>
          <w:pPr>
            <w:pStyle w:val="Contents4"/>
            <w:tabs>
              <w:tab w:val="clear" w:pos="8176"/>
              <w:tab w:val="right" w:pos="9026" w:leader="dot"/>
            </w:tabs>
            <w:rPr/>
          </w:pPr>
          <w:hyperlink w:anchor="__RefHeading___Toc3598317_1067777946">
            <w:r>
              <w:rPr>
                <w:webHidden/>
                <w:rStyle w:val="IndexLink"/>
                <w:rtl w:val="true"/>
              </w:rPr>
              <w:t>تعريف مساقات</w:t>
            </w:r>
            <w:r>
              <w:rPr>
                <w:rStyle w:val="IndexLink"/>
                <w:rtl w:val="true"/>
              </w:rPr>
              <w:tab/>
            </w:r>
            <w:r>
              <w:rPr>
                <w:rStyle w:val="IndexLink"/>
              </w:rPr>
              <w:t>252</w:t>
            </w:r>
          </w:hyperlink>
        </w:p>
        <w:p>
          <w:pPr>
            <w:pStyle w:val="Contents4"/>
            <w:tabs>
              <w:tab w:val="clear" w:pos="8176"/>
              <w:tab w:val="right" w:pos="9026" w:leader="dot"/>
            </w:tabs>
            <w:rPr/>
          </w:pPr>
          <w:hyperlink w:anchor="__RefHeading___Toc3598319_1067777946">
            <w:r>
              <w:rPr>
                <w:webHidden/>
                <w:rStyle w:val="IndexLink"/>
                <w:rtl w:val="true"/>
              </w:rPr>
              <w:t>عقد مساقات و لزوم آن</w:t>
            </w:r>
            <w:r>
              <w:rPr>
                <w:rStyle w:val="IndexLink"/>
                <w:rtl w:val="true"/>
              </w:rPr>
              <w:tab/>
            </w:r>
            <w:r>
              <w:rPr>
                <w:rStyle w:val="IndexLink"/>
              </w:rPr>
              <w:t>252</w:t>
            </w:r>
          </w:hyperlink>
        </w:p>
        <w:p>
          <w:pPr>
            <w:pStyle w:val="Contents4"/>
            <w:tabs>
              <w:tab w:val="clear" w:pos="8176"/>
              <w:tab w:val="right" w:pos="9026" w:leader="dot"/>
            </w:tabs>
            <w:rPr/>
          </w:pPr>
          <w:hyperlink w:anchor="__RefHeading___Toc3598321_1067777946">
            <w:r>
              <w:rPr>
                <w:webHidden/>
                <w:rStyle w:val="IndexLink"/>
                <w:rtl w:val="true"/>
              </w:rPr>
              <w:t>صحّت مساقات قبل از ظهور ثمره</w:t>
            </w:r>
            <w:r>
              <w:rPr>
                <w:rStyle w:val="IndexLink"/>
                <w:rtl w:val="true"/>
              </w:rPr>
              <w:tab/>
            </w:r>
            <w:r>
              <w:rPr>
                <w:rStyle w:val="IndexLink"/>
              </w:rPr>
              <w:t>252</w:t>
            </w:r>
          </w:hyperlink>
        </w:p>
        <w:p>
          <w:pPr>
            <w:pStyle w:val="Contents4"/>
            <w:tabs>
              <w:tab w:val="clear" w:pos="8176"/>
              <w:tab w:val="right" w:pos="9026" w:leader="dot"/>
            </w:tabs>
            <w:rPr/>
          </w:pPr>
          <w:hyperlink w:anchor="__RefHeading___Toc3598323_1067777946">
            <w:r>
              <w:rPr>
                <w:webHidden/>
                <w:rStyle w:val="IndexLink"/>
                <w:rtl w:val="true"/>
              </w:rPr>
              <w:t>حكم مساقات با موت مالك يا عامل</w:t>
            </w:r>
            <w:r>
              <w:rPr>
                <w:rStyle w:val="IndexLink"/>
                <w:rtl w:val="true"/>
              </w:rPr>
              <w:tab/>
            </w:r>
            <w:r>
              <w:rPr>
                <w:rStyle w:val="IndexLink"/>
              </w:rPr>
              <w:t>252</w:t>
            </w:r>
          </w:hyperlink>
        </w:p>
        <w:p>
          <w:pPr>
            <w:pStyle w:val="Contents4"/>
            <w:tabs>
              <w:tab w:val="clear" w:pos="8176"/>
              <w:tab w:val="right" w:pos="9026" w:leader="dot"/>
            </w:tabs>
            <w:rPr/>
          </w:pPr>
          <w:hyperlink w:anchor="__RefHeading___Toc3598325_1067777946">
            <w:r>
              <w:rPr>
                <w:webHidden/>
                <w:rStyle w:val="IndexLink"/>
                <w:rtl w:val="true"/>
              </w:rPr>
              <w:t>در آنچه بر او مساقات واقع مى شود</w:t>
            </w:r>
            <w:r>
              <w:rPr>
                <w:rStyle w:val="IndexLink"/>
                <w:rtl w:val="true"/>
              </w:rPr>
              <w:tab/>
            </w:r>
            <w:r>
              <w:rPr>
                <w:rStyle w:val="IndexLink"/>
              </w:rPr>
              <w:t>253</w:t>
            </w:r>
          </w:hyperlink>
        </w:p>
        <w:p>
          <w:pPr>
            <w:pStyle w:val="Contents4"/>
            <w:tabs>
              <w:tab w:val="clear" w:pos="8176"/>
              <w:tab w:val="right" w:pos="9026" w:leader="dot"/>
            </w:tabs>
            <w:rPr/>
          </w:pPr>
          <w:hyperlink w:anchor="__RefHeading___Toc3598327_1067777946">
            <w:r>
              <w:rPr>
                <w:webHidden/>
                <w:rStyle w:val="IndexLink"/>
                <w:rtl w:val="true"/>
              </w:rPr>
              <w:t>احكام مربوط به تلف شدن ثمره</w:t>
            </w:r>
            <w:r>
              <w:rPr>
                <w:rStyle w:val="IndexLink"/>
                <w:rtl w:val="true"/>
              </w:rPr>
              <w:tab/>
            </w:r>
            <w:r>
              <w:rPr>
                <w:rStyle w:val="IndexLink"/>
              </w:rPr>
              <w:t>253</w:t>
            </w:r>
          </w:hyperlink>
        </w:p>
        <w:p>
          <w:pPr>
            <w:pStyle w:val="Contents4"/>
            <w:tabs>
              <w:tab w:val="clear" w:pos="8176"/>
              <w:tab w:val="right" w:pos="9026" w:leader="dot"/>
            </w:tabs>
            <w:rPr/>
          </w:pPr>
          <w:hyperlink w:anchor="__RefHeading___Toc3598329_1067777946">
            <w:r>
              <w:rPr>
                <w:webHidden/>
                <w:rStyle w:val="IndexLink"/>
                <w:rtl w:val="true"/>
              </w:rPr>
              <w:t>مدّت مساقات</w:t>
            </w:r>
            <w:r>
              <w:rPr>
                <w:rStyle w:val="IndexLink"/>
                <w:rtl w:val="true"/>
              </w:rPr>
              <w:tab/>
            </w:r>
            <w:r>
              <w:rPr>
                <w:rStyle w:val="IndexLink"/>
              </w:rPr>
              <w:t>253</w:t>
            </w:r>
          </w:hyperlink>
        </w:p>
        <w:p>
          <w:pPr>
            <w:pStyle w:val="Contents4"/>
            <w:tabs>
              <w:tab w:val="clear" w:pos="8176"/>
              <w:tab w:val="right" w:pos="9026" w:leader="dot"/>
            </w:tabs>
            <w:rPr/>
          </w:pPr>
          <w:hyperlink w:anchor="__RefHeading___Toc3598331_1067777946">
            <w:r>
              <w:rPr>
                <w:webHidden/>
                <w:rStyle w:val="IndexLink"/>
                <w:rtl w:val="true"/>
              </w:rPr>
              <w:t>مسئول عمل در مساقات</w:t>
            </w:r>
            <w:r>
              <w:rPr>
                <w:rStyle w:val="IndexLink"/>
                <w:rtl w:val="true"/>
              </w:rPr>
              <w:tab/>
            </w:r>
            <w:r>
              <w:rPr>
                <w:rStyle w:val="IndexLink"/>
              </w:rPr>
              <w:t>253</w:t>
            </w:r>
          </w:hyperlink>
        </w:p>
        <w:p>
          <w:pPr>
            <w:pStyle w:val="Contents4"/>
            <w:tabs>
              <w:tab w:val="clear" w:pos="8176"/>
              <w:tab w:val="right" w:pos="9026" w:leader="dot"/>
            </w:tabs>
            <w:rPr/>
          </w:pPr>
          <w:hyperlink w:anchor="__RefHeading___Toc3598333_1067777946">
            <w:r>
              <w:rPr>
                <w:webHidden/>
                <w:rStyle w:val="IndexLink"/>
                <w:rtl w:val="true"/>
              </w:rPr>
              <w:t>شرط تمام يا مقدارى از عمل بر مالك در مساقات</w:t>
            </w:r>
            <w:r>
              <w:rPr>
                <w:rStyle w:val="IndexLink"/>
                <w:rtl w:val="true"/>
              </w:rPr>
              <w:tab/>
            </w:r>
            <w:r>
              <w:rPr>
                <w:rStyle w:val="IndexLink"/>
              </w:rPr>
              <w:t>254</w:t>
            </w:r>
          </w:hyperlink>
        </w:p>
        <w:p>
          <w:pPr>
            <w:pStyle w:val="Contents4"/>
            <w:tabs>
              <w:tab w:val="clear" w:pos="8176"/>
              <w:tab w:val="right" w:pos="9026" w:leader="dot"/>
            </w:tabs>
            <w:rPr/>
          </w:pPr>
          <w:hyperlink w:anchor="__RefHeading___Toc3598335_1067777946">
            <w:r>
              <w:rPr>
                <w:webHidden/>
                <w:rStyle w:val="IndexLink"/>
                <w:rtl w:val="true"/>
              </w:rPr>
              <w:t>حق فسخ مالك در فرض كوتاهى عامل</w:t>
            </w:r>
            <w:r>
              <w:rPr>
                <w:rStyle w:val="IndexLink"/>
                <w:rtl w:val="true"/>
              </w:rPr>
              <w:tab/>
            </w:r>
            <w:r>
              <w:rPr>
                <w:rStyle w:val="IndexLink"/>
              </w:rPr>
              <w:t>254</w:t>
            </w:r>
          </w:hyperlink>
        </w:p>
        <w:p>
          <w:pPr>
            <w:pStyle w:val="Contents4"/>
            <w:tabs>
              <w:tab w:val="clear" w:pos="8176"/>
              <w:tab w:val="right" w:pos="9026" w:leader="dot"/>
            </w:tabs>
            <w:rPr/>
          </w:pPr>
          <w:hyperlink w:anchor="__RefHeading___Toc3598337_1067777946">
            <w:r>
              <w:rPr>
                <w:webHidden/>
                <w:rStyle w:val="IndexLink"/>
                <w:rtl w:val="true"/>
              </w:rPr>
              <w:t>شرط تشريك غير در عمل</w:t>
            </w:r>
            <w:r>
              <w:rPr>
                <w:rStyle w:val="IndexLink"/>
                <w:rtl w:val="true"/>
              </w:rPr>
              <w:tab/>
            </w:r>
            <w:r>
              <w:rPr>
                <w:rStyle w:val="IndexLink"/>
              </w:rPr>
              <w:t>255</w:t>
            </w:r>
          </w:hyperlink>
        </w:p>
        <w:p>
          <w:pPr>
            <w:pStyle w:val="Contents4"/>
            <w:tabs>
              <w:tab w:val="clear" w:pos="8176"/>
              <w:tab w:val="right" w:pos="9026" w:leader="dot"/>
            </w:tabs>
            <w:rPr/>
          </w:pPr>
          <w:hyperlink w:anchor="__RefHeading___Toc3598339_1067777946">
            <w:r>
              <w:rPr>
                <w:webHidden/>
                <w:rStyle w:val="IndexLink"/>
                <w:rtl w:val="true"/>
              </w:rPr>
              <w:t>شرط اخذ اجرت اجير از مالك يا خروج آن از حاصل</w:t>
            </w:r>
            <w:r>
              <w:rPr>
                <w:rStyle w:val="IndexLink"/>
                <w:rtl w:val="true"/>
              </w:rPr>
              <w:tab/>
            </w:r>
            <w:r>
              <w:rPr>
                <w:rStyle w:val="IndexLink"/>
              </w:rPr>
              <w:t>255</w:t>
            </w:r>
          </w:hyperlink>
        </w:p>
        <w:p>
          <w:pPr>
            <w:pStyle w:val="Contents4"/>
            <w:tabs>
              <w:tab w:val="clear" w:pos="8176"/>
              <w:tab w:val="right" w:pos="9026" w:leader="dot"/>
            </w:tabs>
            <w:rPr/>
          </w:pPr>
          <w:hyperlink w:anchor="__RefHeading___Toc3598341_1067777946">
            <w:r>
              <w:rPr>
                <w:webHidden/>
                <w:rStyle w:val="IndexLink"/>
                <w:rtl w:val="true"/>
              </w:rPr>
              <w:t>در فايده و ثمره است</w:t>
            </w:r>
            <w:r>
              <w:rPr>
                <w:rStyle w:val="IndexLink"/>
                <w:rtl w:val="true"/>
              </w:rPr>
              <w:tab/>
            </w:r>
            <w:r>
              <w:rPr>
                <w:rStyle w:val="IndexLink"/>
              </w:rPr>
              <w:t>256</w:t>
            </w:r>
          </w:hyperlink>
        </w:p>
        <w:p>
          <w:pPr>
            <w:pStyle w:val="Contents5"/>
            <w:tabs>
              <w:tab w:val="clear" w:pos="7892"/>
              <w:tab w:val="right" w:pos="9026" w:leader="dot"/>
            </w:tabs>
            <w:rPr/>
          </w:pPr>
          <w:hyperlink w:anchor="__RefHeading___Toc3598343_1067777946">
            <w:r>
              <w:rPr>
                <w:webHidden/>
                <w:rStyle w:val="IndexLink"/>
                <w:rtl w:val="true"/>
              </w:rPr>
              <w:t>لزوم اختصاص مقدارى از فايده به عامل</w:t>
            </w:r>
            <w:r>
              <w:rPr>
                <w:rStyle w:val="IndexLink"/>
                <w:rtl w:val="true"/>
              </w:rPr>
              <w:tab/>
            </w:r>
            <w:r>
              <w:rPr>
                <w:rStyle w:val="IndexLink"/>
              </w:rPr>
              <w:t>256</w:t>
            </w:r>
          </w:hyperlink>
        </w:p>
        <w:p>
          <w:pPr>
            <w:pStyle w:val="Contents5"/>
            <w:tabs>
              <w:tab w:val="clear" w:pos="7892"/>
              <w:tab w:val="right" w:pos="9026" w:leader="dot"/>
            </w:tabs>
            <w:rPr/>
          </w:pPr>
          <w:hyperlink w:anchor="__RefHeading___Toc3598345_1067777946">
            <w:r>
              <w:rPr>
                <w:webHidden/>
                <w:rStyle w:val="IndexLink"/>
                <w:rtl w:val="true"/>
              </w:rPr>
              <w:t>اشكال در اشتراط اختصاص حصّه اى از اصول به عامل</w:t>
            </w:r>
            <w:r>
              <w:rPr>
                <w:rStyle w:val="IndexLink"/>
                <w:rtl w:val="true"/>
              </w:rPr>
              <w:tab/>
            </w:r>
            <w:r>
              <w:rPr>
                <w:rStyle w:val="IndexLink"/>
              </w:rPr>
              <w:t>256</w:t>
            </w:r>
          </w:hyperlink>
        </w:p>
        <w:p>
          <w:pPr>
            <w:pStyle w:val="Contents5"/>
            <w:tabs>
              <w:tab w:val="clear" w:pos="7892"/>
              <w:tab w:val="right" w:pos="9026" w:leader="dot"/>
            </w:tabs>
            <w:rPr/>
          </w:pPr>
          <w:hyperlink w:anchor="__RefHeading___Toc3598347_1067777946">
            <w:r>
              <w:rPr>
                <w:webHidden/>
                <w:rStyle w:val="IndexLink"/>
                <w:rtl w:val="true"/>
              </w:rPr>
              <w:t>كراهت شرط انضمام مقدارى از طلا يا نقره و</w:t>
            </w:r>
            <w:r>
              <w:rPr>
                <w:rStyle w:val="IndexLink"/>
                <w:rtl w:val="true"/>
              </w:rPr>
              <w:t>...</w:t>
              <w:tab/>
            </w:r>
            <w:r>
              <w:rPr>
                <w:rStyle w:val="IndexLink"/>
              </w:rPr>
              <w:t>257</w:t>
            </w:r>
          </w:hyperlink>
        </w:p>
        <w:p>
          <w:pPr>
            <w:pStyle w:val="Contents3"/>
            <w:tabs>
              <w:tab w:val="clear" w:pos="8459"/>
              <w:tab w:val="right" w:pos="9026" w:leader="dot"/>
            </w:tabs>
            <w:rPr/>
          </w:pPr>
          <w:hyperlink w:anchor="__RefHeading___Toc3598349_1067777946">
            <w:r>
              <w:rPr>
                <w:webHidden/>
                <w:rStyle w:val="IndexLink"/>
                <w:rtl w:val="true"/>
              </w:rPr>
              <w:t>فصل دوّم احكام مساقات</w:t>
            </w:r>
            <w:r>
              <w:rPr>
                <w:rStyle w:val="IndexLink"/>
                <w:rtl w:val="true"/>
              </w:rPr>
              <w:tab/>
            </w:r>
            <w:r>
              <w:rPr>
                <w:rStyle w:val="IndexLink"/>
              </w:rPr>
              <w:t>258</w:t>
            </w:r>
          </w:hyperlink>
        </w:p>
        <w:p>
          <w:pPr>
            <w:pStyle w:val="Contents4"/>
            <w:tabs>
              <w:tab w:val="clear" w:pos="8176"/>
              <w:tab w:val="right" w:pos="9026" w:leader="dot"/>
            </w:tabs>
            <w:rPr/>
          </w:pPr>
          <w:hyperlink w:anchor="__RefHeading___Toc3598351_1067777946">
            <w:r>
              <w:rPr>
                <w:webHidden/>
                <w:rStyle w:val="IndexLink"/>
                <w:rtl w:val="true"/>
              </w:rPr>
              <w:t>حكم ثمره و اجرت در فرض فساد مساقات</w:t>
            </w:r>
            <w:r>
              <w:rPr>
                <w:rStyle w:val="IndexLink"/>
                <w:rtl w:val="true"/>
              </w:rPr>
              <w:tab/>
            </w:r>
            <w:r>
              <w:rPr>
                <w:rStyle w:val="IndexLink"/>
              </w:rPr>
              <w:t>258</w:t>
            </w:r>
          </w:hyperlink>
        </w:p>
        <w:p>
          <w:pPr>
            <w:pStyle w:val="Contents4"/>
            <w:tabs>
              <w:tab w:val="clear" w:pos="8176"/>
              <w:tab w:val="right" w:pos="9026" w:leader="dot"/>
            </w:tabs>
            <w:rPr/>
          </w:pPr>
          <w:hyperlink w:anchor="__RefHeading___Toc3598353_1067777946">
            <w:r>
              <w:rPr>
                <w:webHidden/>
                <w:rStyle w:val="IndexLink"/>
                <w:rtl w:val="true"/>
              </w:rPr>
              <w:t>حكم انحاى جعل اجرت از ثمره</w:t>
            </w:r>
            <w:r>
              <w:rPr>
                <w:rStyle w:val="IndexLink"/>
                <w:rtl w:val="true"/>
              </w:rPr>
              <w:tab/>
            </w:r>
            <w:r>
              <w:rPr>
                <w:rStyle w:val="IndexLink"/>
              </w:rPr>
              <w:t>258</w:t>
            </w:r>
          </w:hyperlink>
        </w:p>
        <w:p>
          <w:pPr>
            <w:pStyle w:val="Contents4"/>
            <w:tabs>
              <w:tab w:val="clear" w:pos="8176"/>
              <w:tab w:val="right" w:pos="9026" w:leader="dot"/>
            </w:tabs>
            <w:rPr/>
          </w:pPr>
          <w:hyperlink w:anchor="__RefHeading___Toc3598355_1067777946">
            <w:r>
              <w:rPr>
                <w:webHidden/>
                <w:rStyle w:val="IndexLink"/>
                <w:rtl w:val="true"/>
              </w:rPr>
              <w:t>اشتراط مساقات ديگر در ضمن عقد</w:t>
            </w:r>
            <w:r>
              <w:rPr>
                <w:rStyle w:val="IndexLink"/>
                <w:rtl w:val="true"/>
              </w:rPr>
              <w:tab/>
            </w:r>
            <w:r>
              <w:rPr>
                <w:rStyle w:val="IndexLink"/>
              </w:rPr>
              <w:t>259</w:t>
            </w:r>
          </w:hyperlink>
        </w:p>
        <w:p>
          <w:pPr>
            <w:pStyle w:val="Contents4"/>
            <w:tabs>
              <w:tab w:val="clear" w:pos="8176"/>
              <w:tab w:val="right" w:pos="9026" w:leader="dot"/>
            </w:tabs>
            <w:rPr/>
          </w:pPr>
          <w:hyperlink w:anchor="__RefHeading___Toc3598357_1067777946">
            <w:r>
              <w:rPr>
                <w:webHidden/>
                <w:rStyle w:val="IndexLink"/>
                <w:rtl w:val="true"/>
              </w:rPr>
              <w:t>صور مختلف تعدّد حصص و لزوم معلوميّت آن</w:t>
            </w:r>
            <w:r>
              <w:rPr>
                <w:rStyle w:val="IndexLink"/>
                <w:rtl w:val="true"/>
              </w:rPr>
              <w:tab/>
            </w:r>
            <w:r>
              <w:rPr>
                <w:rStyle w:val="IndexLink"/>
              </w:rPr>
              <w:t>259</w:t>
            </w:r>
          </w:hyperlink>
        </w:p>
        <w:p>
          <w:pPr>
            <w:pStyle w:val="Contents4"/>
            <w:tabs>
              <w:tab w:val="clear" w:pos="8176"/>
              <w:tab w:val="right" w:pos="9026" w:leader="dot"/>
            </w:tabs>
            <w:rPr/>
          </w:pPr>
          <w:hyperlink w:anchor="__RefHeading___Toc3598359_1067777946">
            <w:r>
              <w:rPr>
                <w:webHidden/>
                <w:rStyle w:val="IndexLink"/>
                <w:rtl w:val="true"/>
              </w:rPr>
              <w:t>فرار عامل از مساقات با فرض عدم تعيّن مباشرت در عقد</w:t>
            </w:r>
            <w:r>
              <w:rPr>
                <w:rStyle w:val="IndexLink"/>
                <w:rtl w:val="true"/>
              </w:rPr>
              <w:tab/>
            </w:r>
            <w:r>
              <w:rPr>
                <w:rStyle w:val="IndexLink"/>
              </w:rPr>
              <w:t>259</w:t>
            </w:r>
          </w:hyperlink>
        </w:p>
        <w:p>
          <w:pPr>
            <w:pStyle w:val="Contents4"/>
            <w:tabs>
              <w:tab w:val="clear" w:pos="8176"/>
              <w:tab w:val="right" w:pos="9026" w:leader="dot"/>
            </w:tabs>
            <w:rPr/>
          </w:pPr>
          <w:hyperlink w:anchor="__RefHeading___Toc3598361_1067777946">
            <w:r>
              <w:rPr>
                <w:webHidden/>
                <w:rStyle w:val="IndexLink"/>
                <w:rtl w:val="true"/>
              </w:rPr>
              <w:t>فرض تعيّن مباشرت</w:t>
            </w:r>
            <w:r>
              <w:rPr>
                <w:rStyle w:val="IndexLink"/>
                <w:rtl w:val="true"/>
              </w:rPr>
              <w:tab/>
            </w:r>
            <w:r>
              <w:rPr>
                <w:rStyle w:val="IndexLink"/>
              </w:rPr>
              <w:t>260</w:t>
            </w:r>
          </w:hyperlink>
        </w:p>
        <w:p>
          <w:pPr>
            <w:pStyle w:val="Contents4"/>
            <w:tabs>
              <w:tab w:val="clear" w:pos="8176"/>
              <w:tab w:val="right" w:pos="9026" w:leader="dot"/>
            </w:tabs>
            <w:rPr/>
          </w:pPr>
          <w:hyperlink w:anchor="__RefHeading___Toc3598363_1067777946">
            <w:r>
              <w:rPr>
                <w:webHidden/>
                <w:rStyle w:val="IndexLink"/>
                <w:rtl w:val="true"/>
              </w:rPr>
              <w:t>تقدم قول عامل در فرض ادّعاى خيانت يا سرقت يا تفريط از طرف مالك</w:t>
            </w:r>
            <w:r>
              <w:rPr>
                <w:rStyle w:val="IndexLink"/>
                <w:rtl w:val="true"/>
              </w:rPr>
              <w:tab/>
            </w:r>
            <w:r>
              <w:rPr>
                <w:rStyle w:val="IndexLink"/>
              </w:rPr>
              <w:t>260</w:t>
            </w:r>
          </w:hyperlink>
        </w:p>
        <w:p>
          <w:pPr>
            <w:pStyle w:val="Contents4"/>
            <w:tabs>
              <w:tab w:val="clear" w:pos="8176"/>
              <w:tab w:val="right" w:pos="9026" w:leader="dot"/>
            </w:tabs>
            <w:rPr/>
          </w:pPr>
          <w:hyperlink w:anchor="__RefHeading___Toc3598365_1067777946">
            <w:r>
              <w:rPr>
                <w:webHidden/>
                <w:rStyle w:val="IndexLink"/>
                <w:rtl w:val="true"/>
              </w:rPr>
              <w:t>انكشاف عدم مالكيّت مساقى</w:t>
            </w:r>
            <w:r>
              <w:rPr>
                <w:rStyle w:val="IndexLink"/>
                <w:rtl w:val="true"/>
              </w:rPr>
              <w:tab/>
            </w:r>
            <w:r>
              <w:rPr>
                <w:rStyle w:val="IndexLink"/>
              </w:rPr>
              <w:t>261</w:t>
            </w:r>
          </w:hyperlink>
        </w:p>
        <w:p>
          <w:pPr>
            <w:pStyle w:val="Contents4"/>
            <w:tabs>
              <w:tab w:val="clear" w:pos="8176"/>
              <w:tab w:val="right" w:pos="9026" w:leader="dot"/>
            </w:tabs>
            <w:rPr/>
          </w:pPr>
          <w:hyperlink w:anchor="__RefHeading___Toc3598367_1067777946">
            <w:r>
              <w:rPr>
                <w:webHidden/>
                <w:rStyle w:val="IndexLink"/>
                <w:rtl w:val="true"/>
              </w:rPr>
              <w:t>فرض جواز مساقات غير</w:t>
            </w:r>
            <w:r>
              <w:rPr>
                <w:rStyle w:val="IndexLink"/>
                <w:rtl w:val="true"/>
              </w:rPr>
              <w:tab/>
            </w:r>
            <w:r>
              <w:rPr>
                <w:rStyle w:val="IndexLink"/>
              </w:rPr>
              <w:t>261</w:t>
            </w:r>
          </w:hyperlink>
        </w:p>
        <w:p>
          <w:pPr>
            <w:pStyle w:val="Contents4"/>
            <w:tabs>
              <w:tab w:val="clear" w:pos="8176"/>
              <w:tab w:val="right" w:pos="9026" w:leader="dot"/>
            </w:tabs>
            <w:rPr/>
          </w:pPr>
          <w:hyperlink w:anchor="__RefHeading___Toc3598369_1067777946">
            <w:r>
              <w:rPr>
                <w:webHidden/>
                <w:rStyle w:val="IndexLink"/>
                <w:rtl w:val="true"/>
              </w:rPr>
              <w:t>ثبوت خراج زمين بر مالك</w:t>
            </w:r>
            <w:r>
              <w:rPr>
                <w:rStyle w:val="IndexLink"/>
                <w:rtl w:val="true"/>
              </w:rPr>
              <w:tab/>
            </w:r>
            <w:r>
              <w:rPr>
                <w:rStyle w:val="IndexLink"/>
              </w:rPr>
              <w:t>261</w:t>
            </w:r>
          </w:hyperlink>
        </w:p>
        <w:p>
          <w:pPr>
            <w:pStyle w:val="Contents4"/>
            <w:tabs>
              <w:tab w:val="clear" w:pos="8176"/>
              <w:tab w:val="right" w:pos="9026" w:leader="dot"/>
            </w:tabs>
            <w:rPr/>
          </w:pPr>
          <w:hyperlink w:anchor="__RefHeading___Toc3598371_1067777946">
            <w:r>
              <w:rPr>
                <w:webHidden/>
                <w:rStyle w:val="IndexLink"/>
                <w:rtl w:val="true"/>
              </w:rPr>
              <w:t>فرض غاصبيّت مساقى و رجوع مالك</w:t>
            </w:r>
            <w:r>
              <w:rPr>
                <w:rStyle w:val="IndexLink"/>
                <w:rtl w:val="true"/>
              </w:rPr>
              <w:tab/>
            </w:r>
            <w:r>
              <w:rPr>
                <w:rStyle w:val="IndexLink"/>
              </w:rPr>
              <w:t>262</w:t>
            </w:r>
          </w:hyperlink>
        </w:p>
        <w:p>
          <w:pPr>
            <w:pStyle w:val="Contents4"/>
            <w:tabs>
              <w:tab w:val="clear" w:pos="8176"/>
              <w:tab w:val="right" w:pos="9026" w:leader="dot"/>
            </w:tabs>
            <w:rPr/>
          </w:pPr>
          <w:hyperlink w:anchor="__RefHeading___Toc3598373_1067777946">
            <w:r>
              <w:rPr>
                <w:webHidden/>
                <w:rStyle w:val="IndexLink"/>
                <w:rtl w:val="true"/>
              </w:rPr>
              <w:t>زمان مملوكيّت فايده و وجوب زكات</w:t>
            </w:r>
            <w:r>
              <w:rPr>
                <w:rStyle w:val="IndexLink"/>
                <w:rtl w:val="true"/>
              </w:rPr>
              <w:tab/>
            </w:r>
            <w:r>
              <w:rPr>
                <w:rStyle w:val="IndexLink"/>
              </w:rPr>
              <w:t>262</w:t>
            </w:r>
          </w:hyperlink>
        </w:p>
        <w:p>
          <w:pPr>
            <w:pStyle w:val="Contents4"/>
            <w:tabs>
              <w:tab w:val="clear" w:pos="8176"/>
              <w:tab w:val="right" w:pos="9026" w:leader="dot"/>
            </w:tabs>
            <w:rPr/>
          </w:pPr>
          <w:hyperlink w:anchor="__RefHeading___Toc3598375_1067777946">
            <w:r>
              <w:rPr>
                <w:webHidden/>
                <w:rStyle w:val="IndexLink"/>
                <w:rtl w:val="true"/>
              </w:rPr>
              <w:t>دفع زمين براى كاشت درخت و تنصيف درختها</w:t>
            </w:r>
            <w:r>
              <w:rPr>
                <w:rStyle w:val="IndexLink"/>
                <w:rtl w:val="true"/>
              </w:rPr>
              <w:tab/>
            </w:r>
            <w:r>
              <w:rPr>
                <w:rStyle w:val="IndexLink"/>
              </w:rPr>
              <w:t>262</w:t>
            </w:r>
          </w:hyperlink>
        </w:p>
        <w:p>
          <w:pPr>
            <w:pStyle w:val="Contents2"/>
            <w:tabs>
              <w:tab w:val="clear" w:pos="8743"/>
              <w:tab w:val="right" w:pos="9026" w:leader="dot"/>
            </w:tabs>
            <w:rPr/>
          </w:pPr>
          <w:hyperlink w:anchor="__RefHeading___Toc3598377_1067777946">
            <w:r>
              <w:rPr>
                <w:webHidden/>
                <w:rStyle w:val="IndexLink"/>
                <w:rtl w:val="true"/>
              </w:rPr>
              <w:t>كتاب وديعه</w:t>
            </w:r>
            <w:r>
              <w:rPr>
                <w:rStyle w:val="IndexLink"/>
                <w:rtl w:val="true"/>
              </w:rPr>
              <w:tab/>
            </w:r>
            <w:r>
              <w:rPr>
                <w:rStyle w:val="IndexLink"/>
              </w:rPr>
              <w:t>264</w:t>
            </w:r>
          </w:hyperlink>
        </w:p>
        <w:p>
          <w:pPr>
            <w:pStyle w:val="Contents3"/>
            <w:tabs>
              <w:tab w:val="clear" w:pos="8459"/>
              <w:tab w:val="right" w:pos="9026" w:leader="dot"/>
            </w:tabs>
            <w:rPr/>
          </w:pPr>
          <w:hyperlink w:anchor="__RefHeading___Toc3598379_1067777946">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3598381_1067777946">
            <w:r>
              <w:rPr>
                <w:webHidden/>
                <w:rStyle w:val="IndexLink"/>
                <w:rtl w:val="true"/>
              </w:rPr>
              <w:t>فصل اوّل وديعه و شرايط آن</w:t>
            </w:r>
            <w:r>
              <w:rPr>
                <w:rStyle w:val="IndexLink"/>
                <w:rtl w:val="true"/>
              </w:rPr>
              <w:tab/>
            </w:r>
            <w:r>
              <w:rPr>
                <w:rStyle w:val="IndexLink"/>
              </w:rPr>
              <w:t>266</w:t>
            </w:r>
          </w:hyperlink>
        </w:p>
        <w:p>
          <w:pPr>
            <w:pStyle w:val="Contents4"/>
            <w:tabs>
              <w:tab w:val="clear" w:pos="8176"/>
              <w:tab w:val="right" w:pos="9026" w:leader="dot"/>
            </w:tabs>
            <w:rPr/>
          </w:pPr>
          <w:hyperlink w:anchor="__RefHeading___Toc3598383_1067777946">
            <w:r>
              <w:rPr>
                <w:webHidden/>
                <w:rStyle w:val="IndexLink"/>
                <w:rtl w:val="true"/>
              </w:rPr>
              <w:t>تعريف وديعه</w:t>
            </w:r>
            <w:r>
              <w:rPr>
                <w:rStyle w:val="IndexLink"/>
                <w:rtl w:val="true"/>
              </w:rPr>
              <w:tab/>
            </w:r>
            <w:r>
              <w:rPr>
                <w:rStyle w:val="IndexLink"/>
              </w:rPr>
              <w:t>266</w:t>
            </w:r>
          </w:hyperlink>
        </w:p>
        <w:p>
          <w:pPr>
            <w:pStyle w:val="Contents4"/>
            <w:tabs>
              <w:tab w:val="clear" w:pos="8176"/>
              <w:tab w:val="right" w:pos="9026" w:leader="dot"/>
            </w:tabs>
            <w:rPr/>
          </w:pPr>
          <w:hyperlink w:anchor="__RefHeading___Toc3598385_1067777946">
            <w:r>
              <w:rPr>
                <w:webHidden/>
                <w:rStyle w:val="IndexLink"/>
                <w:rtl w:val="true"/>
              </w:rPr>
              <w:t>آنچه در عقد وديعه معتبر است</w:t>
            </w:r>
            <w:r>
              <w:rPr>
                <w:rStyle w:val="IndexLink"/>
                <w:rtl w:val="true"/>
              </w:rPr>
              <w:tab/>
            </w:r>
            <w:r>
              <w:rPr>
                <w:rStyle w:val="IndexLink"/>
              </w:rPr>
              <w:t>266</w:t>
            </w:r>
          </w:hyperlink>
        </w:p>
        <w:p>
          <w:pPr>
            <w:pStyle w:val="Contents4"/>
            <w:tabs>
              <w:tab w:val="clear" w:pos="8176"/>
              <w:tab w:val="right" w:pos="9026" w:leader="dot"/>
            </w:tabs>
            <w:rPr/>
          </w:pPr>
          <w:hyperlink w:anchor="__RefHeading___Toc3598387_1067777946">
            <w:r>
              <w:rPr>
                <w:webHidden/>
                <w:rStyle w:val="IndexLink"/>
                <w:rtl w:val="true"/>
              </w:rPr>
              <w:t>ضمان در وديعه</w:t>
            </w:r>
            <w:r>
              <w:rPr>
                <w:rStyle w:val="IndexLink"/>
                <w:rtl w:val="true"/>
              </w:rPr>
              <w:tab/>
            </w:r>
            <w:r>
              <w:rPr>
                <w:rStyle w:val="IndexLink"/>
              </w:rPr>
              <w:t>266</w:t>
            </w:r>
          </w:hyperlink>
        </w:p>
        <w:p>
          <w:pPr>
            <w:pStyle w:val="Contents4"/>
            <w:tabs>
              <w:tab w:val="clear" w:pos="8176"/>
              <w:tab w:val="right" w:pos="9026" w:leader="dot"/>
            </w:tabs>
            <w:rPr/>
          </w:pPr>
          <w:hyperlink w:anchor="__RefHeading___Toc3598389_1067777946">
            <w:r>
              <w:rPr>
                <w:webHidden/>
                <w:rStyle w:val="IndexLink"/>
                <w:rtl w:val="true"/>
              </w:rPr>
              <w:t>اكراه بر قبول وديعه</w:t>
            </w:r>
            <w:r>
              <w:rPr>
                <w:rStyle w:val="IndexLink"/>
                <w:rtl w:val="true"/>
              </w:rPr>
              <w:tab/>
            </w:r>
            <w:r>
              <w:rPr>
                <w:rStyle w:val="IndexLink"/>
              </w:rPr>
              <w:t>267</w:t>
            </w:r>
          </w:hyperlink>
        </w:p>
        <w:p>
          <w:pPr>
            <w:pStyle w:val="Contents4"/>
            <w:tabs>
              <w:tab w:val="clear" w:pos="8176"/>
              <w:tab w:val="right" w:pos="9026" w:leader="dot"/>
            </w:tabs>
            <w:rPr/>
          </w:pPr>
          <w:hyperlink w:anchor="__RefHeading___Toc3598391_1067777946">
            <w:r>
              <w:rPr>
                <w:webHidden/>
                <w:rStyle w:val="IndexLink"/>
                <w:rtl w:val="true"/>
              </w:rPr>
              <w:t>وجوب حفظ وديعه</w:t>
            </w:r>
            <w:r>
              <w:rPr>
                <w:rStyle w:val="IndexLink"/>
                <w:rtl w:val="true"/>
              </w:rPr>
              <w:tab/>
            </w:r>
            <w:r>
              <w:rPr>
                <w:rStyle w:val="IndexLink"/>
              </w:rPr>
              <w:t>267</w:t>
            </w:r>
          </w:hyperlink>
        </w:p>
        <w:p>
          <w:pPr>
            <w:pStyle w:val="Contents4"/>
            <w:tabs>
              <w:tab w:val="clear" w:pos="8176"/>
              <w:tab w:val="right" w:pos="9026" w:leader="dot"/>
            </w:tabs>
            <w:rPr/>
          </w:pPr>
          <w:hyperlink w:anchor="__RefHeading___Toc3598393_1067777946">
            <w:r>
              <w:rPr>
                <w:webHidden/>
                <w:rStyle w:val="IndexLink"/>
                <w:rtl w:val="true"/>
              </w:rPr>
              <w:t>دفع مال به غاصب جهت حفظ وديعه</w:t>
            </w:r>
            <w:r>
              <w:rPr>
                <w:rStyle w:val="IndexLink"/>
                <w:rtl w:val="true"/>
              </w:rPr>
              <w:tab/>
            </w:r>
            <w:r>
              <w:rPr>
                <w:rStyle w:val="IndexLink"/>
              </w:rPr>
              <w:t>268</w:t>
            </w:r>
          </w:hyperlink>
        </w:p>
        <w:p>
          <w:pPr>
            <w:pStyle w:val="Contents4"/>
            <w:tabs>
              <w:tab w:val="clear" w:pos="8176"/>
              <w:tab w:val="right" w:pos="9026" w:leader="dot"/>
            </w:tabs>
            <w:rPr/>
          </w:pPr>
          <w:hyperlink w:anchor="__RefHeading___Toc3598395_1067777946">
            <w:r>
              <w:rPr>
                <w:webHidden/>
                <w:rStyle w:val="IndexLink"/>
                <w:rtl w:val="true"/>
              </w:rPr>
              <w:t>صورت توقف حفظ وديعه بر كذب</w:t>
            </w:r>
            <w:r>
              <w:rPr>
                <w:rStyle w:val="IndexLink"/>
                <w:rtl w:val="true"/>
              </w:rPr>
              <w:tab/>
            </w:r>
            <w:r>
              <w:rPr>
                <w:rStyle w:val="IndexLink"/>
              </w:rPr>
              <w:t>268</w:t>
            </w:r>
          </w:hyperlink>
        </w:p>
        <w:p>
          <w:pPr>
            <w:pStyle w:val="Contents4"/>
            <w:tabs>
              <w:tab w:val="clear" w:pos="8176"/>
              <w:tab w:val="right" w:pos="9026" w:leader="dot"/>
            </w:tabs>
            <w:rPr/>
          </w:pPr>
          <w:hyperlink w:anchor="__RefHeading___Toc3598397_1067777946">
            <w:r>
              <w:rPr>
                <w:webHidden/>
                <w:rStyle w:val="IndexLink"/>
                <w:rtl w:val="true"/>
              </w:rPr>
              <w:t>عقد وديعه، از عقود جايزه است و بطلان آن به موت و</w:t>
            </w:r>
            <w:r>
              <w:rPr>
                <w:rStyle w:val="IndexLink"/>
                <w:rtl w:val="true"/>
              </w:rPr>
              <w:t>...</w:t>
              <w:tab/>
            </w:r>
            <w:r>
              <w:rPr>
                <w:rStyle w:val="IndexLink"/>
              </w:rPr>
              <w:t>269</w:t>
            </w:r>
          </w:hyperlink>
        </w:p>
        <w:p>
          <w:pPr>
            <w:pStyle w:val="Contents4"/>
            <w:tabs>
              <w:tab w:val="clear" w:pos="8176"/>
              <w:tab w:val="right" w:pos="9026" w:leader="dot"/>
            </w:tabs>
            <w:rPr/>
          </w:pPr>
          <w:hyperlink w:anchor="__RefHeading___Toc3598399_1067777946">
            <w:r>
              <w:rPr>
                <w:webHidden/>
                <w:rStyle w:val="IndexLink"/>
                <w:rtl w:val="true"/>
              </w:rPr>
              <w:t>لزوم حفظ وديعه به نحو مناسب</w:t>
            </w:r>
            <w:r>
              <w:rPr>
                <w:rStyle w:val="IndexLink"/>
                <w:rtl w:val="true"/>
              </w:rPr>
              <w:tab/>
            </w:r>
            <w:r>
              <w:rPr>
                <w:rStyle w:val="IndexLink"/>
              </w:rPr>
              <w:t>269</w:t>
            </w:r>
          </w:hyperlink>
        </w:p>
        <w:p>
          <w:pPr>
            <w:pStyle w:val="Contents4"/>
            <w:tabs>
              <w:tab w:val="clear" w:pos="8176"/>
              <w:tab w:val="right" w:pos="9026" w:leader="dot"/>
            </w:tabs>
            <w:rPr/>
          </w:pPr>
          <w:hyperlink w:anchor="__RefHeading___Toc3598401_1067777946">
            <w:r>
              <w:rPr>
                <w:webHidden/>
                <w:rStyle w:val="IndexLink"/>
                <w:rtl w:val="true"/>
              </w:rPr>
              <w:t>نحوۀ حفظ حيوان و شجر</w:t>
            </w:r>
            <w:r>
              <w:rPr>
                <w:rStyle w:val="IndexLink"/>
                <w:rtl w:val="true"/>
              </w:rPr>
              <w:tab/>
            </w:r>
            <w:r>
              <w:rPr>
                <w:rStyle w:val="IndexLink"/>
              </w:rPr>
              <w:t>270</w:t>
            </w:r>
          </w:hyperlink>
        </w:p>
        <w:p>
          <w:pPr>
            <w:pStyle w:val="Contents4"/>
            <w:tabs>
              <w:tab w:val="clear" w:pos="8176"/>
              <w:tab w:val="right" w:pos="9026" w:leader="dot"/>
            </w:tabs>
            <w:rPr/>
          </w:pPr>
          <w:hyperlink w:anchor="__RefHeading___Toc3598403_1067777946">
            <w:r>
              <w:rPr>
                <w:webHidden/>
                <w:rStyle w:val="IndexLink"/>
                <w:rtl w:val="true"/>
              </w:rPr>
              <w:t>تعيين موضع حفظِ وديعه و مسائل نقل وديعه</w:t>
            </w:r>
            <w:r>
              <w:rPr>
                <w:rStyle w:val="IndexLink"/>
                <w:rtl w:val="true"/>
              </w:rPr>
              <w:tab/>
            </w:r>
            <w:r>
              <w:rPr>
                <w:rStyle w:val="IndexLink"/>
              </w:rPr>
              <w:t>271</w:t>
            </w:r>
          </w:hyperlink>
        </w:p>
        <w:p>
          <w:pPr>
            <w:pStyle w:val="Contents4"/>
            <w:tabs>
              <w:tab w:val="clear" w:pos="8176"/>
              <w:tab w:val="right" w:pos="9026" w:leader="dot"/>
            </w:tabs>
            <w:rPr/>
          </w:pPr>
          <w:hyperlink w:anchor="__RefHeading___Toc3598405_1067777946">
            <w:r>
              <w:rPr>
                <w:webHidden/>
                <w:rStyle w:val="IndexLink"/>
                <w:rtl w:val="true"/>
              </w:rPr>
              <w:t>وديعه از طفل و مجنون و ايداع به آن دو و به معلوم الخيانة كبير</w:t>
            </w:r>
            <w:r>
              <w:rPr>
                <w:rStyle w:val="IndexLink"/>
                <w:rtl w:val="true"/>
              </w:rPr>
              <w:tab/>
            </w:r>
            <w:r>
              <w:rPr>
                <w:rStyle w:val="IndexLink"/>
              </w:rPr>
              <w:t>272</w:t>
            </w:r>
          </w:hyperlink>
        </w:p>
        <w:p>
          <w:pPr>
            <w:pStyle w:val="Contents4"/>
            <w:tabs>
              <w:tab w:val="clear" w:pos="8176"/>
              <w:tab w:val="right" w:pos="9026" w:leader="dot"/>
            </w:tabs>
            <w:rPr/>
          </w:pPr>
          <w:hyperlink w:anchor="__RefHeading___Toc3598407_1067777946">
            <w:r>
              <w:rPr>
                <w:webHidden/>
                <w:rStyle w:val="IndexLink"/>
                <w:rtl w:val="true"/>
              </w:rPr>
              <w:t>استيداع عبد و اَمَه</w:t>
            </w:r>
            <w:r>
              <w:rPr>
                <w:rStyle w:val="IndexLink"/>
                <w:rtl w:val="true"/>
              </w:rPr>
              <w:tab/>
            </w:r>
            <w:r>
              <w:rPr>
                <w:rStyle w:val="IndexLink"/>
              </w:rPr>
              <w:t>273</w:t>
            </w:r>
          </w:hyperlink>
        </w:p>
        <w:p>
          <w:pPr>
            <w:pStyle w:val="Contents4"/>
            <w:tabs>
              <w:tab w:val="clear" w:pos="8176"/>
              <w:tab w:val="right" w:pos="9026" w:leader="dot"/>
            </w:tabs>
            <w:rPr/>
          </w:pPr>
          <w:hyperlink w:anchor="__RefHeading___Toc3598409_1067777946">
            <w:r>
              <w:rPr>
                <w:webHidden/>
                <w:rStyle w:val="IndexLink"/>
                <w:rtl w:val="true"/>
              </w:rPr>
              <w:t>وظيفه ودعى در صورت ظهور امارۀ موت و احكام ضمان در صورت موت</w:t>
            </w:r>
            <w:r>
              <w:rPr>
                <w:rStyle w:val="IndexLink"/>
                <w:rtl w:val="true"/>
              </w:rPr>
              <w:tab/>
            </w:r>
            <w:r>
              <w:rPr>
                <w:rStyle w:val="IndexLink"/>
              </w:rPr>
              <w:t>273</w:t>
            </w:r>
          </w:hyperlink>
        </w:p>
        <w:p>
          <w:pPr>
            <w:pStyle w:val="Contents4"/>
            <w:tabs>
              <w:tab w:val="clear" w:pos="8176"/>
              <w:tab w:val="right" w:pos="9026" w:leader="dot"/>
            </w:tabs>
            <w:rPr/>
          </w:pPr>
          <w:hyperlink w:anchor="__RefHeading___Toc3598411_1067777946">
            <w:r>
              <w:rPr>
                <w:webHidden/>
                <w:rStyle w:val="IndexLink"/>
                <w:rtl w:val="true"/>
              </w:rPr>
              <w:t>وجوب رد وديعه در فرض مطالبۀ مالك</w:t>
            </w:r>
            <w:r>
              <w:rPr>
                <w:rStyle w:val="IndexLink"/>
                <w:rtl w:val="true"/>
              </w:rPr>
              <w:tab/>
            </w:r>
            <w:r>
              <w:rPr>
                <w:rStyle w:val="IndexLink"/>
              </w:rPr>
              <w:t>274</w:t>
            </w:r>
          </w:hyperlink>
        </w:p>
        <w:p>
          <w:pPr>
            <w:pStyle w:val="Contents4"/>
            <w:tabs>
              <w:tab w:val="clear" w:pos="8176"/>
              <w:tab w:val="right" w:pos="9026" w:leader="dot"/>
            </w:tabs>
            <w:rPr/>
          </w:pPr>
          <w:hyperlink w:anchor="__RefHeading___Toc3598413_1067777946">
            <w:r>
              <w:rPr>
                <w:webHidden/>
                <w:rStyle w:val="IndexLink"/>
                <w:rtl w:val="true"/>
              </w:rPr>
              <w:t>حكم رد وديعۀ كافر و فاسق</w:t>
            </w:r>
            <w:r>
              <w:rPr>
                <w:rStyle w:val="IndexLink"/>
                <w:rtl w:val="true"/>
              </w:rPr>
              <w:tab/>
            </w:r>
            <w:r>
              <w:rPr>
                <w:rStyle w:val="IndexLink"/>
              </w:rPr>
              <w:t>275</w:t>
            </w:r>
          </w:hyperlink>
        </w:p>
        <w:p>
          <w:pPr>
            <w:pStyle w:val="Contents4"/>
            <w:tabs>
              <w:tab w:val="clear" w:pos="8176"/>
              <w:tab w:val="right" w:pos="9026" w:leader="dot"/>
            </w:tabs>
            <w:rPr/>
          </w:pPr>
          <w:hyperlink w:anchor="__RefHeading___Toc3598415_1067777946">
            <w:r>
              <w:rPr>
                <w:webHidden/>
                <w:rStyle w:val="IndexLink"/>
                <w:rtl w:val="true"/>
              </w:rPr>
              <w:t>وديعۀ شخص غاصب</w:t>
            </w:r>
            <w:r>
              <w:rPr>
                <w:rStyle w:val="IndexLink"/>
                <w:rtl w:val="true"/>
              </w:rPr>
              <w:tab/>
            </w:r>
            <w:r>
              <w:rPr>
                <w:rStyle w:val="IndexLink"/>
              </w:rPr>
              <w:t>275</w:t>
            </w:r>
          </w:hyperlink>
        </w:p>
        <w:p>
          <w:pPr>
            <w:pStyle w:val="Contents4"/>
            <w:tabs>
              <w:tab w:val="clear" w:pos="8176"/>
              <w:tab w:val="right" w:pos="9026" w:leader="dot"/>
            </w:tabs>
            <w:rPr/>
          </w:pPr>
          <w:hyperlink w:anchor="__RefHeading___Toc3598417_1067777946">
            <w:r>
              <w:rPr>
                <w:webHidden/>
                <w:rStyle w:val="IndexLink"/>
                <w:rtl w:val="true"/>
              </w:rPr>
              <w:t>لزوم رد وديعۀ غصبى به مالك</w:t>
            </w:r>
            <w:r>
              <w:rPr>
                <w:rStyle w:val="IndexLink"/>
                <w:rtl w:val="true"/>
              </w:rPr>
              <w:tab/>
            </w:r>
            <w:r>
              <w:rPr>
                <w:rStyle w:val="IndexLink"/>
              </w:rPr>
              <w:t>275</w:t>
            </w:r>
          </w:hyperlink>
        </w:p>
        <w:p>
          <w:pPr>
            <w:pStyle w:val="Contents4"/>
            <w:tabs>
              <w:tab w:val="clear" w:pos="8176"/>
              <w:tab w:val="right" w:pos="9026" w:leader="dot"/>
            </w:tabs>
            <w:rPr/>
          </w:pPr>
          <w:hyperlink w:anchor="__RefHeading___Toc3598419_1067777946">
            <w:r>
              <w:rPr>
                <w:webHidden/>
                <w:rStyle w:val="IndexLink"/>
                <w:rtl w:val="true"/>
              </w:rPr>
              <w:t>اگر وديعه مخلوط با مال غصبى باشد</w:t>
            </w:r>
            <w:r>
              <w:rPr>
                <w:rStyle w:val="IndexLink"/>
                <w:rtl w:val="true"/>
              </w:rPr>
              <w:tab/>
            </w:r>
            <w:r>
              <w:rPr>
                <w:rStyle w:val="IndexLink"/>
              </w:rPr>
              <w:t>276</w:t>
            </w:r>
          </w:hyperlink>
        </w:p>
        <w:p>
          <w:pPr>
            <w:pStyle w:val="Contents3"/>
            <w:tabs>
              <w:tab w:val="clear" w:pos="8459"/>
              <w:tab w:val="right" w:pos="9026" w:leader="dot"/>
            </w:tabs>
            <w:rPr/>
          </w:pPr>
          <w:hyperlink w:anchor="__RefHeading___Toc3598421_1067777946">
            <w:r>
              <w:rPr>
                <w:webHidden/>
                <w:rStyle w:val="IndexLink"/>
                <w:rtl w:val="true"/>
              </w:rPr>
              <w:t>فصل دوّم موجبات ضمان وديعه</w:t>
            </w:r>
            <w:r>
              <w:rPr>
                <w:rStyle w:val="IndexLink"/>
                <w:rtl w:val="true"/>
              </w:rPr>
              <w:tab/>
            </w:r>
            <w:r>
              <w:rPr>
                <w:rStyle w:val="IndexLink"/>
              </w:rPr>
              <w:t>277</w:t>
            </w:r>
          </w:hyperlink>
        </w:p>
        <w:p>
          <w:pPr>
            <w:pStyle w:val="Contents4"/>
            <w:tabs>
              <w:tab w:val="clear" w:pos="8176"/>
              <w:tab w:val="right" w:pos="9026" w:leader="dot"/>
            </w:tabs>
            <w:rPr/>
          </w:pPr>
          <w:hyperlink w:anchor="__RefHeading___Toc3598423_1067777946">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598425_1067777946">
            <w:r>
              <w:rPr>
                <w:webHidden/>
                <w:rStyle w:val="IndexLink"/>
              </w:rPr>
              <w:t>1</w:t>
            </w:r>
            <w:r>
              <w:rPr>
                <w:rStyle w:val="IndexLink"/>
                <w:rtl w:val="true"/>
              </w:rPr>
              <w:t xml:space="preserve">. </w:t>
            </w:r>
            <w:r>
              <w:rPr>
                <w:rStyle w:val="IndexLink"/>
                <w:rtl w:val="true"/>
              </w:rPr>
              <w:t>ضمان با تفريط</w:t>
            </w:r>
            <w:r>
              <w:rPr>
                <w:rStyle w:val="IndexLink"/>
                <w:rtl w:val="true"/>
              </w:rPr>
              <w:tab/>
            </w:r>
            <w:r>
              <w:rPr>
                <w:rStyle w:val="IndexLink"/>
              </w:rPr>
              <w:t>277</w:t>
            </w:r>
          </w:hyperlink>
        </w:p>
        <w:p>
          <w:pPr>
            <w:pStyle w:val="Contents5"/>
            <w:tabs>
              <w:tab w:val="clear" w:pos="7892"/>
              <w:tab w:val="right" w:pos="9026" w:leader="dot"/>
            </w:tabs>
            <w:rPr/>
          </w:pPr>
          <w:hyperlink w:anchor="__RefHeading___Toc3598427_1067777946">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3598429_1067777946">
            <w:r>
              <w:rPr>
                <w:webHidden/>
                <w:rStyle w:val="IndexLink"/>
                <w:rtl w:val="true"/>
              </w:rPr>
              <w:t>حكم ضمان در فرض تفريط با جهل موضوعى</w:t>
            </w:r>
            <w:r>
              <w:rPr>
                <w:rStyle w:val="IndexLink"/>
                <w:rtl w:val="true"/>
              </w:rPr>
              <w:tab/>
            </w:r>
            <w:r>
              <w:rPr>
                <w:rStyle w:val="IndexLink"/>
              </w:rPr>
              <w:t>277</w:t>
            </w:r>
          </w:hyperlink>
        </w:p>
        <w:p>
          <w:pPr>
            <w:pStyle w:val="Contents5"/>
            <w:tabs>
              <w:tab w:val="clear" w:pos="7892"/>
              <w:tab w:val="right" w:pos="9026" w:leader="dot"/>
            </w:tabs>
            <w:rPr/>
          </w:pPr>
          <w:hyperlink w:anchor="__RefHeading___Toc3598431_1067777946">
            <w:r>
              <w:rPr>
                <w:webHidden/>
                <w:rStyle w:val="IndexLink"/>
                <w:rtl w:val="true"/>
              </w:rPr>
              <w:t>حكم ضمان در فرض ايداع دوّم</w:t>
            </w:r>
            <w:r>
              <w:rPr>
                <w:rStyle w:val="IndexLink"/>
                <w:rtl w:val="true"/>
              </w:rPr>
              <w:tab/>
            </w:r>
            <w:r>
              <w:rPr>
                <w:rStyle w:val="IndexLink"/>
              </w:rPr>
              <w:t>277</w:t>
            </w:r>
          </w:hyperlink>
        </w:p>
        <w:p>
          <w:pPr>
            <w:pStyle w:val="Contents5"/>
            <w:tabs>
              <w:tab w:val="clear" w:pos="7892"/>
              <w:tab w:val="right" w:pos="9026" w:leader="dot"/>
            </w:tabs>
            <w:rPr/>
          </w:pPr>
          <w:hyperlink w:anchor="__RefHeading___Toc3598433_1067777946">
            <w:r>
              <w:rPr>
                <w:webHidden/>
                <w:rStyle w:val="IndexLink"/>
                <w:rtl w:val="true"/>
              </w:rPr>
              <w:t>ايداع به اذن مالك</w:t>
            </w:r>
            <w:r>
              <w:rPr>
                <w:rStyle w:val="IndexLink"/>
                <w:rtl w:val="true"/>
              </w:rPr>
              <w:tab/>
            </w:r>
            <w:r>
              <w:rPr>
                <w:rStyle w:val="IndexLink"/>
              </w:rPr>
              <w:t>278</w:t>
            </w:r>
          </w:hyperlink>
        </w:p>
        <w:p>
          <w:pPr>
            <w:pStyle w:val="Contents5"/>
            <w:tabs>
              <w:tab w:val="clear" w:pos="7892"/>
              <w:tab w:val="right" w:pos="9026" w:leader="dot"/>
            </w:tabs>
            <w:rPr/>
          </w:pPr>
          <w:hyperlink w:anchor="__RefHeading___Toc3598435_1067777946">
            <w:r>
              <w:rPr>
                <w:webHidden/>
                <w:rStyle w:val="IndexLink"/>
                <w:rtl w:val="true"/>
              </w:rPr>
              <w:t>حكم ايداعِ دوّم با ضرورت يا مفهوم از اطلاق</w:t>
            </w:r>
            <w:r>
              <w:rPr>
                <w:rStyle w:val="IndexLink"/>
                <w:rtl w:val="true"/>
              </w:rPr>
              <w:tab/>
            </w:r>
            <w:r>
              <w:rPr>
                <w:rStyle w:val="IndexLink"/>
              </w:rPr>
              <w:t>278</w:t>
            </w:r>
          </w:hyperlink>
        </w:p>
        <w:p>
          <w:pPr>
            <w:pStyle w:val="Contents5"/>
            <w:tabs>
              <w:tab w:val="clear" w:pos="7892"/>
              <w:tab w:val="right" w:pos="9026" w:leader="dot"/>
            </w:tabs>
            <w:rPr/>
          </w:pPr>
          <w:hyperlink w:anchor="__RefHeading___Toc3598437_1067777946">
            <w:r>
              <w:rPr>
                <w:webHidden/>
                <w:rStyle w:val="IndexLink"/>
                <w:rtl w:val="true"/>
              </w:rPr>
              <w:t>ايداع در سفر و همراه بردن وديعه در سفر</w:t>
            </w:r>
            <w:r>
              <w:rPr>
                <w:rStyle w:val="IndexLink"/>
                <w:rtl w:val="true"/>
              </w:rPr>
              <w:tab/>
            </w:r>
            <w:r>
              <w:rPr>
                <w:rStyle w:val="IndexLink"/>
              </w:rPr>
              <w:t>278</w:t>
            </w:r>
          </w:hyperlink>
        </w:p>
        <w:p>
          <w:pPr>
            <w:pStyle w:val="Contents5"/>
            <w:tabs>
              <w:tab w:val="clear" w:pos="7892"/>
              <w:tab w:val="right" w:pos="9026" w:leader="dot"/>
            </w:tabs>
            <w:rPr/>
          </w:pPr>
          <w:hyperlink w:anchor="__RefHeading___Toc3598439_1067777946">
            <w:r>
              <w:rPr>
                <w:webHidden/>
                <w:rStyle w:val="IndexLink"/>
                <w:rtl w:val="true"/>
              </w:rPr>
              <w:t>فرض ضرورى بودن سفر جهت حفظ وديعه</w:t>
            </w:r>
            <w:r>
              <w:rPr>
                <w:rStyle w:val="IndexLink"/>
                <w:rtl w:val="true"/>
              </w:rPr>
              <w:tab/>
            </w:r>
            <w:r>
              <w:rPr>
                <w:rStyle w:val="IndexLink"/>
              </w:rPr>
              <w:t>279</w:t>
            </w:r>
          </w:hyperlink>
        </w:p>
        <w:p>
          <w:pPr>
            <w:pStyle w:val="Contents5"/>
            <w:tabs>
              <w:tab w:val="clear" w:pos="7892"/>
              <w:tab w:val="right" w:pos="9026" w:leader="dot"/>
            </w:tabs>
            <w:rPr/>
          </w:pPr>
          <w:hyperlink w:anchor="__RefHeading___Toc3598441_1067777946">
            <w:r>
              <w:rPr>
                <w:webHidden/>
                <w:rStyle w:val="IndexLink"/>
                <w:rtl w:val="true"/>
              </w:rPr>
              <w:t>وقوع تلف يا نقص در وديعه</w:t>
            </w:r>
            <w:r>
              <w:rPr>
                <w:rStyle w:val="IndexLink"/>
                <w:rtl w:val="true"/>
              </w:rPr>
              <w:tab/>
            </w:r>
            <w:r>
              <w:rPr>
                <w:rStyle w:val="IndexLink"/>
              </w:rPr>
              <w:t>279</w:t>
            </w:r>
          </w:hyperlink>
        </w:p>
        <w:p>
          <w:pPr>
            <w:pStyle w:val="Contents4"/>
            <w:tabs>
              <w:tab w:val="clear" w:pos="8176"/>
              <w:tab w:val="right" w:pos="9026" w:leader="dot"/>
            </w:tabs>
            <w:rPr/>
          </w:pPr>
          <w:hyperlink w:anchor="__RefHeading___Toc3598443_1067777946">
            <w:r>
              <w:rPr>
                <w:webHidden/>
                <w:rStyle w:val="IndexLink"/>
              </w:rPr>
              <w:t>2</w:t>
            </w:r>
            <w:r>
              <w:rPr>
                <w:rStyle w:val="IndexLink"/>
                <w:rtl w:val="true"/>
              </w:rPr>
              <w:t xml:space="preserve">. </w:t>
            </w:r>
            <w:r>
              <w:rPr>
                <w:rStyle w:val="IndexLink"/>
                <w:rtl w:val="true"/>
              </w:rPr>
              <w:t>ضمان با تعدّى</w:t>
            </w:r>
            <w:r>
              <w:rPr>
                <w:rStyle w:val="IndexLink"/>
                <w:rtl w:val="true"/>
              </w:rPr>
              <w:tab/>
            </w:r>
            <w:r>
              <w:rPr>
                <w:rStyle w:val="IndexLink"/>
              </w:rPr>
              <w:t>279</w:t>
            </w:r>
          </w:hyperlink>
        </w:p>
        <w:p>
          <w:pPr>
            <w:pStyle w:val="Contents5"/>
            <w:tabs>
              <w:tab w:val="clear" w:pos="7892"/>
              <w:tab w:val="right" w:pos="9026" w:leader="dot"/>
            </w:tabs>
            <w:rPr/>
          </w:pPr>
          <w:hyperlink w:anchor="__RefHeading___Toc3598445_1067777946">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3598447_1067777946">
            <w:r>
              <w:rPr>
                <w:webHidden/>
                <w:rStyle w:val="IndexLink"/>
                <w:rtl w:val="true"/>
              </w:rPr>
              <w:t>عدم بطلان وديعه با نيّت غصب</w:t>
            </w:r>
            <w:r>
              <w:rPr>
                <w:rStyle w:val="IndexLink"/>
                <w:rtl w:val="true"/>
              </w:rPr>
              <w:tab/>
            </w:r>
            <w:r>
              <w:rPr>
                <w:rStyle w:val="IndexLink"/>
              </w:rPr>
              <w:t>280</w:t>
            </w:r>
          </w:hyperlink>
        </w:p>
        <w:p>
          <w:pPr>
            <w:pStyle w:val="Contents5"/>
            <w:tabs>
              <w:tab w:val="clear" w:pos="7892"/>
              <w:tab w:val="right" w:pos="9026" w:leader="dot"/>
            </w:tabs>
            <w:rPr/>
          </w:pPr>
          <w:hyperlink w:anchor="__RefHeading___Toc3598449_1067777946">
            <w:r>
              <w:rPr>
                <w:webHidden/>
                <w:rStyle w:val="IndexLink"/>
                <w:rtl w:val="true"/>
              </w:rPr>
              <w:t>انكار وديعه</w:t>
            </w:r>
            <w:r>
              <w:rPr>
                <w:rStyle w:val="IndexLink"/>
                <w:rtl w:val="true"/>
              </w:rPr>
              <w:tab/>
            </w:r>
            <w:r>
              <w:rPr>
                <w:rStyle w:val="IndexLink"/>
              </w:rPr>
              <w:t>280</w:t>
            </w:r>
          </w:hyperlink>
        </w:p>
        <w:p>
          <w:pPr>
            <w:pStyle w:val="Contents5"/>
            <w:tabs>
              <w:tab w:val="clear" w:pos="7892"/>
              <w:tab w:val="right" w:pos="9026" w:leader="dot"/>
            </w:tabs>
            <w:rPr/>
          </w:pPr>
          <w:hyperlink w:anchor="__RefHeading___Toc3598451_1067777946">
            <w:r>
              <w:rPr>
                <w:webHidden/>
                <w:rStyle w:val="IndexLink"/>
                <w:rtl w:val="true"/>
              </w:rPr>
              <w:t>مخلوط كردن وديعه با غير آن</w:t>
            </w:r>
            <w:r>
              <w:rPr>
                <w:rStyle w:val="IndexLink"/>
                <w:rtl w:val="true"/>
              </w:rPr>
              <w:tab/>
            </w:r>
            <w:r>
              <w:rPr>
                <w:rStyle w:val="IndexLink"/>
              </w:rPr>
              <w:t>281</w:t>
            </w:r>
          </w:hyperlink>
        </w:p>
        <w:p>
          <w:pPr>
            <w:pStyle w:val="Contents5"/>
            <w:tabs>
              <w:tab w:val="clear" w:pos="7892"/>
              <w:tab w:val="right" w:pos="9026" w:leader="dot"/>
            </w:tabs>
            <w:rPr/>
          </w:pPr>
          <w:hyperlink w:anchor="__RefHeading___Toc3598453_1067777946">
            <w:r>
              <w:rPr>
                <w:webHidden/>
                <w:rStyle w:val="IndexLink"/>
                <w:rtl w:val="true"/>
              </w:rPr>
              <w:t>باز كردن بسته بندى امانت</w:t>
            </w:r>
            <w:r>
              <w:rPr>
                <w:rStyle w:val="IndexLink"/>
                <w:rtl w:val="true"/>
              </w:rPr>
              <w:tab/>
            </w:r>
            <w:r>
              <w:rPr>
                <w:rStyle w:val="IndexLink"/>
              </w:rPr>
              <w:t>281</w:t>
            </w:r>
          </w:hyperlink>
        </w:p>
        <w:p>
          <w:pPr>
            <w:pStyle w:val="Contents5"/>
            <w:tabs>
              <w:tab w:val="clear" w:pos="7892"/>
              <w:tab w:val="right" w:pos="9026" w:leader="dot"/>
            </w:tabs>
            <w:rPr/>
          </w:pPr>
          <w:hyperlink w:anchor="__RefHeading___Toc3598455_1067777946">
            <w:r>
              <w:rPr>
                <w:webHidden/>
                <w:rStyle w:val="IndexLink"/>
                <w:rtl w:val="true"/>
              </w:rPr>
              <w:t>از بين بردن قسمتى از وديعه</w:t>
            </w:r>
            <w:r>
              <w:rPr>
                <w:rStyle w:val="IndexLink"/>
                <w:rtl w:val="true"/>
              </w:rPr>
              <w:tab/>
            </w:r>
            <w:r>
              <w:rPr>
                <w:rStyle w:val="IndexLink"/>
              </w:rPr>
              <w:t>282</w:t>
            </w:r>
          </w:hyperlink>
        </w:p>
        <w:p>
          <w:pPr>
            <w:pStyle w:val="Contents5"/>
            <w:tabs>
              <w:tab w:val="clear" w:pos="7892"/>
              <w:tab w:val="right" w:pos="9026" w:leader="dot"/>
            </w:tabs>
            <w:rPr/>
          </w:pPr>
          <w:hyperlink w:anchor="__RefHeading___Toc3598457_1067777946">
            <w:r>
              <w:rPr>
                <w:webHidden/>
                <w:rStyle w:val="IndexLink"/>
                <w:rtl w:val="true"/>
              </w:rPr>
              <w:t>اجارۀ وديعه به صورت مخالف نظر مالك</w:t>
            </w:r>
            <w:r>
              <w:rPr>
                <w:rStyle w:val="IndexLink"/>
                <w:rtl w:val="true"/>
              </w:rPr>
              <w:tab/>
            </w:r>
            <w:r>
              <w:rPr>
                <w:rStyle w:val="IndexLink"/>
              </w:rPr>
              <w:t>282</w:t>
            </w:r>
          </w:hyperlink>
        </w:p>
        <w:p>
          <w:pPr>
            <w:pStyle w:val="Contents5"/>
            <w:tabs>
              <w:tab w:val="clear" w:pos="7892"/>
              <w:tab w:val="right" w:pos="9026" w:leader="dot"/>
            </w:tabs>
            <w:rPr/>
          </w:pPr>
          <w:hyperlink w:anchor="__RefHeading___Toc3598459_1067777946">
            <w:r>
              <w:rPr>
                <w:webHidden/>
                <w:rStyle w:val="IndexLink"/>
                <w:rtl w:val="true"/>
              </w:rPr>
              <w:t>باز كردن حرز و قفل وديعه و تصرّف در آن</w:t>
            </w:r>
            <w:r>
              <w:rPr>
                <w:rStyle w:val="IndexLink"/>
                <w:rtl w:val="true"/>
              </w:rPr>
              <w:tab/>
            </w:r>
            <w:r>
              <w:rPr>
                <w:rStyle w:val="IndexLink"/>
              </w:rPr>
              <w:t>283</w:t>
            </w:r>
          </w:hyperlink>
        </w:p>
        <w:p>
          <w:pPr>
            <w:pStyle w:val="Contents3"/>
            <w:tabs>
              <w:tab w:val="clear" w:pos="8459"/>
              <w:tab w:val="right" w:pos="9026" w:leader="dot"/>
            </w:tabs>
            <w:rPr/>
          </w:pPr>
          <w:hyperlink w:anchor="__RefHeading___Toc3598461_1067777946">
            <w:r>
              <w:rPr>
                <w:webHidden/>
                <w:rStyle w:val="IndexLink"/>
                <w:rtl w:val="true"/>
              </w:rPr>
              <w:t>فصل سوّم احكام وديعه</w:t>
            </w:r>
            <w:r>
              <w:rPr>
                <w:rStyle w:val="IndexLink"/>
                <w:rtl w:val="true"/>
              </w:rPr>
              <w:tab/>
            </w:r>
            <w:r>
              <w:rPr>
                <w:rStyle w:val="IndexLink"/>
              </w:rPr>
              <w:t>284</w:t>
            </w:r>
          </w:hyperlink>
        </w:p>
        <w:p>
          <w:pPr>
            <w:pStyle w:val="Contents4"/>
            <w:tabs>
              <w:tab w:val="clear" w:pos="8176"/>
              <w:tab w:val="right" w:pos="9026" w:leader="dot"/>
            </w:tabs>
            <w:rPr/>
          </w:pPr>
          <w:hyperlink w:anchor="__RefHeading___Toc3598463_1067777946">
            <w:r>
              <w:rPr>
                <w:webHidden/>
                <w:rStyle w:val="IndexLink"/>
                <w:rtl w:val="true"/>
              </w:rPr>
              <w:t>سفر با وديعه در صورت خوف تلف آن</w:t>
            </w:r>
            <w:r>
              <w:rPr>
                <w:rStyle w:val="IndexLink"/>
                <w:rtl w:val="true"/>
              </w:rPr>
              <w:tab/>
            </w:r>
            <w:r>
              <w:rPr>
                <w:rStyle w:val="IndexLink"/>
              </w:rPr>
              <w:t>284</w:t>
            </w:r>
          </w:hyperlink>
        </w:p>
        <w:p>
          <w:pPr>
            <w:pStyle w:val="Contents4"/>
            <w:tabs>
              <w:tab w:val="clear" w:pos="8176"/>
              <w:tab w:val="right" w:pos="9026" w:leader="dot"/>
            </w:tabs>
            <w:rPr/>
          </w:pPr>
          <w:hyperlink w:anchor="__RefHeading___Toc3598465_1067777946">
            <w:r>
              <w:rPr>
                <w:webHidden/>
                <w:rStyle w:val="IndexLink"/>
                <w:rtl w:val="true"/>
              </w:rPr>
              <w:t>نحوۀ خروج از تكليف به حفظ وديعه</w:t>
            </w:r>
            <w:r>
              <w:rPr>
                <w:rStyle w:val="IndexLink"/>
                <w:rtl w:val="true"/>
              </w:rPr>
              <w:tab/>
            </w:r>
            <w:r>
              <w:rPr>
                <w:rStyle w:val="IndexLink"/>
              </w:rPr>
              <w:t>284</w:t>
            </w:r>
          </w:hyperlink>
        </w:p>
        <w:p>
          <w:pPr>
            <w:pStyle w:val="Contents4"/>
            <w:tabs>
              <w:tab w:val="clear" w:pos="8176"/>
              <w:tab w:val="right" w:pos="9026" w:leader="dot"/>
            </w:tabs>
            <w:rPr/>
          </w:pPr>
          <w:hyperlink w:anchor="__RefHeading___Toc3598467_1067777946">
            <w:r>
              <w:rPr>
                <w:webHidden/>
                <w:rStyle w:val="IndexLink"/>
                <w:rtl w:val="true"/>
              </w:rPr>
              <w:t>فرض توقف حفظ وديعه بر دفن</w:t>
            </w:r>
            <w:r>
              <w:rPr>
                <w:rStyle w:val="IndexLink"/>
                <w:rtl w:val="true"/>
              </w:rPr>
              <w:tab/>
            </w:r>
            <w:r>
              <w:rPr>
                <w:rStyle w:val="IndexLink"/>
              </w:rPr>
              <w:t>285</w:t>
            </w:r>
          </w:hyperlink>
        </w:p>
        <w:p>
          <w:pPr>
            <w:pStyle w:val="Contents4"/>
            <w:tabs>
              <w:tab w:val="clear" w:pos="8176"/>
              <w:tab w:val="right" w:pos="9026" w:leader="dot"/>
            </w:tabs>
            <w:rPr/>
          </w:pPr>
          <w:hyperlink w:anchor="__RefHeading___Toc3598469_1067777946">
            <w:r>
              <w:rPr>
                <w:webHidden/>
                <w:rStyle w:val="IndexLink"/>
                <w:rtl w:val="true"/>
              </w:rPr>
              <w:t>برگردان وديعه به حرز و بسته بندى اوّليّه</w:t>
            </w:r>
            <w:r>
              <w:rPr>
                <w:rStyle w:val="IndexLink"/>
                <w:rtl w:val="true"/>
              </w:rPr>
              <w:tab/>
            </w:r>
            <w:r>
              <w:rPr>
                <w:rStyle w:val="IndexLink"/>
              </w:rPr>
              <w:t>285</w:t>
            </w:r>
          </w:hyperlink>
        </w:p>
        <w:p>
          <w:pPr>
            <w:pStyle w:val="Contents4"/>
            <w:tabs>
              <w:tab w:val="clear" w:pos="8176"/>
              <w:tab w:val="right" w:pos="9026" w:leader="dot"/>
            </w:tabs>
            <w:rPr/>
          </w:pPr>
          <w:hyperlink w:anchor="__RefHeading___Toc3598471_1067777946">
            <w:r>
              <w:rPr>
                <w:webHidden/>
                <w:rStyle w:val="IndexLink"/>
                <w:rtl w:val="true"/>
              </w:rPr>
              <w:t>دفع وديعه به غير مالك</w:t>
            </w:r>
            <w:r>
              <w:rPr>
                <w:rStyle w:val="IndexLink"/>
                <w:rtl w:val="true"/>
              </w:rPr>
              <w:tab/>
            </w:r>
            <w:r>
              <w:rPr>
                <w:rStyle w:val="IndexLink"/>
              </w:rPr>
              <w:t>286</w:t>
            </w:r>
          </w:hyperlink>
        </w:p>
        <w:p>
          <w:pPr>
            <w:pStyle w:val="Contents4"/>
            <w:tabs>
              <w:tab w:val="clear" w:pos="8176"/>
              <w:tab w:val="right" w:pos="9026" w:leader="dot"/>
            </w:tabs>
            <w:rPr/>
          </w:pPr>
          <w:hyperlink w:anchor="__RefHeading___Toc3598473_1067777946">
            <w:r>
              <w:rPr>
                <w:webHidden/>
                <w:rStyle w:val="IndexLink"/>
                <w:rtl w:val="true"/>
              </w:rPr>
              <w:t>نحوه رفع تنازع مودِع و ودعى در ادّعا و انكار</w:t>
            </w:r>
            <w:r>
              <w:rPr>
                <w:rStyle w:val="IndexLink"/>
                <w:rtl w:val="true"/>
              </w:rPr>
              <w:tab/>
            </w:r>
            <w:r>
              <w:rPr>
                <w:rStyle w:val="IndexLink"/>
              </w:rPr>
              <w:t>286</w:t>
            </w:r>
          </w:hyperlink>
        </w:p>
        <w:p>
          <w:pPr>
            <w:pStyle w:val="Contents4"/>
            <w:tabs>
              <w:tab w:val="clear" w:pos="8176"/>
              <w:tab w:val="right" w:pos="9026" w:leader="dot"/>
            </w:tabs>
            <w:rPr/>
          </w:pPr>
          <w:hyperlink w:anchor="__RefHeading___Toc3598475_1067777946">
            <w:r>
              <w:rPr>
                <w:webHidden/>
                <w:rStyle w:val="IndexLink"/>
                <w:rtl w:val="true"/>
              </w:rPr>
              <w:t>ادّعاى تلف پس از انكار اصل وديعه</w:t>
            </w:r>
            <w:r>
              <w:rPr>
                <w:rStyle w:val="IndexLink"/>
                <w:rtl w:val="true"/>
              </w:rPr>
              <w:tab/>
            </w:r>
            <w:r>
              <w:rPr>
                <w:rStyle w:val="IndexLink"/>
              </w:rPr>
              <w:t>287</w:t>
            </w:r>
          </w:hyperlink>
        </w:p>
        <w:p>
          <w:pPr>
            <w:pStyle w:val="Contents4"/>
            <w:tabs>
              <w:tab w:val="clear" w:pos="8176"/>
              <w:tab w:val="right" w:pos="9026" w:leader="dot"/>
            </w:tabs>
            <w:rPr/>
          </w:pPr>
          <w:hyperlink w:anchor="__RefHeading___Toc3598477_1067777946">
            <w:r>
              <w:rPr>
                <w:webHidden/>
                <w:rStyle w:val="IndexLink"/>
                <w:rtl w:val="true"/>
              </w:rPr>
              <w:t>تعيين موضع و عدم آن توسط مودِع</w:t>
            </w:r>
            <w:r>
              <w:rPr>
                <w:rStyle w:val="IndexLink"/>
                <w:rtl w:val="true"/>
              </w:rPr>
              <w:tab/>
            </w:r>
            <w:r>
              <w:rPr>
                <w:rStyle w:val="IndexLink"/>
              </w:rPr>
              <w:t>287</w:t>
            </w:r>
          </w:hyperlink>
        </w:p>
        <w:p>
          <w:pPr>
            <w:pStyle w:val="Contents4"/>
            <w:tabs>
              <w:tab w:val="clear" w:pos="8176"/>
              <w:tab w:val="right" w:pos="9026" w:leader="dot"/>
            </w:tabs>
            <w:rPr/>
          </w:pPr>
          <w:hyperlink w:anchor="__RefHeading___Toc3598479_1067777946">
            <w:r>
              <w:rPr>
                <w:webHidden/>
                <w:rStyle w:val="IndexLink"/>
                <w:rtl w:val="true"/>
              </w:rPr>
              <w:t>اعتراف به وديعه و موت بعد از آن</w:t>
            </w:r>
            <w:r>
              <w:rPr>
                <w:rStyle w:val="IndexLink"/>
                <w:rtl w:val="true"/>
              </w:rPr>
              <w:tab/>
            </w:r>
            <w:r>
              <w:rPr>
                <w:rStyle w:val="IndexLink"/>
              </w:rPr>
              <w:t>287</w:t>
            </w:r>
          </w:hyperlink>
        </w:p>
        <w:p>
          <w:pPr>
            <w:pStyle w:val="Contents4"/>
            <w:tabs>
              <w:tab w:val="clear" w:pos="8176"/>
              <w:tab w:val="right" w:pos="9026" w:leader="dot"/>
            </w:tabs>
            <w:rPr/>
          </w:pPr>
          <w:hyperlink w:anchor="__RefHeading___Toc3598481_1067777946">
            <w:r>
              <w:rPr>
                <w:webHidden/>
                <w:rStyle w:val="IndexLink"/>
                <w:rtl w:val="true"/>
              </w:rPr>
              <w:t>ادّعاى مالكيّت وديعه توسط دو نفر و تصديق يكى</w:t>
            </w:r>
            <w:r>
              <w:rPr>
                <w:rStyle w:val="IndexLink"/>
                <w:rtl w:val="true"/>
              </w:rPr>
              <w:tab/>
            </w:r>
            <w:r>
              <w:rPr>
                <w:rStyle w:val="IndexLink"/>
              </w:rPr>
              <w:t>288</w:t>
            </w:r>
          </w:hyperlink>
        </w:p>
        <w:p>
          <w:pPr>
            <w:pStyle w:val="Contents5"/>
            <w:tabs>
              <w:tab w:val="clear" w:pos="7892"/>
              <w:tab w:val="right" w:pos="9026" w:leader="dot"/>
            </w:tabs>
            <w:rPr/>
          </w:pPr>
          <w:hyperlink w:anchor="__RefHeading___Toc3598483_1067777946">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3598485_1067777946">
            <w:r>
              <w:rPr>
                <w:webHidden/>
                <w:rStyle w:val="IndexLink"/>
                <w:rtl w:val="true"/>
              </w:rPr>
              <w:t>اقرار ودعى به اشتراك دو نفر مدّعى</w:t>
            </w:r>
            <w:r>
              <w:rPr>
                <w:rStyle w:val="IndexLink"/>
                <w:rtl w:val="true"/>
              </w:rPr>
              <w:tab/>
            </w:r>
            <w:r>
              <w:rPr>
                <w:rStyle w:val="IndexLink"/>
              </w:rPr>
              <w:t>288</w:t>
            </w:r>
          </w:hyperlink>
        </w:p>
        <w:p>
          <w:pPr>
            <w:pStyle w:val="Contents5"/>
            <w:tabs>
              <w:tab w:val="clear" w:pos="7892"/>
              <w:tab w:val="right" w:pos="9026" w:leader="dot"/>
            </w:tabs>
            <w:rPr/>
          </w:pPr>
          <w:hyperlink w:anchor="__RefHeading___Toc3598487_1067777946">
            <w:r>
              <w:rPr>
                <w:webHidden/>
                <w:rStyle w:val="IndexLink"/>
                <w:rtl w:val="true"/>
              </w:rPr>
              <w:t>تكذيب هر دو مدّعى</w:t>
            </w:r>
            <w:r>
              <w:rPr>
                <w:rStyle w:val="IndexLink"/>
                <w:rtl w:val="true"/>
              </w:rPr>
              <w:tab/>
            </w:r>
            <w:r>
              <w:rPr>
                <w:rStyle w:val="IndexLink"/>
              </w:rPr>
              <w:t>288</w:t>
            </w:r>
          </w:hyperlink>
        </w:p>
        <w:p>
          <w:pPr>
            <w:pStyle w:val="Contents5"/>
            <w:tabs>
              <w:tab w:val="clear" w:pos="7892"/>
              <w:tab w:val="right" w:pos="9026" w:leader="dot"/>
            </w:tabs>
            <w:rPr/>
          </w:pPr>
          <w:hyperlink w:anchor="__RefHeading___Toc3598489_1067777946">
            <w:r>
              <w:rPr>
                <w:webHidden/>
                <w:rStyle w:val="IndexLink"/>
                <w:rtl w:val="true"/>
              </w:rPr>
              <w:t>اقرار به مالكيّت يكى بدون تعيين</w:t>
            </w:r>
            <w:r>
              <w:rPr>
                <w:rStyle w:val="IndexLink"/>
                <w:rtl w:val="true"/>
              </w:rPr>
              <w:tab/>
            </w:r>
            <w:r>
              <w:rPr>
                <w:rStyle w:val="IndexLink"/>
              </w:rPr>
              <w:t>289</w:t>
            </w:r>
          </w:hyperlink>
        </w:p>
        <w:p>
          <w:pPr>
            <w:pStyle w:val="Contents5"/>
            <w:tabs>
              <w:tab w:val="clear" w:pos="7892"/>
              <w:tab w:val="right" w:pos="9026" w:leader="dot"/>
            </w:tabs>
            <w:rPr/>
          </w:pPr>
          <w:hyperlink w:anchor="__RefHeading___Toc3598491_1067777946">
            <w:r>
              <w:rPr>
                <w:webHidden/>
                <w:rStyle w:val="IndexLink"/>
                <w:rtl w:val="true"/>
              </w:rPr>
              <w:t>ادّعاى جهل به مالك توسط وديع</w:t>
            </w:r>
            <w:r>
              <w:rPr>
                <w:rStyle w:val="IndexLink"/>
                <w:rtl w:val="true"/>
              </w:rPr>
              <w:tab/>
            </w:r>
            <w:r>
              <w:rPr>
                <w:rStyle w:val="IndexLink"/>
              </w:rPr>
              <w:t>289</w:t>
            </w:r>
          </w:hyperlink>
        </w:p>
        <w:p>
          <w:pPr>
            <w:pStyle w:val="Contents4"/>
            <w:tabs>
              <w:tab w:val="clear" w:pos="8176"/>
              <w:tab w:val="right" w:pos="9026" w:leader="dot"/>
            </w:tabs>
            <w:rPr/>
          </w:pPr>
          <w:hyperlink w:anchor="__RefHeading___Toc3598493_1067777946">
            <w:r>
              <w:rPr>
                <w:webHidden/>
                <w:rStyle w:val="IndexLink"/>
                <w:rtl w:val="true"/>
              </w:rPr>
              <w:t>اختلاف در قيمت، بعد از تلف</w:t>
            </w:r>
            <w:r>
              <w:rPr>
                <w:rStyle w:val="IndexLink"/>
                <w:rtl w:val="true"/>
              </w:rPr>
              <w:tab/>
            </w:r>
            <w:r>
              <w:rPr>
                <w:rStyle w:val="IndexLink"/>
              </w:rPr>
              <w:t>290</w:t>
            </w:r>
          </w:hyperlink>
        </w:p>
        <w:p>
          <w:pPr>
            <w:pStyle w:val="Contents4"/>
            <w:tabs>
              <w:tab w:val="clear" w:pos="8176"/>
              <w:tab w:val="right" w:pos="9026" w:leader="dot"/>
            </w:tabs>
            <w:rPr/>
          </w:pPr>
          <w:hyperlink w:anchor="__RefHeading___Toc3598495_1067777946">
            <w:r>
              <w:rPr>
                <w:webHidden/>
                <w:rStyle w:val="IndexLink"/>
                <w:rtl w:val="true"/>
              </w:rPr>
              <w:t>فوت مودِع</w:t>
            </w:r>
            <w:r>
              <w:rPr>
                <w:rStyle w:val="IndexLink"/>
                <w:rtl w:val="true"/>
              </w:rPr>
              <w:tab/>
            </w:r>
            <w:r>
              <w:rPr>
                <w:rStyle w:val="IndexLink"/>
              </w:rPr>
              <w:t>290</w:t>
            </w:r>
          </w:hyperlink>
        </w:p>
        <w:p>
          <w:pPr>
            <w:pStyle w:val="Contents2"/>
            <w:tabs>
              <w:tab w:val="clear" w:pos="8743"/>
              <w:tab w:val="right" w:pos="9026" w:leader="dot"/>
            </w:tabs>
            <w:rPr/>
          </w:pPr>
          <w:hyperlink w:anchor="__RefHeading___Toc3598497_1067777946">
            <w:r>
              <w:rPr>
                <w:webHidden/>
                <w:rStyle w:val="IndexLink"/>
                <w:rtl w:val="true"/>
              </w:rPr>
              <w:t>كتاب عاريه</w:t>
            </w:r>
            <w:r>
              <w:rPr>
                <w:rStyle w:val="IndexLink"/>
                <w:rtl w:val="true"/>
              </w:rPr>
              <w:tab/>
            </w:r>
            <w:r>
              <w:rPr>
                <w:rStyle w:val="IndexLink"/>
              </w:rPr>
              <w:t>292</w:t>
            </w:r>
          </w:hyperlink>
        </w:p>
        <w:p>
          <w:pPr>
            <w:pStyle w:val="Contents3"/>
            <w:tabs>
              <w:tab w:val="clear" w:pos="8459"/>
              <w:tab w:val="right" w:pos="9026" w:leader="dot"/>
            </w:tabs>
            <w:rPr/>
          </w:pPr>
          <w:hyperlink w:anchor="__RefHeading___Toc3598499_1067777946">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3598501_1067777946">
            <w:r>
              <w:rPr>
                <w:webHidden/>
                <w:rStyle w:val="IndexLink"/>
                <w:rtl w:val="true"/>
              </w:rPr>
              <w:t>فصل اوّل عقد عاريه و شرايط معير و مستعير</w:t>
            </w:r>
            <w:r>
              <w:rPr>
                <w:rStyle w:val="IndexLink"/>
                <w:rtl w:val="true"/>
              </w:rPr>
              <w:tab/>
            </w:r>
            <w:r>
              <w:rPr>
                <w:rStyle w:val="IndexLink"/>
              </w:rPr>
              <w:t>294</w:t>
            </w:r>
          </w:hyperlink>
        </w:p>
        <w:p>
          <w:pPr>
            <w:pStyle w:val="Contents4"/>
            <w:tabs>
              <w:tab w:val="clear" w:pos="8176"/>
              <w:tab w:val="right" w:pos="9026" w:leader="dot"/>
            </w:tabs>
            <w:rPr/>
          </w:pPr>
          <w:hyperlink w:anchor="__RefHeading___Toc3598503_1067777946">
            <w:r>
              <w:rPr>
                <w:webHidden/>
                <w:rStyle w:val="IndexLink"/>
                <w:rtl w:val="true"/>
              </w:rPr>
              <w:t>تعريف عاريه</w:t>
            </w:r>
            <w:r>
              <w:rPr>
                <w:rStyle w:val="IndexLink"/>
                <w:rtl w:val="true"/>
              </w:rPr>
              <w:tab/>
            </w:r>
            <w:r>
              <w:rPr>
                <w:rStyle w:val="IndexLink"/>
              </w:rPr>
              <w:t>294</w:t>
            </w:r>
          </w:hyperlink>
        </w:p>
        <w:p>
          <w:pPr>
            <w:pStyle w:val="Contents4"/>
            <w:tabs>
              <w:tab w:val="clear" w:pos="8176"/>
              <w:tab w:val="right" w:pos="9026" w:leader="dot"/>
            </w:tabs>
            <w:rPr/>
          </w:pPr>
          <w:hyperlink w:anchor="__RefHeading___Toc3598505_1067777946">
            <w:r>
              <w:rPr>
                <w:webHidden/>
                <w:rStyle w:val="IndexLink"/>
                <w:rtl w:val="true"/>
              </w:rPr>
              <w:t>عدم لزوم عقد عاريه</w:t>
            </w:r>
            <w:r>
              <w:rPr>
                <w:rStyle w:val="IndexLink"/>
                <w:rtl w:val="true"/>
              </w:rPr>
              <w:tab/>
            </w:r>
            <w:r>
              <w:rPr>
                <w:rStyle w:val="IndexLink"/>
              </w:rPr>
              <w:t>294</w:t>
            </w:r>
          </w:hyperlink>
        </w:p>
        <w:p>
          <w:pPr>
            <w:pStyle w:val="Contents4"/>
            <w:tabs>
              <w:tab w:val="clear" w:pos="8176"/>
              <w:tab w:val="right" w:pos="9026" w:leader="dot"/>
            </w:tabs>
            <w:rPr/>
          </w:pPr>
          <w:hyperlink w:anchor="__RefHeading___Toc3598507_1067777946">
            <w:r>
              <w:rPr>
                <w:webHidden/>
                <w:rStyle w:val="IndexLink"/>
                <w:rtl w:val="true"/>
              </w:rPr>
              <w:t>شرايط مُعير</w:t>
            </w:r>
            <w:r>
              <w:rPr>
                <w:rStyle w:val="IndexLink"/>
                <w:rtl w:val="true"/>
              </w:rPr>
              <w:tab/>
            </w:r>
            <w:r>
              <w:rPr>
                <w:rStyle w:val="IndexLink"/>
              </w:rPr>
              <w:t>295</w:t>
            </w:r>
          </w:hyperlink>
        </w:p>
        <w:p>
          <w:pPr>
            <w:pStyle w:val="Contents4"/>
            <w:tabs>
              <w:tab w:val="clear" w:pos="8176"/>
              <w:tab w:val="right" w:pos="9026" w:leader="dot"/>
            </w:tabs>
            <w:rPr/>
          </w:pPr>
          <w:hyperlink w:anchor="__RefHeading___Toc3598509_1067777946">
            <w:r>
              <w:rPr>
                <w:webHidden/>
                <w:rStyle w:val="IndexLink"/>
                <w:rtl w:val="true"/>
              </w:rPr>
              <w:t>شرايط مستعير</w:t>
            </w:r>
            <w:r>
              <w:rPr>
                <w:rStyle w:val="IndexLink"/>
                <w:rtl w:val="true"/>
              </w:rPr>
              <w:tab/>
            </w:r>
            <w:r>
              <w:rPr>
                <w:rStyle w:val="IndexLink"/>
              </w:rPr>
              <w:t>295</w:t>
            </w:r>
          </w:hyperlink>
        </w:p>
        <w:p>
          <w:pPr>
            <w:pStyle w:val="Contents5"/>
            <w:tabs>
              <w:tab w:val="clear" w:pos="7892"/>
              <w:tab w:val="right" w:pos="9026" w:leader="dot"/>
            </w:tabs>
            <w:rPr/>
          </w:pPr>
          <w:hyperlink w:anchor="__RefHeading___Toc3598511_1067777946">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3598513_1067777946">
            <w:r>
              <w:rPr>
                <w:webHidden/>
                <w:rStyle w:val="IndexLink"/>
                <w:rtl w:val="true"/>
              </w:rPr>
              <w:t>ميزان در انتفاع به عقد عاريه</w:t>
            </w:r>
            <w:r>
              <w:rPr>
                <w:rStyle w:val="IndexLink"/>
                <w:rtl w:val="true"/>
              </w:rPr>
              <w:tab/>
            </w:r>
            <w:r>
              <w:rPr>
                <w:rStyle w:val="IndexLink"/>
              </w:rPr>
              <w:t>296</w:t>
            </w:r>
          </w:hyperlink>
        </w:p>
        <w:p>
          <w:pPr>
            <w:pStyle w:val="Contents5"/>
            <w:tabs>
              <w:tab w:val="clear" w:pos="7892"/>
              <w:tab w:val="right" w:pos="9026" w:leader="dot"/>
            </w:tabs>
            <w:rPr/>
          </w:pPr>
          <w:hyperlink w:anchor="__RefHeading___Toc3598515_1067777946">
            <w:r>
              <w:rPr>
                <w:webHidden/>
                <w:rStyle w:val="IndexLink"/>
                <w:rtl w:val="true"/>
              </w:rPr>
              <w:t>صورت ضمان و عدم آن در عاريه</w:t>
            </w:r>
            <w:r>
              <w:rPr>
                <w:rStyle w:val="IndexLink"/>
                <w:rtl w:val="true"/>
              </w:rPr>
              <w:tab/>
            </w:r>
            <w:r>
              <w:rPr>
                <w:rStyle w:val="IndexLink"/>
              </w:rPr>
              <w:t>296</w:t>
            </w:r>
          </w:hyperlink>
        </w:p>
        <w:p>
          <w:pPr>
            <w:pStyle w:val="Contents5"/>
            <w:tabs>
              <w:tab w:val="clear" w:pos="7892"/>
              <w:tab w:val="right" w:pos="9026" w:leader="dot"/>
            </w:tabs>
            <w:rPr/>
          </w:pPr>
          <w:hyperlink w:anchor="__RefHeading___Toc3598517_1067777946">
            <w:r>
              <w:rPr>
                <w:webHidden/>
                <w:rStyle w:val="IndexLink"/>
                <w:rtl w:val="true"/>
              </w:rPr>
              <w:t>اعتبار جواز تصرّف مستعير</w:t>
            </w:r>
            <w:r>
              <w:rPr>
                <w:rStyle w:val="IndexLink"/>
                <w:rtl w:val="true"/>
              </w:rPr>
              <w:tab/>
            </w:r>
            <w:r>
              <w:rPr>
                <w:rStyle w:val="IndexLink"/>
              </w:rPr>
              <w:t>296</w:t>
            </w:r>
          </w:hyperlink>
        </w:p>
        <w:p>
          <w:pPr>
            <w:pStyle w:val="Contents5"/>
            <w:tabs>
              <w:tab w:val="clear" w:pos="7892"/>
              <w:tab w:val="right" w:pos="9026" w:leader="dot"/>
            </w:tabs>
            <w:rPr/>
          </w:pPr>
          <w:hyperlink w:anchor="__RefHeading___Toc3598519_1067777946">
            <w:r>
              <w:rPr>
                <w:webHidden/>
                <w:rStyle w:val="IndexLink"/>
                <w:rtl w:val="true"/>
              </w:rPr>
              <w:t>استعارۀ از غاصب</w:t>
            </w:r>
            <w:r>
              <w:rPr>
                <w:rStyle w:val="IndexLink"/>
                <w:rtl w:val="true"/>
              </w:rPr>
              <w:tab/>
            </w:r>
            <w:r>
              <w:rPr>
                <w:rStyle w:val="IndexLink"/>
              </w:rPr>
              <w:t>297</w:t>
            </w:r>
          </w:hyperlink>
        </w:p>
        <w:p>
          <w:pPr>
            <w:pStyle w:val="Contents4"/>
            <w:tabs>
              <w:tab w:val="clear" w:pos="8176"/>
              <w:tab w:val="right" w:pos="9026" w:leader="dot"/>
            </w:tabs>
            <w:rPr/>
          </w:pPr>
          <w:hyperlink w:anchor="__RefHeading___Toc3598521_1067777946">
            <w:r>
              <w:rPr>
                <w:webHidden/>
                <w:rStyle w:val="IndexLink"/>
                <w:rtl w:val="true"/>
              </w:rPr>
              <w:t>در عين مستعاره است</w:t>
            </w:r>
            <w:r>
              <w:rPr>
                <w:rStyle w:val="IndexLink"/>
                <w:rtl w:val="true"/>
              </w:rPr>
              <w:tab/>
            </w:r>
            <w:r>
              <w:rPr>
                <w:rStyle w:val="IndexLink"/>
              </w:rPr>
              <w:t>298</w:t>
            </w:r>
          </w:hyperlink>
        </w:p>
        <w:p>
          <w:pPr>
            <w:pStyle w:val="Contents5"/>
            <w:tabs>
              <w:tab w:val="clear" w:pos="7892"/>
              <w:tab w:val="right" w:pos="9026" w:leader="dot"/>
            </w:tabs>
            <w:rPr/>
          </w:pPr>
          <w:hyperlink w:anchor="__RefHeading___Toc3598523_1067777946">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3598525_1067777946">
            <w:r>
              <w:rPr>
                <w:webHidden/>
                <w:rStyle w:val="IndexLink"/>
                <w:rtl w:val="true"/>
              </w:rPr>
              <w:t>صحّت اعارۀ زمين و محدودۀ جواز تصرّف</w:t>
            </w:r>
            <w:r>
              <w:rPr>
                <w:rStyle w:val="IndexLink"/>
                <w:rtl w:val="true"/>
              </w:rPr>
              <w:tab/>
            </w:r>
            <w:r>
              <w:rPr>
                <w:rStyle w:val="IndexLink"/>
              </w:rPr>
              <w:t>298</w:t>
            </w:r>
          </w:hyperlink>
        </w:p>
        <w:p>
          <w:pPr>
            <w:pStyle w:val="Contents5"/>
            <w:tabs>
              <w:tab w:val="clear" w:pos="7892"/>
              <w:tab w:val="right" w:pos="9026" w:leader="dot"/>
            </w:tabs>
            <w:rPr/>
          </w:pPr>
          <w:hyperlink w:anchor="__RefHeading___Toc3598527_1067777946">
            <w:r>
              <w:rPr>
                <w:webHidden/>
                <w:rStyle w:val="IndexLink"/>
                <w:rtl w:val="true"/>
              </w:rPr>
              <w:t>محدودۀ ضمان در صورت تخطّى</w:t>
            </w:r>
            <w:r>
              <w:rPr>
                <w:rStyle w:val="IndexLink"/>
                <w:rtl w:val="true"/>
              </w:rPr>
              <w:tab/>
            </w:r>
            <w:r>
              <w:rPr>
                <w:rStyle w:val="IndexLink"/>
              </w:rPr>
              <w:t>298</w:t>
            </w:r>
          </w:hyperlink>
        </w:p>
        <w:p>
          <w:pPr>
            <w:pStyle w:val="Contents5"/>
            <w:tabs>
              <w:tab w:val="clear" w:pos="7892"/>
              <w:tab w:val="right" w:pos="9026" w:leader="dot"/>
            </w:tabs>
            <w:rPr/>
          </w:pPr>
          <w:hyperlink w:anchor="__RefHeading___Toc3598529_1067777946">
            <w:r>
              <w:rPr>
                <w:webHidden/>
                <w:rStyle w:val="IndexLink"/>
                <w:rtl w:val="true"/>
              </w:rPr>
              <w:t>استعارۀ حيوان</w:t>
            </w:r>
            <w:r>
              <w:rPr>
                <w:rStyle w:val="IndexLink"/>
                <w:rtl w:val="true"/>
              </w:rPr>
              <w:tab/>
            </w:r>
            <w:r>
              <w:rPr>
                <w:rStyle w:val="IndexLink"/>
              </w:rPr>
              <w:t>298</w:t>
            </w:r>
          </w:hyperlink>
        </w:p>
        <w:p>
          <w:pPr>
            <w:pStyle w:val="Contents5"/>
            <w:tabs>
              <w:tab w:val="clear" w:pos="7892"/>
              <w:tab w:val="right" w:pos="9026" w:leader="dot"/>
            </w:tabs>
            <w:rPr/>
          </w:pPr>
          <w:hyperlink w:anchor="__RefHeading___Toc3598531_1067777946">
            <w:r>
              <w:rPr>
                <w:webHidden/>
                <w:rStyle w:val="IndexLink"/>
                <w:rtl w:val="true"/>
              </w:rPr>
              <w:t>استعارۀ زمين و اذن در استفاده و عدم آن</w:t>
            </w:r>
            <w:r>
              <w:rPr>
                <w:rStyle w:val="IndexLink"/>
                <w:rtl w:val="true"/>
              </w:rPr>
              <w:tab/>
            </w:r>
            <w:r>
              <w:rPr>
                <w:rStyle w:val="IndexLink"/>
              </w:rPr>
              <w:t>299</w:t>
            </w:r>
          </w:hyperlink>
        </w:p>
        <w:p>
          <w:pPr>
            <w:pStyle w:val="Contents5"/>
            <w:tabs>
              <w:tab w:val="clear" w:pos="7892"/>
              <w:tab w:val="right" w:pos="9026" w:leader="dot"/>
            </w:tabs>
            <w:rPr/>
          </w:pPr>
          <w:hyperlink w:anchor="__RefHeading___Toc3598533_1067777946">
            <w:r>
              <w:rPr>
                <w:webHidden/>
                <w:rStyle w:val="IndexLink"/>
                <w:rtl w:val="true"/>
              </w:rPr>
              <w:t>شرط قلع</w:t>
            </w:r>
            <w:r>
              <w:rPr>
                <w:rStyle w:val="IndexLink"/>
                <w:rtl w:val="true"/>
              </w:rPr>
              <w:tab/>
            </w:r>
            <w:r>
              <w:rPr>
                <w:rStyle w:val="IndexLink"/>
              </w:rPr>
              <w:t>300</w:t>
            </w:r>
          </w:hyperlink>
        </w:p>
        <w:p>
          <w:pPr>
            <w:pStyle w:val="Contents5"/>
            <w:tabs>
              <w:tab w:val="clear" w:pos="7892"/>
              <w:tab w:val="right" w:pos="9026" w:leader="dot"/>
            </w:tabs>
            <w:rPr/>
          </w:pPr>
          <w:hyperlink w:anchor="__RefHeading___Toc3598535_1067777946">
            <w:r>
              <w:rPr>
                <w:webHidden/>
                <w:rStyle w:val="IndexLink"/>
                <w:rtl w:val="true"/>
              </w:rPr>
              <w:t>اعارۀ زمين براى دفن</w:t>
            </w:r>
            <w:r>
              <w:rPr>
                <w:rStyle w:val="IndexLink"/>
                <w:rtl w:val="true"/>
              </w:rPr>
              <w:tab/>
            </w:r>
            <w:r>
              <w:rPr>
                <w:rStyle w:val="IndexLink"/>
              </w:rPr>
              <w:t>300</w:t>
            </w:r>
          </w:hyperlink>
        </w:p>
        <w:p>
          <w:pPr>
            <w:pStyle w:val="Contents5"/>
            <w:tabs>
              <w:tab w:val="clear" w:pos="7892"/>
              <w:tab w:val="right" w:pos="9026" w:leader="dot"/>
            </w:tabs>
            <w:rPr/>
          </w:pPr>
          <w:hyperlink w:anchor="__RefHeading___Toc3598537_1067777946">
            <w:r>
              <w:rPr>
                <w:webHidden/>
                <w:rStyle w:val="IndexLink"/>
                <w:rtl w:val="true"/>
              </w:rPr>
              <w:t>انتفاعات غير زراعى در زمين مستعار براى زرع و غرس</w:t>
            </w:r>
            <w:r>
              <w:rPr>
                <w:rStyle w:val="IndexLink"/>
                <w:rtl w:val="true"/>
              </w:rPr>
              <w:tab/>
            </w:r>
            <w:r>
              <w:rPr>
                <w:rStyle w:val="IndexLink"/>
              </w:rPr>
              <w:t>301</w:t>
            </w:r>
          </w:hyperlink>
        </w:p>
        <w:p>
          <w:pPr>
            <w:pStyle w:val="Contents5"/>
            <w:tabs>
              <w:tab w:val="clear" w:pos="7892"/>
              <w:tab w:val="right" w:pos="9026" w:leader="dot"/>
            </w:tabs>
            <w:rPr/>
          </w:pPr>
          <w:hyperlink w:anchor="__RefHeading___Toc3598539_1067777946">
            <w:r>
              <w:rPr>
                <w:webHidden/>
                <w:rStyle w:val="IndexLink"/>
                <w:rtl w:val="true"/>
              </w:rPr>
              <w:t>اعارۀ ديوار و رجوع در آن</w:t>
            </w:r>
            <w:r>
              <w:rPr>
                <w:rStyle w:val="IndexLink"/>
                <w:rtl w:val="true"/>
              </w:rPr>
              <w:tab/>
            </w:r>
            <w:r>
              <w:rPr>
                <w:rStyle w:val="IndexLink"/>
              </w:rPr>
              <w:t>301</w:t>
            </w:r>
          </w:hyperlink>
        </w:p>
        <w:p>
          <w:pPr>
            <w:pStyle w:val="Contents5"/>
            <w:tabs>
              <w:tab w:val="clear" w:pos="7892"/>
              <w:tab w:val="right" w:pos="9026" w:leader="dot"/>
            </w:tabs>
            <w:rPr/>
          </w:pPr>
          <w:hyperlink w:anchor="__RefHeading___Toc3598541_1067777946">
            <w:r>
              <w:rPr>
                <w:webHidden/>
                <w:rStyle w:val="IndexLink"/>
                <w:rtl w:val="true"/>
              </w:rPr>
              <w:t>اذن در غرس و انقلاع غير اختيارى</w:t>
            </w:r>
            <w:r>
              <w:rPr>
                <w:rStyle w:val="IndexLink"/>
                <w:rtl w:val="true"/>
              </w:rPr>
              <w:tab/>
            </w:r>
            <w:r>
              <w:rPr>
                <w:rStyle w:val="IndexLink"/>
              </w:rPr>
              <w:t>301</w:t>
            </w:r>
          </w:hyperlink>
        </w:p>
        <w:p>
          <w:pPr>
            <w:pStyle w:val="Contents5"/>
            <w:tabs>
              <w:tab w:val="clear" w:pos="7892"/>
              <w:tab w:val="right" w:pos="9026" w:leader="dot"/>
            </w:tabs>
            <w:rPr/>
          </w:pPr>
          <w:hyperlink w:anchor="__RefHeading___Toc3598543_1067777946">
            <w:r>
              <w:rPr>
                <w:webHidden/>
                <w:rStyle w:val="IndexLink"/>
                <w:rtl w:val="true"/>
              </w:rPr>
              <w:t>عدم لزوم استيفاى منافع مباشرتاً، و حكم اعارۀ عين يا اجارۀ آن به ديگرى</w:t>
            </w:r>
            <w:r>
              <w:rPr>
                <w:rStyle w:val="IndexLink"/>
                <w:rtl w:val="true"/>
              </w:rPr>
              <w:tab/>
            </w:r>
            <w:r>
              <w:rPr>
                <w:rStyle w:val="IndexLink"/>
              </w:rPr>
              <w:t>301</w:t>
            </w:r>
          </w:hyperlink>
        </w:p>
        <w:p>
          <w:pPr>
            <w:pStyle w:val="Contents5"/>
            <w:tabs>
              <w:tab w:val="clear" w:pos="7892"/>
              <w:tab w:val="right" w:pos="9026" w:leader="dot"/>
            </w:tabs>
            <w:rPr/>
          </w:pPr>
          <w:hyperlink w:anchor="__RefHeading___Toc3598545_1067777946">
            <w:r>
              <w:rPr>
                <w:webHidden/>
                <w:rStyle w:val="IndexLink"/>
                <w:rtl w:val="true"/>
              </w:rPr>
              <w:t>اعارۀ خانه و استفادۀ ديگران</w:t>
            </w:r>
            <w:r>
              <w:rPr>
                <w:rStyle w:val="IndexLink"/>
                <w:rtl w:val="true"/>
              </w:rPr>
              <w:tab/>
            </w:r>
            <w:r>
              <w:rPr>
                <w:rStyle w:val="IndexLink"/>
              </w:rPr>
              <w:t>302</w:t>
            </w:r>
          </w:hyperlink>
        </w:p>
        <w:p>
          <w:pPr>
            <w:pStyle w:val="Contents5"/>
            <w:tabs>
              <w:tab w:val="clear" w:pos="7892"/>
              <w:tab w:val="right" w:pos="9026" w:leader="dot"/>
            </w:tabs>
            <w:rPr/>
          </w:pPr>
          <w:hyperlink w:anchor="__RefHeading___Toc3598547_1067777946">
            <w:r>
              <w:rPr>
                <w:webHidden/>
                <w:rStyle w:val="IndexLink"/>
                <w:rtl w:val="true"/>
              </w:rPr>
              <w:t>اعارۀ مستعير بدون اذن معير</w:t>
            </w:r>
            <w:r>
              <w:rPr>
                <w:rStyle w:val="IndexLink"/>
                <w:rtl w:val="true"/>
              </w:rPr>
              <w:tab/>
            </w:r>
            <w:r>
              <w:rPr>
                <w:rStyle w:val="IndexLink"/>
              </w:rPr>
              <w:t>302</w:t>
            </w:r>
          </w:hyperlink>
        </w:p>
        <w:p>
          <w:pPr>
            <w:pStyle w:val="Contents3"/>
            <w:tabs>
              <w:tab w:val="clear" w:pos="8459"/>
              <w:tab w:val="right" w:pos="9026" w:leader="dot"/>
            </w:tabs>
            <w:rPr/>
          </w:pPr>
          <w:hyperlink w:anchor="__RefHeading___Toc3598549_1067777946">
            <w:r>
              <w:rPr>
                <w:webHidden/>
                <w:rStyle w:val="IndexLink"/>
                <w:rtl w:val="true"/>
              </w:rPr>
              <w:t>فصل دوّم احكام عاريه</w:t>
            </w:r>
            <w:r>
              <w:rPr>
                <w:rStyle w:val="IndexLink"/>
                <w:rtl w:val="true"/>
              </w:rPr>
              <w:tab/>
            </w:r>
            <w:r>
              <w:rPr>
                <w:rStyle w:val="IndexLink"/>
              </w:rPr>
              <w:t>303</w:t>
            </w:r>
          </w:hyperlink>
        </w:p>
        <w:p>
          <w:pPr>
            <w:pStyle w:val="Contents4"/>
            <w:tabs>
              <w:tab w:val="clear" w:pos="8176"/>
              <w:tab w:val="right" w:pos="9026" w:leader="dot"/>
            </w:tabs>
            <w:rPr/>
          </w:pPr>
          <w:hyperlink w:anchor="__RefHeading___Toc3598551_1067777946">
            <w:r>
              <w:rPr>
                <w:webHidden/>
                <w:rStyle w:val="IndexLink"/>
                <w:rtl w:val="true"/>
              </w:rPr>
              <w:t>موارد ضمان در عاريه</w:t>
            </w:r>
            <w:r>
              <w:rPr>
                <w:rStyle w:val="IndexLink"/>
                <w:rtl w:val="true"/>
              </w:rPr>
              <w:tab/>
            </w:r>
            <w:r>
              <w:rPr>
                <w:rStyle w:val="IndexLink"/>
              </w:rPr>
              <w:t>303</w:t>
            </w:r>
          </w:hyperlink>
        </w:p>
        <w:p>
          <w:pPr>
            <w:pStyle w:val="Contents4"/>
            <w:tabs>
              <w:tab w:val="clear" w:pos="8176"/>
              <w:tab w:val="right" w:pos="9026" w:leader="dot"/>
            </w:tabs>
            <w:rPr/>
          </w:pPr>
          <w:hyperlink w:anchor="__RefHeading___Toc3598553_1067777946">
            <w:r>
              <w:rPr>
                <w:webHidden/>
                <w:rStyle w:val="IndexLink"/>
                <w:rtl w:val="true"/>
              </w:rPr>
              <w:t>بيع زمين مستعار و اشياى آن</w:t>
            </w:r>
            <w:r>
              <w:rPr>
                <w:rStyle w:val="IndexLink"/>
                <w:rtl w:val="true"/>
              </w:rPr>
              <w:tab/>
            </w:r>
            <w:r>
              <w:rPr>
                <w:rStyle w:val="IndexLink"/>
              </w:rPr>
              <w:t>303</w:t>
            </w:r>
          </w:hyperlink>
        </w:p>
        <w:p>
          <w:pPr>
            <w:pStyle w:val="Contents4"/>
            <w:tabs>
              <w:tab w:val="clear" w:pos="8176"/>
              <w:tab w:val="right" w:pos="9026" w:leader="dot"/>
            </w:tabs>
            <w:rPr/>
          </w:pPr>
          <w:hyperlink w:anchor="__RefHeading___Toc3598555_1067777946">
            <w:r>
              <w:rPr>
                <w:webHidden/>
                <w:rStyle w:val="IndexLink"/>
                <w:rtl w:val="true"/>
              </w:rPr>
              <w:t>روييدن اتفاقى بذر در زمين ديگرى</w:t>
            </w:r>
            <w:r>
              <w:rPr>
                <w:rStyle w:val="IndexLink"/>
                <w:rtl w:val="true"/>
              </w:rPr>
              <w:tab/>
            </w:r>
            <w:r>
              <w:rPr>
                <w:rStyle w:val="IndexLink"/>
              </w:rPr>
              <w:t>304</w:t>
            </w:r>
          </w:hyperlink>
        </w:p>
        <w:p>
          <w:pPr>
            <w:pStyle w:val="Contents5"/>
            <w:tabs>
              <w:tab w:val="clear" w:pos="7892"/>
              <w:tab w:val="right" w:pos="9026" w:leader="dot"/>
            </w:tabs>
            <w:rPr/>
          </w:pPr>
          <w:hyperlink w:anchor="__RefHeading___Toc3598557_1067777946">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3598559_1067777946">
            <w:r>
              <w:rPr>
                <w:webHidden/>
                <w:rStyle w:val="IndexLink"/>
                <w:rtl w:val="true"/>
              </w:rPr>
              <w:t>ورود دابّه در ملك غير و توقف اخراج بر ضرر</w:t>
            </w:r>
            <w:r>
              <w:rPr>
                <w:rStyle w:val="IndexLink"/>
                <w:rtl w:val="true"/>
              </w:rPr>
              <w:tab/>
            </w:r>
            <w:r>
              <w:rPr>
                <w:rStyle w:val="IndexLink"/>
              </w:rPr>
              <w:t>304</w:t>
            </w:r>
          </w:hyperlink>
        </w:p>
        <w:p>
          <w:pPr>
            <w:pStyle w:val="Contents4"/>
            <w:tabs>
              <w:tab w:val="clear" w:pos="8176"/>
              <w:tab w:val="right" w:pos="9026" w:leader="dot"/>
            </w:tabs>
            <w:rPr/>
          </w:pPr>
          <w:hyperlink w:anchor="__RefHeading___Toc3598561_1067777946">
            <w:r>
              <w:rPr>
                <w:webHidden/>
                <w:rStyle w:val="IndexLink"/>
                <w:rtl w:val="true"/>
              </w:rPr>
              <w:t>حصول نقص يا تلف در عاريۀ مشروط به ضمان</w:t>
            </w:r>
            <w:r>
              <w:rPr>
                <w:rStyle w:val="IndexLink"/>
                <w:rtl w:val="true"/>
              </w:rPr>
              <w:tab/>
            </w:r>
            <w:r>
              <w:rPr>
                <w:rStyle w:val="IndexLink"/>
              </w:rPr>
              <w:t>305</w:t>
            </w:r>
          </w:hyperlink>
        </w:p>
        <w:p>
          <w:pPr>
            <w:pStyle w:val="Contents5"/>
            <w:tabs>
              <w:tab w:val="clear" w:pos="7892"/>
              <w:tab w:val="right" w:pos="9026" w:leader="dot"/>
            </w:tabs>
            <w:rPr/>
          </w:pPr>
          <w:hyperlink w:anchor="__RefHeading___Toc3598563_1067777946">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3598565_1067777946">
            <w:r>
              <w:rPr>
                <w:webHidden/>
                <w:rStyle w:val="IndexLink"/>
                <w:rtl w:val="true"/>
              </w:rPr>
              <w:t>مقدار ضمان در صورت تعدّى و تفريط</w:t>
            </w:r>
            <w:r>
              <w:rPr>
                <w:rStyle w:val="IndexLink"/>
                <w:rtl w:val="true"/>
              </w:rPr>
              <w:tab/>
            </w:r>
            <w:r>
              <w:rPr>
                <w:rStyle w:val="IndexLink"/>
              </w:rPr>
              <w:t>305</w:t>
            </w:r>
          </w:hyperlink>
        </w:p>
        <w:p>
          <w:pPr>
            <w:pStyle w:val="Contents4"/>
            <w:tabs>
              <w:tab w:val="clear" w:pos="8176"/>
              <w:tab w:val="right" w:pos="9026" w:leader="dot"/>
            </w:tabs>
            <w:rPr/>
          </w:pPr>
          <w:hyperlink w:anchor="__RefHeading___Toc3598567_1067777946">
            <w:r>
              <w:rPr>
                <w:webHidden/>
                <w:rStyle w:val="IndexLink"/>
                <w:rtl w:val="true"/>
              </w:rPr>
              <w:t>اختلاف در اعاره و اجاره</w:t>
            </w:r>
            <w:r>
              <w:rPr>
                <w:rStyle w:val="IndexLink"/>
                <w:rtl w:val="true"/>
              </w:rPr>
              <w:tab/>
            </w:r>
            <w:r>
              <w:rPr>
                <w:rStyle w:val="IndexLink"/>
              </w:rPr>
              <w:t>305</w:t>
            </w:r>
          </w:hyperlink>
        </w:p>
        <w:p>
          <w:pPr>
            <w:pStyle w:val="Contents5"/>
            <w:tabs>
              <w:tab w:val="clear" w:pos="7892"/>
              <w:tab w:val="right" w:pos="9026" w:leader="dot"/>
            </w:tabs>
            <w:rPr/>
          </w:pPr>
          <w:hyperlink w:anchor="__RefHeading___Toc3598569_1067777946">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3598571_1067777946">
            <w:r>
              <w:rPr>
                <w:webHidden/>
                <w:rStyle w:val="IndexLink"/>
                <w:rtl w:val="true"/>
              </w:rPr>
              <w:t>اختلاف در خصوصيّت اعاره و اجاره</w:t>
            </w:r>
            <w:r>
              <w:rPr>
                <w:rStyle w:val="IndexLink"/>
                <w:rtl w:val="true"/>
              </w:rPr>
              <w:tab/>
            </w:r>
            <w:r>
              <w:rPr>
                <w:rStyle w:val="IndexLink"/>
              </w:rPr>
              <w:t>306</w:t>
            </w:r>
          </w:hyperlink>
        </w:p>
        <w:p>
          <w:pPr>
            <w:pStyle w:val="Contents5"/>
            <w:tabs>
              <w:tab w:val="clear" w:pos="7892"/>
              <w:tab w:val="right" w:pos="9026" w:leader="dot"/>
            </w:tabs>
            <w:rPr/>
          </w:pPr>
          <w:hyperlink w:anchor="__RefHeading___Toc3598573_1067777946">
            <w:r>
              <w:rPr>
                <w:webHidden/>
                <w:rStyle w:val="IndexLink"/>
                <w:rtl w:val="true"/>
              </w:rPr>
              <w:t>اختلاف در اشتراط ضمان در عاريه بعد از تلف</w:t>
            </w:r>
            <w:r>
              <w:rPr>
                <w:rStyle w:val="IndexLink"/>
                <w:rtl w:val="true"/>
              </w:rPr>
              <w:tab/>
            </w:r>
            <w:r>
              <w:rPr>
                <w:rStyle w:val="IndexLink"/>
              </w:rPr>
              <w:t>307</w:t>
            </w:r>
          </w:hyperlink>
        </w:p>
        <w:p>
          <w:pPr>
            <w:pStyle w:val="Contents4"/>
            <w:tabs>
              <w:tab w:val="clear" w:pos="8176"/>
              <w:tab w:val="right" w:pos="9026" w:leader="dot"/>
            </w:tabs>
            <w:rPr/>
          </w:pPr>
          <w:hyperlink w:anchor="__RefHeading___Toc3598575_1067777946">
            <w:r>
              <w:rPr>
                <w:webHidden/>
                <w:rStyle w:val="IndexLink"/>
                <w:rtl w:val="true"/>
              </w:rPr>
              <w:t>ضمان در فرض انتفاع غير مأذون</w:t>
            </w:r>
            <w:r>
              <w:rPr>
                <w:rStyle w:val="IndexLink"/>
                <w:rtl w:val="true"/>
              </w:rPr>
              <w:tab/>
            </w:r>
            <w:r>
              <w:rPr>
                <w:rStyle w:val="IndexLink"/>
              </w:rPr>
              <w:t>307</w:t>
            </w:r>
          </w:hyperlink>
        </w:p>
        <w:p>
          <w:pPr>
            <w:pStyle w:val="Contents4"/>
            <w:tabs>
              <w:tab w:val="clear" w:pos="8176"/>
              <w:tab w:val="right" w:pos="9026" w:leader="dot"/>
            </w:tabs>
            <w:rPr/>
          </w:pPr>
          <w:hyperlink w:anchor="__RefHeading___Toc3598577_1067777946">
            <w:r>
              <w:rPr>
                <w:webHidden/>
                <w:rStyle w:val="IndexLink"/>
                <w:rtl w:val="true"/>
              </w:rPr>
              <w:t>تقدم قول مستعير در ادّعاى تلف و عدم تفريط و تعدّى</w:t>
            </w:r>
            <w:r>
              <w:rPr>
                <w:rStyle w:val="IndexLink"/>
                <w:rtl w:val="true"/>
              </w:rPr>
              <w:tab/>
            </w:r>
            <w:r>
              <w:rPr>
                <w:rStyle w:val="IndexLink"/>
              </w:rPr>
              <w:t>307</w:t>
            </w:r>
          </w:hyperlink>
        </w:p>
        <w:p>
          <w:pPr>
            <w:pStyle w:val="Contents4"/>
            <w:tabs>
              <w:tab w:val="clear" w:pos="8176"/>
              <w:tab w:val="right" w:pos="9026" w:leader="dot"/>
            </w:tabs>
            <w:rPr/>
          </w:pPr>
          <w:hyperlink w:anchor="__RefHeading___Toc3598579_1067777946">
            <w:r>
              <w:rPr>
                <w:webHidden/>
                <w:rStyle w:val="IndexLink"/>
                <w:rtl w:val="true"/>
              </w:rPr>
              <w:t>ضمان مثل يا قيمت در تعدّى و تفريط و اعتبار قيمت روز</w:t>
            </w:r>
            <w:r>
              <w:rPr>
                <w:rStyle w:val="IndexLink"/>
                <w:rtl w:val="true"/>
              </w:rPr>
              <w:tab/>
            </w:r>
            <w:r>
              <w:rPr>
                <w:rStyle w:val="IndexLink"/>
              </w:rPr>
              <w:t>308</w:t>
            </w:r>
          </w:hyperlink>
        </w:p>
        <w:p>
          <w:pPr>
            <w:pStyle w:val="Contents4"/>
            <w:tabs>
              <w:tab w:val="clear" w:pos="8176"/>
              <w:tab w:val="right" w:pos="9026" w:leader="dot"/>
            </w:tabs>
            <w:rPr/>
          </w:pPr>
          <w:hyperlink w:anchor="__RefHeading___Toc3598581_1067777946">
            <w:r>
              <w:rPr>
                <w:webHidden/>
                <w:rStyle w:val="IndexLink"/>
                <w:rtl w:val="true"/>
              </w:rPr>
              <w:t>عوضيّت عاريه در قبال عاريه يا اشتراط آن در ضمن عقد عاريه</w:t>
            </w:r>
            <w:r>
              <w:rPr>
                <w:rStyle w:val="IndexLink"/>
                <w:rtl w:val="true"/>
              </w:rPr>
              <w:tab/>
            </w:r>
            <w:r>
              <w:rPr>
                <w:rStyle w:val="IndexLink"/>
              </w:rPr>
              <w:t>308</w:t>
            </w:r>
          </w:hyperlink>
        </w:p>
        <w:p>
          <w:pPr>
            <w:pStyle w:val="Contents2"/>
            <w:tabs>
              <w:tab w:val="clear" w:pos="8743"/>
              <w:tab w:val="right" w:pos="9026" w:leader="dot"/>
            </w:tabs>
            <w:rPr/>
          </w:pPr>
          <w:hyperlink w:anchor="__RefHeading___Toc3598583_1067777946">
            <w:r>
              <w:rPr>
                <w:webHidden/>
                <w:rStyle w:val="IndexLink"/>
                <w:rtl w:val="true"/>
              </w:rPr>
              <w:t>كتاب اجاره</w:t>
            </w:r>
            <w:r>
              <w:rPr>
                <w:rStyle w:val="IndexLink"/>
                <w:rtl w:val="true"/>
              </w:rPr>
              <w:tab/>
            </w:r>
            <w:r>
              <w:rPr>
                <w:rStyle w:val="IndexLink"/>
              </w:rPr>
              <w:t>310</w:t>
            </w:r>
          </w:hyperlink>
        </w:p>
        <w:p>
          <w:pPr>
            <w:pStyle w:val="Contents3"/>
            <w:tabs>
              <w:tab w:val="clear" w:pos="8459"/>
              <w:tab w:val="right" w:pos="9026" w:leader="dot"/>
            </w:tabs>
            <w:rPr/>
          </w:pPr>
          <w:hyperlink w:anchor="__RefHeading___Toc3598585_1067777946">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3598587_1067777946">
            <w:r>
              <w:rPr>
                <w:webHidden/>
                <w:rStyle w:val="IndexLink"/>
                <w:rtl w:val="true"/>
              </w:rPr>
              <w:t>فصل اوّل عقد اجاره</w:t>
            </w:r>
            <w:r>
              <w:rPr>
                <w:rStyle w:val="IndexLink"/>
                <w:rtl w:val="true"/>
              </w:rPr>
              <w:tab/>
            </w:r>
            <w:r>
              <w:rPr>
                <w:rStyle w:val="IndexLink"/>
              </w:rPr>
              <w:t>312</w:t>
            </w:r>
          </w:hyperlink>
        </w:p>
        <w:p>
          <w:pPr>
            <w:pStyle w:val="Contents4"/>
            <w:tabs>
              <w:tab w:val="clear" w:pos="8176"/>
              <w:tab w:val="right" w:pos="9026" w:leader="dot"/>
            </w:tabs>
            <w:rPr/>
          </w:pPr>
          <w:hyperlink w:anchor="__RefHeading___Toc3598589_1067777946">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598591_1067777946">
            <w:r>
              <w:rPr>
                <w:webHidden/>
                <w:rStyle w:val="IndexLink"/>
                <w:rtl w:val="true"/>
              </w:rPr>
              <w:t>برخى از خصوصيات عقد اجاره</w:t>
            </w:r>
            <w:r>
              <w:rPr>
                <w:rStyle w:val="IndexLink"/>
                <w:rtl w:val="true"/>
              </w:rPr>
              <w:tab/>
            </w:r>
            <w:r>
              <w:rPr>
                <w:rStyle w:val="IndexLink"/>
              </w:rPr>
              <w:t>312</w:t>
            </w:r>
          </w:hyperlink>
        </w:p>
        <w:p>
          <w:pPr>
            <w:pStyle w:val="Contents4"/>
            <w:tabs>
              <w:tab w:val="clear" w:pos="8176"/>
              <w:tab w:val="right" w:pos="9026" w:leader="dot"/>
            </w:tabs>
            <w:rPr/>
          </w:pPr>
          <w:hyperlink w:anchor="__RefHeading___Toc3598593_1067777946">
            <w:r>
              <w:rPr>
                <w:webHidden/>
                <w:rStyle w:val="IndexLink"/>
                <w:rtl w:val="true"/>
              </w:rPr>
              <w:t>بيعِ عينِ متعلّق اجاره</w:t>
            </w:r>
            <w:r>
              <w:rPr>
                <w:rStyle w:val="IndexLink"/>
                <w:rtl w:val="true"/>
              </w:rPr>
              <w:tab/>
            </w:r>
            <w:r>
              <w:rPr>
                <w:rStyle w:val="IndexLink"/>
              </w:rPr>
              <w:t>312</w:t>
            </w:r>
          </w:hyperlink>
        </w:p>
        <w:p>
          <w:pPr>
            <w:pStyle w:val="Contents4"/>
            <w:tabs>
              <w:tab w:val="clear" w:pos="8176"/>
              <w:tab w:val="right" w:pos="9026" w:leader="dot"/>
            </w:tabs>
            <w:rPr/>
          </w:pPr>
          <w:hyperlink w:anchor="__RefHeading___Toc3598595_1067777946">
            <w:r>
              <w:rPr>
                <w:webHidden/>
                <w:rStyle w:val="IndexLink"/>
                <w:rtl w:val="true"/>
              </w:rPr>
              <w:t>اناطۀ بقاى اجاره به امكان انتفاع مقصود فى الجمله</w:t>
            </w:r>
            <w:r>
              <w:rPr>
                <w:rStyle w:val="IndexLink"/>
                <w:rtl w:val="true"/>
              </w:rPr>
              <w:tab/>
            </w:r>
            <w:r>
              <w:rPr>
                <w:rStyle w:val="IndexLink"/>
              </w:rPr>
              <w:t>313</w:t>
            </w:r>
          </w:hyperlink>
        </w:p>
        <w:p>
          <w:pPr>
            <w:pStyle w:val="Contents4"/>
            <w:tabs>
              <w:tab w:val="clear" w:pos="8176"/>
              <w:tab w:val="right" w:pos="9026" w:leader="dot"/>
            </w:tabs>
            <w:rPr/>
          </w:pPr>
          <w:hyperlink w:anchor="__RefHeading___Toc3598597_1067777946">
            <w:r>
              <w:rPr>
                <w:webHidden/>
                <w:rStyle w:val="IndexLink"/>
                <w:rtl w:val="true"/>
              </w:rPr>
              <w:t>موت موجر يا مستأجر</w:t>
            </w:r>
            <w:r>
              <w:rPr>
                <w:rStyle w:val="IndexLink"/>
                <w:rtl w:val="true"/>
              </w:rPr>
              <w:tab/>
            </w:r>
            <w:r>
              <w:rPr>
                <w:rStyle w:val="IndexLink"/>
              </w:rPr>
              <w:t>313</w:t>
            </w:r>
          </w:hyperlink>
        </w:p>
        <w:p>
          <w:pPr>
            <w:pStyle w:val="Contents4"/>
            <w:tabs>
              <w:tab w:val="clear" w:pos="8176"/>
              <w:tab w:val="right" w:pos="9026" w:leader="dot"/>
            </w:tabs>
            <w:rPr/>
          </w:pPr>
          <w:hyperlink w:anchor="__RefHeading___Toc3598599_1067777946">
            <w:r>
              <w:rPr>
                <w:webHidden/>
                <w:rStyle w:val="IndexLink"/>
                <w:rtl w:val="true"/>
              </w:rPr>
              <w:t>تشابه اجاره و اعاره</w:t>
            </w:r>
            <w:r>
              <w:rPr>
                <w:rStyle w:val="IndexLink"/>
                <w:rtl w:val="true"/>
              </w:rPr>
              <w:tab/>
            </w:r>
            <w:r>
              <w:rPr>
                <w:rStyle w:val="IndexLink"/>
              </w:rPr>
              <w:t>314</w:t>
            </w:r>
          </w:hyperlink>
        </w:p>
        <w:p>
          <w:pPr>
            <w:pStyle w:val="Contents4"/>
            <w:tabs>
              <w:tab w:val="clear" w:pos="8176"/>
              <w:tab w:val="right" w:pos="9026" w:leader="dot"/>
            </w:tabs>
            <w:rPr/>
          </w:pPr>
          <w:hyperlink w:anchor="__RefHeading___Toc3598601_1067777946">
            <w:r>
              <w:rPr>
                <w:webHidden/>
                <w:rStyle w:val="IndexLink"/>
                <w:rtl w:val="true"/>
              </w:rPr>
              <w:t>اجارۀ مشاع</w:t>
            </w:r>
            <w:r>
              <w:rPr>
                <w:rStyle w:val="IndexLink"/>
                <w:rtl w:val="true"/>
              </w:rPr>
              <w:tab/>
            </w:r>
            <w:r>
              <w:rPr>
                <w:rStyle w:val="IndexLink"/>
              </w:rPr>
              <w:t>314</w:t>
            </w:r>
          </w:hyperlink>
        </w:p>
        <w:p>
          <w:pPr>
            <w:pStyle w:val="Contents4"/>
            <w:tabs>
              <w:tab w:val="clear" w:pos="8176"/>
              <w:tab w:val="right" w:pos="9026" w:leader="dot"/>
            </w:tabs>
            <w:rPr/>
          </w:pPr>
          <w:hyperlink w:anchor="__RefHeading___Toc3598603_1067777946">
            <w:r>
              <w:rPr>
                <w:webHidden/>
                <w:rStyle w:val="IndexLink"/>
                <w:rtl w:val="true"/>
              </w:rPr>
              <w:t>عدم ضمان در عين مستأجره مگر با تعدّى و تفريط و يا شرط ضمان</w:t>
            </w:r>
            <w:r>
              <w:rPr>
                <w:rStyle w:val="IndexLink"/>
                <w:rtl w:val="true"/>
              </w:rPr>
              <w:tab/>
            </w:r>
            <w:r>
              <w:rPr>
                <w:rStyle w:val="IndexLink"/>
              </w:rPr>
              <w:t>314</w:t>
            </w:r>
          </w:hyperlink>
        </w:p>
        <w:p>
          <w:pPr>
            <w:pStyle w:val="Contents4"/>
            <w:tabs>
              <w:tab w:val="clear" w:pos="8176"/>
              <w:tab w:val="right" w:pos="9026" w:leader="dot"/>
            </w:tabs>
            <w:rPr/>
          </w:pPr>
          <w:hyperlink w:anchor="__RefHeading___Toc3598605_1067777946">
            <w:r>
              <w:rPr>
                <w:webHidden/>
                <w:rStyle w:val="IndexLink"/>
                <w:rtl w:val="true"/>
              </w:rPr>
              <w:t>مسألۀ ضمان بعد از انقضاى مدّت اجاره</w:t>
            </w:r>
            <w:r>
              <w:rPr>
                <w:rStyle w:val="IndexLink"/>
                <w:rtl w:val="true"/>
              </w:rPr>
              <w:tab/>
            </w:r>
            <w:r>
              <w:rPr>
                <w:rStyle w:val="IndexLink"/>
              </w:rPr>
              <w:t>315</w:t>
            </w:r>
          </w:hyperlink>
        </w:p>
        <w:p>
          <w:pPr>
            <w:pStyle w:val="Contents4"/>
            <w:tabs>
              <w:tab w:val="clear" w:pos="8176"/>
              <w:tab w:val="right" w:pos="9026" w:leader="dot"/>
            </w:tabs>
            <w:rPr/>
          </w:pPr>
          <w:hyperlink w:anchor="__RefHeading___Toc3598607_1067777946">
            <w:r>
              <w:rPr>
                <w:webHidden/>
                <w:rStyle w:val="IndexLink"/>
                <w:rtl w:val="true"/>
              </w:rPr>
              <w:t>خيار در اجاره</w:t>
            </w:r>
            <w:r>
              <w:rPr>
                <w:rStyle w:val="IndexLink"/>
                <w:rtl w:val="true"/>
              </w:rPr>
              <w:tab/>
            </w:r>
            <w:r>
              <w:rPr>
                <w:rStyle w:val="IndexLink"/>
              </w:rPr>
              <w:t>315</w:t>
            </w:r>
          </w:hyperlink>
        </w:p>
        <w:p>
          <w:pPr>
            <w:pStyle w:val="Contents3"/>
            <w:tabs>
              <w:tab w:val="clear" w:pos="8459"/>
              <w:tab w:val="right" w:pos="9026" w:leader="dot"/>
            </w:tabs>
            <w:rPr/>
          </w:pPr>
          <w:hyperlink w:anchor="__RefHeading___Toc3598609_1067777946">
            <w:r>
              <w:rPr>
                <w:webHidden/>
                <w:rStyle w:val="IndexLink"/>
                <w:rtl w:val="true"/>
              </w:rPr>
              <w:t>فصل دوّم شرايط اجاره</w:t>
            </w:r>
            <w:r>
              <w:rPr>
                <w:rStyle w:val="IndexLink"/>
                <w:rtl w:val="true"/>
              </w:rPr>
              <w:tab/>
            </w:r>
            <w:r>
              <w:rPr>
                <w:rStyle w:val="IndexLink"/>
              </w:rPr>
              <w:t>316</w:t>
            </w:r>
          </w:hyperlink>
        </w:p>
        <w:p>
          <w:pPr>
            <w:pStyle w:val="Contents4"/>
            <w:tabs>
              <w:tab w:val="clear" w:pos="8176"/>
              <w:tab w:val="right" w:pos="9026" w:leader="dot"/>
            </w:tabs>
            <w:rPr/>
          </w:pPr>
          <w:hyperlink w:anchor="__RefHeading___Toc3598611_1067777946">
            <w:r>
              <w:rPr>
                <w:webHidden/>
                <w:rStyle w:val="IndexLink"/>
              </w:rPr>
              <w:t>1</w:t>
            </w:r>
            <w:r>
              <w:rPr>
                <w:rStyle w:val="IndexLink"/>
                <w:rtl w:val="true"/>
              </w:rPr>
              <w:t xml:space="preserve">. </w:t>
            </w:r>
            <w:r>
              <w:rPr>
                <w:rStyle w:val="IndexLink"/>
                <w:rtl w:val="true"/>
              </w:rPr>
              <w:t>كمال متعاقدين</w:t>
            </w:r>
            <w:r>
              <w:rPr>
                <w:rStyle w:val="IndexLink"/>
                <w:rtl w:val="true"/>
              </w:rPr>
              <w:tab/>
            </w:r>
            <w:r>
              <w:rPr>
                <w:rStyle w:val="IndexLink"/>
              </w:rPr>
              <w:t>316</w:t>
            </w:r>
          </w:hyperlink>
        </w:p>
        <w:p>
          <w:pPr>
            <w:pStyle w:val="Contents4"/>
            <w:tabs>
              <w:tab w:val="clear" w:pos="8176"/>
              <w:tab w:val="right" w:pos="9026" w:leader="dot"/>
            </w:tabs>
            <w:rPr/>
          </w:pPr>
          <w:hyperlink w:anchor="__RefHeading___Toc3598613_1067777946">
            <w:r>
              <w:rPr>
                <w:webHidden/>
                <w:rStyle w:val="IndexLink"/>
              </w:rPr>
              <w:t>2</w:t>
            </w:r>
            <w:r>
              <w:rPr>
                <w:rStyle w:val="IndexLink"/>
                <w:rtl w:val="true"/>
              </w:rPr>
              <w:t xml:space="preserve">. </w:t>
            </w:r>
            <w:r>
              <w:rPr>
                <w:rStyle w:val="IndexLink"/>
                <w:rtl w:val="true"/>
              </w:rPr>
              <w:t>معلوم بودن اجرت</w:t>
            </w:r>
            <w:r>
              <w:rPr>
                <w:rStyle w:val="IndexLink"/>
                <w:rtl w:val="true"/>
              </w:rPr>
              <w:tab/>
            </w:r>
            <w:r>
              <w:rPr>
                <w:rStyle w:val="IndexLink"/>
              </w:rPr>
              <w:t>316</w:t>
            </w:r>
          </w:hyperlink>
        </w:p>
        <w:p>
          <w:pPr>
            <w:pStyle w:val="Contents5"/>
            <w:tabs>
              <w:tab w:val="clear" w:pos="7892"/>
              <w:tab w:val="right" w:pos="9026" w:leader="dot"/>
            </w:tabs>
            <w:rPr/>
          </w:pPr>
          <w:hyperlink w:anchor="__RefHeading___Toc3598615_1067777946">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3598617_1067777946">
            <w:r>
              <w:rPr>
                <w:webHidden/>
                <w:rStyle w:val="IndexLink"/>
                <w:rtl w:val="true"/>
              </w:rPr>
              <w:t>تملّك اجرت به نفس عقد اجاره</w:t>
            </w:r>
            <w:r>
              <w:rPr>
                <w:rStyle w:val="IndexLink"/>
                <w:rtl w:val="true"/>
              </w:rPr>
              <w:tab/>
            </w:r>
            <w:r>
              <w:rPr>
                <w:rStyle w:val="IndexLink"/>
              </w:rPr>
              <w:t>316</w:t>
            </w:r>
          </w:hyperlink>
        </w:p>
        <w:p>
          <w:pPr>
            <w:pStyle w:val="Contents5"/>
            <w:tabs>
              <w:tab w:val="clear" w:pos="7892"/>
              <w:tab w:val="right" w:pos="9026" w:leader="dot"/>
            </w:tabs>
            <w:rPr/>
          </w:pPr>
          <w:hyperlink w:anchor="__RefHeading___Toc3598619_1067777946">
            <w:r>
              <w:rPr>
                <w:webHidden/>
                <w:rStyle w:val="IndexLink"/>
                <w:rtl w:val="true"/>
              </w:rPr>
              <w:t>فرض توقف عمل بر تقديم اداى اجرت</w:t>
            </w:r>
            <w:r>
              <w:rPr>
                <w:rStyle w:val="IndexLink"/>
                <w:rtl w:val="true"/>
              </w:rPr>
              <w:tab/>
            </w:r>
            <w:r>
              <w:rPr>
                <w:rStyle w:val="IndexLink"/>
              </w:rPr>
              <w:t>317</w:t>
            </w:r>
          </w:hyperlink>
        </w:p>
        <w:p>
          <w:pPr>
            <w:pStyle w:val="Contents5"/>
            <w:tabs>
              <w:tab w:val="clear" w:pos="7892"/>
              <w:tab w:val="right" w:pos="9026" w:leader="dot"/>
            </w:tabs>
            <w:rPr/>
          </w:pPr>
          <w:hyperlink w:anchor="__RefHeading___Toc3598621_1067777946">
            <w:r>
              <w:rPr>
                <w:webHidden/>
                <w:rStyle w:val="IndexLink"/>
                <w:rtl w:val="true"/>
              </w:rPr>
              <w:t>لزوم تعجيل اداى اجرت به نحو متعارف در غير موارد مشروط به تأجيل</w:t>
            </w:r>
            <w:r>
              <w:rPr>
                <w:rStyle w:val="IndexLink"/>
                <w:rtl w:val="true"/>
              </w:rPr>
              <w:tab/>
            </w:r>
            <w:r>
              <w:rPr>
                <w:rStyle w:val="IndexLink"/>
              </w:rPr>
              <w:t>317</w:t>
            </w:r>
          </w:hyperlink>
        </w:p>
        <w:p>
          <w:pPr>
            <w:pStyle w:val="Contents5"/>
            <w:tabs>
              <w:tab w:val="clear" w:pos="7892"/>
              <w:tab w:val="right" w:pos="9026" w:leader="dot"/>
            </w:tabs>
            <w:rPr/>
          </w:pPr>
          <w:hyperlink w:anchor="__RefHeading___Toc3598623_1067777946">
            <w:r>
              <w:rPr>
                <w:webHidden/>
                <w:rStyle w:val="IndexLink"/>
                <w:rtl w:val="true"/>
              </w:rPr>
              <w:t>علم موجر به عيب سابق بر قبض در اُجرت</w:t>
            </w:r>
            <w:r>
              <w:rPr>
                <w:rStyle w:val="IndexLink"/>
                <w:rtl w:val="true"/>
              </w:rPr>
              <w:tab/>
            </w:r>
            <w:r>
              <w:rPr>
                <w:rStyle w:val="IndexLink"/>
              </w:rPr>
              <w:t>317</w:t>
            </w:r>
          </w:hyperlink>
        </w:p>
        <w:p>
          <w:pPr>
            <w:pStyle w:val="Contents5"/>
            <w:tabs>
              <w:tab w:val="clear" w:pos="7892"/>
              <w:tab w:val="right" w:pos="9026" w:leader="dot"/>
            </w:tabs>
            <w:rPr/>
          </w:pPr>
          <w:hyperlink w:anchor="__RefHeading___Toc3598625_1067777946">
            <w:r>
              <w:rPr>
                <w:webHidden/>
                <w:rStyle w:val="IndexLink"/>
                <w:rtl w:val="true"/>
              </w:rPr>
              <w:t>افلاس مستأجر يا عدم رد</w:t>
            </w:r>
            <w:r>
              <w:rPr>
                <w:rStyle w:val="IndexLink"/>
                <w:rtl w:val="true"/>
              </w:rPr>
              <w:tab/>
            </w:r>
            <w:r>
              <w:rPr>
                <w:rStyle w:val="IndexLink"/>
              </w:rPr>
              <w:t>317</w:t>
            </w:r>
          </w:hyperlink>
        </w:p>
        <w:p>
          <w:pPr>
            <w:pStyle w:val="Contents5"/>
            <w:tabs>
              <w:tab w:val="clear" w:pos="7892"/>
              <w:tab w:val="right" w:pos="9026" w:leader="dot"/>
            </w:tabs>
            <w:rPr/>
          </w:pPr>
          <w:hyperlink w:anchor="__RefHeading___Toc3598627_1067777946">
            <w:r>
              <w:rPr>
                <w:webHidden/>
                <w:rStyle w:val="IndexLink"/>
                <w:rtl w:val="true"/>
              </w:rPr>
              <w:t>اجاره دادن به غير توسّط مستأجر</w:t>
            </w:r>
            <w:r>
              <w:rPr>
                <w:rStyle w:val="IndexLink"/>
                <w:rtl w:val="true"/>
              </w:rPr>
              <w:tab/>
            </w:r>
            <w:r>
              <w:rPr>
                <w:rStyle w:val="IndexLink"/>
              </w:rPr>
              <w:t>318</w:t>
            </w:r>
          </w:hyperlink>
        </w:p>
        <w:p>
          <w:pPr>
            <w:pStyle w:val="Contents5"/>
            <w:tabs>
              <w:tab w:val="clear" w:pos="7892"/>
              <w:tab w:val="right" w:pos="9026" w:leader="dot"/>
            </w:tabs>
            <w:rPr/>
          </w:pPr>
          <w:hyperlink w:anchor="__RefHeading___Toc3598629_1067777946">
            <w:r>
              <w:rPr>
                <w:webHidden/>
                <w:rStyle w:val="IndexLink"/>
                <w:rtl w:val="true"/>
              </w:rPr>
              <w:t>فرض شرط نقص مقدار معيّنى از اجرت</w:t>
            </w:r>
            <w:r>
              <w:rPr>
                <w:rStyle w:val="IndexLink"/>
                <w:rtl w:val="true"/>
              </w:rPr>
              <w:tab/>
            </w:r>
            <w:r>
              <w:rPr>
                <w:rStyle w:val="IndexLink"/>
              </w:rPr>
              <w:t>318</w:t>
            </w:r>
          </w:hyperlink>
        </w:p>
        <w:p>
          <w:pPr>
            <w:pStyle w:val="Contents5"/>
            <w:tabs>
              <w:tab w:val="clear" w:pos="7892"/>
              <w:tab w:val="right" w:pos="9026" w:leader="dot"/>
            </w:tabs>
            <w:rPr/>
          </w:pPr>
          <w:hyperlink w:anchor="__RefHeading___Toc3598631_1067777946">
            <w:r>
              <w:rPr>
                <w:webHidden/>
                <w:rStyle w:val="IndexLink"/>
                <w:rtl w:val="true"/>
              </w:rPr>
              <w:t>شرطِ سقوط تمام اجرت</w:t>
            </w:r>
            <w:r>
              <w:rPr>
                <w:rStyle w:val="IndexLink"/>
                <w:rtl w:val="true"/>
              </w:rPr>
              <w:tab/>
            </w:r>
            <w:r>
              <w:rPr>
                <w:rStyle w:val="IndexLink"/>
              </w:rPr>
              <w:t>318</w:t>
            </w:r>
          </w:hyperlink>
        </w:p>
        <w:p>
          <w:pPr>
            <w:pStyle w:val="Contents5"/>
            <w:tabs>
              <w:tab w:val="clear" w:pos="7892"/>
              <w:tab w:val="right" w:pos="9026" w:leader="dot"/>
            </w:tabs>
            <w:rPr/>
          </w:pPr>
          <w:hyperlink w:anchor="__RefHeading___Toc3598633_1067777946">
            <w:r>
              <w:rPr>
                <w:webHidden/>
                <w:rStyle w:val="IndexLink"/>
                <w:rtl w:val="true"/>
              </w:rPr>
              <w:t>اجاره در تمام ماهها به مبلغى معيّن</w:t>
            </w:r>
            <w:r>
              <w:rPr>
                <w:rStyle w:val="IndexLink"/>
                <w:rtl w:val="true"/>
              </w:rPr>
              <w:tab/>
            </w:r>
            <w:r>
              <w:rPr>
                <w:rStyle w:val="IndexLink"/>
              </w:rPr>
              <w:t>319</w:t>
            </w:r>
          </w:hyperlink>
        </w:p>
        <w:p>
          <w:pPr>
            <w:pStyle w:val="Contents5"/>
            <w:tabs>
              <w:tab w:val="clear" w:pos="7892"/>
              <w:tab w:val="right" w:pos="9026" w:leader="dot"/>
            </w:tabs>
            <w:rPr/>
          </w:pPr>
          <w:hyperlink w:anchor="__RefHeading___Toc3598635_1067777946">
            <w:r>
              <w:rPr>
                <w:webHidden/>
                <w:rStyle w:val="IndexLink"/>
                <w:rtl w:val="true"/>
              </w:rPr>
              <w:t>فرض ترديد در اجرت و عمل</w:t>
            </w:r>
            <w:r>
              <w:rPr>
                <w:rStyle w:val="IndexLink"/>
                <w:rtl w:val="true"/>
              </w:rPr>
              <w:tab/>
            </w:r>
            <w:r>
              <w:rPr>
                <w:rStyle w:val="IndexLink"/>
              </w:rPr>
              <w:t>319</w:t>
            </w:r>
          </w:hyperlink>
        </w:p>
        <w:p>
          <w:pPr>
            <w:pStyle w:val="Contents5"/>
            <w:tabs>
              <w:tab w:val="clear" w:pos="7892"/>
              <w:tab w:val="right" w:pos="9026" w:leader="dot"/>
            </w:tabs>
            <w:rPr/>
          </w:pPr>
          <w:hyperlink w:anchor="__RefHeading___Toc3598637_1067777946">
            <w:r>
              <w:rPr>
                <w:webHidden/>
                <w:rStyle w:val="IndexLink"/>
                <w:rtl w:val="true"/>
              </w:rPr>
              <w:t>زمان مالكيت اجرت و استحقاق مطالبۀ آن</w:t>
            </w:r>
            <w:r>
              <w:rPr>
                <w:rStyle w:val="IndexLink"/>
                <w:rtl w:val="true"/>
              </w:rPr>
              <w:tab/>
            </w:r>
            <w:r>
              <w:rPr>
                <w:rStyle w:val="IndexLink"/>
              </w:rPr>
              <w:t>319</w:t>
            </w:r>
          </w:hyperlink>
        </w:p>
        <w:p>
          <w:pPr>
            <w:pStyle w:val="Contents5"/>
            <w:tabs>
              <w:tab w:val="clear" w:pos="7892"/>
              <w:tab w:val="right" w:pos="9026" w:leader="dot"/>
            </w:tabs>
            <w:rPr/>
          </w:pPr>
          <w:hyperlink w:anchor="__RefHeading___Toc3598639_1067777946">
            <w:r>
              <w:rPr>
                <w:webHidden/>
                <w:rStyle w:val="IndexLink"/>
                <w:rtl w:val="true"/>
              </w:rPr>
              <w:t>حكم امتناع از تسليم عمل يا اجرت</w:t>
            </w:r>
            <w:r>
              <w:rPr>
                <w:rStyle w:val="IndexLink"/>
                <w:rtl w:val="true"/>
              </w:rPr>
              <w:tab/>
            </w:r>
            <w:r>
              <w:rPr>
                <w:rStyle w:val="IndexLink"/>
              </w:rPr>
              <w:t>320</w:t>
            </w:r>
          </w:hyperlink>
        </w:p>
        <w:p>
          <w:pPr>
            <w:pStyle w:val="Contents5"/>
            <w:tabs>
              <w:tab w:val="clear" w:pos="7892"/>
              <w:tab w:val="right" w:pos="9026" w:leader="dot"/>
            </w:tabs>
            <w:rPr/>
          </w:pPr>
          <w:hyperlink w:anchor="__RefHeading___Toc3598641_1067777946">
            <w:r>
              <w:rPr>
                <w:webHidden/>
                <w:rStyle w:val="IndexLink"/>
                <w:rtl w:val="true"/>
              </w:rPr>
              <w:t>فرض بطلان عقد اجاره و تعلّق اجرت المثل</w:t>
            </w:r>
            <w:r>
              <w:rPr>
                <w:rStyle w:val="IndexLink"/>
                <w:rtl w:val="true"/>
              </w:rPr>
              <w:tab/>
            </w:r>
            <w:r>
              <w:rPr>
                <w:rStyle w:val="IndexLink"/>
              </w:rPr>
              <w:t>321</w:t>
            </w:r>
          </w:hyperlink>
        </w:p>
        <w:p>
          <w:pPr>
            <w:pStyle w:val="Contents5"/>
            <w:tabs>
              <w:tab w:val="clear" w:pos="7892"/>
              <w:tab w:val="right" w:pos="9026" w:leader="dot"/>
            </w:tabs>
            <w:rPr/>
          </w:pPr>
          <w:hyperlink w:anchor="__RefHeading___Toc3598643_1067777946">
            <w:r>
              <w:rPr>
                <w:webHidden/>
                <w:rStyle w:val="IndexLink"/>
                <w:rtl w:val="true"/>
              </w:rPr>
              <w:t>مسألۀ ضمان در فرض علم يا جهل به فساد اجاره</w:t>
            </w:r>
            <w:r>
              <w:rPr>
                <w:rStyle w:val="IndexLink"/>
                <w:rtl w:val="true"/>
              </w:rPr>
              <w:tab/>
            </w:r>
            <w:r>
              <w:rPr>
                <w:rStyle w:val="IndexLink"/>
              </w:rPr>
              <w:t>321</w:t>
            </w:r>
          </w:hyperlink>
        </w:p>
        <w:p>
          <w:pPr>
            <w:pStyle w:val="Contents5"/>
            <w:tabs>
              <w:tab w:val="clear" w:pos="7892"/>
              <w:tab w:val="right" w:pos="9026" w:leader="dot"/>
            </w:tabs>
            <w:rPr/>
          </w:pPr>
          <w:hyperlink w:anchor="__RefHeading___Toc3598645_1067777946">
            <w:r>
              <w:rPr>
                <w:webHidden/>
                <w:rStyle w:val="IndexLink"/>
                <w:rtl w:val="true"/>
              </w:rPr>
              <w:t>كراهت استعمال اجير قبل از مقاطعۀ اجرت</w:t>
            </w:r>
            <w:r>
              <w:rPr>
                <w:rStyle w:val="IndexLink"/>
                <w:rtl w:val="true"/>
              </w:rPr>
              <w:tab/>
            </w:r>
            <w:r>
              <w:rPr>
                <w:rStyle w:val="IndexLink"/>
              </w:rPr>
              <w:t>322</w:t>
            </w:r>
          </w:hyperlink>
        </w:p>
        <w:p>
          <w:pPr>
            <w:pStyle w:val="Contents5"/>
            <w:tabs>
              <w:tab w:val="clear" w:pos="7892"/>
              <w:tab w:val="right" w:pos="9026" w:leader="dot"/>
            </w:tabs>
            <w:rPr/>
          </w:pPr>
          <w:hyperlink w:anchor="__RefHeading___Toc3598647_1067777946">
            <w:r>
              <w:rPr>
                <w:webHidden/>
                <w:rStyle w:val="IndexLink"/>
                <w:rtl w:val="true"/>
              </w:rPr>
              <w:t>كراهت تضمين اجير امين</w:t>
            </w:r>
            <w:r>
              <w:rPr>
                <w:rStyle w:val="IndexLink"/>
                <w:rtl w:val="true"/>
              </w:rPr>
              <w:tab/>
            </w:r>
            <w:r>
              <w:rPr>
                <w:rStyle w:val="IndexLink"/>
              </w:rPr>
              <w:t>322</w:t>
            </w:r>
          </w:hyperlink>
        </w:p>
        <w:p>
          <w:pPr>
            <w:pStyle w:val="Contents4"/>
            <w:tabs>
              <w:tab w:val="clear" w:pos="8176"/>
              <w:tab w:val="right" w:pos="9026" w:leader="dot"/>
            </w:tabs>
            <w:rPr/>
          </w:pPr>
          <w:hyperlink w:anchor="__RefHeading___Toc3598649_1067777946">
            <w:r>
              <w:rPr>
                <w:webHidden/>
                <w:rStyle w:val="IndexLink"/>
              </w:rPr>
              <w:t>3</w:t>
            </w:r>
            <w:r>
              <w:rPr>
                <w:rStyle w:val="IndexLink"/>
                <w:rtl w:val="true"/>
              </w:rPr>
              <w:t xml:space="preserve">. </w:t>
            </w:r>
            <w:r>
              <w:rPr>
                <w:rStyle w:val="IndexLink"/>
                <w:rtl w:val="true"/>
              </w:rPr>
              <w:t>مملوك بودن منفعت</w:t>
            </w:r>
            <w:r>
              <w:rPr>
                <w:rStyle w:val="IndexLink"/>
                <w:rtl w:val="true"/>
              </w:rPr>
              <w:tab/>
            </w:r>
            <w:r>
              <w:rPr>
                <w:rStyle w:val="IndexLink"/>
              </w:rPr>
              <w:t>322</w:t>
            </w:r>
          </w:hyperlink>
        </w:p>
        <w:p>
          <w:pPr>
            <w:pStyle w:val="Contents5"/>
            <w:tabs>
              <w:tab w:val="clear" w:pos="7892"/>
              <w:tab w:val="right" w:pos="9026" w:leader="dot"/>
            </w:tabs>
            <w:rPr/>
          </w:pPr>
          <w:hyperlink w:anchor="__RefHeading___Toc3598651_1067777946">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3598653_1067777946">
            <w:r>
              <w:rPr>
                <w:webHidden/>
                <w:rStyle w:val="IndexLink"/>
                <w:rtl w:val="true"/>
              </w:rPr>
              <w:t>اجاره دادن به غير توسّط مستأجر</w:t>
            </w:r>
            <w:r>
              <w:rPr>
                <w:rStyle w:val="IndexLink"/>
                <w:rtl w:val="true"/>
              </w:rPr>
              <w:tab/>
            </w:r>
            <w:r>
              <w:rPr>
                <w:rStyle w:val="IndexLink"/>
              </w:rPr>
              <w:t>322</w:t>
            </w:r>
          </w:hyperlink>
        </w:p>
        <w:p>
          <w:pPr>
            <w:pStyle w:val="Contents5"/>
            <w:tabs>
              <w:tab w:val="clear" w:pos="7892"/>
              <w:tab w:val="right" w:pos="9026" w:leader="dot"/>
            </w:tabs>
            <w:rPr/>
          </w:pPr>
          <w:hyperlink w:anchor="__RefHeading___Toc3598655_1067777946">
            <w:r>
              <w:rPr>
                <w:webHidden/>
                <w:rStyle w:val="IndexLink"/>
                <w:rtl w:val="true"/>
              </w:rPr>
              <w:t>اجاره به موجر اوّل و مسألۀ استيذان از او در تسليم عين به مستأجر دوّم</w:t>
            </w:r>
            <w:r>
              <w:rPr>
                <w:rStyle w:val="IndexLink"/>
                <w:rtl w:val="true"/>
              </w:rPr>
              <w:tab/>
            </w:r>
            <w:r>
              <w:rPr>
                <w:rStyle w:val="IndexLink"/>
              </w:rPr>
              <w:t>323</w:t>
            </w:r>
          </w:hyperlink>
        </w:p>
        <w:p>
          <w:pPr>
            <w:pStyle w:val="Contents4"/>
            <w:tabs>
              <w:tab w:val="clear" w:pos="8176"/>
              <w:tab w:val="right" w:pos="9026" w:leader="dot"/>
            </w:tabs>
            <w:rPr/>
          </w:pPr>
          <w:hyperlink w:anchor="__RefHeading___Toc3598657_1067777946">
            <w:r>
              <w:rPr>
                <w:webHidden/>
                <w:rStyle w:val="IndexLink"/>
              </w:rPr>
              <w:t>4</w:t>
            </w:r>
            <w:r>
              <w:rPr>
                <w:rStyle w:val="IndexLink"/>
                <w:rtl w:val="true"/>
              </w:rPr>
              <w:t xml:space="preserve">. </w:t>
            </w:r>
            <w:r>
              <w:rPr>
                <w:rStyle w:val="IndexLink"/>
                <w:rtl w:val="true"/>
              </w:rPr>
              <w:t>معلوم بودن منفعت</w:t>
            </w:r>
            <w:r>
              <w:rPr>
                <w:rStyle w:val="IndexLink"/>
                <w:rtl w:val="true"/>
              </w:rPr>
              <w:tab/>
            </w:r>
            <w:r>
              <w:rPr>
                <w:rStyle w:val="IndexLink"/>
              </w:rPr>
              <w:t>323</w:t>
            </w:r>
          </w:hyperlink>
        </w:p>
        <w:p>
          <w:pPr>
            <w:pStyle w:val="Contents5"/>
            <w:tabs>
              <w:tab w:val="clear" w:pos="7892"/>
              <w:tab w:val="right" w:pos="9026" w:leader="dot"/>
            </w:tabs>
            <w:rPr/>
          </w:pPr>
          <w:hyperlink w:anchor="__RefHeading___Toc3598659_1067777946">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3598661_1067777946">
            <w:r>
              <w:rPr>
                <w:webHidden/>
                <w:rStyle w:val="IndexLink"/>
                <w:rtl w:val="true"/>
              </w:rPr>
              <w:t>محدودۀ منافع متعلَّقِ اجاره</w:t>
            </w:r>
            <w:r>
              <w:rPr>
                <w:rStyle w:val="IndexLink"/>
                <w:rtl w:val="true"/>
              </w:rPr>
              <w:tab/>
            </w:r>
            <w:r>
              <w:rPr>
                <w:rStyle w:val="IndexLink"/>
              </w:rPr>
              <w:t>324</w:t>
            </w:r>
          </w:hyperlink>
        </w:p>
        <w:p>
          <w:pPr>
            <w:pStyle w:val="Contents5"/>
            <w:tabs>
              <w:tab w:val="clear" w:pos="7892"/>
              <w:tab w:val="right" w:pos="9026" w:leader="dot"/>
            </w:tabs>
            <w:rPr/>
          </w:pPr>
          <w:hyperlink w:anchor="__RefHeading___Toc3598663_1067777946">
            <w:r>
              <w:rPr>
                <w:webHidden/>
                <w:rStyle w:val="IndexLink"/>
                <w:rtl w:val="true"/>
              </w:rPr>
              <w:t>تعيين عمل به نحو رافع غرر و جهالت</w:t>
            </w:r>
            <w:r>
              <w:rPr>
                <w:rStyle w:val="IndexLink"/>
                <w:rtl w:val="true"/>
              </w:rPr>
              <w:tab/>
            </w:r>
            <w:r>
              <w:rPr>
                <w:rStyle w:val="IndexLink"/>
              </w:rPr>
              <w:t>324</w:t>
            </w:r>
          </w:hyperlink>
        </w:p>
        <w:p>
          <w:pPr>
            <w:pStyle w:val="Contents5"/>
            <w:tabs>
              <w:tab w:val="clear" w:pos="7892"/>
              <w:tab w:val="right" w:pos="9026" w:leader="dot"/>
            </w:tabs>
            <w:rPr/>
          </w:pPr>
          <w:hyperlink w:anchor="__RefHeading___Toc3598665_1067777946">
            <w:r>
              <w:rPr>
                <w:webHidden/>
                <w:rStyle w:val="IndexLink"/>
                <w:rtl w:val="true"/>
              </w:rPr>
              <w:t>شرط وسعت يا عدم و تخلّف از آن</w:t>
            </w:r>
            <w:r>
              <w:rPr>
                <w:rStyle w:val="IndexLink"/>
                <w:rtl w:val="true"/>
              </w:rPr>
              <w:tab/>
            </w:r>
            <w:r>
              <w:rPr>
                <w:rStyle w:val="IndexLink"/>
              </w:rPr>
              <w:t>324</w:t>
            </w:r>
          </w:hyperlink>
        </w:p>
        <w:p>
          <w:pPr>
            <w:pStyle w:val="Contents5"/>
            <w:tabs>
              <w:tab w:val="clear" w:pos="7892"/>
              <w:tab w:val="right" w:pos="9026" w:leader="dot"/>
            </w:tabs>
            <w:rPr/>
          </w:pPr>
          <w:hyperlink w:anchor="__RefHeading___Toc3598667_1067777946">
            <w:r>
              <w:rPr>
                <w:webHidden/>
                <w:rStyle w:val="IndexLink"/>
                <w:rtl w:val="true"/>
              </w:rPr>
              <w:t>در حكم اجير خاص</w:t>
            </w:r>
            <w:r>
              <w:rPr>
                <w:rStyle w:val="IndexLink"/>
                <w:rtl w:val="true"/>
              </w:rPr>
              <w:tab/>
            </w:r>
            <w:r>
              <w:rPr>
                <w:rStyle w:val="IndexLink"/>
              </w:rPr>
              <w:t>325</w:t>
            </w:r>
          </w:hyperlink>
        </w:p>
        <w:p>
          <w:pPr>
            <w:pStyle w:val="Contents6"/>
            <w:tabs>
              <w:tab w:val="clear" w:pos="7609"/>
              <w:tab w:val="right" w:pos="9026" w:leader="dot"/>
            </w:tabs>
            <w:rPr/>
          </w:pPr>
          <w:hyperlink w:anchor="__RefHeading___Toc3598669_1067777946">
            <w:r>
              <w:rPr>
                <w:webHidden/>
                <w:rStyle w:val="IndexLink"/>
                <w:rtl w:val="true"/>
              </w:rPr>
              <w:t>عدم جواز تفويت عمل در مدت معيّنه در اجير خاص</w:t>
            </w:r>
            <w:r>
              <w:rPr>
                <w:rStyle w:val="IndexLink"/>
                <w:rtl w:val="true"/>
              </w:rPr>
              <w:tab/>
            </w:r>
            <w:r>
              <w:rPr>
                <w:rStyle w:val="IndexLink"/>
              </w:rPr>
              <w:t>325</w:t>
            </w:r>
          </w:hyperlink>
        </w:p>
        <w:p>
          <w:pPr>
            <w:pStyle w:val="Contents6"/>
            <w:tabs>
              <w:tab w:val="clear" w:pos="7609"/>
              <w:tab w:val="right" w:pos="9026" w:leader="dot"/>
            </w:tabs>
            <w:rPr/>
          </w:pPr>
          <w:hyperlink w:anchor="__RefHeading___Toc3598671_1067777946">
            <w:r>
              <w:rPr>
                <w:webHidden/>
                <w:rStyle w:val="IndexLink"/>
                <w:rtl w:val="true"/>
              </w:rPr>
              <w:t>حكم اجارۀ دوّم اجير خاص</w:t>
            </w:r>
            <w:r>
              <w:rPr>
                <w:rStyle w:val="IndexLink"/>
                <w:rtl w:val="true"/>
              </w:rPr>
              <w:tab/>
            </w:r>
            <w:r>
              <w:rPr>
                <w:rStyle w:val="IndexLink"/>
              </w:rPr>
              <w:t>325</w:t>
            </w:r>
          </w:hyperlink>
        </w:p>
        <w:p>
          <w:pPr>
            <w:pStyle w:val="Contents6"/>
            <w:tabs>
              <w:tab w:val="clear" w:pos="7609"/>
              <w:tab w:val="right" w:pos="9026" w:leader="dot"/>
            </w:tabs>
            <w:rPr/>
          </w:pPr>
          <w:hyperlink w:anchor="__RefHeading___Toc3598673_1067777946">
            <w:r>
              <w:rPr>
                <w:webHidden/>
                <w:rStyle w:val="IndexLink"/>
                <w:rtl w:val="true"/>
              </w:rPr>
              <w:t>عمل اجير خاص براى غير بدون عوض</w:t>
            </w:r>
            <w:r>
              <w:rPr>
                <w:rStyle w:val="IndexLink"/>
                <w:rtl w:val="true"/>
              </w:rPr>
              <w:tab/>
            </w:r>
            <w:r>
              <w:rPr>
                <w:rStyle w:val="IndexLink"/>
              </w:rPr>
              <w:t>326</w:t>
            </w:r>
          </w:hyperlink>
        </w:p>
        <w:p>
          <w:pPr>
            <w:pStyle w:val="Contents6"/>
            <w:tabs>
              <w:tab w:val="clear" w:pos="7609"/>
              <w:tab w:val="right" w:pos="9026" w:leader="dot"/>
            </w:tabs>
            <w:rPr/>
          </w:pPr>
          <w:hyperlink w:anchor="__RefHeading___Toc3598675_1067777946">
            <w:r>
              <w:rPr>
                <w:webHidden/>
                <w:rStyle w:val="IndexLink"/>
                <w:rtl w:val="true"/>
              </w:rPr>
              <w:t>حيازت اجير خاص</w:t>
            </w:r>
            <w:r>
              <w:rPr>
                <w:rStyle w:val="IndexLink"/>
                <w:rtl w:val="true"/>
              </w:rPr>
              <w:tab/>
            </w:r>
            <w:r>
              <w:rPr>
                <w:rStyle w:val="IndexLink"/>
              </w:rPr>
              <w:t>326</w:t>
            </w:r>
          </w:hyperlink>
        </w:p>
        <w:p>
          <w:pPr>
            <w:pStyle w:val="Contents5"/>
            <w:tabs>
              <w:tab w:val="clear" w:pos="7892"/>
              <w:tab w:val="right" w:pos="9026" w:leader="dot"/>
            </w:tabs>
            <w:rPr/>
          </w:pPr>
          <w:hyperlink w:anchor="__RefHeading___Toc3598677_1067777946">
            <w:r>
              <w:rPr>
                <w:webHidden/>
                <w:rStyle w:val="IndexLink"/>
                <w:rtl w:val="true"/>
              </w:rPr>
              <w:t>حكم اجير مشترك</w:t>
            </w:r>
            <w:r>
              <w:rPr>
                <w:rStyle w:val="IndexLink"/>
                <w:rtl w:val="true"/>
              </w:rPr>
              <w:tab/>
            </w:r>
            <w:r>
              <w:rPr>
                <w:rStyle w:val="IndexLink"/>
              </w:rPr>
              <w:t>327</w:t>
            </w:r>
          </w:hyperlink>
        </w:p>
        <w:p>
          <w:pPr>
            <w:pStyle w:val="Contents6"/>
            <w:tabs>
              <w:tab w:val="clear" w:pos="7609"/>
              <w:tab w:val="right" w:pos="9026" w:leader="dot"/>
            </w:tabs>
            <w:rPr/>
          </w:pPr>
          <w:hyperlink w:anchor="__RefHeading___Toc3598679_1067777946">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3598681_1067777946">
            <w:r>
              <w:rPr>
                <w:webHidden/>
                <w:rStyle w:val="IndexLink"/>
                <w:rtl w:val="true"/>
              </w:rPr>
              <w:t>صحّت اجارۀ دوّم در فرض عدم قيد مباشرت</w:t>
            </w:r>
            <w:r>
              <w:rPr>
                <w:rStyle w:val="IndexLink"/>
                <w:rtl w:val="true"/>
              </w:rPr>
              <w:tab/>
            </w:r>
            <w:r>
              <w:rPr>
                <w:rStyle w:val="IndexLink"/>
              </w:rPr>
              <w:t>327</w:t>
            </w:r>
          </w:hyperlink>
        </w:p>
        <w:p>
          <w:pPr>
            <w:pStyle w:val="Contents5"/>
            <w:tabs>
              <w:tab w:val="clear" w:pos="7892"/>
              <w:tab w:val="right" w:pos="9026" w:leader="dot"/>
            </w:tabs>
            <w:rPr/>
          </w:pPr>
          <w:hyperlink w:anchor="__RefHeading___Toc3598683_1067777946">
            <w:r>
              <w:rPr>
                <w:webHidden/>
                <w:rStyle w:val="IndexLink"/>
                <w:rtl w:val="true"/>
              </w:rPr>
              <w:t>چند مسأله</w:t>
            </w:r>
            <w:r>
              <w:rPr>
                <w:rStyle w:val="IndexLink"/>
                <w:rtl w:val="true"/>
              </w:rPr>
              <w:tab/>
            </w:r>
            <w:r>
              <w:rPr>
                <w:rStyle w:val="IndexLink"/>
              </w:rPr>
              <w:t>328</w:t>
            </w:r>
          </w:hyperlink>
        </w:p>
        <w:p>
          <w:pPr>
            <w:pStyle w:val="Contents6"/>
            <w:tabs>
              <w:tab w:val="clear" w:pos="7609"/>
              <w:tab w:val="right" w:pos="9026" w:leader="dot"/>
            </w:tabs>
            <w:rPr/>
          </w:pPr>
          <w:hyperlink w:anchor="__RefHeading___Toc3598685_1067777946">
            <w:r>
              <w:rPr>
                <w:webHidden/>
                <w:rStyle w:val="IndexLink"/>
                <w:rtl w:val="true"/>
              </w:rPr>
              <w:t>تملّك منفعت و اجرت به نفس عقد</w:t>
            </w:r>
            <w:r>
              <w:rPr>
                <w:rStyle w:val="IndexLink"/>
                <w:rtl w:val="true"/>
              </w:rPr>
              <w:tab/>
            </w:r>
            <w:r>
              <w:rPr>
                <w:rStyle w:val="IndexLink"/>
              </w:rPr>
              <w:t>328</w:t>
            </w:r>
          </w:hyperlink>
        </w:p>
        <w:p>
          <w:pPr>
            <w:pStyle w:val="Contents6"/>
            <w:tabs>
              <w:tab w:val="clear" w:pos="7609"/>
              <w:tab w:val="right" w:pos="9026" w:leader="dot"/>
            </w:tabs>
            <w:rPr/>
          </w:pPr>
          <w:hyperlink w:anchor="__RefHeading___Toc3598687_1067777946">
            <w:r>
              <w:rPr>
                <w:webHidden/>
                <w:rStyle w:val="IndexLink"/>
                <w:rtl w:val="true"/>
              </w:rPr>
              <w:t>تعيين ابتدا و انتهاى اجاره و عدم غرريت آن</w:t>
            </w:r>
            <w:r>
              <w:rPr>
                <w:rStyle w:val="IndexLink"/>
                <w:rtl w:val="true"/>
              </w:rPr>
              <w:tab/>
            </w:r>
            <w:r>
              <w:rPr>
                <w:rStyle w:val="IndexLink"/>
              </w:rPr>
              <w:t>328</w:t>
            </w:r>
          </w:hyperlink>
        </w:p>
        <w:p>
          <w:pPr>
            <w:pStyle w:val="Contents6"/>
            <w:tabs>
              <w:tab w:val="clear" w:pos="7609"/>
              <w:tab w:val="right" w:pos="9026" w:leader="dot"/>
            </w:tabs>
            <w:rPr/>
          </w:pPr>
          <w:hyperlink w:anchor="__RefHeading___Toc3598689_1067777946">
            <w:r>
              <w:rPr>
                <w:webHidden/>
                <w:rStyle w:val="IndexLink"/>
                <w:rtl w:val="true"/>
              </w:rPr>
              <w:t>صورت لزوم اجرت بر مستأجر</w:t>
            </w:r>
            <w:r>
              <w:rPr>
                <w:rStyle w:val="IndexLink"/>
                <w:rtl w:val="true"/>
              </w:rPr>
              <w:tab/>
            </w:r>
            <w:r>
              <w:rPr>
                <w:rStyle w:val="IndexLink"/>
              </w:rPr>
              <w:t>328</w:t>
            </w:r>
          </w:hyperlink>
        </w:p>
        <w:p>
          <w:pPr>
            <w:pStyle w:val="Contents6"/>
            <w:tabs>
              <w:tab w:val="clear" w:pos="7609"/>
              <w:tab w:val="right" w:pos="9026" w:leader="dot"/>
            </w:tabs>
            <w:rPr/>
          </w:pPr>
          <w:hyperlink w:anchor="__RefHeading___Toc3598691_1067777946">
            <w:r>
              <w:rPr>
                <w:webHidden/>
                <w:rStyle w:val="IndexLink"/>
                <w:rtl w:val="true"/>
              </w:rPr>
              <w:t>تلف عين مورد اجاره به آفت آسمانى</w:t>
            </w:r>
            <w:r>
              <w:rPr>
                <w:rStyle w:val="IndexLink"/>
                <w:rtl w:val="true"/>
              </w:rPr>
              <w:tab/>
            </w:r>
            <w:r>
              <w:rPr>
                <w:rStyle w:val="IndexLink"/>
              </w:rPr>
              <w:t>329</w:t>
            </w:r>
          </w:hyperlink>
        </w:p>
        <w:p>
          <w:pPr>
            <w:pStyle w:val="Contents6"/>
            <w:tabs>
              <w:tab w:val="clear" w:pos="7609"/>
              <w:tab w:val="right" w:pos="9026" w:leader="dot"/>
            </w:tabs>
            <w:rPr/>
          </w:pPr>
          <w:hyperlink w:anchor="__RefHeading___Toc3598693_1067777946">
            <w:r>
              <w:rPr>
                <w:webHidden/>
                <w:rStyle w:val="IndexLink"/>
                <w:rtl w:val="true"/>
              </w:rPr>
              <w:t>لزوم رفع جهالت در اجارۀ دابّه</w:t>
            </w:r>
            <w:r>
              <w:rPr>
                <w:rStyle w:val="IndexLink"/>
                <w:rtl w:val="true"/>
              </w:rPr>
              <w:tab/>
            </w:r>
            <w:r>
              <w:rPr>
                <w:rStyle w:val="IndexLink"/>
              </w:rPr>
              <w:t>329</w:t>
            </w:r>
          </w:hyperlink>
        </w:p>
        <w:p>
          <w:pPr>
            <w:pStyle w:val="Contents6"/>
            <w:tabs>
              <w:tab w:val="clear" w:pos="7609"/>
              <w:tab w:val="right" w:pos="9026" w:leader="dot"/>
            </w:tabs>
            <w:rPr/>
          </w:pPr>
          <w:hyperlink w:anchor="__RefHeading___Toc3598695_1067777946">
            <w:r>
              <w:rPr>
                <w:webHidden/>
                <w:rStyle w:val="IndexLink"/>
                <w:rtl w:val="true"/>
              </w:rPr>
              <w:t>جواز استيجار يك مركوب توسط دو نفر</w:t>
            </w:r>
            <w:r>
              <w:rPr>
                <w:rStyle w:val="IndexLink"/>
                <w:rtl w:val="true"/>
              </w:rPr>
              <w:tab/>
            </w:r>
            <w:r>
              <w:rPr>
                <w:rStyle w:val="IndexLink"/>
              </w:rPr>
              <w:t>330</w:t>
            </w:r>
          </w:hyperlink>
        </w:p>
        <w:p>
          <w:pPr>
            <w:pStyle w:val="Contents6"/>
            <w:tabs>
              <w:tab w:val="clear" w:pos="7609"/>
              <w:tab w:val="right" w:pos="9026" w:leader="dot"/>
            </w:tabs>
            <w:rPr/>
          </w:pPr>
          <w:hyperlink w:anchor="__RefHeading___Toc3598697_1067777946">
            <w:r>
              <w:rPr>
                <w:webHidden/>
                <w:rStyle w:val="IndexLink"/>
                <w:rtl w:val="true"/>
              </w:rPr>
              <w:t>ضمان در خروج از متعارف در اجارۀ دابّه</w:t>
            </w:r>
            <w:r>
              <w:rPr>
                <w:rStyle w:val="IndexLink"/>
                <w:rtl w:val="true"/>
              </w:rPr>
              <w:tab/>
            </w:r>
            <w:r>
              <w:rPr>
                <w:rStyle w:val="IndexLink"/>
              </w:rPr>
              <w:t>330</w:t>
            </w:r>
          </w:hyperlink>
        </w:p>
        <w:p>
          <w:pPr>
            <w:pStyle w:val="Contents6"/>
            <w:tabs>
              <w:tab w:val="clear" w:pos="7609"/>
              <w:tab w:val="right" w:pos="9026" w:leader="dot"/>
            </w:tabs>
            <w:rPr/>
          </w:pPr>
          <w:hyperlink w:anchor="__RefHeading___Toc3598699_1067777946">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3598701_1067777946">
            <w:r>
              <w:rPr>
                <w:webHidden/>
                <w:rStyle w:val="IndexLink"/>
                <w:rtl w:val="true"/>
              </w:rPr>
              <w:t>مسألۀ ضمان معلّم و پدر و مادر در تأديب كودك</w:t>
            </w:r>
            <w:r>
              <w:rPr>
                <w:rStyle w:val="IndexLink"/>
                <w:rtl w:val="true"/>
              </w:rPr>
              <w:tab/>
            </w:r>
            <w:r>
              <w:rPr>
                <w:rStyle w:val="IndexLink"/>
              </w:rPr>
              <w:t>330</w:t>
            </w:r>
          </w:hyperlink>
        </w:p>
        <w:p>
          <w:pPr>
            <w:pStyle w:val="Contents6"/>
            <w:tabs>
              <w:tab w:val="clear" w:pos="7609"/>
              <w:tab w:val="right" w:pos="9026" w:leader="dot"/>
            </w:tabs>
            <w:rPr/>
          </w:pPr>
          <w:hyperlink w:anchor="__RefHeading___Toc3598703_1067777946">
            <w:r>
              <w:rPr>
                <w:webHidden/>
                <w:rStyle w:val="IndexLink"/>
                <w:rtl w:val="true"/>
              </w:rPr>
              <w:t>لزوم مشاهدۀ عين مورد اجاره يا توصيف رافع غرر</w:t>
            </w:r>
            <w:r>
              <w:rPr>
                <w:rStyle w:val="IndexLink"/>
                <w:rtl w:val="true"/>
              </w:rPr>
              <w:tab/>
            </w:r>
            <w:r>
              <w:rPr>
                <w:rStyle w:val="IndexLink"/>
              </w:rPr>
              <w:t>330</w:t>
            </w:r>
          </w:hyperlink>
        </w:p>
        <w:p>
          <w:pPr>
            <w:pStyle w:val="Contents6"/>
            <w:tabs>
              <w:tab w:val="clear" w:pos="7609"/>
              <w:tab w:val="right" w:pos="9026" w:leader="dot"/>
            </w:tabs>
            <w:rPr/>
          </w:pPr>
          <w:hyperlink w:anchor="__RefHeading___Toc3598705_1067777946">
            <w:r>
              <w:rPr>
                <w:webHidden/>
                <w:rStyle w:val="IndexLink"/>
                <w:rtl w:val="true"/>
              </w:rPr>
              <w:t>لزوم و عدم لزوم تعيين مباشر در خياطت و اجارۀ زمين</w:t>
            </w:r>
            <w:r>
              <w:rPr>
                <w:rStyle w:val="IndexLink"/>
                <w:rtl w:val="true"/>
              </w:rPr>
              <w:tab/>
            </w:r>
            <w:r>
              <w:rPr>
                <w:rStyle w:val="IndexLink"/>
              </w:rPr>
              <w:t>331</w:t>
            </w:r>
          </w:hyperlink>
        </w:p>
        <w:p>
          <w:pPr>
            <w:pStyle w:val="Contents6"/>
            <w:tabs>
              <w:tab w:val="clear" w:pos="7609"/>
              <w:tab w:val="right" w:pos="9026" w:leader="dot"/>
            </w:tabs>
            <w:rPr/>
          </w:pPr>
          <w:hyperlink w:anchor="__RefHeading___Toc3598707_1067777946">
            <w:r>
              <w:rPr>
                <w:webHidden/>
                <w:rStyle w:val="IndexLink"/>
                <w:rtl w:val="true"/>
              </w:rPr>
              <w:t>لزوم تعيين زمين در حفر چاه</w:t>
            </w:r>
            <w:r>
              <w:rPr>
                <w:rStyle w:val="IndexLink"/>
                <w:rtl w:val="true"/>
              </w:rPr>
              <w:tab/>
            </w:r>
            <w:r>
              <w:rPr>
                <w:rStyle w:val="IndexLink"/>
              </w:rPr>
              <w:t>331</w:t>
            </w:r>
          </w:hyperlink>
        </w:p>
        <w:p>
          <w:pPr>
            <w:pStyle w:val="Contents6"/>
            <w:tabs>
              <w:tab w:val="clear" w:pos="7609"/>
              <w:tab w:val="right" w:pos="9026" w:leader="dot"/>
            </w:tabs>
            <w:rPr/>
          </w:pPr>
          <w:hyperlink w:anchor="__RefHeading___Toc3598709_1067777946">
            <w:r>
              <w:rPr>
                <w:webHidden/>
                <w:rStyle w:val="IndexLink"/>
                <w:rtl w:val="true"/>
              </w:rPr>
              <w:t>ثبوت رفع موانع حفر بر اجير براى حفر</w:t>
            </w:r>
            <w:r>
              <w:rPr>
                <w:rStyle w:val="IndexLink"/>
                <w:rtl w:val="true"/>
              </w:rPr>
              <w:tab/>
            </w:r>
            <w:r>
              <w:rPr>
                <w:rStyle w:val="IndexLink"/>
              </w:rPr>
              <w:t>331</w:t>
            </w:r>
          </w:hyperlink>
        </w:p>
        <w:p>
          <w:pPr>
            <w:pStyle w:val="Contents6"/>
            <w:tabs>
              <w:tab w:val="clear" w:pos="7609"/>
              <w:tab w:val="right" w:pos="9026" w:leader="dot"/>
            </w:tabs>
            <w:rPr/>
          </w:pPr>
          <w:hyperlink w:anchor="__RefHeading___Toc3598711_1067777946">
            <w:r>
              <w:rPr>
                <w:webHidden/>
                <w:rStyle w:val="IndexLink"/>
                <w:rtl w:val="true"/>
              </w:rPr>
              <w:t>استيجار مرضعه</w:t>
            </w:r>
            <w:r>
              <w:rPr>
                <w:rStyle w:val="IndexLink"/>
                <w:rtl w:val="true"/>
              </w:rPr>
              <w:tab/>
            </w:r>
            <w:r>
              <w:rPr>
                <w:rStyle w:val="IndexLink"/>
              </w:rPr>
              <w:t>331</w:t>
            </w:r>
          </w:hyperlink>
        </w:p>
        <w:p>
          <w:pPr>
            <w:pStyle w:val="Contents6"/>
            <w:tabs>
              <w:tab w:val="clear" w:pos="7609"/>
              <w:tab w:val="right" w:pos="9026" w:leader="dot"/>
            </w:tabs>
            <w:rPr/>
          </w:pPr>
          <w:hyperlink w:anchor="__RefHeading___Toc3598713_1067777946">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3598715_1067777946">
            <w:r>
              <w:rPr>
                <w:webHidden/>
                <w:rStyle w:val="IndexLink"/>
                <w:rtl w:val="true"/>
              </w:rPr>
              <w:t>فوت مرضعه يا طفل بعد از قرارداد اجاره</w:t>
            </w:r>
            <w:r>
              <w:rPr>
                <w:rStyle w:val="IndexLink"/>
                <w:rtl w:val="true"/>
              </w:rPr>
              <w:tab/>
            </w:r>
            <w:r>
              <w:rPr>
                <w:rStyle w:val="IndexLink"/>
              </w:rPr>
              <w:t>332</w:t>
            </w:r>
          </w:hyperlink>
        </w:p>
        <w:p>
          <w:pPr>
            <w:pStyle w:val="Contents6"/>
            <w:tabs>
              <w:tab w:val="clear" w:pos="7609"/>
              <w:tab w:val="right" w:pos="9026" w:leader="dot"/>
            </w:tabs>
            <w:rPr/>
          </w:pPr>
          <w:hyperlink w:anchor="__RefHeading___Toc3598717_1067777946">
            <w:r>
              <w:rPr>
                <w:webHidden/>
                <w:rStyle w:val="IndexLink"/>
                <w:rtl w:val="true"/>
              </w:rPr>
              <w:t>حكم اجاره در صورتى كه مرضعه صاحب ولد يا رضيع ديگرى باشد</w:t>
            </w:r>
            <w:r>
              <w:rPr>
                <w:rStyle w:val="IndexLink"/>
                <w:rtl w:val="true"/>
              </w:rPr>
              <w:tab/>
            </w:r>
            <w:r>
              <w:rPr>
                <w:rStyle w:val="IndexLink"/>
              </w:rPr>
              <w:t>333</w:t>
            </w:r>
          </w:hyperlink>
        </w:p>
        <w:p>
          <w:pPr>
            <w:pStyle w:val="Contents6"/>
            <w:tabs>
              <w:tab w:val="clear" w:pos="7609"/>
              <w:tab w:val="right" w:pos="9026" w:leader="dot"/>
            </w:tabs>
            <w:rPr/>
          </w:pPr>
          <w:hyperlink w:anchor="__RefHeading___Toc3598719_1067777946">
            <w:r>
              <w:rPr>
                <w:webHidden/>
                <w:rStyle w:val="IndexLink"/>
                <w:rtl w:val="true"/>
              </w:rPr>
              <w:t>فوت پدر مرتضع</w:t>
            </w:r>
            <w:r>
              <w:rPr>
                <w:rStyle w:val="IndexLink"/>
                <w:rtl w:val="true"/>
              </w:rPr>
              <w:tab/>
            </w:r>
            <w:r>
              <w:rPr>
                <w:rStyle w:val="IndexLink"/>
              </w:rPr>
              <w:t>333</w:t>
            </w:r>
          </w:hyperlink>
        </w:p>
        <w:p>
          <w:pPr>
            <w:pStyle w:val="Contents6"/>
            <w:tabs>
              <w:tab w:val="clear" w:pos="7609"/>
              <w:tab w:val="right" w:pos="9026" w:leader="dot"/>
            </w:tabs>
            <w:rPr/>
          </w:pPr>
          <w:hyperlink w:anchor="__RefHeading___Toc3598721_1067777946">
            <w:r>
              <w:rPr>
                <w:webHidden/>
                <w:rStyle w:val="IndexLink"/>
                <w:rtl w:val="true"/>
              </w:rPr>
              <w:t>حدوث اعسار براى پدر يا طفل</w:t>
            </w:r>
            <w:r>
              <w:rPr>
                <w:rStyle w:val="IndexLink"/>
                <w:rtl w:val="true"/>
              </w:rPr>
              <w:tab/>
            </w:r>
            <w:r>
              <w:rPr>
                <w:rStyle w:val="IndexLink"/>
              </w:rPr>
              <w:t>333</w:t>
            </w:r>
          </w:hyperlink>
        </w:p>
        <w:p>
          <w:pPr>
            <w:pStyle w:val="Contents6"/>
            <w:tabs>
              <w:tab w:val="clear" w:pos="7609"/>
              <w:tab w:val="right" w:pos="9026" w:leader="dot"/>
            </w:tabs>
            <w:rPr/>
          </w:pPr>
          <w:hyperlink w:anchor="__RefHeading___Toc3598723_1067777946">
            <w:r>
              <w:rPr>
                <w:webHidden/>
                <w:rStyle w:val="IndexLink"/>
                <w:rtl w:val="true"/>
              </w:rPr>
              <w:t>عدم لزوم تقسيط اجرت بر اجزاى مدّت</w:t>
            </w:r>
            <w:r>
              <w:rPr>
                <w:rStyle w:val="IndexLink"/>
                <w:rtl w:val="true"/>
              </w:rPr>
              <w:tab/>
            </w:r>
            <w:r>
              <w:rPr>
                <w:rStyle w:val="IndexLink"/>
              </w:rPr>
              <w:t>333</w:t>
            </w:r>
          </w:hyperlink>
        </w:p>
        <w:p>
          <w:pPr>
            <w:pStyle w:val="Contents6"/>
            <w:tabs>
              <w:tab w:val="clear" w:pos="7609"/>
              <w:tab w:val="right" w:pos="9026" w:leader="dot"/>
            </w:tabs>
            <w:rPr/>
          </w:pPr>
          <w:hyperlink w:anchor="__RefHeading___Toc3598725_1067777946">
            <w:r>
              <w:rPr>
                <w:webHidden/>
                <w:rStyle w:val="IndexLink"/>
                <w:rtl w:val="true"/>
              </w:rPr>
              <w:t>استيجار زمين براى نمازخانه و استيجار درهم و دينار</w:t>
            </w:r>
            <w:r>
              <w:rPr>
                <w:rStyle w:val="IndexLink"/>
                <w:rtl w:val="true"/>
              </w:rPr>
              <w:tab/>
            </w:r>
            <w:r>
              <w:rPr>
                <w:rStyle w:val="IndexLink"/>
              </w:rPr>
              <w:t>334</w:t>
            </w:r>
          </w:hyperlink>
        </w:p>
        <w:p>
          <w:pPr>
            <w:pStyle w:val="Contents6"/>
            <w:tabs>
              <w:tab w:val="clear" w:pos="7609"/>
              <w:tab w:val="right" w:pos="9026" w:leader="dot"/>
            </w:tabs>
            <w:rPr/>
          </w:pPr>
          <w:hyperlink w:anchor="__RefHeading___Toc3598727_1067777946">
            <w:r>
              <w:rPr>
                <w:webHidden/>
                <w:rStyle w:val="IndexLink"/>
                <w:rtl w:val="true"/>
              </w:rPr>
              <w:t>زياد بار كردن بر دابّه و صور مختلف آن</w:t>
            </w:r>
            <w:r>
              <w:rPr>
                <w:rStyle w:val="IndexLink"/>
                <w:rtl w:val="true"/>
              </w:rPr>
              <w:tab/>
            </w:r>
            <w:r>
              <w:rPr>
                <w:rStyle w:val="IndexLink"/>
              </w:rPr>
              <w:t>334</w:t>
            </w:r>
          </w:hyperlink>
        </w:p>
        <w:p>
          <w:pPr>
            <w:pStyle w:val="Contents4"/>
            <w:tabs>
              <w:tab w:val="clear" w:pos="8176"/>
              <w:tab w:val="right" w:pos="9026" w:leader="dot"/>
            </w:tabs>
            <w:rPr/>
          </w:pPr>
          <w:hyperlink w:anchor="__RefHeading___Toc3598729_1067777946">
            <w:r>
              <w:rPr>
                <w:webHidden/>
                <w:rStyle w:val="IndexLink"/>
              </w:rPr>
              <w:t>5</w:t>
            </w:r>
            <w:r>
              <w:rPr>
                <w:rStyle w:val="IndexLink"/>
                <w:rtl w:val="true"/>
              </w:rPr>
              <w:t xml:space="preserve">. </w:t>
            </w:r>
            <w:r>
              <w:rPr>
                <w:rStyle w:val="IndexLink"/>
                <w:rtl w:val="true"/>
              </w:rPr>
              <w:t>مباح بودن منفعت</w:t>
            </w:r>
            <w:r>
              <w:rPr>
                <w:rStyle w:val="IndexLink"/>
                <w:rtl w:val="true"/>
              </w:rPr>
              <w:tab/>
            </w:r>
            <w:r>
              <w:rPr>
                <w:rStyle w:val="IndexLink"/>
              </w:rPr>
              <w:t>336</w:t>
            </w:r>
          </w:hyperlink>
        </w:p>
        <w:p>
          <w:pPr>
            <w:pStyle w:val="Contents4"/>
            <w:tabs>
              <w:tab w:val="clear" w:pos="8176"/>
              <w:tab w:val="right" w:pos="9026" w:leader="dot"/>
            </w:tabs>
            <w:rPr/>
          </w:pPr>
          <w:hyperlink w:anchor="__RefHeading___Toc3598731_1067777946">
            <w:r>
              <w:rPr>
                <w:webHidden/>
                <w:rStyle w:val="IndexLink"/>
              </w:rPr>
              <w:t>6</w:t>
            </w:r>
            <w:r>
              <w:rPr>
                <w:rStyle w:val="IndexLink"/>
                <w:rtl w:val="true"/>
              </w:rPr>
              <w:t xml:space="preserve">. </w:t>
            </w:r>
            <w:r>
              <w:rPr>
                <w:rStyle w:val="IndexLink"/>
                <w:rtl w:val="true"/>
              </w:rPr>
              <w:t>قدرت بر تسليم منفعت</w:t>
            </w:r>
            <w:r>
              <w:rPr>
                <w:rStyle w:val="IndexLink"/>
                <w:rtl w:val="true"/>
              </w:rPr>
              <w:tab/>
            </w:r>
            <w:r>
              <w:rPr>
                <w:rStyle w:val="IndexLink"/>
              </w:rPr>
              <w:t>336</w:t>
            </w:r>
          </w:hyperlink>
        </w:p>
        <w:p>
          <w:pPr>
            <w:pStyle w:val="Contents5"/>
            <w:tabs>
              <w:tab w:val="clear" w:pos="7892"/>
              <w:tab w:val="right" w:pos="9026" w:leader="dot"/>
            </w:tabs>
            <w:rPr/>
          </w:pPr>
          <w:hyperlink w:anchor="__RefHeading___Toc3598733_1067777946">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3598735_1067777946">
            <w:r>
              <w:rPr>
                <w:webHidden/>
                <w:rStyle w:val="IndexLink"/>
                <w:rtl w:val="true"/>
              </w:rPr>
              <w:t>عدم تسليم عين مورد اجاره توسط موجر</w:t>
            </w:r>
            <w:r>
              <w:rPr>
                <w:rStyle w:val="IndexLink"/>
                <w:rtl w:val="true"/>
              </w:rPr>
              <w:tab/>
            </w:r>
            <w:r>
              <w:rPr>
                <w:rStyle w:val="IndexLink"/>
              </w:rPr>
              <w:t>336</w:t>
            </w:r>
          </w:hyperlink>
        </w:p>
        <w:p>
          <w:pPr>
            <w:pStyle w:val="Contents5"/>
            <w:tabs>
              <w:tab w:val="clear" w:pos="7892"/>
              <w:tab w:val="right" w:pos="9026" w:leader="dot"/>
            </w:tabs>
            <w:rPr/>
          </w:pPr>
          <w:hyperlink w:anchor="__RefHeading___Toc3598737_1067777946">
            <w:r>
              <w:rPr>
                <w:webHidden/>
                <w:rStyle w:val="IndexLink"/>
                <w:rtl w:val="true"/>
              </w:rPr>
              <w:t>منع از تسليم يا انتفاع يا بقاى عين توسط شخص ثالث</w:t>
            </w:r>
            <w:r>
              <w:rPr>
                <w:rStyle w:val="IndexLink"/>
                <w:rtl w:val="true"/>
              </w:rPr>
              <w:tab/>
            </w:r>
            <w:r>
              <w:rPr>
                <w:rStyle w:val="IndexLink"/>
              </w:rPr>
              <w:t>337</w:t>
            </w:r>
          </w:hyperlink>
        </w:p>
        <w:p>
          <w:pPr>
            <w:pStyle w:val="Contents5"/>
            <w:tabs>
              <w:tab w:val="clear" w:pos="7892"/>
              <w:tab w:val="right" w:pos="9026" w:leader="dot"/>
            </w:tabs>
            <w:rPr/>
          </w:pPr>
          <w:hyperlink w:anchor="__RefHeading___Toc3598739_1067777946">
            <w:r>
              <w:rPr>
                <w:webHidden/>
                <w:rStyle w:val="IndexLink"/>
                <w:rtl w:val="true"/>
              </w:rPr>
              <w:t>انهدام مسكن مورد اجاره</w:t>
            </w:r>
            <w:r>
              <w:rPr>
                <w:rStyle w:val="IndexLink"/>
                <w:rtl w:val="true"/>
              </w:rPr>
              <w:tab/>
            </w:r>
            <w:r>
              <w:rPr>
                <w:rStyle w:val="IndexLink"/>
              </w:rPr>
              <w:t>337</w:t>
            </w:r>
          </w:hyperlink>
        </w:p>
        <w:p>
          <w:pPr>
            <w:pStyle w:val="Contents5"/>
            <w:tabs>
              <w:tab w:val="clear" w:pos="7892"/>
              <w:tab w:val="right" w:pos="9026" w:leader="dot"/>
            </w:tabs>
            <w:rPr/>
          </w:pPr>
          <w:hyperlink w:anchor="__RefHeading___Toc3598741_1067777946">
            <w:r>
              <w:rPr>
                <w:webHidden/>
                <w:rStyle w:val="IndexLink"/>
                <w:rtl w:val="true"/>
              </w:rPr>
              <w:t>اتحاد تعذّر شرعى با عقلى در حكم</w:t>
            </w:r>
            <w:r>
              <w:rPr>
                <w:rStyle w:val="IndexLink"/>
                <w:rtl w:val="true"/>
              </w:rPr>
              <w:tab/>
            </w:r>
            <w:r>
              <w:rPr>
                <w:rStyle w:val="IndexLink"/>
              </w:rPr>
              <w:t>338</w:t>
            </w:r>
          </w:hyperlink>
        </w:p>
        <w:p>
          <w:pPr>
            <w:pStyle w:val="Contents5"/>
            <w:tabs>
              <w:tab w:val="clear" w:pos="7892"/>
              <w:tab w:val="right" w:pos="9026" w:leader="dot"/>
            </w:tabs>
            <w:rPr/>
          </w:pPr>
          <w:hyperlink w:anchor="__RefHeading___Toc3598743_1067777946">
            <w:r>
              <w:rPr>
                <w:webHidden/>
                <w:rStyle w:val="IndexLink"/>
                <w:rtl w:val="true"/>
              </w:rPr>
              <w:t>دايرۀ اختيار زن در استيجار</w:t>
            </w:r>
            <w:r>
              <w:rPr>
                <w:rStyle w:val="IndexLink"/>
                <w:rtl w:val="true"/>
              </w:rPr>
              <w:tab/>
            </w:r>
            <w:r>
              <w:rPr>
                <w:rStyle w:val="IndexLink"/>
              </w:rPr>
              <w:t>338</w:t>
            </w:r>
          </w:hyperlink>
        </w:p>
        <w:p>
          <w:pPr>
            <w:pStyle w:val="Contents5"/>
            <w:tabs>
              <w:tab w:val="clear" w:pos="7892"/>
              <w:tab w:val="right" w:pos="9026" w:leader="dot"/>
            </w:tabs>
            <w:rPr/>
          </w:pPr>
          <w:hyperlink w:anchor="__RefHeading___Toc3598745_1067777946">
            <w:r>
              <w:rPr>
                <w:webHidden/>
                <w:rStyle w:val="IndexLink"/>
                <w:rtl w:val="true"/>
              </w:rPr>
              <w:t>فرض غصب شخص بعد از تعلّق ذمّۀ او به اجارۀ براى عمل</w:t>
            </w:r>
            <w:r>
              <w:rPr>
                <w:rStyle w:val="IndexLink"/>
                <w:rtl w:val="true"/>
              </w:rPr>
              <w:tab/>
            </w:r>
            <w:r>
              <w:rPr>
                <w:rStyle w:val="IndexLink"/>
              </w:rPr>
              <w:t>338</w:t>
            </w:r>
          </w:hyperlink>
        </w:p>
        <w:p>
          <w:pPr>
            <w:pStyle w:val="Contents5"/>
            <w:tabs>
              <w:tab w:val="clear" w:pos="7892"/>
              <w:tab w:val="right" w:pos="9026" w:leader="dot"/>
            </w:tabs>
            <w:rPr/>
          </w:pPr>
          <w:hyperlink w:anchor="__RefHeading___Toc3598747_1067777946">
            <w:r>
              <w:rPr>
                <w:webHidden/>
                <w:rStyle w:val="IndexLink"/>
                <w:rtl w:val="true"/>
              </w:rPr>
              <w:t>بقاى اجاره با فرض غصبِ عين بعد از قبض</w:t>
            </w:r>
            <w:r>
              <w:rPr>
                <w:rStyle w:val="IndexLink"/>
                <w:rtl w:val="true"/>
              </w:rPr>
              <w:tab/>
            </w:r>
            <w:r>
              <w:rPr>
                <w:rStyle w:val="IndexLink"/>
              </w:rPr>
              <w:t>338</w:t>
            </w:r>
          </w:hyperlink>
        </w:p>
        <w:p>
          <w:pPr>
            <w:pStyle w:val="Contents5"/>
            <w:tabs>
              <w:tab w:val="clear" w:pos="7892"/>
              <w:tab w:val="right" w:pos="9026" w:leader="dot"/>
            </w:tabs>
            <w:rPr/>
          </w:pPr>
          <w:hyperlink w:anchor="__RefHeading___Toc3598749_1067777946">
            <w:r>
              <w:rPr>
                <w:webHidden/>
                <w:rStyle w:val="IndexLink"/>
                <w:rtl w:val="true"/>
              </w:rPr>
              <w:t>حصول خوف عمومى و مانع از استيفاى منفعت يا تعريض مال به مخاطره</w:t>
            </w:r>
            <w:r>
              <w:rPr>
                <w:rStyle w:val="IndexLink"/>
                <w:rtl w:val="true"/>
              </w:rPr>
              <w:tab/>
            </w:r>
            <w:r>
              <w:rPr>
                <w:rStyle w:val="IndexLink"/>
              </w:rPr>
              <w:t>338</w:t>
            </w:r>
          </w:hyperlink>
        </w:p>
        <w:p>
          <w:pPr>
            <w:pStyle w:val="Contents3"/>
            <w:tabs>
              <w:tab w:val="clear" w:pos="8459"/>
              <w:tab w:val="right" w:pos="9026" w:leader="dot"/>
            </w:tabs>
            <w:rPr/>
          </w:pPr>
          <w:hyperlink w:anchor="__RefHeading___Toc3598751_1067777946">
            <w:r>
              <w:rPr>
                <w:webHidden/>
                <w:rStyle w:val="IndexLink"/>
                <w:rtl w:val="true"/>
              </w:rPr>
              <w:t>فصل سوّم احكام اجاره</w:t>
            </w:r>
            <w:r>
              <w:rPr>
                <w:rStyle w:val="IndexLink"/>
                <w:rtl w:val="true"/>
              </w:rPr>
              <w:tab/>
            </w:r>
            <w:r>
              <w:rPr>
                <w:rStyle w:val="IndexLink"/>
              </w:rPr>
              <w:t>340</w:t>
            </w:r>
          </w:hyperlink>
        </w:p>
        <w:p>
          <w:pPr>
            <w:pStyle w:val="Contents4"/>
            <w:tabs>
              <w:tab w:val="clear" w:pos="8176"/>
              <w:tab w:val="right" w:pos="9026" w:leader="dot"/>
            </w:tabs>
            <w:rPr/>
          </w:pPr>
          <w:hyperlink w:anchor="__RefHeading___Toc3598753_1067777946">
            <w:r>
              <w:rPr>
                <w:webHidden/>
                <w:rStyle w:val="IndexLink"/>
                <w:rtl w:val="true"/>
              </w:rPr>
              <w:t>فرض عيب غير معلوم و سابق بر عقد در عين مستأجرۀ خاصه</w:t>
            </w:r>
            <w:r>
              <w:rPr>
                <w:rStyle w:val="IndexLink"/>
                <w:rtl w:val="true"/>
              </w:rPr>
              <w:tab/>
            </w:r>
            <w:r>
              <w:rPr>
                <w:rStyle w:val="IndexLink"/>
              </w:rPr>
              <w:t>340</w:t>
            </w:r>
          </w:hyperlink>
        </w:p>
        <w:p>
          <w:pPr>
            <w:pStyle w:val="Contents5"/>
            <w:tabs>
              <w:tab w:val="clear" w:pos="7892"/>
              <w:tab w:val="right" w:pos="9026" w:leader="dot"/>
            </w:tabs>
            <w:rPr/>
          </w:pPr>
          <w:hyperlink w:anchor="__RefHeading___Toc3598755_1067777946">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3598757_1067777946">
            <w:r>
              <w:rPr>
                <w:webHidden/>
                <w:rStyle w:val="IndexLink"/>
                <w:rtl w:val="true"/>
              </w:rPr>
              <w:t>فرض عيب در عين تسليم شده با تعلّق اجاره به كلى</w:t>
            </w:r>
            <w:r>
              <w:rPr>
                <w:rStyle w:val="IndexLink"/>
                <w:rtl w:val="true"/>
              </w:rPr>
              <w:tab/>
            </w:r>
            <w:r>
              <w:rPr>
                <w:rStyle w:val="IndexLink"/>
              </w:rPr>
              <w:t>340</w:t>
            </w:r>
          </w:hyperlink>
        </w:p>
        <w:p>
          <w:pPr>
            <w:pStyle w:val="Contents4"/>
            <w:tabs>
              <w:tab w:val="clear" w:pos="8176"/>
              <w:tab w:val="right" w:pos="9026" w:leader="dot"/>
            </w:tabs>
            <w:rPr/>
          </w:pPr>
          <w:hyperlink w:anchor="__RefHeading___Toc3598759_1067777946">
            <w:r>
              <w:rPr>
                <w:webHidden/>
                <w:rStyle w:val="IndexLink"/>
                <w:rtl w:val="true"/>
              </w:rPr>
              <w:t>تعدّى مستأجر در عين</w:t>
            </w:r>
            <w:r>
              <w:rPr>
                <w:rStyle w:val="IndexLink"/>
                <w:rtl w:val="true"/>
              </w:rPr>
              <w:tab/>
            </w:r>
            <w:r>
              <w:rPr>
                <w:rStyle w:val="IndexLink"/>
              </w:rPr>
              <w:t>341</w:t>
            </w:r>
          </w:hyperlink>
        </w:p>
        <w:p>
          <w:pPr>
            <w:pStyle w:val="Contents5"/>
            <w:tabs>
              <w:tab w:val="clear" w:pos="7892"/>
              <w:tab w:val="right" w:pos="9026" w:leader="dot"/>
            </w:tabs>
            <w:rPr/>
          </w:pPr>
          <w:hyperlink w:anchor="__RefHeading___Toc3598761_1067777946">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3598763_1067777946">
            <w:r>
              <w:rPr>
                <w:webHidden/>
                <w:rStyle w:val="IndexLink"/>
                <w:rtl w:val="true"/>
              </w:rPr>
              <w:t>تقدّم قول مستأجر در فرض اختلاف در قيمت تالف</w:t>
            </w:r>
            <w:r>
              <w:rPr>
                <w:rStyle w:val="IndexLink"/>
                <w:rtl w:val="true"/>
              </w:rPr>
              <w:tab/>
            </w:r>
            <w:r>
              <w:rPr>
                <w:rStyle w:val="IndexLink"/>
              </w:rPr>
              <w:t>341</w:t>
            </w:r>
          </w:hyperlink>
        </w:p>
        <w:p>
          <w:pPr>
            <w:pStyle w:val="Contents4"/>
            <w:tabs>
              <w:tab w:val="clear" w:pos="8176"/>
              <w:tab w:val="right" w:pos="9026" w:leader="dot"/>
            </w:tabs>
            <w:rPr/>
          </w:pPr>
          <w:hyperlink w:anchor="__RefHeading___Toc3598765_1067777946">
            <w:r>
              <w:rPr>
                <w:webHidden/>
                <w:rStyle w:val="IndexLink"/>
                <w:rtl w:val="true"/>
              </w:rPr>
              <w:t>عدم جواز استيجار ثانى به اقل قيمت در اجارۀ براى عمل مگر در صُوَرى</w:t>
            </w:r>
            <w:r>
              <w:rPr>
                <w:rStyle w:val="IndexLink"/>
                <w:rtl w:val="true"/>
              </w:rPr>
              <w:tab/>
            </w:r>
            <w:r>
              <w:rPr>
                <w:rStyle w:val="IndexLink"/>
              </w:rPr>
              <w:t>341</w:t>
            </w:r>
          </w:hyperlink>
        </w:p>
        <w:p>
          <w:pPr>
            <w:pStyle w:val="Contents5"/>
            <w:tabs>
              <w:tab w:val="clear" w:pos="7892"/>
              <w:tab w:val="right" w:pos="9026" w:leader="dot"/>
            </w:tabs>
            <w:rPr/>
          </w:pPr>
          <w:hyperlink w:anchor="__RefHeading___Toc3598767_1067777946">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3598769_1067777946">
            <w:r>
              <w:rPr>
                <w:webHidden/>
                <w:rStyle w:val="IndexLink"/>
                <w:rtl w:val="true"/>
              </w:rPr>
              <w:t>حكم ضمان در فرض اجارۀ ثانيۀ جايزه</w:t>
            </w:r>
            <w:r>
              <w:rPr>
                <w:rStyle w:val="IndexLink"/>
                <w:rtl w:val="true"/>
              </w:rPr>
              <w:tab/>
            </w:r>
            <w:r>
              <w:rPr>
                <w:rStyle w:val="IndexLink"/>
              </w:rPr>
              <w:t>342</w:t>
            </w:r>
          </w:hyperlink>
        </w:p>
        <w:p>
          <w:pPr>
            <w:pStyle w:val="Contents4"/>
            <w:tabs>
              <w:tab w:val="clear" w:pos="8176"/>
              <w:tab w:val="right" w:pos="9026" w:leader="dot"/>
            </w:tabs>
            <w:rPr/>
          </w:pPr>
          <w:hyperlink w:anchor="__RefHeading___Toc3598771_1067777946">
            <w:r>
              <w:rPr>
                <w:webHidden/>
                <w:rStyle w:val="IndexLink"/>
                <w:rtl w:val="true"/>
              </w:rPr>
              <w:t>هزينۀ نگهدارى دابّه</w:t>
            </w:r>
            <w:r>
              <w:rPr>
                <w:rStyle w:val="IndexLink"/>
                <w:rtl w:val="true"/>
              </w:rPr>
              <w:tab/>
            </w:r>
            <w:r>
              <w:rPr>
                <w:rStyle w:val="IndexLink"/>
              </w:rPr>
              <w:t>342</w:t>
            </w:r>
          </w:hyperlink>
        </w:p>
        <w:p>
          <w:pPr>
            <w:pStyle w:val="Contents4"/>
            <w:tabs>
              <w:tab w:val="clear" w:pos="8176"/>
              <w:tab w:val="right" w:pos="9026" w:leader="dot"/>
            </w:tabs>
            <w:rPr/>
          </w:pPr>
          <w:hyperlink w:anchor="__RefHeading___Toc3598773_1067777946">
            <w:r>
              <w:rPr>
                <w:webHidden/>
                <w:rStyle w:val="IndexLink"/>
                <w:rtl w:val="true"/>
              </w:rPr>
              <w:t>ضمان در امور طبابت و صنعت و حمل</w:t>
            </w:r>
            <w:r>
              <w:rPr>
                <w:rStyle w:val="IndexLink"/>
                <w:rtl w:val="true"/>
              </w:rPr>
              <w:tab/>
            </w:r>
            <w:r>
              <w:rPr>
                <w:rStyle w:val="IndexLink"/>
              </w:rPr>
              <w:t>342</w:t>
            </w:r>
          </w:hyperlink>
        </w:p>
        <w:p>
          <w:pPr>
            <w:pStyle w:val="Contents5"/>
            <w:tabs>
              <w:tab w:val="clear" w:pos="7892"/>
              <w:tab w:val="right" w:pos="9026" w:leader="dot"/>
            </w:tabs>
            <w:rPr/>
          </w:pPr>
          <w:hyperlink w:anchor="__RefHeading___Toc3598775_1067777946">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3598777_1067777946">
            <w:r>
              <w:rPr>
                <w:webHidden/>
                <w:rStyle w:val="IndexLink"/>
                <w:rtl w:val="true"/>
              </w:rPr>
              <w:t>عدم استحقاق اجرت زيادتى در فرض زيادتى عمل برقرار</w:t>
            </w:r>
            <w:r>
              <w:rPr>
                <w:rStyle w:val="IndexLink"/>
                <w:rtl w:val="true"/>
              </w:rPr>
              <w:tab/>
            </w:r>
            <w:r>
              <w:rPr>
                <w:rStyle w:val="IndexLink"/>
              </w:rPr>
              <w:t>344</w:t>
            </w:r>
          </w:hyperlink>
        </w:p>
        <w:p>
          <w:pPr>
            <w:pStyle w:val="Contents4"/>
            <w:tabs>
              <w:tab w:val="clear" w:pos="8176"/>
              <w:tab w:val="right" w:pos="9026" w:leader="dot"/>
            </w:tabs>
            <w:rPr/>
          </w:pPr>
          <w:hyperlink w:anchor="__RefHeading___Toc3598779_1067777946">
            <w:r>
              <w:rPr>
                <w:webHidden/>
                <w:rStyle w:val="IndexLink"/>
                <w:rtl w:val="true"/>
              </w:rPr>
              <w:t>نفقۀ اجير</w:t>
            </w:r>
            <w:r>
              <w:rPr>
                <w:rStyle w:val="IndexLink"/>
                <w:rtl w:val="true"/>
              </w:rPr>
              <w:tab/>
            </w:r>
            <w:r>
              <w:rPr>
                <w:rStyle w:val="IndexLink"/>
              </w:rPr>
              <w:t>344</w:t>
            </w:r>
          </w:hyperlink>
        </w:p>
        <w:p>
          <w:pPr>
            <w:pStyle w:val="Contents4"/>
            <w:tabs>
              <w:tab w:val="clear" w:pos="8176"/>
              <w:tab w:val="right" w:pos="9026" w:leader="dot"/>
            </w:tabs>
            <w:rPr/>
          </w:pPr>
          <w:hyperlink w:anchor="__RefHeading___Toc3598781_1067777946">
            <w:r>
              <w:rPr>
                <w:webHidden/>
                <w:rStyle w:val="IndexLink"/>
                <w:rtl w:val="true"/>
              </w:rPr>
              <w:t>اجارۀ مملوك و اتلاف مال</w:t>
            </w:r>
            <w:r>
              <w:rPr>
                <w:rStyle w:val="IndexLink"/>
                <w:rtl w:val="true"/>
              </w:rPr>
              <w:tab/>
            </w:r>
            <w:r>
              <w:rPr>
                <w:rStyle w:val="IndexLink"/>
              </w:rPr>
              <w:t>344</w:t>
            </w:r>
          </w:hyperlink>
        </w:p>
        <w:p>
          <w:pPr>
            <w:pStyle w:val="Contents4"/>
            <w:tabs>
              <w:tab w:val="clear" w:pos="8176"/>
              <w:tab w:val="right" w:pos="9026" w:leader="dot"/>
            </w:tabs>
            <w:rPr/>
          </w:pPr>
          <w:hyperlink w:anchor="__RefHeading___Toc3598783_1067777946">
            <w:r>
              <w:rPr>
                <w:webHidden/>
                <w:rStyle w:val="IndexLink"/>
                <w:rtl w:val="true"/>
              </w:rPr>
              <w:t>حكم ضمان صاحب حمام نسبت به مال افراد</w:t>
            </w:r>
            <w:r>
              <w:rPr>
                <w:rStyle w:val="IndexLink"/>
                <w:rtl w:val="true"/>
              </w:rPr>
              <w:tab/>
            </w:r>
            <w:r>
              <w:rPr>
                <w:rStyle w:val="IndexLink"/>
              </w:rPr>
              <w:t>344</w:t>
            </w:r>
          </w:hyperlink>
        </w:p>
        <w:p>
          <w:pPr>
            <w:pStyle w:val="Contents5"/>
            <w:tabs>
              <w:tab w:val="clear" w:pos="7892"/>
              <w:tab w:val="right" w:pos="9026" w:leader="dot"/>
            </w:tabs>
            <w:rPr/>
          </w:pPr>
          <w:hyperlink w:anchor="__RefHeading___Toc3598785_1067777946">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3598787_1067777946">
            <w:r>
              <w:rPr>
                <w:webHidden/>
                <w:rStyle w:val="IndexLink"/>
                <w:rtl w:val="true"/>
              </w:rPr>
              <w:t>حكم ضمان اجير براى حفظ متاع</w:t>
            </w:r>
            <w:r>
              <w:rPr>
                <w:rStyle w:val="IndexLink"/>
                <w:rtl w:val="true"/>
              </w:rPr>
              <w:tab/>
            </w:r>
            <w:r>
              <w:rPr>
                <w:rStyle w:val="IndexLink"/>
              </w:rPr>
              <w:t>344</w:t>
            </w:r>
          </w:hyperlink>
        </w:p>
        <w:p>
          <w:pPr>
            <w:pStyle w:val="Contents4"/>
            <w:tabs>
              <w:tab w:val="clear" w:pos="8176"/>
              <w:tab w:val="right" w:pos="9026" w:leader="dot"/>
            </w:tabs>
            <w:rPr/>
          </w:pPr>
          <w:hyperlink w:anchor="__RefHeading___Toc3598789_1067777946">
            <w:r>
              <w:rPr>
                <w:webHidden/>
                <w:rStyle w:val="IndexLink"/>
                <w:rtl w:val="true"/>
              </w:rPr>
              <w:t>صحّت ابراء اجرت يا منفعت ثابت در ذمّه به خلاف منفعت عين خارجيّه</w:t>
            </w:r>
            <w:r>
              <w:rPr>
                <w:rStyle w:val="IndexLink"/>
                <w:rtl w:val="true"/>
              </w:rPr>
              <w:tab/>
            </w:r>
            <w:r>
              <w:rPr>
                <w:rStyle w:val="IndexLink"/>
              </w:rPr>
              <w:t>345</w:t>
            </w:r>
          </w:hyperlink>
        </w:p>
        <w:p>
          <w:pPr>
            <w:pStyle w:val="Contents4"/>
            <w:tabs>
              <w:tab w:val="clear" w:pos="8176"/>
              <w:tab w:val="right" w:pos="9026" w:leader="dot"/>
            </w:tabs>
            <w:rPr/>
          </w:pPr>
          <w:hyperlink w:anchor="__RefHeading___Toc3598791_1067777946">
            <w:r>
              <w:rPr>
                <w:webHidden/>
                <w:rStyle w:val="IndexLink"/>
                <w:rtl w:val="true"/>
              </w:rPr>
              <w:t>اجارۀ مملوك و عتق او</w:t>
            </w:r>
            <w:r>
              <w:rPr>
                <w:rStyle w:val="IndexLink"/>
                <w:rtl w:val="true"/>
              </w:rPr>
              <w:tab/>
            </w:r>
            <w:r>
              <w:rPr>
                <w:rStyle w:val="IndexLink"/>
              </w:rPr>
              <w:t>345</w:t>
            </w:r>
          </w:hyperlink>
        </w:p>
        <w:p>
          <w:pPr>
            <w:pStyle w:val="Contents4"/>
            <w:tabs>
              <w:tab w:val="clear" w:pos="8176"/>
              <w:tab w:val="right" w:pos="9026" w:leader="dot"/>
            </w:tabs>
            <w:rPr/>
          </w:pPr>
          <w:hyperlink w:anchor="__RefHeading___Toc3598793_1067777946">
            <w:r>
              <w:rPr>
                <w:webHidden/>
                <w:rStyle w:val="IndexLink"/>
                <w:rtl w:val="true"/>
              </w:rPr>
              <w:t>اجارۀ صبىّ توسط وصىّ‌</w:t>
            </w:r>
            <w:r>
              <w:rPr>
                <w:rStyle w:val="IndexLink"/>
                <w:rtl w:val="true"/>
              </w:rPr>
              <w:tab/>
            </w:r>
            <w:r>
              <w:rPr>
                <w:rStyle w:val="IndexLink"/>
              </w:rPr>
              <w:t>345</w:t>
            </w:r>
          </w:hyperlink>
        </w:p>
        <w:p>
          <w:pPr>
            <w:pStyle w:val="Contents5"/>
            <w:tabs>
              <w:tab w:val="clear" w:pos="7892"/>
              <w:tab w:val="right" w:pos="9026" w:leader="dot"/>
            </w:tabs>
            <w:rPr/>
          </w:pPr>
          <w:hyperlink w:anchor="__RefHeading___Toc3598795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3598797_1067777946">
            <w:r>
              <w:rPr>
                <w:webHidden/>
                <w:rStyle w:val="IndexLink"/>
                <w:rtl w:val="true"/>
              </w:rPr>
              <w:t>عدم بطلان اجاره در فرض وفات ولىّ به وصايت و ناظر وقف</w:t>
            </w:r>
            <w:r>
              <w:rPr>
                <w:rStyle w:val="IndexLink"/>
                <w:rtl w:val="true"/>
              </w:rPr>
              <w:tab/>
            </w:r>
            <w:r>
              <w:rPr>
                <w:rStyle w:val="IndexLink"/>
              </w:rPr>
              <w:t>346</w:t>
            </w:r>
          </w:hyperlink>
        </w:p>
        <w:p>
          <w:pPr>
            <w:pStyle w:val="Contents5"/>
            <w:tabs>
              <w:tab w:val="clear" w:pos="7892"/>
              <w:tab w:val="right" w:pos="9026" w:leader="dot"/>
            </w:tabs>
            <w:rPr/>
          </w:pPr>
          <w:hyperlink w:anchor="__RefHeading___Toc3598799_1067777946">
            <w:r>
              <w:rPr>
                <w:webHidden/>
                <w:rStyle w:val="IndexLink"/>
                <w:rtl w:val="true"/>
              </w:rPr>
              <w:t>وفات اجير در حين عمل</w:t>
            </w:r>
            <w:r>
              <w:rPr>
                <w:rStyle w:val="IndexLink"/>
                <w:rtl w:val="true"/>
              </w:rPr>
              <w:tab/>
            </w:r>
            <w:r>
              <w:rPr>
                <w:rStyle w:val="IndexLink"/>
              </w:rPr>
              <w:t>346</w:t>
            </w:r>
          </w:hyperlink>
        </w:p>
        <w:p>
          <w:pPr>
            <w:pStyle w:val="Contents4"/>
            <w:tabs>
              <w:tab w:val="clear" w:pos="8176"/>
              <w:tab w:val="right" w:pos="9026" w:leader="dot"/>
            </w:tabs>
            <w:rPr/>
          </w:pPr>
          <w:hyperlink w:anchor="__RefHeading___Toc3598801_1067777946">
            <w:r>
              <w:rPr>
                <w:webHidden/>
                <w:rStyle w:val="IndexLink"/>
                <w:rtl w:val="true"/>
              </w:rPr>
              <w:t>ضمان در فرض اذن در عملِ اجرت دار</w:t>
            </w:r>
            <w:r>
              <w:rPr>
                <w:rStyle w:val="IndexLink"/>
                <w:rtl w:val="true"/>
              </w:rPr>
              <w:tab/>
            </w:r>
            <w:r>
              <w:rPr>
                <w:rStyle w:val="IndexLink"/>
              </w:rPr>
              <w:t>346</w:t>
            </w:r>
          </w:hyperlink>
        </w:p>
        <w:p>
          <w:pPr>
            <w:pStyle w:val="Contents4"/>
            <w:tabs>
              <w:tab w:val="clear" w:pos="8176"/>
              <w:tab w:val="right" w:pos="9026" w:leader="dot"/>
            </w:tabs>
            <w:rPr/>
          </w:pPr>
          <w:hyperlink w:anchor="__RefHeading___Toc3598803_1067777946">
            <w:r>
              <w:rPr>
                <w:webHidden/>
                <w:rStyle w:val="IndexLink"/>
                <w:rtl w:val="true"/>
              </w:rPr>
              <w:t>هزينۀ مقدّمات عمل در اجاره</w:t>
            </w:r>
            <w:r>
              <w:rPr>
                <w:rStyle w:val="IndexLink"/>
                <w:rtl w:val="true"/>
              </w:rPr>
              <w:tab/>
            </w:r>
            <w:r>
              <w:rPr>
                <w:rStyle w:val="IndexLink"/>
              </w:rPr>
              <w:t>347</w:t>
            </w:r>
          </w:hyperlink>
        </w:p>
        <w:p>
          <w:pPr>
            <w:pStyle w:val="Contents5"/>
            <w:tabs>
              <w:tab w:val="clear" w:pos="7892"/>
              <w:tab w:val="right" w:pos="9026" w:leader="dot"/>
            </w:tabs>
            <w:rPr/>
          </w:pPr>
          <w:hyperlink w:anchor="__RefHeading___Toc3598805_1067777946">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3598807_1067777946">
            <w:r>
              <w:rPr>
                <w:webHidden/>
                <w:rStyle w:val="IndexLink"/>
                <w:rtl w:val="true"/>
              </w:rPr>
              <w:t>هزينۀ نگهدارى و تعميرات و لوازم انتفاع خانۀ مستأجَره</w:t>
            </w:r>
            <w:r>
              <w:rPr>
                <w:rStyle w:val="IndexLink"/>
                <w:rtl w:val="true"/>
              </w:rPr>
              <w:tab/>
            </w:r>
            <w:r>
              <w:rPr>
                <w:rStyle w:val="IndexLink"/>
              </w:rPr>
              <w:t>347</w:t>
            </w:r>
          </w:hyperlink>
        </w:p>
        <w:p>
          <w:pPr>
            <w:pStyle w:val="Contents4"/>
            <w:tabs>
              <w:tab w:val="clear" w:pos="8176"/>
              <w:tab w:val="right" w:pos="9026" w:leader="dot"/>
            </w:tabs>
            <w:rPr/>
          </w:pPr>
          <w:hyperlink w:anchor="__RefHeading___Toc3598809_1067777946">
            <w:r>
              <w:rPr>
                <w:webHidden/>
                <w:rStyle w:val="IndexLink"/>
                <w:rtl w:val="true"/>
              </w:rPr>
              <w:t>در تنازع است</w:t>
            </w:r>
            <w:r>
              <w:rPr>
                <w:rStyle w:val="IndexLink"/>
                <w:rtl w:val="true"/>
              </w:rPr>
              <w:tab/>
            </w:r>
            <w:r>
              <w:rPr>
                <w:rStyle w:val="IndexLink"/>
              </w:rPr>
              <w:t>348</w:t>
            </w:r>
          </w:hyperlink>
        </w:p>
        <w:p>
          <w:pPr>
            <w:pStyle w:val="Contents5"/>
            <w:tabs>
              <w:tab w:val="clear" w:pos="7892"/>
              <w:tab w:val="right" w:pos="9026" w:leader="dot"/>
            </w:tabs>
            <w:rPr/>
          </w:pPr>
          <w:hyperlink w:anchor="__RefHeading___Toc3598811_1067777946">
            <w:r>
              <w:rPr>
                <w:webHidden/>
                <w:rStyle w:val="IndexLink"/>
                <w:rtl w:val="true"/>
              </w:rPr>
              <w:t>صور مختلف اختلاف طرفين در وقوع اجاره</w:t>
            </w:r>
            <w:r>
              <w:rPr>
                <w:rStyle w:val="IndexLink"/>
                <w:rtl w:val="true"/>
              </w:rPr>
              <w:tab/>
            </w:r>
            <w:r>
              <w:rPr>
                <w:rStyle w:val="IndexLink"/>
              </w:rPr>
              <w:t>348</w:t>
            </w:r>
          </w:hyperlink>
        </w:p>
        <w:p>
          <w:pPr>
            <w:pStyle w:val="Contents6"/>
            <w:tabs>
              <w:tab w:val="clear" w:pos="7609"/>
              <w:tab w:val="right" w:pos="9026" w:leader="dot"/>
            </w:tabs>
            <w:rPr/>
          </w:pPr>
          <w:hyperlink w:anchor="__RefHeading___Toc3598813_1067777946">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3598815_1067777946">
            <w:r>
              <w:rPr>
                <w:webHidden/>
                <w:rStyle w:val="IndexLink"/>
                <w:rtl w:val="true"/>
              </w:rPr>
              <w:t>اختلاف در مقدار يا نوع متعلّق اجاره</w:t>
            </w:r>
            <w:r>
              <w:rPr>
                <w:rStyle w:val="IndexLink"/>
                <w:rtl w:val="true"/>
              </w:rPr>
              <w:tab/>
            </w:r>
            <w:r>
              <w:rPr>
                <w:rStyle w:val="IndexLink"/>
              </w:rPr>
              <w:t>349</w:t>
            </w:r>
          </w:hyperlink>
        </w:p>
        <w:p>
          <w:pPr>
            <w:pStyle w:val="Contents6"/>
            <w:tabs>
              <w:tab w:val="clear" w:pos="7609"/>
              <w:tab w:val="right" w:pos="9026" w:leader="dot"/>
            </w:tabs>
            <w:rPr/>
          </w:pPr>
          <w:hyperlink w:anchor="__RefHeading___Toc3598817_1067777946">
            <w:r>
              <w:rPr>
                <w:webHidden/>
                <w:rStyle w:val="IndexLink"/>
                <w:rtl w:val="true"/>
              </w:rPr>
              <w:t>تقدّم قول نافىِ رد</w:t>
            </w:r>
            <w:r>
              <w:rPr>
                <w:rStyle w:val="IndexLink"/>
                <w:rtl w:val="true"/>
              </w:rPr>
              <w:tab/>
            </w:r>
            <w:r>
              <w:rPr>
                <w:rStyle w:val="IndexLink"/>
              </w:rPr>
              <w:t>349</w:t>
            </w:r>
          </w:hyperlink>
        </w:p>
        <w:p>
          <w:pPr>
            <w:pStyle w:val="Contents6"/>
            <w:tabs>
              <w:tab w:val="clear" w:pos="7609"/>
              <w:tab w:val="right" w:pos="9026" w:leader="dot"/>
            </w:tabs>
            <w:rPr/>
          </w:pPr>
          <w:hyperlink w:anchor="__RefHeading___Toc3598819_1067777946">
            <w:r>
              <w:rPr>
                <w:webHidden/>
                <w:rStyle w:val="IndexLink"/>
                <w:rtl w:val="true"/>
              </w:rPr>
              <w:t>تقدّم قول مستأجر در اختلاف در مقدار اجرت</w:t>
            </w:r>
            <w:r>
              <w:rPr>
                <w:rStyle w:val="IndexLink"/>
                <w:rtl w:val="true"/>
              </w:rPr>
              <w:tab/>
            </w:r>
            <w:r>
              <w:rPr>
                <w:rStyle w:val="IndexLink"/>
              </w:rPr>
              <w:t>349</w:t>
            </w:r>
          </w:hyperlink>
        </w:p>
        <w:p>
          <w:pPr>
            <w:pStyle w:val="Contents5"/>
            <w:tabs>
              <w:tab w:val="clear" w:pos="7892"/>
              <w:tab w:val="right" w:pos="9026" w:leader="dot"/>
            </w:tabs>
            <w:rPr/>
          </w:pPr>
          <w:hyperlink w:anchor="__RefHeading___Toc3598821_1067777946">
            <w:r>
              <w:rPr>
                <w:webHidden/>
                <w:rStyle w:val="IndexLink"/>
                <w:rtl w:val="true"/>
              </w:rPr>
              <w:t>قبول قول سازنده در ادّعاى تلف</w:t>
            </w:r>
            <w:r>
              <w:rPr>
                <w:rStyle w:val="IndexLink"/>
                <w:rtl w:val="true"/>
              </w:rPr>
              <w:tab/>
            </w:r>
            <w:r>
              <w:rPr>
                <w:rStyle w:val="IndexLink"/>
              </w:rPr>
              <w:t>349</w:t>
            </w:r>
          </w:hyperlink>
        </w:p>
        <w:p>
          <w:pPr>
            <w:pStyle w:val="Contents5"/>
            <w:tabs>
              <w:tab w:val="clear" w:pos="7892"/>
              <w:tab w:val="right" w:pos="9026" w:leader="dot"/>
            </w:tabs>
            <w:rPr/>
          </w:pPr>
          <w:hyperlink w:anchor="__RefHeading___Toc3598823_1067777946">
            <w:r>
              <w:rPr>
                <w:webHidden/>
                <w:rStyle w:val="IndexLink"/>
                <w:rtl w:val="true"/>
              </w:rPr>
              <w:t>اختلاف مالك با خياط در نوع لباس سفارشى</w:t>
            </w:r>
            <w:r>
              <w:rPr>
                <w:rStyle w:val="IndexLink"/>
                <w:rtl w:val="true"/>
              </w:rPr>
              <w:tab/>
            </w:r>
            <w:r>
              <w:rPr>
                <w:rStyle w:val="IndexLink"/>
              </w:rPr>
              <w:t>349</w:t>
            </w:r>
          </w:hyperlink>
        </w:p>
        <w:p>
          <w:pPr>
            <w:pStyle w:val="Contents6"/>
            <w:tabs>
              <w:tab w:val="clear" w:pos="7609"/>
              <w:tab w:val="right" w:pos="9026" w:leader="dot"/>
            </w:tabs>
            <w:rPr/>
          </w:pPr>
          <w:hyperlink w:anchor="__RefHeading___Toc3598825_1067777946">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3598827_1067777946">
            <w:r>
              <w:rPr>
                <w:webHidden/>
                <w:rStyle w:val="IndexLink"/>
                <w:rtl w:val="true"/>
              </w:rPr>
              <w:t>اختلاف در استحقاق ارش يا اجرت خياطت</w:t>
            </w:r>
            <w:r>
              <w:rPr>
                <w:rStyle w:val="IndexLink"/>
                <w:rtl w:val="true"/>
              </w:rPr>
              <w:tab/>
            </w:r>
            <w:r>
              <w:rPr>
                <w:rStyle w:val="IndexLink"/>
              </w:rPr>
              <w:t>350</w:t>
            </w:r>
          </w:hyperlink>
        </w:p>
        <w:p>
          <w:pPr>
            <w:pStyle w:val="Contents2"/>
            <w:tabs>
              <w:tab w:val="clear" w:pos="8743"/>
              <w:tab w:val="right" w:pos="9026" w:leader="dot"/>
            </w:tabs>
            <w:rPr/>
          </w:pPr>
          <w:hyperlink w:anchor="__RefHeading___Toc3598829_1067777946">
            <w:r>
              <w:rPr>
                <w:webHidden/>
                <w:rStyle w:val="IndexLink"/>
                <w:rtl w:val="true"/>
              </w:rPr>
              <w:t>كتاب وكالت</w:t>
            </w:r>
            <w:r>
              <w:rPr>
                <w:rStyle w:val="IndexLink"/>
                <w:rtl w:val="true"/>
              </w:rPr>
              <w:tab/>
            </w:r>
            <w:r>
              <w:rPr>
                <w:rStyle w:val="IndexLink"/>
              </w:rPr>
              <w:t>352</w:t>
            </w:r>
          </w:hyperlink>
        </w:p>
        <w:p>
          <w:pPr>
            <w:pStyle w:val="Contents3"/>
            <w:tabs>
              <w:tab w:val="clear" w:pos="8459"/>
              <w:tab w:val="right" w:pos="9026" w:leader="dot"/>
            </w:tabs>
            <w:rPr/>
          </w:pPr>
          <w:hyperlink w:anchor="__RefHeading___Toc3598831_1067777946">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3598833_1067777946">
            <w:r>
              <w:rPr>
                <w:webHidden/>
                <w:rStyle w:val="IndexLink"/>
                <w:rtl w:val="true"/>
              </w:rPr>
              <w:t>فصل اوّل وكالت و عقد آن</w:t>
            </w:r>
            <w:r>
              <w:rPr>
                <w:rStyle w:val="IndexLink"/>
                <w:rtl w:val="true"/>
              </w:rPr>
              <w:tab/>
            </w:r>
            <w:r>
              <w:rPr>
                <w:rStyle w:val="IndexLink"/>
              </w:rPr>
              <w:t>354</w:t>
            </w:r>
          </w:hyperlink>
        </w:p>
        <w:p>
          <w:pPr>
            <w:pStyle w:val="Contents4"/>
            <w:tabs>
              <w:tab w:val="clear" w:pos="8176"/>
              <w:tab w:val="right" w:pos="9026" w:leader="dot"/>
            </w:tabs>
            <w:rPr/>
          </w:pPr>
          <w:hyperlink w:anchor="__RefHeading___Toc3598835_106777794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598837_1067777946">
            <w:r>
              <w:rPr>
                <w:webHidden/>
                <w:rStyle w:val="IndexLink"/>
                <w:rtl w:val="true"/>
              </w:rPr>
              <w:t>تعريف وكالت</w:t>
            </w:r>
            <w:r>
              <w:rPr>
                <w:rStyle w:val="IndexLink"/>
                <w:rtl w:val="true"/>
              </w:rPr>
              <w:tab/>
            </w:r>
            <w:r>
              <w:rPr>
                <w:rStyle w:val="IndexLink"/>
              </w:rPr>
              <w:t>354</w:t>
            </w:r>
          </w:hyperlink>
        </w:p>
        <w:p>
          <w:pPr>
            <w:pStyle w:val="Contents4"/>
            <w:tabs>
              <w:tab w:val="clear" w:pos="8176"/>
              <w:tab w:val="right" w:pos="9026" w:leader="dot"/>
            </w:tabs>
            <w:rPr/>
          </w:pPr>
          <w:hyperlink w:anchor="__RefHeading___Toc3598839_1067777946">
            <w:r>
              <w:rPr>
                <w:webHidden/>
                <w:rStyle w:val="IndexLink"/>
                <w:rtl w:val="true"/>
              </w:rPr>
              <w:t>نحوۀ تحقّق وكالت</w:t>
            </w:r>
            <w:r>
              <w:rPr>
                <w:rStyle w:val="IndexLink"/>
                <w:rtl w:val="true"/>
              </w:rPr>
              <w:tab/>
            </w:r>
            <w:r>
              <w:rPr>
                <w:rStyle w:val="IndexLink"/>
              </w:rPr>
              <w:t>354</w:t>
            </w:r>
          </w:hyperlink>
        </w:p>
        <w:p>
          <w:pPr>
            <w:pStyle w:val="Contents4"/>
            <w:tabs>
              <w:tab w:val="clear" w:pos="8176"/>
              <w:tab w:val="right" w:pos="9026" w:leader="dot"/>
            </w:tabs>
            <w:rPr/>
          </w:pPr>
          <w:hyperlink w:anchor="__RefHeading___Toc3598841_1067777946">
            <w:r>
              <w:rPr>
                <w:webHidden/>
                <w:rStyle w:val="IndexLink"/>
                <w:rtl w:val="true"/>
              </w:rPr>
              <w:t>عقد وكالت</w:t>
            </w:r>
            <w:r>
              <w:rPr>
                <w:rStyle w:val="IndexLink"/>
                <w:rtl w:val="true"/>
              </w:rPr>
              <w:tab/>
            </w:r>
            <w:r>
              <w:rPr>
                <w:rStyle w:val="IndexLink"/>
              </w:rPr>
              <w:t>354</w:t>
            </w:r>
          </w:hyperlink>
        </w:p>
        <w:p>
          <w:pPr>
            <w:pStyle w:val="Contents5"/>
            <w:tabs>
              <w:tab w:val="clear" w:pos="7892"/>
              <w:tab w:val="right" w:pos="9026" w:leader="dot"/>
            </w:tabs>
            <w:rPr/>
          </w:pPr>
          <w:hyperlink w:anchor="__RefHeading___Toc3598843_1067777946">
            <w:r>
              <w:rPr>
                <w:webHidden/>
                <w:rStyle w:val="IndexLink"/>
                <w:rtl w:val="true"/>
              </w:rPr>
              <w:t>احوطيّت ترك فصل بين ايجاب و قبول</w:t>
            </w:r>
            <w:r>
              <w:rPr>
                <w:rStyle w:val="IndexLink"/>
                <w:rtl w:val="true"/>
              </w:rPr>
              <w:tab/>
            </w:r>
            <w:r>
              <w:rPr>
                <w:rStyle w:val="IndexLink"/>
              </w:rPr>
              <w:t>354</w:t>
            </w:r>
          </w:hyperlink>
        </w:p>
        <w:p>
          <w:pPr>
            <w:pStyle w:val="Contents5"/>
            <w:tabs>
              <w:tab w:val="clear" w:pos="7892"/>
              <w:tab w:val="right" w:pos="9026" w:leader="dot"/>
            </w:tabs>
            <w:rPr/>
          </w:pPr>
          <w:hyperlink w:anchor="__RefHeading___Toc3598845_1067777946">
            <w:r>
              <w:rPr>
                <w:webHidden/>
                <w:rStyle w:val="IndexLink"/>
                <w:rtl w:val="true"/>
              </w:rPr>
              <w:t>اعتبار تنجيز</w:t>
            </w:r>
            <w:r>
              <w:rPr>
                <w:rStyle w:val="IndexLink"/>
                <w:rtl w:val="true"/>
              </w:rPr>
              <w:tab/>
            </w:r>
            <w:r>
              <w:rPr>
                <w:rStyle w:val="IndexLink"/>
              </w:rPr>
              <w:t>355</w:t>
            </w:r>
          </w:hyperlink>
        </w:p>
        <w:p>
          <w:pPr>
            <w:pStyle w:val="Contents5"/>
            <w:tabs>
              <w:tab w:val="clear" w:pos="7892"/>
              <w:tab w:val="right" w:pos="9026" w:leader="dot"/>
            </w:tabs>
            <w:rPr/>
          </w:pPr>
          <w:hyperlink w:anchor="__RefHeading___Toc3598847_1067777946">
            <w:r>
              <w:rPr>
                <w:webHidden/>
                <w:rStyle w:val="IndexLink"/>
                <w:rtl w:val="true"/>
              </w:rPr>
              <w:t>اعتبار عقلايى بودن و عدم ابهام و ترديد در متعلّق</w:t>
            </w:r>
            <w:r>
              <w:rPr>
                <w:rStyle w:val="IndexLink"/>
                <w:rtl w:val="true"/>
              </w:rPr>
              <w:tab/>
            </w:r>
            <w:r>
              <w:rPr>
                <w:rStyle w:val="IndexLink"/>
              </w:rPr>
              <w:t>355</w:t>
            </w:r>
          </w:hyperlink>
        </w:p>
        <w:p>
          <w:pPr>
            <w:pStyle w:val="Contents5"/>
            <w:tabs>
              <w:tab w:val="clear" w:pos="7892"/>
              <w:tab w:val="right" w:pos="9026" w:leader="dot"/>
            </w:tabs>
            <w:rPr/>
          </w:pPr>
          <w:hyperlink w:anchor="__RefHeading___Toc3598849_1067777946">
            <w:r>
              <w:rPr>
                <w:webHidden/>
                <w:rStyle w:val="IndexLink"/>
                <w:rtl w:val="true"/>
              </w:rPr>
              <w:t>جايز بودن عقد وكالت و عدم اعتبار اعلام فسخ</w:t>
            </w:r>
            <w:r>
              <w:rPr>
                <w:rStyle w:val="IndexLink"/>
                <w:rtl w:val="true"/>
              </w:rPr>
              <w:tab/>
            </w:r>
            <w:r>
              <w:rPr>
                <w:rStyle w:val="IndexLink"/>
              </w:rPr>
              <w:t>355</w:t>
            </w:r>
          </w:hyperlink>
        </w:p>
        <w:p>
          <w:pPr>
            <w:pStyle w:val="Contents4"/>
            <w:tabs>
              <w:tab w:val="clear" w:pos="8176"/>
              <w:tab w:val="right" w:pos="9026" w:leader="dot"/>
            </w:tabs>
            <w:rPr/>
          </w:pPr>
          <w:hyperlink w:anchor="__RefHeading___Toc3598851_1067777946">
            <w:r>
              <w:rPr>
                <w:webHidden/>
                <w:rStyle w:val="IndexLink"/>
                <w:rtl w:val="true"/>
              </w:rPr>
              <w:t>نفوذ تصرّفات وكيل قبل از علم يا بيّنه بر عزل توسط موكّل</w:t>
            </w:r>
            <w:r>
              <w:rPr>
                <w:rStyle w:val="IndexLink"/>
                <w:rtl w:val="true"/>
              </w:rPr>
              <w:tab/>
            </w:r>
            <w:r>
              <w:rPr>
                <w:rStyle w:val="IndexLink"/>
              </w:rPr>
              <w:t>356</w:t>
            </w:r>
          </w:hyperlink>
        </w:p>
        <w:p>
          <w:pPr>
            <w:pStyle w:val="Contents4"/>
            <w:tabs>
              <w:tab w:val="clear" w:pos="8176"/>
              <w:tab w:val="right" w:pos="9026" w:leader="dot"/>
            </w:tabs>
            <w:rPr/>
          </w:pPr>
          <w:hyperlink w:anchor="__RefHeading___Toc3598853_1067777946">
            <w:r>
              <w:rPr>
                <w:webHidden/>
                <w:rStyle w:val="IndexLink"/>
                <w:rtl w:val="true"/>
              </w:rPr>
              <w:t>لحوق اذن انشايى در تصرّف به توكيل عقدى</w:t>
            </w:r>
            <w:r>
              <w:rPr>
                <w:rStyle w:val="IndexLink"/>
                <w:rtl w:val="true"/>
              </w:rPr>
              <w:tab/>
            </w:r>
            <w:r>
              <w:rPr>
                <w:rStyle w:val="IndexLink"/>
              </w:rPr>
              <w:t>356</w:t>
            </w:r>
          </w:hyperlink>
        </w:p>
        <w:p>
          <w:pPr>
            <w:pStyle w:val="Contents4"/>
            <w:tabs>
              <w:tab w:val="clear" w:pos="8176"/>
              <w:tab w:val="right" w:pos="9026" w:leader="dot"/>
            </w:tabs>
            <w:rPr/>
          </w:pPr>
          <w:hyperlink w:anchor="__RefHeading___Toc3598855_1067777946">
            <w:r>
              <w:rPr>
                <w:webHidden/>
                <w:rStyle w:val="IndexLink"/>
                <w:rtl w:val="true"/>
              </w:rPr>
              <w:t>بطلان وكالت با موت يكى از طرفين</w:t>
            </w:r>
            <w:r>
              <w:rPr>
                <w:rStyle w:val="IndexLink"/>
                <w:rtl w:val="true"/>
              </w:rPr>
              <w:tab/>
            </w:r>
            <w:r>
              <w:rPr>
                <w:rStyle w:val="IndexLink"/>
              </w:rPr>
              <w:t>356</w:t>
            </w:r>
          </w:hyperlink>
        </w:p>
        <w:p>
          <w:pPr>
            <w:pStyle w:val="Contents4"/>
            <w:tabs>
              <w:tab w:val="clear" w:pos="8176"/>
              <w:tab w:val="right" w:pos="9026" w:leader="dot"/>
            </w:tabs>
            <w:rPr/>
          </w:pPr>
          <w:hyperlink w:anchor="__RefHeading___Toc3598857_1067777946">
            <w:r>
              <w:rPr>
                <w:webHidden/>
                <w:rStyle w:val="IndexLink"/>
                <w:rtl w:val="true"/>
              </w:rPr>
              <w:t>بطلان وكالت به جنون و اغما</w:t>
            </w:r>
            <w:r>
              <w:rPr>
                <w:rStyle w:val="IndexLink"/>
                <w:rtl w:val="true"/>
              </w:rPr>
              <w:tab/>
            </w:r>
            <w:r>
              <w:rPr>
                <w:rStyle w:val="IndexLink"/>
              </w:rPr>
              <w:t>356</w:t>
            </w:r>
          </w:hyperlink>
        </w:p>
        <w:p>
          <w:pPr>
            <w:pStyle w:val="Contents4"/>
            <w:tabs>
              <w:tab w:val="clear" w:pos="8176"/>
              <w:tab w:val="right" w:pos="9026" w:leader="dot"/>
            </w:tabs>
            <w:rPr/>
          </w:pPr>
          <w:hyperlink w:anchor="__RefHeading___Toc3598859_1067777946">
            <w:r>
              <w:rPr>
                <w:webHidden/>
                <w:rStyle w:val="IndexLink"/>
                <w:rtl w:val="true"/>
              </w:rPr>
              <w:t>بطلان وكالت به محجوريّت موكِّل</w:t>
            </w:r>
            <w:r>
              <w:rPr>
                <w:rStyle w:val="IndexLink"/>
                <w:rtl w:val="true"/>
              </w:rPr>
              <w:tab/>
            </w:r>
            <w:r>
              <w:rPr>
                <w:rStyle w:val="IndexLink"/>
              </w:rPr>
              <w:t>356</w:t>
            </w:r>
          </w:hyperlink>
        </w:p>
        <w:p>
          <w:pPr>
            <w:pStyle w:val="Contents4"/>
            <w:tabs>
              <w:tab w:val="clear" w:pos="8176"/>
              <w:tab w:val="right" w:pos="9026" w:leader="dot"/>
            </w:tabs>
            <w:rPr/>
          </w:pPr>
          <w:hyperlink w:anchor="__RefHeading___Toc3598861_1067777946">
            <w:r>
              <w:rPr>
                <w:webHidden/>
                <w:rStyle w:val="IndexLink"/>
                <w:rtl w:val="true"/>
              </w:rPr>
              <w:t>الحاق سكر و استرقاق موكّل كافر به جنون و اغما</w:t>
            </w:r>
            <w:r>
              <w:rPr>
                <w:rStyle w:val="IndexLink"/>
                <w:rtl w:val="true"/>
              </w:rPr>
              <w:tab/>
            </w:r>
            <w:r>
              <w:rPr>
                <w:rStyle w:val="IndexLink"/>
              </w:rPr>
              <w:t>357</w:t>
            </w:r>
          </w:hyperlink>
        </w:p>
        <w:p>
          <w:pPr>
            <w:pStyle w:val="Contents4"/>
            <w:tabs>
              <w:tab w:val="clear" w:pos="8176"/>
              <w:tab w:val="right" w:pos="9026" w:leader="dot"/>
            </w:tabs>
            <w:rPr/>
          </w:pPr>
          <w:hyperlink w:anchor="__RefHeading___Toc3598863_1067777946">
            <w:r>
              <w:rPr>
                <w:webHidden/>
                <w:rStyle w:val="IndexLink"/>
                <w:rtl w:val="true"/>
              </w:rPr>
              <w:t>عدم بطلان وكالت به نوم</w:t>
            </w:r>
            <w:r>
              <w:rPr>
                <w:rStyle w:val="IndexLink"/>
                <w:rtl w:val="true"/>
              </w:rPr>
              <w:tab/>
            </w:r>
            <w:r>
              <w:rPr>
                <w:rStyle w:val="IndexLink"/>
              </w:rPr>
              <w:t>357</w:t>
            </w:r>
          </w:hyperlink>
        </w:p>
        <w:p>
          <w:pPr>
            <w:pStyle w:val="Contents4"/>
            <w:tabs>
              <w:tab w:val="clear" w:pos="8176"/>
              <w:tab w:val="right" w:pos="9026" w:leader="dot"/>
            </w:tabs>
            <w:rPr/>
          </w:pPr>
          <w:hyperlink w:anchor="__RefHeading___Toc3598865_1067777946">
            <w:r>
              <w:rPr>
                <w:webHidden/>
                <w:rStyle w:val="IndexLink"/>
                <w:rtl w:val="true"/>
              </w:rPr>
              <w:t>حكم بطلان وكالت به سبب فسق در فرض اعتبار عدالت</w:t>
            </w:r>
            <w:r>
              <w:rPr>
                <w:rStyle w:val="IndexLink"/>
                <w:rtl w:val="true"/>
              </w:rPr>
              <w:tab/>
            </w:r>
            <w:r>
              <w:rPr>
                <w:rStyle w:val="IndexLink"/>
              </w:rPr>
              <w:t>357</w:t>
            </w:r>
          </w:hyperlink>
        </w:p>
        <w:p>
          <w:pPr>
            <w:pStyle w:val="Contents4"/>
            <w:tabs>
              <w:tab w:val="clear" w:pos="8176"/>
              <w:tab w:val="right" w:pos="9026" w:leader="dot"/>
            </w:tabs>
            <w:rPr/>
          </w:pPr>
          <w:hyperlink w:anchor="__RefHeading___Toc3598867_1067777946">
            <w:r>
              <w:rPr>
                <w:webHidden/>
                <w:rStyle w:val="IndexLink"/>
                <w:rtl w:val="true"/>
              </w:rPr>
              <w:t>بطلان وكالت به موت و تلف متعلّق آن</w:t>
            </w:r>
            <w:r>
              <w:rPr>
                <w:rStyle w:val="IndexLink"/>
                <w:rtl w:val="true"/>
              </w:rPr>
              <w:tab/>
            </w:r>
            <w:r>
              <w:rPr>
                <w:rStyle w:val="IndexLink"/>
              </w:rPr>
              <w:t>357</w:t>
            </w:r>
          </w:hyperlink>
        </w:p>
        <w:p>
          <w:pPr>
            <w:pStyle w:val="Contents4"/>
            <w:tabs>
              <w:tab w:val="clear" w:pos="8176"/>
              <w:tab w:val="right" w:pos="9026" w:leader="dot"/>
            </w:tabs>
            <w:rPr/>
          </w:pPr>
          <w:hyperlink w:anchor="__RefHeading___Toc3598869_1067777946">
            <w:r>
              <w:rPr>
                <w:webHidden/>
                <w:rStyle w:val="IndexLink"/>
                <w:rtl w:val="true"/>
              </w:rPr>
              <w:t>بطلان وكالت به فعل مورد وكالت يا منافى متعلّق وكالت توسّط موكّل</w:t>
            </w:r>
            <w:r>
              <w:rPr>
                <w:rStyle w:val="IndexLink"/>
                <w:rtl w:val="true"/>
              </w:rPr>
              <w:tab/>
            </w:r>
            <w:r>
              <w:rPr>
                <w:rStyle w:val="IndexLink"/>
              </w:rPr>
              <w:t>358</w:t>
            </w:r>
          </w:hyperlink>
        </w:p>
        <w:p>
          <w:pPr>
            <w:pStyle w:val="Contents4"/>
            <w:tabs>
              <w:tab w:val="clear" w:pos="8176"/>
              <w:tab w:val="right" w:pos="9026" w:leader="dot"/>
            </w:tabs>
            <w:rPr/>
          </w:pPr>
          <w:hyperlink w:anchor="__RefHeading___Toc3598871_1067777946">
            <w:r>
              <w:rPr>
                <w:webHidden/>
                <w:rStyle w:val="IndexLink"/>
                <w:rtl w:val="true"/>
              </w:rPr>
              <w:t>تلف قسمتى از مورد وكالت</w:t>
            </w:r>
            <w:r>
              <w:rPr>
                <w:rStyle w:val="IndexLink"/>
                <w:rtl w:val="true"/>
              </w:rPr>
              <w:tab/>
            </w:r>
            <w:r>
              <w:rPr>
                <w:rStyle w:val="IndexLink"/>
              </w:rPr>
              <w:t>358</w:t>
            </w:r>
          </w:hyperlink>
        </w:p>
        <w:p>
          <w:pPr>
            <w:pStyle w:val="Contents4"/>
            <w:tabs>
              <w:tab w:val="clear" w:pos="8176"/>
              <w:tab w:val="right" w:pos="9026" w:leader="dot"/>
            </w:tabs>
            <w:rPr/>
          </w:pPr>
          <w:hyperlink w:anchor="__RefHeading___Toc3598873_1067777946">
            <w:r>
              <w:rPr>
                <w:webHidden/>
                <w:rStyle w:val="IndexLink"/>
                <w:rtl w:val="true"/>
              </w:rPr>
              <w:t>كفايت بطلان واقعى در انعزال واقعى</w:t>
            </w:r>
            <w:r>
              <w:rPr>
                <w:rStyle w:val="IndexLink"/>
                <w:rtl w:val="true"/>
              </w:rPr>
              <w:tab/>
            </w:r>
            <w:r>
              <w:rPr>
                <w:rStyle w:val="IndexLink"/>
              </w:rPr>
              <w:t>358</w:t>
            </w:r>
          </w:hyperlink>
        </w:p>
        <w:p>
          <w:pPr>
            <w:pStyle w:val="Contents4"/>
            <w:tabs>
              <w:tab w:val="clear" w:pos="8176"/>
              <w:tab w:val="right" w:pos="9026" w:leader="dot"/>
            </w:tabs>
            <w:rPr/>
          </w:pPr>
          <w:hyperlink w:anchor="__RefHeading___Toc3598875_1067777946">
            <w:r>
              <w:rPr>
                <w:webHidden/>
                <w:rStyle w:val="IndexLink"/>
                <w:rtl w:val="true"/>
              </w:rPr>
              <w:t>نحوۀ فعل و قول عزل وكالت</w:t>
            </w:r>
            <w:r>
              <w:rPr>
                <w:rStyle w:val="IndexLink"/>
                <w:rtl w:val="true"/>
              </w:rPr>
              <w:tab/>
            </w:r>
            <w:r>
              <w:rPr>
                <w:rStyle w:val="IndexLink"/>
              </w:rPr>
              <w:t>358</w:t>
            </w:r>
          </w:hyperlink>
        </w:p>
        <w:p>
          <w:pPr>
            <w:pStyle w:val="Contents4"/>
            <w:tabs>
              <w:tab w:val="clear" w:pos="8176"/>
              <w:tab w:val="right" w:pos="9026" w:leader="dot"/>
            </w:tabs>
            <w:rPr/>
          </w:pPr>
          <w:hyperlink w:anchor="__RefHeading___Toc3598877_1067777946">
            <w:r>
              <w:rPr>
                <w:webHidden/>
                <w:rStyle w:val="IndexLink"/>
                <w:rtl w:val="true"/>
              </w:rPr>
              <w:t>دايرۀ اختيارات وكيل</w:t>
            </w:r>
            <w:r>
              <w:rPr>
                <w:rStyle w:val="IndexLink"/>
                <w:rtl w:val="true"/>
              </w:rPr>
              <w:tab/>
            </w:r>
            <w:r>
              <w:rPr>
                <w:rStyle w:val="IndexLink"/>
              </w:rPr>
              <w:t>359</w:t>
            </w:r>
          </w:hyperlink>
        </w:p>
        <w:p>
          <w:pPr>
            <w:pStyle w:val="Contents4"/>
            <w:tabs>
              <w:tab w:val="clear" w:pos="8176"/>
              <w:tab w:val="right" w:pos="9026" w:leader="dot"/>
            </w:tabs>
            <w:rPr/>
          </w:pPr>
          <w:hyperlink w:anchor="__RefHeading___Toc3598879_1067777946">
            <w:r>
              <w:rPr>
                <w:webHidden/>
                <w:rStyle w:val="IndexLink"/>
                <w:rtl w:val="true"/>
              </w:rPr>
              <w:t>حكم تخلّف وكيل از اختيارات خود</w:t>
            </w:r>
            <w:r>
              <w:rPr>
                <w:rStyle w:val="IndexLink"/>
                <w:rtl w:val="true"/>
              </w:rPr>
              <w:tab/>
            </w:r>
            <w:r>
              <w:rPr>
                <w:rStyle w:val="IndexLink"/>
              </w:rPr>
              <w:t>359</w:t>
            </w:r>
          </w:hyperlink>
        </w:p>
        <w:p>
          <w:pPr>
            <w:pStyle w:val="Contents4"/>
            <w:tabs>
              <w:tab w:val="clear" w:pos="8176"/>
              <w:tab w:val="right" w:pos="9026" w:leader="dot"/>
            </w:tabs>
            <w:rPr/>
          </w:pPr>
          <w:hyperlink w:anchor="__RefHeading___Toc3598881_1067777946">
            <w:r>
              <w:rPr>
                <w:webHidden/>
                <w:rStyle w:val="IndexLink"/>
                <w:rtl w:val="true"/>
              </w:rPr>
              <w:t>اختلاف موكّل و وكيل در اذن در معامله به مبلغى معيّن</w:t>
            </w:r>
            <w:r>
              <w:rPr>
                <w:rStyle w:val="IndexLink"/>
                <w:rtl w:val="true"/>
              </w:rPr>
              <w:tab/>
            </w:r>
            <w:r>
              <w:rPr>
                <w:rStyle w:val="IndexLink"/>
              </w:rPr>
              <w:t>360</w:t>
            </w:r>
          </w:hyperlink>
        </w:p>
        <w:p>
          <w:pPr>
            <w:pStyle w:val="Contents4"/>
            <w:tabs>
              <w:tab w:val="clear" w:pos="8176"/>
              <w:tab w:val="right" w:pos="9026" w:leader="dot"/>
            </w:tabs>
            <w:rPr/>
          </w:pPr>
          <w:hyperlink w:anchor="__RefHeading___Toc3598883_1067777946">
            <w:r>
              <w:rPr>
                <w:webHidden/>
                <w:rStyle w:val="IndexLink"/>
                <w:rtl w:val="true"/>
              </w:rPr>
              <w:t>اختلاف در عين مورد وكالت و جنس ثمن</w:t>
            </w:r>
            <w:r>
              <w:rPr>
                <w:rStyle w:val="IndexLink"/>
                <w:rtl w:val="true"/>
              </w:rPr>
              <w:tab/>
            </w:r>
            <w:r>
              <w:rPr>
                <w:rStyle w:val="IndexLink"/>
              </w:rPr>
              <w:t>361</w:t>
            </w:r>
          </w:hyperlink>
        </w:p>
        <w:p>
          <w:pPr>
            <w:pStyle w:val="Contents4"/>
            <w:tabs>
              <w:tab w:val="clear" w:pos="8176"/>
              <w:tab w:val="right" w:pos="9026" w:leader="dot"/>
            </w:tabs>
            <w:rPr/>
          </w:pPr>
          <w:hyperlink w:anchor="__RefHeading___Toc3598885_1067777946">
            <w:r>
              <w:rPr>
                <w:webHidden/>
                <w:rStyle w:val="IndexLink"/>
                <w:rtl w:val="true"/>
              </w:rPr>
              <w:t>استرجاع عين در صورت اختلاف و تقديم قول مالك</w:t>
            </w:r>
            <w:r>
              <w:rPr>
                <w:rStyle w:val="IndexLink"/>
                <w:rtl w:val="true"/>
              </w:rPr>
              <w:tab/>
            </w:r>
            <w:r>
              <w:rPr>
                <w:rStyle w:val="IndexLink"/>
              </w:rPr>
              <w:t>361</w:t>
            </w:r>
          </w:hyperlink>
        </w:p>
        <w:p>
          <w:pPr>
            <w:pStyle w:val="Contents4"/>
            <w:tabs>
              <w:tab w:val="clear" w:pos="8176"/>
              <w:tab w:val="right" w:pos="9026" w:leader="dot"/>
            </w:tabs>
            <w:rPr/>
          </w:pPr>
          <w:hyperlink w:anchor="__RefHeading___Toc3598887_1067777946">
            <w:r>
              <w:rPr>
                <w:webHidden/>
                <w:rStyle w:val="IndexLink"/>
                <w:rtl w:val="true"/>
              </w:rPr>
              <w:t>ضمان وكيل در بيع و شراء در صورت تسليم قبل از تسلّم</w:t>
            </w:r>
            <w:r>
              <w:rPr>
                <w:rStyle w:val="IndexLink"/>
                <w:rtl w:val="true"/>
              </w:rPr>
              <w:tab/>
            </w:r>
            <w:r>
              <w:rPr>
                <w:rStyle w:val="IndexLink"/>
              </w:rPr>
              <w:t>362</w:t>
            </w:r>
          </w:hyperlink>
        </w:p>
        <w:p>
          <w:pPr>
            <w:pStyle w:val="Contents4"/>
            <w:tabs>
              <w:tab w:val="clear" w:pos="8176"/>
              <w:tab w:val="right" w:pos="9026" w:leader="dot"/>
            </w:tabs>
            <w:rPr/>
          </w:pPr>
          <w:hyperlink w:anchor="__RefHeading___Toc3598889_1067777946">
            <w:r>
              <w:rPr>
                <w:webHidden/>
                <w:rStyle w:val="IndexLink"/>
                <w:rtl w:val="true"/>
              </w:rPr>
              <w:t>مقتضاى اطلاق وكالت در خريد اذن در تسليم با تسلّم است</w:t>
            </w:r>
            <w:r>
              <w:rPr>
                <w:rStyle w:val="IndexLink"/>
                <w:rtl w:val="true"/>
              </w:rPr>
              <w:tab/>
            </w:r>
            <w:r>
              <w:rPr>
                <w:rStyle w:val="IndexLink"/>
              </w:rPr>
              <w:t>363</w:t>
            </w:r>
          </w:hyperlink>
        </w:p>
        <w:p>
          <w:pPr>
            <w:pStyle w:val="Contents4"/>
            <w:tabs>
              <w:tab w:val="clear" w:pos="8176"/>
              <w:tab w:val="right" w:pos="9026" w:leader="dot"/>
            </w:tabs>
            <w:rPr/>
          </w:pPr>
          <w:hyperlink w:anchor="__RefHeading___Toc3598891_1067777946">
            <w:r>
              <w:rPr>
                <w:webHidden/>
                <w:rStyle w:val="IndexLink"/>
                <w:rtl w:val="true"/>
              </w:rPr>
              <w:t>لزوم رد به عيب و وكالت حقيقى بر خريد</w:t>
            </w:r>
            <w:r>
              <w:rPr>
                <w:rStyle w:val="IndexLink"/>
                <w:rtl w:val="true"/>
              </w:rPr>
              <w:tab/>
            </w:r>
            <w:r>
              <w:rPr>
                <w:rStyle w:val="IndexLink"/>
              </w:rPr>
              <w:t>363</w:t>
            </w:r>
          </w:hyperlink>
        </w:p>
        <w:p>
          <w:pPr>
            <w:pStyle w:val="Contents3"/>
            <w:tabs>
              <w:tab w:val="clear" w:pos="8459"/>
              <w:tab w:val="right" w:pos="9026" w:leader="dot"/>
            </w:tabs>
            <w:rPr/>
          </w:pPr>
          <w:hyperlink w:anchor="__RefHeading___Toc3598893_1067777946">
            <w:r>
              <w:rPr>
                <w:webHidden/>
                <w:rStyle w:val="IndexLink"/>
                <w:rtl w:val="true"/>
              </w:rPr>
              <w:t>فصل دوّم موارد صحّت و عدم صحّت وكالت</w:t>
            </w:r>
            <w:r>
              <w:rPr>
                <w:rStyle w:val="IndexLink"/>
                <w:rtl w:val="true"/>
              </w:rPr>
              <w:tab/>
            </w:r>
            <w:r>
              <w:rPr>
                <w:rStyle w:val="IndexLink"/>
              </w:rPr>
              <w:t>364</w:t>
            </w:r>
          </w:hyperlink>
        </w:p>
        <w:p>
          <w:pPr>
            <w:pStyle w:val="Contents4"/>
            <w:tabs>
              <w:tab w:val="clear" w:pos="8176"/>
              <w:tab w:val="right" w:pos="9026" w:leader="dot"/>
            </w:tabs>
            <w:rPr/>
          </w:pPr>
          <w:hyperlink w:anchor="__RefHeading___Toc3598895_1067777946">
            <w:r>
              <w:rPr>
                <w:webHidden/>
                <w:rStyle w:val="IndexLink"/>
                <w:rtl w:val="true"/>
              </w:rPr>
              <w:t>لزوم مشروعيّت فعل در صحّت وكالت</w:t>
            </w:r>
            <w:r>
              <w:rPr>
                <w:rStyle w:val="IndexLink"/>
                <w:rtl w:val="true"/>
              </w:rPr>
              <w:tab/>
            </w:r>
            <w:r>
              <w:rPr>
                <w:rStyle w:val="IndexLink"/>
              </w:rPr>
              <w:t>364</w:t>
            </w:r>
          </w:hyperlink>
        </w:p>
        <w:p>
          <w:pPr>
            <w:pStyle w:val="Contents4"/>
            <w:tabs>
              <w:tab w:val="clear" w:pos="8176"/>
              <w:tab w:val="right" w:pos="9026" w:leader="dot"/>
            </w:tabs>
            <w:rPr/>
          </w:pPr>
          <w:hyperlink w:anchor="__RefHeading___Toc3598897_1067777946">
            <w:r>
              <w:rPr>
                <w:webHidden/>
                <w:rStyle w:val="IndexLink"/>
                <w:rtl w:val="true"/>
              </w:rPr>
              <w:t>اعتبار عدم علم به تعلّق غرض به صورت فعل به مباشرت</w:t>
            </w:r>
            <w:r>
              <w:rPr>
                <w:rStyle w:val="IndexLink"/>
                <w:rtl w:val="true"/>
              </w:rPr>
              <w:tab/>
            </w:r>
            <w:r>
              <w:rPr>
                <w:rStyle w:val="IndexLink"/>
              </w:rPr>
              <w:t>364</w:t>
            </w:r>
          </w:hyperlink>
        </w:p>
        <w:p>
          <w:pPr>
            <w:pStyle w:val="Contents4"/>
            <w:tabs>
              <w:tab w:val="clear" w:pos="8176"/>
              <w:tab w:val="right" w:pos="9026" w:leader="dot"/>
            </w:tabs>
            <w:rPr/>
          </w:pPr>
          <w:hyperlink w:anchor="__RefHeading___Toc3598899_1067777946">
            <w:r>
              <w:rPr>
                <w:webHidden/>
                <w:rStyle w:val="IndexLink"/>
                <w:rtl w:val="true"/>
              </w:rPr>
              <w:t>موارد تعلّق غرض به مباشرت و عدم آن در عبادات و توصّليات و غير آن</w:t>
            </w:r>
            <w:r>
              <w:rPr>
                <w:rStyle w:val="IndexLink"/>
                <w:rtl w:val="true"/>
              </w:rPr>
              <w:tab/>
            </w:r>
            <w:r>
              <w:rPr>
                <w:rStyle w:val="IndexLink"/>
              </w:rPr>
              <w:t>364</w:t>
            </w:r>
          </w:hyperlink>
        </w:p>
        <w:p>
          <w:pPr>
            <w:pStyle w:val="Contents4"/>
            <w:tabs>
              <w:tab w:val="clear" w:pos="8176"/>
              <w:tab w:val="right" w:pos="9026" w:leader="dot"/>
            </w:tabs>
            <w:rPr/>
          </w:pPr>
          <w:hyperlink w:anchor="__RefHeading___Toc3598901_1067777946">
            <w:r>
              <w:rPr>
                <w:webHidden/>
                <w:rStyle w:val="IndexLink"/>
                <w:rtl w:val="true"/>
              </w:rPr>
              <w:t>نيابت در اجبار صيغه نذر و شبه آن</w:t>
            </w:r>
            <w:r>
              <w:rPr>
                <w:rStyle w:val="IndexLink"/>
                <w:rtl w:val="true"/>
              </w:rPr>
              <w:tab/>
            </w:r>
            <w:r>
              <w:rPr>
                <w:rStyle w:val="IndexLink"/>
              </w:rPr>
              <w:t>366</w:t>
            </w:r>
          </w:hyperlink>
        </w:p>
        <w:p>
          <w:pPr>
            <w:pStyle w:val="Contents4"/>
            <w:tabs>
              <w:tab w:val="clear" w:pos="8176"/>
              <w:tab w:val="right" w:pos="9026" w:leader="dot"/>
            </w:tabs>
            <w:rPr/>
          </w:pPr>
          <w:hyperlink w:anchor="__RefHeading___Toc3598903_1067777946">
            <w:r>
              <w:rPr>
                <w:webHidden/>
                <w:rStyle w:val="IndexLink"/>
                <w:rtl w:val="true"/>
              </w:rPr>
              <w:t>وكالت در التقاط مملّك</w:t>
            </w:r>
            <w:r>
              <w:rPr>
                <w:rStyle w:val="IndexLink"/>
                <w:rtl w:val="true"/>
              </w:rPr>
              <w:tab/>
            </w:r>
            <w:r>
              <w:rPr>
                <w:rStyle w:val="IndexLink"/>
              </w:rPr>
              <w:t>366</w:t>
            </w:r>
          </w:hyperlink>
        </w:p>
        <w:p>
          <w:pPr>
            <w:pStyle w:val="Contents4"/>
            <w:tabs>
              <w:tab w:val="clear" w:pos="8176"/>
              <w:tab w:val="right" w:pos="9026" w:leader="dot"/>
            </w:tabs>
            <w:rPr/>
          </w:pPr>
          <w:hyperlink w:anchor="__RefHeading___Toc3598905_1067777946">
            <w:r>
              <w:rPr>
                <w:webHidden/>
                <w:rStyle w:val="IndexLink"/>
                <w:rtl w:val="true"/>
              </w:rPr>
              <w:t>وكالت در شهادت و قضا</w:t>
            </w:r>
            <w:r>
              <w:rPr>
                <w:rStyle w:val="IndexLink"/>
                <w:rtl w:val="true"/>
              </w:rPr>
              <w:tab/>
            </w:r>
            <w:r>
              <w:rPr>
                <w:rStyle w:val="IndexLink"/>
              </w:rPr>
              <w:t>366</w:t>
            </w:r>
          </w:hyperlink>
        </w:p>
        <w:p>
          <w:pPr>
            <w:pStyle w:val="Contents4"/>
            <w:tabs>
              <w:tab w:val="clear" w:pos="8176"/>
              <w:tab w:val="right" w:pos="9026" w:leader="dot"/>
            </w:tabs>
            <w:rPr/>
          </w:pPr>
          <w:hyperlink w:anchor="__RefHeading___Toc3598907_1067777946">
            <w:r>
              <w:rPr>
                <w:webHidden/>
                <w:rStyle w:val="IndexLink"/>
                <w:rtl w:val="true"/>
              </w:rPr>
              <w:t>توكيل در رد اسلام و استنابه در اقرار</w:t>
            </w:r>
            <w:r>
              <w:rPr>
                <w:rStyle w:val="IndexLink"/>
                <w:rtl w:val="true"/>
              </w:rPr>
              <w:tab/>
            </w:r>
            <w:r>
              <w:rPr>
                <w:rStyle w:val="IndexLink"/>
              </w:rPr>
              <w:t>366</w:t>
            </w:r>
          </w:hyperlink>
        </w:p>
        <w:p>
          <w:pPr>
            <w:pStyle w:val="Contents4"/>
            <w:tabs>
              <w:tab w:val="clear" w:pos="8176"/>
              <w:tab w:val="right" w:pos="9026" w:leader="dot"/>
            </w:tabs>
            <w:rPr/>
          </w:pPr>
          <w:hyperlink w:anchor="__RefHeading___Toc3598909_1067777946">
            <w:r>
              <w:rPr>
                <w:webHidden/>
                <w:rStyle w:val="IndexLink"/>
                <w:rtl w:val="true"/>
              </w:rPr>
              <w:t>ساير موارد صحّت وكالت</w:t>
            </w:r>
            <w:r>
              <w:rPr>
                <w:rStyle w:val="IndexLink"/>
                <w:rtl w:val="true"/>
              </w:rPr>
              <w:tab/>
            </w:r>
            <w:r>
              <w:rPr>
                <w:rStyle w:val="IndexLink"/>
              </w:rPr>
              <w:t>366</w:t>
            </w:r>
          </w:hyperlink>
        </w:p>
        <w:p>
          <w:pPr>
            <w:pStyle w:val="Contents4"/>
            <w:tabs>
              <w:tab w:val="clear" w:pos="8176"/>
              <w:tab w:val="right" w:pos="9026" w:leader="dot"/>
            </w:tabs>
            <w:rPr/>
          </w:pPr>
          <w:hyperlink w:anchor="__RefHeading___Toc3598911_1067777946">
            <w:r>
              <w:rPr>
                <w:webHidden/>
                <w:rStyle w:val="IndexLink"/>
                <w:rtl w:val="true"/>
              </w:rPr>
              <w:t>ادّعاى ادا يا ابراء توسط منكر ديْن در اثناى دفاع وكيل</w:t>
            </w:r>
            <w:r>
              <w:rPr>
                <w:rStyle w:val="IndexLink"/>
                <w:rtl w:val="true"/>
              </w:rPr>
              <w:tab/>
            </w:r>
            <w:r>
              <w:rPr>
                <w:rStyle w:val="IndexLink"/>
              </w:rPr>
              <w:t>367</w:t>
            </w:r>
          </w:hyperlink>
        </w:p>
        <w:p>
          <w:pPr>
            <w:pStyle w:val="Contents4"/>
            <w:tabs>
              <w:tab w:val="clear" w:pos="8176"/>
              <w:tab w:val="right" w:pos="9026" w:leader="dot"/>
            </w:tabs>
            <w:rPr/>
          </w:pPr>
          <w:hyperlink w:anchor="__RefHeading___Toc3598913_1067777946">
            <w:r>
              <w:rPr>
                <w:webHidden/>
                <w:rStyle w:val="IndexLink"/>
                <w:rtl w:val="true"/>
              </w:rPr>
              <w:t>عدم قبول اقرار وكيل از طرف مدّعى يا منكر</w:t>
            </w:r>
            <w:r>
              <w:rPr>
                <w:rStyle w:val="IndexLink"/>
                <w:rtl w:val="true"/>
              </w:rPr>
              <w:tab/>
            </w:r>
            <w:r>
              <w:rPr>
                <w:rStyle w:val="IndexLink"/>
              </w:rPr>
              <w:t>367</w:t>
            </w:r>
          </w:hyperlink>
        </w:p>
        <w:p>
          <w:pPr>
            <w:pStyle w:val="Contents4"/>
            <w:tabs>
              <w:tab w:val="clear" w:pos="8176"/>
              <w:tab w:val="right" w:pos="9026" w:leader="dot"/>
            </w:tabs>
            <w:rPr/>
          </w:pPr>
          <w:hyperlink w:anchor="__RefHeading___Toc3598915_1067777946">
            <w:r>
              <w:rPr>
                <w:webHidden/>
                <w:rStyle w:val="IndexLink"/>
                <w:rtl w:val="true"/>
              </w:rPr>
              <w:t>اعتبار عدم سفاهت در توكيل</w:t>
            </w:r>
            <w:r>
              <w:rPr>
                <w:rStyle w:val="IndexLink"/>
                <w:rtl w:val="true"/>
              </w:rPr>
              <w:tab/>
            </w:r>
            <w:r>
              <w:rPr>
                <w:rStyle w:val="IndexLink"/>
              </w:rPr>
              <w:t>367</w:t>
            </w:r>
          </w:hyperlink>
        </w:p>
        <w:p>
          <w:pPr>
            <w:pStyle w:val="Contents3"/>
            <w:tabs>
              <w:tab w:val="clear" w:pos="8459"/>
              <w:tab w:val="right" w:pos="9026" w:leader="dot"/>
            </w:tabs>
            <w:rPr/>
          </w:pPr>
          <w:hyperlink w:anchor="__RefHeading___Toc3598917_1067777946">
            <w:r>
              <w:rPr>
                <w:webHidden/>
                <w:rStyle w:val="IndexLink"/>
                <w:rtl w:val="true"/>
              </w:rPr>
              <w:t>فصل سوّم شرايط موكّل</w:t>
            </w:r>
            <w:r>
              <w:rPr>
                <w:rStyle w:val="IndexLink"/>
                <w:rtl w:val="true"/>
              </w:rPr>
              <w:tab/>
            </w:r>
            <w:r>
              <w:rPr>
                <w:rStyle w:val="IndexLink"/>
              </w:rPr>
              <w:t>368</w:t>
            </w:r>
          </w:hyperlink>
        </w:p>
        <w:p>
          <w:pPr>
            <w:pStyle w:val="Contents4"/>
            <w:tabs>
              <w:tab w:val="clear" w:pos="8176"/>
              <w:tab w:val="right" w:pos="9026" w:leader="dot"/>
            </w:tabs>
            <w:rPr/>
          </w:pPr>
          <w:hyperlink w:anchor="__RefHeading___Toc3598919_1067777946">
            <w:r>
              <w:rPr>
                <w:webHidden/>
                <w:rStyle w:val="IndexLink"/>
                <w:rtl w:val="true"/>
              </w:rPr>
              <w:t>بلوغ، عقل و اختيار</w:t>
            </w:r>
            <w:r>
              <w:rPr>
                <w:rStyle w:val="IndexLink"/>
                <w:rtl w:val="true"/>
              </w:rPr>
              <w:tab/>
            </w:r>
            <w:r>
              <w:rPr>
                <w:rStyle w:val="IndexLink"/>
              </w:rPr>
              <w:t>368</w:t>
            </w:r>
          </w:hyperlink>
        </w:p>
        <w:p>
          <w:pPr>
            <w:pStyle w:val="Contents4"/>
            <w:tabs>
              <w:tab w:val="clear" w:pos="8176"/>
              <w:tab w:val="right" w:pos="9026" w:leader="dot"/>
            </w:tabs>
            <w:rPr/>
          </w:pPr>
          <w:hyperlink w:anchor="__RefHeading___Toc3598921_1067777946">
            <w:r>
              <w:rPr>
                <w:webHidden/>
                <w:rStyle w:val="IndexLink"/>
                <w:rtl w:val="true"/>
              </w:rPr>
              <w:t>جواز توكيل صبىّ ده ساله</w:t>
            </w:r>
            <w:r>
              <w:rPr>
                <w:rStyle w:val="IndexLink"/>
                <w:rtl w:val="true"/>
              </w:rPr>
              <w:tab/>
            </w:r>
            <w:r>
              <w:rPr>
                <w:rStyle w:val="IndexLink"/>
              </w:rPr>
              <w:t>368</w:t>
            </w:r>
          </w:hyperlink>
        </w:p>
        <w:p>
          <w:pPr>
            <w:pStyle w:val="Contents4"/>
            <w:tabs>
              <w:tab w:val="clear" w:pos="8176"/>
              <w:tab w:val="right" w:pos="9026" w:leader="dot"/>
            </w:tabs>
            <w:rPr/>
          </w:pPr>
          <w:hyperlink w:anchor="__RefHeading___Toc3598923_1067777946">
            <w:r>
              <w:rPr>
                <w:webHidden/>
                <w:rStyle w:val="IndexLink"/>
                <w:rtl w:val="true"/>
              </w:rPr>
              <w:t>حكم توكيل عبد</w:t>
            </w:r>
            <w:r>
              <w:rPr>
                <w:rStyle w:val="IndexLink"/>
                <w:rtl w:val="true"/>
              </w:rPr>
              <w:tab/>
            </w:r>
            <w:r>
              <w:rPr>
                <w:rStyle w:val="IndexLink"/>
              </w:rPr>
              <w:t>368</w:t>
            </w:r>
          </w:hyperlink>
        </w:p>
        <w:p>
          <w:pPr>
            <w:pStyle w:val="Contents4"/>
            <w:tabs>
              <w:tab w:val="clear" w:pos="8176"/>
              <w:tab w:val="right" w:pos="9026" w:leader="dot"/>
            </w:tabs>
            <w:rPr/>
          </w:pPr>
          <w:hyperlink w:anchor="__RefHeading___Toc3598925_1067777946">
            <w:r>
              <w:rPr>
                <w:webHidden/>
                <w:rStyle w:val="IndexLink"/>
                <w:rtl w:val="true"/>
              </w:rPr>
              <w:t>لزوم اذن موكّل در توكيل غير</w:t>
            </w:r>
            <w:r>
              <w:rPr>
                <w:rStyle w:val="IndexLink"/>
                <w:rtl w:val="true"/>
              </w:rPr>
              <w:tab/>
            </w:r>
            <w:r>
              <w:rPr>
                <w:rStyle w:val="IndexLink"/>
              </w:rPr>
              <w:t>369</w:t>
            </w:r>
          </w:hyperlink>
        </w:p>
        <w:p>
          <w:pPr>
            <w:pStyle w:val="Contents4"/>
            <w:tabs>
              <w:tab w:val="clear" w:pos="8176"/>
              <w:tab w:val="right" w:pos="9026" w:leader="dot"/>
            </w:tabs>
            <w:rPr/>
          </w:pPr>
          <w:hyperlink w:anchor="__RefHeading___Toc3598927_1067777946">
            <w:r>
              <w:rPr>
                <w:webHidden/>
                <w:rStyle w:val="IndexLink"/>
                <w:rtl w:val="true"/>
              </w:rPr>
              <w:t>حكم صُوَر مختلف عزل و انعزال وكيل دوّم</w:t>
            </w:r>
            <w:r>
              <w:rPr>
                <w:rStyle w:val="IndexLink"/>
                <w:rtl w:val="true"/>
              </w:rPr>
              <w:tab/>
            </w:r>
            <w:r>
              <w:rPr>
                <w:rStyle w:val="IndexLink"/>
              </w:rPr>
              <w:t>369</w:t>
            </w:r>
          </w:hyperlink>
        </w:p>
        <w:p>
          <w:pPr>
            <w:pStyle w:val="Contents4"/>
            <w:tabs>
              <w:tab w:val="clear" w:pos="8176"/>
              <w:tab w:val="right" w:pos="9026" w:leader="dot"/>
            </w:tabs>
            <w:rPr/>
          </w:pPr>
          <w:hyperlink w:anchor="__RefHeading___Toc3598929_1067777946">
            <w:r>
              <w:rPr>
                <w:webHidden/>
                <w:rStyle w:val="IndexLink"/>
                <w:rtl w:val="true"/>
              </w:rPr>
              <w:t>اخذ وكيل توسّط مملوك مأذون در تجارت</w:t>
            </w:r>
            <w:r>
              <w:rPr>
                <w:rStyle w:val="IndexLink"/>
                <w:rtl w:val="true"/>
              </w:rPr>
              <w:tab/>
            </w:r>
            <w:r>
              <w:rPr>
                <w:rStyle w:val="IndexLink"/>
              </w:rPr>
              <w:t>370</w:t>
            </w:r>
          </w:hyperlink>
        </w:p>
        <w:p>
          <w:pPr>
            <w:pStyle w:val="Contents4"/>
            <w:tabs>
              <w:tab w:val="clear" w:pos="8176"/>
              <w:tab w:val="right" w:pos="9026" w:leader="dot"/>
            </w:tabs>
            <w:rPr/>
          </w:pPr>
          <w:hyperlink w:anchor="__RefHeading___Toc3598931_1067777946">
            <w:r>
              <w:rPr>
                <w:webHidden/>
                <w:rStyle w:val="IndexLink"/>
                <w:rtl w:val="true"/>
              </w:rPr>
              <w:t>سفيه يا مفلس مى تواند توكيل نمايد در مثل طلاق</w:t>
            </w:r>
            <w:r>
              <w:rPr>
                <w:rStyle w:val="IndexLink"/>
                <w:rtl w:val="true"/>
              </w:rPr>
              <w:tab/>
            </w:r>
            <w:r>
              <w:rPr>
                <w:rStyle w:val="IndexLink"/>
              </w:rPr>
              <w:t>370</w:t>
            </w:r>
          </w:hyperlink>
        </w:p>
        <w:p>
          <w:pPr>
            <w:pStyle w:val="Contents4"/>
            <w:tabs>
              <w:tab w:val="clear" w:pos="8176"/>
              <w:tab w:val="right" w:pos="9026" w:leader="dot"/>
            </w:tabs>
            <w:rPr/>
          </w:pPr>
          <w:hyperlink w:anchor="__RefHeading___Toc3598933_1067777946">
            <w:r>
              <w:rPr>
                <w:webHidden/>
                <w:rStyle w:val="IndexLink"/>
                <w:rtl w:val="true"/>
              </w:rPr>
              <w:t>عدم جواز توكيل مُحرِم و معتكف براى موارد محرّم بر آنها</w:t>
            </w:r>
            <w:r>
              <w:rPr>
                <w:rStyle w:val="IndexLink"/>
                <w:rtl w:val="true"/>
              </w:rPr>
              <w:tab/>
            </w:r>
            <w:r>
              <w:rPr>
                <w:rStyle w:val="IndexLink"/>
              </w:rPr>
              <w:t>370</w:t>
            </w:r>
          </w:hyperlink>
        </w:p>
        <w:p>
          <w:pPr>
            <w:pStyle w:val="Contents4"/>
            <w:tabs>
              <w:tab w:val="clear" w:pos="8176"/>
              <w:tab w:val="right" w:pos="9026" w:leader="dot"/>
            </w:tabs>
            <w:rPr/>
          </w:pPr>
          <w:hyperlink w:anchor="__RefHeading___Toc3598935_1067777946">
            <w:r>
              <w:rPr>
                <w:webHidden/>
                <w:rStyle w:val="IndexLink"/>
                <w:rtl w:val="true"/>
              </w:rPr>
              <w:t>جواز توكيل جهت امور ولد صغير توسط اب و جدّ ابى</w:t>
            </w:r>
            <w:r>
              <w:rPr>
                <w:rStyle w:val="IndexLink"/>
                <w:rtl w:val="true"/>
              </w:rPr>
              <w:tab/>
            </w:r>
            <w:r>
              <w:rPr>
                <w:rStyle w:val="IndexLink"/>
              </w:rPr>
              <w:t>370</w:t>
            </w:r>
          </w:hyperlink>
        </w:p>
        <w:p>
          <w:pPr>
            <w:pStyle w:val="Contents4"/>
            <w:tabs>
              <w:tab w:val="clear" w:pos="8176"/>
              <w:tab w:val="right" w:pos="9026" w:leader="dot"/>
            </w:tabs>
            <w:rPr/>
          </w:pPr>
          <w:hyperlink w:anchor="__RefHeading___Toc3598937_1067777946">
            <w:r>
              <w:rPr>
                <w:webHidden/>
                <w:rStyle w:val="IndexLink"/>
                <w:rtl w:val="true"/>
              </w:rPr>
              <w:t>عبارت كلّى وكالت</w:t>
            </w:r>
            <w:r>
              <w:rPr>
                <w:rStyle w:val="IndexLink"/>
                <w:rtl w:val="true"/>
              </w:rPr>
              <w:tab/>
            </w:r>
            <w:r>
              <w:rPr>
                <w:rStyle w:val="IndexLink"/>
              </w:rPr>
              <w:t>371</w:t>
            </w:r>
          </w:hyperlink>
        </w:p>
        <w:p>
          <w:pPr>
            <w:pStyle w:val="Contents3"/>
            <w:tabs>
              <w:tab w:val="clear" w:pos="8459"/>
              <w:tab w:val="right" w:pos="9026" w:leader="dot"/>
            </w:tabs>
            <w:rPr/>
          </w:pPr>
          <w:hyperlink w:anchor="__RefHeading___Toc3598939_1067777946">
            <w:r>
              <w:rPr>
                <w:webHidden/>
                <w:rStyle w:val="IndexLink"/>
                <w:rtl w:val="true"/>
              </w:rPr>
              <w:t>فصل چهارم شرايط وكيل</w:t>
            </w:r>
            <w:r>
              <w:rPr>
                <w:rStyle w:val="IndexLink"/>
                <w:rtl w:val="true"/>
              </w:rPr>
              <w:tab/>
            </w:r>
            <w:r>
              <w:rPr>
                <w:rStyle w:val="IndexLink"/>
              </w:rPr>
              <w:t>372</w:t>
            </w:r>
          </w:hyperlink>
        </w:p>
        <w:p>
          <w:pPr>
            <w:pStyle w:val="Contents4"/>
            <w:tabs>
              <w:tab w:val="clear" w:pos="8176"/>
              <w:tab w:val="right" w:pos="9026" w:leader="dot"/>
            </w:tabs>
            <w:rPr/>
          </w:pPr>
          <w:hyperlink w:anchor="__RefHeading___Toc3598941_1067777946">
            <w:r>
              <w:rPr>
                <w:webHidden/>
                <w:rStyle w:val="IndexLink"/>
                <w:rtl w:val="true"/>
              </w:rPr>
              <w:t>بلوغ و كمال عقل</w:t>
            </w:r>
            <w:r>
              <w:rPr>
                <w:rStyle w:val="IndexLink"/>
                <w:rtl w:val="true"/>
              </w:rPr>
              <w:tab/>
            </w:r>
            <w:r>
              <w:rPr>
                <w:rStyle w:val="IndexLink"/>
              </w:rPr>
              <w:t>372</w:t>
            </w:r>
          </w:hyperlink>
        </w:p>
        <w:p>
          <w:pPr>
            <w:pStyle w:val="Contents4"/>
            <w:tabs>
              <w:tab w:val="clear" w:pos="8176"/>
              <w:tab w:val="right" w:pos="9026" w:leader="dot"/>
            </w:tabs>
            <w:rPr/>
          </w:pPr>
          <w:hyperlink w:anchor="__RefHeading___Toc3598943_1067777946">
            <w:r>
              <w:rPr>
                <w:webHidden/>
                <w:rStyle w:val="IndexLink"/>
                <w:rtl w:val="true"/>
              </w:rPr>
              <w:t>عدم اعتبار عدالت</w:t>
            </w:r>
            <w:r>
              <w:rPr>
                <w:rStyle w:val="IndexLink"/>
                <w:rtl w:val="true"/>
              </w:rPr>
              <w:tab/>
            </w:r>
            <w:r>
              <w:rPr>
                <w:rStyle w:val="IndexLink"/>
              </w:rPr>
              <w:t>372</w:t>
            </w:r>
          </w:hyperlink>
        </w:p>
        <w:p>
          <w:pPr>
            <w:pStyle w:val="Contents4"/>
            <w:tabs>
              <w:tab w:val="clear" w:pos="8176"/>
              <w:tab w:val="right" w:pos="9026" w:leader="dot"/>
            </w:tabs>
            <w:rPr/>
          </w:pPr>
          <w:hyperlink w:anchor="__RefHeading___Toc3598945_1067777946">
            <w:r>
              <w:rPr>
                <w:webHidden/>
                <w:rStyle w:val="IndexLink"/>
                <w:rtl w:val="true"/>
              </w:rPr>
              <w:t>عدم جواز توكيل براى امرى كه مباشرت آن جايز نيست</w:t>
            </w:r>
            <w:r>
              <w:rPr>
                <w:rStyle w:val="IndexLink"/>
                <w:rtl w:val="true"/>
              </w:rPr>
              <w:tab/>
            </w:r>
            <w:r>
              <w:rPr>
                <w:rStyle w:val="IndexLink"/>
              </w:rPr>
              <w:t>372</w:t>
            </w:r>
          </w:hyperlink>
        </w:p>
        <w:p>
          <w:pPr>
            <w:pStyle w:val="Contents4"/>
            <w:tabs>
              <w:tab w:val="clear" w:pos="8176"/>
              <w:tab w:val="right" w:pos="9026" w:leader="dot"/>
            </w:tabs>
            <w:rPr/>
          </w:pPr>
          <w:hyperlink w:anchor="__RefHeading___Toc3598947_1067777946">
            <w:r>
              <w:rPr>
                <w:webHidden/>
                <w:rStyle w:val="IndexLink"/>
                <w:rtl w:val="true"/>
              </w:rPr>
              <w:t>صحت وكالت محجورٌ عليه</w:t>
            </w:r>
            <w:r>
              <w:rPr>
                <w:rStyle w:val="IndexLink"/>
                <w:rtl w:val="true"/>
              </w:rPr>
              <w:tab/>
            </w:r>
            <w:r>
              <w:rPr>
                <w:rStyle w:val="IndexLink"/>
              </w:rPr>
              <w:t>372</w:t>
            </w:r>
          </w:hyperlink>
        </w:p>
        <w:p>
          <w:pPr>
            <w:pStyle w:val="Contents4"/>
            <w:tabs>
              <w:tab w:val="clear" w:pos="8176"/>
              <w:tab w:val="right" w:pos="9026" w:leader="dot"/>
            </w:tabs>
            <w:rPr/>
          </w:pPr>
          <w:hyperlink w:anchor="__RefHeading___Toc3598949_1067777946">
            <w:r>
              <w:rPr>
                <w:webHidden/>
                <w:rStyle w:val="IndexLink"/>
                <w:rtl w:val="true"/>
              </w:rPr>
              <w:t>عدم جواز نيابت و وكالت مُحرِم</w:t>
            </w:r>
            <w:r>
              <w:rPr>
                <w:rStyle w:val="IndexLink"/>
                <w:rtl w:val="true"/>
              </w:rPr>
              <w:tab/>
            </w:r>
            <w:r>
              <w:rPr>
                <w:rStyle w:val="IndexLink"/>
              </w:rPr>
              <w:t>373</w:t>
            </w:r>
          </w:hyperlink>
        </w:p>
        <w:p>
          <w:pPr>
            <w:pStyle w:val="Contents4"/>
            <w:tabs>
              <w:tab w:val="clear" w:pos="8176"/>
              <w:tab w:val="right" w:pos="9026" w:leader="dot"/>
            </w:tabs>
            <w:rPr/>
          </w:pPr>
          <w:hyperlink w:anchor="__RefHeading___Toc3598951_1067777946">
            <w:r>
              <w:rPr>
                <w:webHidden/>
                <w:rStyle w:val="IndexLink"/>
                <w:rtl w:val="true"/>
              </w:rPr>
              <w:t>توكيل زن در طلاق و عقد</w:t>
            </w:r>
            <w:r>
              <w:rPr>
                <w:rStyle w:val="IndexLink"/>
                <w:rtl w:val="true"/>
              </w:rPr>
              <w:tab/>
            </w:r>
            <w:r>
              <w:rPr>
                <w:rStyle w:val="IndexLink"/>
              </w:rPr>
              <w:t>373</w:t>
            </w:r>
          </w:hyperlink>
        </w:p>
        <w:p>
          <w:pPr>
            <w:pStyle w:val="Contents4"/>
            <w:tabs>
              <w:tab w:val="clear" w:pos="8176"/>
              <w:tab w:val="right" w:pos="9026" w:leader="dot"/>
            </w:tabs>
            <w:rPr/>
          </w:pPr>
          <w:hyperlink w:anchor="__RefHeading___Toc3598953_1067777946">
            <w:r>
              <w:rPr>
                <w:webHidden/>
                <w:rStyle w:val="IndexLink"/>
                <w:rtl w:val="true"/>
              </w:rPr>
              <w:t>وكالت مملوك</w:t>
            </w:r>
            <w:r>
              <w:rPr>
                <w:rStyle w:val="IndexLink"/>
                <w:rtl w:val="true"/>
              </w:rPr>
              <w:tab/>
            </w:r>
            <w:r>
              <w:rPr>
                <w:rStyle w:val="IndexLink"/>
              </w:rPr>
              <w:t>373</w:t>
            </w:r>
          </w:hyperlink>
        </w:p>
        <w:p>
          <w:pPr>
            <w:pStyle w:val="Contents4"/>
            <w:tabs>
              <w:tab w:val="clear" w:pos="8176"/>
              <w:tab w:val="right" w:pos="9026" w:leader="dot"/>
            </w:tabs>
            <w:rPr/>
          </w:pPr>
          <w:hyperlink w:anchor="__RefHeading___Toc3598955_1067777946">
            <w:r>
              <w:rPr>
                <w:webHidden/>
                <w:rStyle w:val="IndexLink"/>
                <w:rtl w:val="true"/>
              </w:rPr>
              <w:t>عدم اعتبار عدالت در ايجاب و قبول نكاح و در ولىّ‌</w:t>
            </w:r>
            <w:r>
              <w:rPr>
                <w:rStyle w:val="IndexLink"/>
                <w:rtl w:val="true"/>
              </w:rPr>
              <w:tab/>
            </w:r>
            <w:r>
              <w:rPr>
                <w:rStyle w:val="IndexLink"/>
              </w:rPr>
              <w:t>374</w:t>
            </w:r>
          </w:hyperlink>
        </w:p>
        <w:p>
          <w:pPr>
            <w:pStyle w:val="Contents4"/>
            <w:tabs>
              <w:tab w:val="clear" w:pos="8176"/>
              <w:tab w:val="right" w:pos="9026" w:leader="dot"/>
            </w:tabs>
            <w:rPr/>
          </w:pPr>
          <w:hyperlink w:anchor="__RefHeading___Toc3598957_1067777946">
            <w:r>
              <w:rPr>
                <w:webHidden/>
                <w:rStyle w:val="IndexLink"/>
                <w:rtl w:val="true"/>
              </w:rPr>
              <w:t>وكالت كافر</w:t>
            </w:r>
            <w:r>
              <w:rPr>
                <w:rStyle w:val="IndexLink"/>
                <w:rtl w:val="true"/>
              </w:rPr>
              <w:tab/>
            </w:r>
            <w:r>
              <w:rPr>
                <w:rStyle w:val="IndexLink"/>
              </w:rPr>
              <w:t>374</w:t>
            </w:r>
          </w:hyperlink>
        </w:p>
        <w:p>
          <w:pPr>
            <w:pStyle w:val="Contents4"/>
            <w:tabs>
              <w:tab w:val="clear" w:pos="8176"/>
              <w:tab w:val="right" w:pos="9026" w:leader="dot"/>
            </w:tabs>
            <w:rPr/>
          </w:pPr>
          <w:hyperlink w:anchor="__RefHeading___Toc3598959_1067777946">
            <w:r>
              <w:rPr>
                <w:webHidden/>
                <w:rStyle w:val="IndexLink"/>
                <w:rtl w:val="true"/>
              </w:rPr>
              <w:t>اقتصار وكيل به مستفاد از عبارت موكِّل</w:t>
            </w:r>
            <w:r>
              <w:rPr>
                <w:rStyle w:val="IndexLink"/>
                <w:rtl w:val="true"/>
              </w:rPr>
              <w:tab/>
            </w:r>
            <w:r>
              <w:rPr>
                <w:rStyle w:val="IndexLink"/>
              </w:rPr>
              <w:t>374</w:t>
            </w:r>
          </w:hyperlink>
        </w:p>
        <w:p>
          <w:pPr>
            <w:pStyle w:val="Contents4"/>
            <w:tabs>
              <w:tab w:val="clear" w:pos="8176"/>
              <w:tab w:val="right" w:pos="9026" w:leader="dot"/>
            </w:tabs>
            <w:rPr/>
          </w:pPr>
          <w:hyperlink w:anchor="__RefHeading___Toc3598961_1067777946">
            <w:r>
              <w:rPr>
                <w:webHidden/>
                <w:rStyle w:val="IndexLink"/>
                <w:rtl w:val="true"/>
              </w:rPr>
              <w:t>مالكيّت موكّل در فرض بيع به مال او يا به قصد او</w:t>
            </w:r>
            <w:r>
              <w:rPr>
                <w:rStyle w:val="IndexLink"/>
                <w:rtl w:val="true"/>
              </w:rPr>
              <w:tab/>
            </w:r>
            <w:r>
              <w:rPr>
                <w:rStyle w:val="IndexLink"/>
              </w:rPr>
              <w:t>375</w:t>
            </w:r>
          </w:hyperlink>
        </w:p>
        <w:p>
          <w:pPr>
            <w:pStyle w:val="Contents4"/>
            <w:tabs>
              <w:tab w:val="clear" w:pos="8176"/>
              <w:tab w:val="right" w:pos="9026" w:leader="dot"/>
            </w:tabs>
            <w:rPr/>
          </w:pPr>
          <w:hyperlink w:anchor="__RefHeading___Toc3598963_1067777946">
            <w:r>
              <w:rPr>
                <w:webHidden/>
                <w:rStyle w:val="IndexLink"/>
                <w:rtl w:val="true"/>
              </w:rPr>
              <w:t>حكم خريدى كه براى موكّل واقع نشود</w:t>
            </w:r>
            <w:r>
              <w:rPr>
                <w:rStyle w:val="IndexLink"/>
                <w:rtl w:val="true"/>
              </w:rPr>
              <w:tab/>
            </w:r>
            <w:r>
              <w:rPr>
                <w:rStyle w:val="IndexLink"/>
              </w:rPr>
              <w:t>376</w:t>
            </w:r>
          </w:hyperlink>
        </w:p>
        <w:p>
          <w:pPr>
            <w:pStyle w:val="Contents4"/>
            <w:tabs>
              <w:tab w:val="clear" w:pos="8176"/>
              <w:tab w:val="right" w:pos="9026" w:leader="dot"/>
            </w:tabs>
            <w:rPr/>
          </w:pPr>
          <w:hyperlink w:anchor="__RefHeading___Toc3598965_1067777946">
            <w:r>
              <w:rPr>
                <w:webHidden/>
                <w:rStyle w:val="IndexLink"/>
                <w:rtl w:val="true"/>
              </w:rPr>
              <w:t>خريد براى موكّل و عدم امكان اثبات آن</w:t>
            </w:r>
            <w:r>
              <w:rPr>
                <w:rStyle w:val="IndexLink"/>
                <w:rtl w:val="true"/>
              </w:rPr>
              <w:tab/>
            </w:r>
            <w:r>
              <w:rPr>
                <w:rStyle w:val="IndexLink"/>
              </w:rPr>
              <w:t>376</w:t>
            </w:r>
          </w:hyperlink>
        </w:p>
        <w:p>
          <w:pPr>
            <w:pStyle w:val="Contents4"/>
            <w:tabs>
              <w:tab w:val="clear" w:pos="8176"/>
              <w:tab w:val="right" w:pos="9026" w:leader="dot"/>
            </w:tabs>
            <w:rPr/>
          </w:pPr>
          <w:hyperlink w:anchor="__RefHeading___Toc3598967_1067777946">
            <w:r>
              <w:rPr>
                <w:webHidden/>
                <w:rStyle w:val="IndexLink"/>
                <w:rtl w:val="true"/>
              </w:rPr>
              <w:t>تلفّظ به اسم موكّل و قصد معامله براى خود</w:t>
            </w:r>
            <w:r>
              <w:rPr>
                <w:rStyle w:val="IndexLink"/>
                <w:rtl w:val="true"/>
              </w:rPr>
              <w:tab/>
            </w:r>
            <w:r>
              <w:rPr>
                <w:rStyle w:val="IndexLink"/>
              </w:rPr>
              <w:t>376</w:t>
            </w:r>
          </w:hyperlink>
        </w:p>
        <w:p>
          <w:pPr>
            <w:pStyle w:val="Contents4"/>
            <w:tabs>
              <w:tab w:val="clear" w:pos="8176"/>
              <w:tab w:val="right" w:pos="9026" w:leader="dot"/>
            </w:tabs>
            <w:rPr/>
          </w:pPr>
          <w:hyperlink w:anchor="__RefHeading___Toc3598969_1067777946">
            <w:r>
              <w:rPr>
                <w:webHidden/>
                <w:rStyle w:val="IndexLink"/>
                <w:rtl w:val="true"/>
              </w:rPr>
              <w:t>اگر موكّل انكار وكالت نمايد</w:t>
            </w:r>
            <w:r>
              <w:rPr>
                <w:rStyle w:val="IndexLink"/>
                <w:rtl w:val="true"/>
              </w:rPr>
              <w:tab/>
            </w:r>
            <w:r>
              <w:rPr>
                <w:rStyle w:val="IndexLink"/>
              </w:rPr>
              <w:t>377</w:t>
            </w:r>
          </w:hyperlink>
        </w:p>
        <w:p>
          <w:pPr>
            <w:pStyle w:val="Contents4"/>
            <w:tabs>
              <w:tab w:val="clear" w:pos="8176"/>
              <w:tab w:val="right" w:pos="9026" w:leader="dot"/>
            </w:tabs>
            <w:rPr/>
          </w:pPr>
          <w:hyperlink w:anchor="__RefHeading___Toc3598971_1067777946">
            <w:r>
              <w:rPr>
                <w:webHidden/>
                <w:rStyle w:val="IndexLink"/>
                <w:rtl w:val="true"/>
              </w:rPr>
              <w:t>ادّعاى جهل بايع به اينكه ثمن مال موكّل بوده</w:t>
            </w:r>
            <w:r>
              <w:rPr>
                <w:rStyle w:val="IndexLink"/>
                <w:rtl w:val="true"/>
              </w:rPr>
              <w:tab/>
            </w:r>
            <w:r>
              <w:rPr>
                <w:rStyle w:val="IndexLink"/>
              </w:rPr>
              <w:t>378</w:t>
            </w:r>
          </w:hyperlink>
        </w:p>
        <w:p>
          <w:pPr>
            <w:pStyle w:val="Contents4"/>
            <w:tabs>
              <w:tab w:val="clear" w:pos="8176"/>
              <w:tab w:val="right" w:pos="9026" w:leader="dot"/>
            </w:tabs>
            <w:rPr/>
          </w:pPr>
          <w:hyperlink w:anchor="__RefHeading___Toc3598973_1067777946">
            <w:r>
              <w:rPr>
                <w:webHidden/>
                <w:rStyle w:val="IndexLink"/>
                <w:rtl w:val="true"/>
              </w:rPr>
              <w:t>صور مختلف قصد و ذكر مالك و عدم آن در معامله</w:t>
            </w:r>
            <w:r>
              <w:rPr>
                <w:rStyle w:val="IndexLink"/>
                <w:rtl w:val="true"/>
              </w:rPr>
              <w:tab/>
            </w:r>
            <w:r>
              <w:rPr>
                <w:rStyle w:val="IndexLink"/>
              </w:rPr>
              <w:t>378</w:t>
            </w:r>
          </w:hyperlink>
        </w:p>
        <w:p>
          <w:pPr>
            <w:pStyle w:val="Contents4"/>
            <w:tabs>
              <w:tab w:val="clear" w:pos="8176"/>
              <w:tab w:val="right" w:pos="9026" w:leader="dot"/>
            </w:tabs>
            <w:rPr/>
          </w:pPr>
          <w:hyperlink w:anchor="__RefHeading___Toc3598975_1067777946">
            <w:r>
              <w:rPr>
                <w:webHidden/>
                <w:rStyle w:val="IndexLink"/>
                <w:rtl w:val="true"/>
              </w:rPr>
              <w:t>توكيل دو نفر</w:t>
            </w:r>
            <w:r>
              <w:rPr>
                <w:rStyle w:val="IndexLink"/>
                <w:rtl w:val="true"/>
              </w:rPr>
              <w:tab/>
            </w:r>
            <w:r>
              <w:rPr>
                <w:rStyle w:val="IndexLink"/>
              </w:rPr>
              <w:t>379</w:t>
            </w:r>
          </w:hyperlink>
        </w:p>
        <w:p>
          <w:pPr>
            <w:pStyle w:val="Contents4"/>
            <w:tabs>
              <w:tab w:val="clear" w:pos="8176"/>
              <w:tab w:val="right" w:pos="9026" w:leader="dot"/>
            </w:tabs>
            <w:rPr/>
          </w:pPr>
          <w:hyperlink w:anchor="__RefHeading___Toc3598977_1067777946">
            <w:r>
              <w:rPr>
                <w:webHidden/>
                <w:rStyle w:val="IndexLink"/>
                <w:rtl w:val="true"/>
              </w:rPr>
              <w:t>وكالت از طرف دو نفر يا يكى با اصالت خودش</w:t>
            </w:r>
            <w:r>
              <w:rPr>
                <w:rStyle w:val="IndexLink"/>
                <w:rtl w:val="true"/>
              </w:rPr>
              <w:tab/>
            </w:r>
            <w:r>
              <w:rPr>
                <w:rStyle w:val="IndexLink"/>
              </w:rPr>
              <w:t>380</w:t>
            </w:r>
          </w:hyperlink>
        </w:p>
        <w:p>
          <w:pPr>
            <w:pStyle w:val="Contents4"/>
            <w:tabs>
              <w:tab w:val="clear" w:pos="8176"/>
              <w:tab w:val="right" w:pos="9026" w:leader="dot"/>
            </w:tabs>
            <w:rPr/>
          </w:pPr>
          <w:hyperlink w:anchor="__RefHeading___Toc3598979_1067777946">
            <w:r>
              <w:rPr>
                <w:webHidden/>
                <w:rStyle w:val="IndexLink"/>
                <w:rtl w:val="true"/>
              </w:rPr>
              <w:t>حكم بقاى توكيل زوجه يا عبد بعد از طلاق و عتق</w:t>
            </w:r>
            <w:r>
              <w:rPr>
                <w:rStyle w:val="IndexLink"/>
                <w:rtl w:val="true"/>
              </w:rPr>
              <w:tab/>
            </w:r>
            <w:r>
              <w:rPr>
                <w:rStyle w:val="IndexLink"/>
              </w:rPr>
              <w:t>380</w:t>
            </w:r>
          </w:hyperlink>
        </w:p>
        <w:p>
          <w:pPr>
            <w:pStyle w:val="Contents4"/>
            <w:tabs>
              <w:tab w:val="clear" w:pos="8176"/>
              <w:tab w:val="right" w:pos="9026" w:leader="dot"/>
            </w:tabs>
            <w:rPr/>
          </w:pPr>
          <w:hyperlink w:anchor="__RefHeading___Toc3598981_1067777946">
            <w:r>
              <w:rPr>
                <w:webHidden/>
                <w:rStyle w:val="IndexLink"/>
                <w:rtl w:val="true"/>
              </w:rPr>
              <w:t>حكم بقاى اذن در تصرّف بعد از طلاق و عتق</w:t>
            </w:r>
            <w:r>
              <w:rPr>
                <w:rStyle w:val="IndexLink"/>
                <w:rtl w:val="true"/>
              </w:rPr>
              <w:tab/>
            </w:r>
            <w:r>
              <w:rPr>
                <w:rStyle w:val="IndexLink"/>
              </w:rPr>
              <w:t>381</w:t>
            </w:r>
          </w:hyperlink>
        </w:p>
        <w:p>
          <w:pPr>
            <w:pStyle w:val="Contents4"/>
            <w:tabs>
              <w:tab w:val="clear" w:pos="8176"/>
              <w:tab w:val="right" w:pos="9026" w:leader="dot"/>
            </w:tabs>
            <w:rPr/>
          </w:pPr>
          <w:hyperlink w:anchor="__RefHeading___Toc3598983_1067777946">
            <w:r>
              <w:rPr>
                <w:webHidden/>
                <w:rStyle w:val="IndexLink"/>
                <w:rtl w:val="true"/>
              </w:rPr>
              <w:t>عدم ملازمۀ توكيل در حكومت با اذن در قبض و عكس</w:t>
            </w:r>
            <w:r>
              <w:rPr>
                <w:rStyle w:val="IndexLink"/>
                <w:rtl w:val="true"/>
              </w:rPr>
              <w:tab/>
            </w:r>
            <w:r>
              <w:rPr>
                <w:rStyle w:val="IndexLink"/>
              </w:rPr>
              <w:t>381</w:t>
            </w:r>
          </w:hyperlink>
        </w:p>
        <w:p>
          <w:pPr>
            <w:pStyle w:val="Contents4"/>
            <w:tabs>
              <w:tab w:val="clear" w:pos="8176"/>
              <w:tab w:val="right" w:pos="9026" w:leader="dot"/>
            </w:tabs>
            <w:rPr/>
          </w:pPr>
          <w:hyperlink w:anchor="__RefHeading___Toc3598985_1067777946">
            <w:r>
              <w:rPr>
                <w:webHidden/>
                <w:rStyle w:val="IndexLink"/>
                <w:rtl w:val="true"/>
              </w:rPr>
              <w:t>توكيل در قبض حق از شخص معيّن</w:t>
            </w:r>
            <w:r>
              <w:rPr>
                <w:rStyle w:val="IndexLink"/>
                <w:rtl w:val="true"/>
              </w:rPr>
              <w:tab/>
            </w:r>
            <w:r>
              <w:rPr>
                <w:rStyle w:val="IndexLink"/>
              </w:rPr>
              <w:t>381</w:t>
            </w:r>
          </w:hyperlink>
        </w:p>
        <w:p>
          <w:pPr>
            <w:pStyle w:val="Contents4"/>
            <w:tabs>
              <w:tab w:val="clear" w:pos="8176"/>
              <w:tab w:val="right" w:pos="9026" w:leader="dot"/>
            </w:tabs>
            <w:rPr/>
          </w:pPr>
          <w:hyperlink w:anchor="__RefHeading___Toc3598987_1067777946">
            <w:r>
              <w:rPr>
                <w:webHidden/>
                <w:rStyle w:val="IndexLink"/>
                <w:rtl w:val="true"/>
              </w:rPr>
              <w:t>عدم ملازمۀ توكيل در خريد معيب با توكيل در خريد صحيح</w:t>
            </w:r>
            <w:r>
              <w:rPr>
                <w:rStyle w:val="IndexLink"/>
                <w:rtl w:val="true"/>
              </w:rPr>
              <w:tab/>
            </w:r>
            <w:r>
              <w:rPr>
                <w:rStyle w:val="IndexLink"/>
              </w:rPr>
              <w:t>382</w:t>
            </w:r>
          </w:hyperlink>
        </w:p>
        <w:p>
          <w:pPr>
            <w:pStyle w:val="Contents4"/>
            <w:tabs>
              <w:tab w:val="clear" w:pos="8176"/>
              <w:tab w:val="right" w:pos="9026" w:leader="dot"/>
            </w:tabs>
            <w:rPr/>
          </w:pPr>
          <w:hyperlink w:anchor="__RefHeading___Toc3598989_1067777946">
            <w:r>
              <w:rPr>
                <w:webHidden/>
                <w:rStyle w:val="IndexLink"/>
                <w:rtl w:val="true"/>
              </w:rPr>
              <w:t>استحقاق اجرت و جُعْل در وكالت</w:t>
            </w:r>
            <w:r>
              <w:rPr>
                <w:rStyle w:val="IndexLink"/>
                <w:rtl w:val="true"/>
              </w:rPr>
              <w:tab/>
            </w:r>
            <w:r>
              <w:rPr>
                <w:rStyle w:val="IndexLink"/>
              </w:rPr>
              <w:t>382</w:t>
            </w:r>
          </w:hyperlink>
        </w:p>
        <w:p>
          <w:pPr>
            <w:pStyle w:val="Contents4"/>
            <w:tabs>
              <w:tab w:val="clear" w:pos="8176"/>
              <w:tab w:val="right" w:pos="9026" w:leader="dot"/>
            </w:tabs>
            <w:rPr/>
          </w:pPr>
          <w:hyperlink w:anchor="__RefHeading___Toc3598991_1067777946">
            <w:r>
              <w:rPr>
                <w:webHidden/>
                <w:rStyle w:val="IndexLink"/>
                <w:rtl w:val="true"/>
              </w:rPr>
              <w:t>انحاى استيفاى دين توسّط وكيل</w:t>
            </w:r>
            <w:r>
              <w:rPr>
                <w:rStyle w:val="IndexLink"/>
                <w:rtl w:val="true"/>
              </w:rPr>
              <w:tab/>
            </w:r>
            <w:r>
              <w:rPr>
                <w:rStyle w:val="IndexLink"/>
              </w:rPr>
              <w:t>382</w:t>
            </w:r>
          </w:hyperlink>
        </w:p>
        <w:p>
          <w:pPr>
            <w:pStyle w:val="Contents4"/>
            <w:tabs>
              <w:tab w:val="clear" w:pos="8176"/>
              <w:tab w:val="right" w:pos="9026" w:leader="dot"/>
            </w:tabs>
            <w:rPr/>
          </w:pPr>
          <w:hyperlink w:anchor="__RefHeading___Toc3598993_1067777946">
            <w:r>
              <w:rPr>
                <w:webHidden/>
                <w:rStyle w:val="IndexLink"/>
                <w:rtl w:val="true"/>
              </w:rPr>
              <w:t>امين بودن وكيل و عدم بطلان وكالت با فرض ضمان در تقدير تلف</w:t>
            </w:r>
            <w:r>
              <w:rPr>
                <w:rStyle w:val="IndexLink"/>
                <w:rtl w:val="true"/>
              </w:rPr>
              <w:tab/>
            </w:r>
            <w:r>
              <w:rPr>
                <w:rStyle w:val="IndexLink"/>
              </w:rPr>
              <w:t>383</w:t>
            </w:r>
          </w:hyperlink>
        </w:p>
        <w:p>
          <w:pPr>
            <w:pStyle w:val="Contents4"/>
            <w:tabs>
              <w:tab w:val="clear" w:pos="8176"/>
              <w:tab w:val="right" w:pos="9026" w:leader="dot"/>
            </w:tabs>
            <w:rPr/>
          </w:pPr>
          <w:hyperlink w:anchor="__RefHeading___Toc3598995_1067777946">
            <w:r>
              <w:rPr>
                <w:webHidden/>
                <w:rStyle w:val="IndexLink"/>
                <w:rtl w:val="true"/>
              </w:rPr>
              <w:t>حكم ضمان در وكيل در ايداع و يا در قضاى دين</w:t>
            </w:r>
            <w:r>
              <w:rPr>
                <w:rStyle w:val="IndexLink"/>
                <w:rtl w:val="true"/>
              </w:rPr>
              <w:tab/>
            </w:r>
            <w:r>
              <w:rPr>
                <w:rStyle w:val="IndexLink"/>
              </w:rPr>
              <w:t>383</w:t>
            </w:r>
          </w:hyperlink>
        </w:p>
        <w:p>
          <w:pPr>
            <w:pStyle w:val="Contents4"/>
            <w:tabs>
              <w:tab w:val="clear" w:pos="8176"/>
              <w:tab w:val="right" w:pos="9026" w:leader="dot"/>
            </w:tabs>
            <w:rPr/>
          </w:pPr>
          <w:hyperlink w:anchor="__RefHeading___Toc3598997_1067777946">
            <w:r>
              <w:rPr>
                <w:webHidden/>
                <w:rStyle w:val="IndexLink"/>
                <w:rtl w:val="true"/>
              </w:rPr>
              <w:t>وكالت مطلق در بيع متاع</w:t>
            </w:r>
            <w:r>
              <w:rPr>
                <w:rStyle w:val="IndexLink"/>
                <w:rtl w:val="true"/>
              </w:rPr>
              <w:tab/>
            </w:r>
            <w:r>
              <w:rPr>
                <w:rStyle w:val="IndexLink"/>
              </w:rPr>
              <w:t>383</w:t>
            </w:r>
          </w:hyperlink>
        </w:p>
        <w:p>
          <w:pPr>
            <w:pStyle w:val="Contents4"/>
            <w:tabs>
              <w:tab w:val="clear" w:pos="8176"/>
              <w:tab w:val="right" w:pos="9026" w:leader="dot"/>
            </w:tabs>
            <w:rPr/>
          </w:pPr>
          <w:hyperlink w:anchor="__RefHeading___Toc3598999_1067777946">
            <w:r>
              <w:rPr>
                <w:webHidden/>
                <w:rStyle w:val="IndexLink"/>
                <w:rtl w:val="true"/>
              </w:rPr>
              <w:t>اختلاف وكيل و موكّل</w:t>
            </w:r>
            <w:r>
              <w:rPr>
                <w:rStyle w:val="IndexLink"/>
                <w:rtl w:val="true"/>
              </w:rPr>
              <w:tab/>
            </w:r>
            <w:r>
              <w:rPr>
                <w:rStyle w:val="IndexLink"/>
              </w:rPr>
              <w:t>383</w:t>
            </w:r>
          </w:hyperlink>
        </w:p>
        <w:p>
          <w:pPr>
            <w:pStyle w:val="Contents4"/>
            <w:tabs>
              <w:tab w:val="clear" w:pos="8176"/>
              <w:tab w:val="right" w:pos="9026" w:leader="dot"/>
            </w:tabs>
            <w:rPr/>
          </w:pPr>
          <w:hyperlink w:anchor="__RefHeading___Toc3599001_1067777946">
            <w:r>
              <w:rPr>
                <w:webHidden/>
                <w:rStyle w:val="IndexLink"/>
                <w:rtl w:val="true"/>
              </w:rPr>
              <w:t>توكيل مديون در خريد و برائت ذمّۀ او</w:t>
            </w:r>
            <w:r>
              <w:rPr>
                <w:rStyle w:val="IndexLink"/>
                <w:rtl w:val="true"/>
              </w:rPr>
              <w:tab/>
            </w:r>
            <w:r>
              <w:rPr>
                <w:rStyle w:val="IndexLink"/>
              </w:rPr>
              <w:t>384</w:t>
            </w:r>
          </w:hyperlink>
        </w:p>
        <w:p>
          <w:pPr>
            <w:pStyle w:val="Contents3"/>
            <w:tabs>
              <w:tab w:val="clear" w:pos="8459"/>
              <w:tab w:val="right" w:pos="9026" w:leader="dot"/>
            </w:tabs>
            <w:rPr/>
          </w:pPr>
          <w:hyperlink w:anchor="__RefHeading___Toc3599003_1067777946">
            <w:r>
              <w:rPr>
                <w:webHidden/>
                <w:rStyle w:val="IndexLink"/>
                <w:rtl w:val="true"/>
              </w:rPr>
              <w:t>فصل پنجم آنچه وكالت با آن ثابت مى شود</w:t>
            </w:r>
            <w:r>
              <w:rPr>
                <w:rStyle w:val="IndexLink"/>
                <w:rtl w:val="true"/>
              </w:rPr>
              <w:tab/>
            </w:r>
            <w:r>
              <w:rPr>
                <w:rStyle w:val="IndexLink"/>
              </w:rPr>
              <w:t>385</w:t>
            </w:r>
          </w:hyperlink>
        </w:p>
        <w:p>
          <w:pPr>
            <w:pStyle w:val="Contents4"/>
            <w:tabs>
              <w:tab w:val="clear" w:pos="8176"/>
              <w:tab w:val="right" w:pos="9026" w:leader="dot"/>
            </w:tabs>
            <w:rPr/>
          </w:pPr>
          <w:hyperlink w:anchor="__RefHeading___Toc3599005_1067777946">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599007_1067777946">
            <w:r>
              <w:rPr>
                <w:webHidden/>
                <w:rStyle w:val="IndexLink"/>
                <w:rtl w:val="true"/>
              </w:rPr>
              <w:t>موارد اختلاف در شهادت بر وكالت</w:t>
            </w:r>
            <w:r>
              <w:rPr>
                <w:rStyle w:val="IndexLink"/>
                <w:rtl w:val="true"/>
              </w:rPr>
              <w:tab/>
            </w:r>
            <w:r>
              <w:rPr>
                <w:rStyle w:val="IndexLink"/>
              </w:rPr>
              <w:t>385</w:t>
            </w:r>
          </w:hyperlink>
        </w:p>
        <w:p>
          <w:pPr>
            <w:pStyle w:val="Contents4"/>
            <w:tabs>
              <w:tab w:val="clear" w:pos="8176"/>
              <w:tab w:val="right" w:pos="9026" w:leader="dot"/>
            </w:tabs>
            <w:rPr/>
          </w:pPr>
          <w:hyperlink w:anchor="__RefHeading___Toc3599009_1067777946">
            <w:r>
              <w:rPr>
                <w:webHidden/>
                <w:rStyle w:val="IndexLink"/>
                <w:rtl w:val="true"/>
              </w:rPr>
              <w:t>نفوذ علم حاكم</w:t>
            </w:r>
            <w:r>
              <w:rPr>
                <w:rStyle w:val="IndexLink"/>
                <w:rtl w:val="true"/>
              </w:rPr>
              <w:tab/>
            </w:r>
            <w:r>
              <w:rPr>
                <w:rStyle w:val="IndexLink"/>
              </w:rPr>
              <w:t>386</w:t>
            </w:r>
          </w:hyperlink>
        </w:p>
        <w:p>
          <w:pPr>
            <w:pStyle w:val="Contents4"/>
            <w:tabs>
              <w:tab w:val="clear" w:pos="8176"/>
              <w:tab w:val="right" w:pos="9026" w:leader="dot"/>
            </w:tabs>
            <w:rPr/>
          </w:pPr>
          <w:hyperlink w:anchor="__RefHeading___Toc3599011_1067777946">
            <w:r>
              <w:rPr>
                <w:webHidden/>
                <w:rStyle w:val="IndexLink"/>
                <w:rtl w:val="true"/>
              </w:rPr>
              <w:t>ادّعاى وكالت در گرفتن مال از بدهكار</w:t>
            </w:r>
            <w:r>
              <w:rPr>
                <w:rStyle w:val="IndexLink"/>
                <w:rtl w:val="true"/>
              </w:rPr>
              <w:tab/>
            </w:r>
            <w:r>
              <w:rPr>
                <w:rStyle w:val="IndexLink"/>
              </w:rPr>
              <w:t>386</w:t>
            </w:r>
          </w:hyperlink>
        </w:p>
        <w:p>
          <w:pPr>
            <w:pStyle w:val="Contents4"/>
            <w:tabs>
              <w:tab w:val="clear" w:pos="8176"/>
              <w:tab w:val="right" w:pos="9026" w:leader="dot"/>
            </w:tabs>
            <w:rPr/>
          </w:pPr>
          <w:hyperlink w:anchor="__RefHeading___Toc3599013_1067777946">
            <w:r>
              <w:rPr>
                <w:webHidden/>
                <w:rStyle w:val="IndexLink"/>
                <w:rtl w:val="true"/>
              </w:rPr>
              <w:t>اگر غريم دفع دين به وكيل نمود</w:t>
            </w:r>
            <w:r>
              <w:rPr>
                <w:rStyle w:val="IndexLink"/>
                <w:rtl w:val="true"/>
              </w:rPr>
              <w:tab/>
            </w:r>
            <w:r>
              <w:rPr>
                <w:rStyle w:val="IndexLink"/>
              </w:rPr>
              <w:t>387</w:t>
            </w:r>
          </w:hyperlink>
        </w:p>
        <w:p>
          <w:pPr>
            <w:pStyle w:val="Contents3"/>
            <w:tabs>
              <w:tab w:val="clear" w:pos="8459"/>
              <w:tab w:val="right" w:pos="9026" w:leader="dot"/>
            </w:tabs>
            <w:rPr/>
          </w:pPr>
          <w:hyperlink w:anchor="__RefHeading___Toc3599015_1067777946">
            <w:r>
              <w:rPr>
                <w:webHidden/>
                <w:rStyle w:val="IndexLink"/>
                <w:rtl w:val="true"/>
              </w:rPr>
              <w:t>فصل ششم مسائل وكالت</w:t>
            </w:r>
            <w:r>
              <w:rPr>
                <w:rStyle w:val="IndexLink"/>
                <w:rtl w:val="true"/>
              </w:rPr>
              <w:tab/>
            </w:r>
            <w:r>
              <w:rPr>
                <w:rStyle w:val="IndexLink"/>
              </w:rPr>
              <w:t>388</w:t>
            </w:r>
          </w:hyperlink>
        </w:p>
        <w:p>
          <w:pPr>
            <w:pStyle w:val="Contents4"/>
            <w:tabs>
              <w:tab w:val="clear" w:pos="8176"/>
              <w:tab w:val="right" w:pos="9026" w:leader="dot"/>
            </w:tabs>
            <w:rPr/>
          </w:pPr>
          <w:hyperlink w:anchor="__RefHeading___Toc3599017_1067777946">
            <w:r>
              <w:rPr>
                <w:webHidden/>
                <w:rStyle w:val="IndexLink"/>
                <w:rtl w:val="true"/>
              </w:rPr>
              <w:t>امين بودن وكيل و فرض مسموعيّت قول او</w:t>
            </w:r>
            <w:r>
              <w:rPr>
                <w:rStyle w:val="IndexLink"/>
                <w:rtl w:val="true"/>
              </w:rPr>
              <w:tab/>
            </w:r>
            <w:r>
              <w:rPr>
                <w:rStyle w:val="IndexLink"/>
              </w:rPr>
              <w:t>388</w:t>
            </w:r>
          </w:hyperlink>
        </w:p>
        <w:p>
          <w:pPr>
            <w:pStyle w:val="Contents4"/>
            <w:tabs>
              <w:tab w:val="clear" w:pos="8176"/>
              <w:tab w:val="right" w:pos="9026" w:leader="dot"/>
            </w:tabs>
            <w:rPr/>
          </w:pPr>
          <w:hyperlink w:anchor="__RefHeading___Toc3599019_1067777946">
            <w:r>
              <w:rPr>
                <w:webHidden/>
                <w:rStyle w:val="IndexLink"/>
                <w:rtl w:val="true"/>
              </w:rPr>
              <w:t>توكيل ثانى و احكام مترتّب بر آن</w:t>
            </w:r>
            <w:r>
              <w:rPr>
                <w:rStyle w:val="IndexLink"/>
                <w:rtl w:val="true"/>
              </w:rPr>
              <w:tab/>
            </w:r>
            <w:r>
              <w:rPr>
                <w:rStyle w:val="IndexLink"/>
              </w:rPr>
              <w:t>388</w:t>
            </w:r>
          </w:hyperlink>
        </w:p>
        <w:p>
          <w:pPr>
            <w:pStyle w:val="Contents4"/>
            <w:tabs>
              <w:tab w:val="clear" w:pos="8176"/>
              <w:tab w:val="right" w:pos="9026" w:leader="dot"/>
            </w:tabs>
            <w:rPr/>
          </w:pPr>
          <w:hyperlink w:anchor="__RefHeading___Toc3599021_1067777946">
            <w:r>
              <w:rPr>
                <w:webHidden/>
                <w:rStyle w:val="IndexLink"/>
                <w:rtl w:val="true"/>
              </w:rPr>
              <w:t>وجوب تسليم مال بر وكيل در صورت مطالبۀ موكل</w:t>
            </w:r>
            <w:r>
              <w:rPr>
                <w:rStyle w:val="IndexLink"/>
                <w:rtl w:val="true"/>
              </w:rPr>
              <w:tab/>
            </w:r>
            <w:r>
              <w:rPr>
                <w:rStyle w:val="IndexLink"/>
              </w:rPr>
              <w:t>389</w:t>
            </w:r>
          </w:hyperlink>
        </w:p>
        <w:p>
          <w:pPr>
            <w:pStyle w:val="Contents5"/>
            <w:tabs>
              <w:tab w:val="clear" w:pos="7892"/>
              <w:tab w:val="right" w:pos="9026" w:leader="dot"/>
            </w:tabs>
            <w:rPr/>
          </w:pPr>
          <w:hyperlink w:anchor="__RefHeading___Toc3599023_106777794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3599025_1067777946">
            <w:r>
              <w:rPr>
                <w:webHidden/>
                <w:rStyle w:val="IndexLink"/>
                <w:rtl w:val="true"/>
              </w:rPr>
              <w:t>ادّعاى تلف از طرف وكيل بعد از اقرار مطالبۀ مالك</w:t>
            </w:r>
            <w:r>
              <w:rPr>
                <w:rStyle w:val="IndexLink"/>
                <w:rtl w:val="true"/>
              </w:rPr>
              <w:tab/>
            </w:r>
            <w:r>
              <w:rPr>
                <w:rStyle w:val="IndexLink"/>
              </w:rPr>
              <w:t>389</w:t>
            </w:r>
          </w:hyperlink>
        </w:p>
        <w:p>
          <w:pPr>
            <w:pStyle w:val="Contents4"/>
            <w:tabs>
              <w:tab w:val="clear" w:pos="8176"/>
              <w:tab w:val="right" w:pos="9026" w:leader="dot"/>
            </w:tabs>
            <w:rPr/>
          </w:pPr>
          <w:hyperlink w:anchor="__RefHeading___Toc3599027_1067777946">
            <w:r>
              <w:rPr>
                <w:webHidden/>
                <w:rStyle w:val="IndexLink"/>
                <w:rtl w:val="true"/>
              </w:rPr>
              <w:t>عدم جواز تأخير در تسليم</w:t>
            </w:r>
            <w:r>
              <w:rPr>
                <w:rStyle w:val="IndexLink"/>
                <w:rtl w:val="true"/>
              </w:rPr>
              <w:tab/>
            </w:r>
            <w:r>
              <w:rPr>
                <w:rStyle w:val="IndexLink"/>
              </w:rPr>
              <w:t>389</w:t>
            </w:r>
          </w:hyperlink>
        </w:p>
        <w:p>
          <w:pPr>
            <w:pStyle w:val="Contents4"/>
            <w:tabs>
              <w:tab w:val="clear" w:pos="8176"/>
              <w:tab w:val="right" w:pos="9026" w:leader="dot"/>
            </w:tabs>
            <w:rPr/>
          </w:pPr>
          <w:hyperlink w:anchor="__RefHeading___Toc3599029_1067777946">
            <w:r>
              <w:rPr>
                <w:webHidden/>
                <w:rStyle w:val="IndexLink"/>
                <w:rtl w:val="true"/>
              </w:rPr>
              <w:t>عدم ضمان وكيل در ايداع مال و اداى دَيْن و ادّعا و عدم رد وديعه به او</w:t>
            </w:r>
            <w:r>
              <w:rPr>
                <w:rStyle w:val="IndexLink"/>
                <w:rtl w:val="true"/>
              </w:rPr>
              <w:tab/>
            </w:r>
            <w:r>
              <w:rPr>
                <w:rStyle w:val="IndexLink"/>
              </w:rPr>
              <w:t>390</w:t>
            </w:r>
          </w:hyperlink>
        </w:p>
        <w:p>
          <w:pPr>
            <w:pStyle w:val="Contents4"/>
            <w:tabs>
              <w:tab w:val="clear" w:pos="8176"/>
              <w:tab w:val="right" w:pos="9026" w:leader="dot"/>
            </w:tabs>
            <w:rPr/>
          </w:pPr>
          <w:hyperlink w:anchor="__RefHeading___Toc3599031_1067777946">
            <w:r>
              <w:rPr>
                <w:webHidden/>
                <w:rStyle w:val="IndexLink"/>
                <w:rtl w:val="true"/>
              </w:rPr>
              <w:t>ضامن بودن وكيل در صورت تعدّى</w:t>
            </w:r>
            <w:r>
              <w:rPr>
                <w:rStyle w:val="IndexLink"/>
                <w:rtl w:val="true"/>
              </w:rPr>
              <w:tab/>
            </w:r>
            <w:r>
              <w:rPr>
                <w:rStyle w:val="IndexLink"/>
              </w:rPr>
              <w:t>390</w:t>
            </w:r>
          </w:hyperlink>
        </w:p>
        <w:p>
          <w:pPr>
            <w:pStyle w:val="Contents4"/>
            <w:tabs>
              <w:tab w:val="clear" w:pos="8176"/>
              <w:tab w:val="right" w:pos="9026" w:leader="dot"/>
            </w:tabs>
            <w:rPr/>
          </w:pPr>
          <w:hyperlink w:anchor="__RefHeading___Toc3599033_1067777946">
            <w:r>
              <w:rPr>
                <w:webHidden/>
                <w:rStyle w:val="IndexLink"/>
                <w:rtl w:val="true"/>
              </w:rPr>
              <w:t>اذن در معاملۀ وكيل با خود</w:t>
            </w:r>
            <w:r>
              <w:rPr>
                <w:rStyle w:val="IndexLink"/>
                <w:rtl w:val="true"/>
              </w:rPr>
              <w:tab/>
            </w:r>
            <w:r>
              <w:rPr>
                <w:rStyle w:val="IndexLink"/>
              </w:rPr>
              <w:t>390</w:t>
            </w:r>
          </w:hyperlink>
        </w:p>
        <w:p>
          <w:pPr>
            <w:pStyle w:val="Contents3"/>
            <w:tabs>
              <w:tab w:val="clear" w:pos="8459"/>
              <w:tab w:val="right" w:pos="9026" w:leader="dot"/>
            </w:tabs>
            <w:rPr/>
          </w:pPr>
          <w:hyperlink w:anchor="__RefHeading___Toc3599035_1067777946">
            <w:r>
              <w:rPr>
                <w:webHidden/>
                <w:rStyle w:val="IndexLink"/>
                <w:rtl w:val="true"/>
              </w:rPr>
              <w:t>فصل هفتم مسائل تنازع در وكالت</w:t>
            </w:r>
            <w:r>
              <w:rPr>
                <w:rStyle w:val="IndexLink"/>
                <w:rtl w:val="true"/>
              </w:rPr>
              <w:tab/>
            </w:r>
            <w:r>
              <w:rPr>
                <w:rStyle w:val="IndexLink"/>
              </w:rPr>
              <w:t>391</w:t>
            </w:r>
          </w:hyperlink>
        </w:p>
        <w:p>
          <w:pPr>
            <w:pStyle w:val="Contents4"/>
            <w:tabs>
              <w:tab w:val="clear" w:pos="8176"/>
              <w:tab w:val="right" w:pos="9026" w:leader="dot"/>
            </w:tabs>
            <w:rPr/>
          </w:pPr>
          <w:hyperlink w:anchor="__RefHeading___Toc3599037_1067777946">
            <w:r>
              <w:rPr>
                <w:webHidden/>
                <w:rStyle w:val="IndexLink"/>
                <w:rtl w:val="true"/>
              </w:rPr>
              <w:t>اختلاف در اصل وكالت يا تلف مال</w:t>
            </w:r>
            <w:r>
              <w:rPr>
                <w:rStyle w:val="IndexLink"/>
                <w:rtl w:val="true"/>
              </w:rPr>
              <w:tab/>
            </w:r>
            <w:r>
              <w:rPr>
                <w:rStyle w:val="IndexLink"/>
              </w:rPr>
              <w:t>391</w:t>
            </w:r>
          </w:hyperlink>
        </w:p>
        <w:p>
          <w:pPr>
            <w:pStyle w:val="Contents4"/>
            <w:tabs>
              <w:tab w:val="clear" w:pos="8176"/>
              <w:tab w:val="right" w:pos="9026" w:leader="dot"/>
            </w:tabs>
            <w:rPr/>
          </w:pPr>
          <w:hyperlink w:anchor="__RefHeading___Toc3599039_1067777946">
            <w:r>
              <w:rPr>
                <w:webHidden/>
                <w:rStyle w:val="IndexLink"/>
                <w:rtl w:val="true"/>
              </w:rPr>
              <w:t>اختلاف در رد مال به موكّل</w:t>
            </w:r>
            <w:r>
              <w:rPr>
                <w:rStyle w:val="IndexLink"/>
                <w:rtl w:val="true"/>
              </w:rPr>
              <w:tab/>
            </w:r>
            <w:r>
              <w:rPr>
                <w:rStyle w:val="IndexLink"/>
              </w:rPr>
              <w:t>391</w:t>
            </w:r>
          </w:hyperlink>
        </w:p>
        <w:p>
          <w:pPr>
            <w:pStyle w:val="Contents5"/>
            <w:tabs>
              <w:tab w:val="clear" w:pos="7892"/>
              <w:tab w:val="right" w:pos="9026" w:leader="dot"/>
            </w:tabs>
            <w:rPr/>
          </w:pPr>
          <w:hyperlink w:anchor="__RefHeading___Toc3599041_1067777946">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3599043_1067777946">
            <w:r>
              <w:rPr>
                <w:webHidden/>
                <w:rStyle w:val="IndexLink"/>
                <w:rtl w:val="true"/>
              </w:rPr>
              <w:t>قول وصى، ودعى، اب، جدّ و مستولى بر ضالّه</w:t>
            </w:r>
            <w:r>
              <w:rPr>
                <w:rStyle w:val="IndexLink"/>
                <w:rtl w:val="true"/>
              </w:rPr>
              <w:tab/>
            </w:r>
            <w:r>
              <w:rPr>
                <w:rStyle w:val="IndexLink"/>
              </w:rPr>
              <w:t>391</w:t>
            </w:r>
          </w:hyperlink>
        </w:p>
        <w:p>
          <w:pPr>
            <w:pStyle w:val="Contents4"/>
            <w:tabs>
              <w:tab w:val="clear" w:pos="8176"/>
              <w:tab w:val="right" w:pos="9026" w:leader="dot"/>
            </w:tabs>
            <w:rPr/>
          </w:pPr>
          <w:hyperlink w:anchor="__RefHeading___Toc3599045_1067777946">
            <w:r>
              <w:rPr>
                <w:webHidden/>
                <w:rStyle w:val="IndexLink"/>
                <w:rtl w:val="true"/>
              </w:rPr>
              <w:t>اختلاف در تصرّف</w:t>
            </w:r>
            <w:r>
              <w:rPr>
                <w:rStyle w:val="IndexLink"/>
                <w:rtl w:val="true"/>
              </w:rPr>
              <w:tab/>
            </w:r>
            <w:r>
              <w:rPr>
                <w:rStyle w:val="IndexLink"/>
              </w:rPr>
              <w:t>392</w:t>
            </w:r>
          </w:hyperlink>
        </w:p>
        <w:p>
          <w:pPr>
            <w:pStyle w:val="Contents4"/>
            <w:tabs>
              <w:tab w:val="clear" w:pos="8176"/>
              <w:tab w:val="right" w:pos="9026" w:leader="dot"/>
            </w:tabs>
            <w:rPr/>
          </w:pPr>
          <w:hyperlink w:anchor="__RefHeading___Toc3599047_1067777946">
            <w:r>
              <w:rPr>
                <w:webHidden/>
                <w:rStyle w:val="IndexLink"/>
                <w:rtl w:val="true"/>
              </w:rPr>
              <w:t>ادّعاى وكيل بودن توسط مشترى متاع</w:t>
            </w:r>
            <w:r>
              <w:rPr>
                <w:rStyle w:val="IndexLink"/>
                <w:rtl w:val="true"/>
              </w:rPr>
              <w:tab/>
            </w:r>
            <w:r>
              <w:rPr>
                <w:rStyle w:val="IndexLink"/>
              </w:rPr>
              <w:t>392</w:t>
            </w:r>
          </w:hyperlink>
        </w:p>
        <w:p>
          <w:pPr>
            <w:pStyle w:val="Contents4"/>
            <w:tabs>
              <w:tab w:val="clear" w:pos="8176"/>
              <w:tab w:val="right" w:pos="9026" w:leader="dot"/>
            </w:tabs>
            <w:rPr/>
          </w:pPr>
          <w:hyperlink w:anchor="__RefHeading___Toc3599049_1067777946">
            <w:r>
              <w:rPr>
                <w:webHidden/>
                <w:rStyle w:val="IndexLink"/>
                <w:rtl w:val="true"/>
              </w:rPr>
              <w:t>اجراى عقد نكاح به وكالت ادعايى و انكار وكالت توسط شخص</w:t>
            </w:r>
            <w:r>
              <w:rPr>
                <w:rStyle w:val="IndexLink"/>
                <w:rtl w:val="true"/>
              </w:rPr>
              <w:tab/>
            </w:r>
            <w:r>
              <w:rPr>
                <w:rStyle w:val="IndexLink"/>
              </w:rPr>
              <w:t>392</w:t>
            </w:r>
          </w:hyperlink>
        </w:p>
        <w:p>
          <w:pPr>
            <w:pStyle w:val="Contents4"/>
            <w:tabs>
              <w:tab w:val="clear" w:pos="8176"/>
              <w:tab w:val="right" w:pos="9026" w:leader="dot"/>
            </w:tabs>
            <w:rPr/>
          </w:pPr>
          <w:hyperlink w:anchor="__RefHeading___Toc3599051_1067777946">
            <w:r>
              <w:rPr>
                <w:webHidden/>
                <w:rStyle w:val="IndexLink"/>
                <w:rtl w:val="true"/>
              </w:rPr>
              <w:t>نزاع در مبلغ معامله</w:t>
            </w:r>
            <w:r>
              <w:rPr>
                <w:rStyle w:val="IndexLink"/>
                <w:rtl w:val="true"/>
              </w:rPr>
              <w:tab/>
            </w:r>
            <w:r>
              <w:rPr>
                <w:rStyle w:val="IndexLink"/>
              </w:rPr>
              <w:t>393</w:t>
            </w:r>
          </w:hyperlink>
        </w:p>
        <w:p>
          <w:pPr>
            <w:pStyle w:val="Contents4"/>
            <w:tabs>
              <w:tab w:val="clear" w:pos="8176"/>
              <w:tab w:val="right" w:pos="9026" w:leader="dot"/>
            </w:tabs>
            <w:rPr/>
          </w:pPr>
          <w:hyperlink w:anchor="__RefHeading___Toc3599053_1067777946">
            <w:r>
              <w:rPr>
                <w:webHidden/>
                <w:rStyle w:val="IndexLink"/>
                <w:rtl w:val="true"/>
              </w:rPr>
              <w:t>طرف مراجعه براى اخذ عوض در عقد وكالتى</w:t>
            </w:r>
            <w:r>
              <w:rPr>
                <w:rStyle w:val="IndexLink"/>
                <w:rtl w:val="true"/>
              </w:rPr>
              <w:tab/>
            </w:r>
            <w:r>
              <w:rPr>
                <w:rStyle w:val="IndexLink"/>
              </w:rPr>
              <w:t>393</w:t>
            </w:r>
          </w:hyperlink>
        </w:p>
        <w:p>
          <w:pPr>
            <w:pStyle w:val="Contents4"/>
            <w:tabs>
              <w:tab w:val="clear" w:pos="8176"/>
              <w:tab w:val="right" w:pos="9026" w:leader="dot"/>
            </w:tabs>
            <w:rPr/>
          </w:pPr>
          <w:hyperlink w:anchor="__RefHeading___Toc3599055_1067777946">
            <w:r>
              <w:rPr>
                <w:webHidden/>
                <w:rStyle w:val="IndexLink"/>
                <w:rtl w:val="true"/>
              </w:rPr>
              <w:t>مطالبۀ حق توسط وكيل و انكال مديون</w:t>
            </w:r>
            <w:r>
              <w:rPr>
                <w:rStyle w:val="IndexLink"/>
                <w:rtl w:val="true"/>
              </w:rPr>
              <w:tab/>
            </w:r>
            <w:r>
              <w:rPr>
                <w:rStyle w:val="IndexLink"/>
              </w:rPr>
              <w:t>393</w:t>
            </w:r>
          </w:hyperlink>
        </w:p>
        <w:p>
          <w:pPr>
            <w:pStyle w:val="Contents4"/>
            <w:tabs>
              <w:tab w:val="clear" w:pos="8176"/>
              <w:tab w:val="right" w:pos="9026" w:leader="dot"/>
            </w:tabs>
            <w:rPr/>
          </w:pPr>
          <w:hyperlink w:anchor="__RefHeading___Toc3599057_1067777946">
            <w:r>
              <w:rPr>
                <w:webHidden/>
                <w:rStyle w:val="IndexLink"/>
                <w:rtl w:val="true"/>
              </w:rPr>
              <w:t>شهادت وكيل به نفع موكّل</w:t>
            </w:r>
            <w:r>
              <w:rPr>
                <w:rStyle w:val="IndexLink"/>
                <w:rtl w:val="true"/>
              </w:rPr>
              <w:tab/>
            </w:r>
            <w:r>
              <w:rPr>
                <w:rStyle w:val="IndexLink"/>
              </w:rPr>
              <w:t>394</w:t>
            </w:r>
          </w:hyperlink>
        </w:p>
        <w:p>
          <w:pPr>
            <w:pStyle w:val="Contents4"/>
            <w:tabs>
              <w:tab w:val="clear" w:pos="8176"/>
              <w:tab w:val="right" w:pos="9026" w:leader="dot"/>
            </w:tabs>
            <w:rPr/>
          </w:pPr>
          <w:hyperlink w:anchor="__RefHeading___Toc3599059_1067777946">
            <w:r>
              <w:rPr>
                <w:webHidden/>
                <w:rStyle w:val="IndexLink"/>
                <w:rtl w:val="true"/>
              </w:rPr>
              <w:t>اقرار وكيل به قبض و تلف و تصديق غريم</w:t>
            </w:r>
            <w:r>
              <w:rPr>
                <w:rStyle w:val="IndexLink"/>
                <w:rtl w:val="true"/>
              </w:rPr>
              <w:tab/>
            </w:r>
            <w:r>
              <w:rPr>
                <w:rStyle w:val="IndexLink"/>
              </w:rPr>
              <w:t>394</w:t>
            </w:r>
          </w:hyperlink>
        </w:p>
        <w:p>
          <w:pPr>
            <w:pStyle w:val="Contents5"/>
            <w:tabs>
              <w:tab w:val="clear" w:pos="7892"/>
              <w:tab w:val="right" w:pos="9026" w:leader="dot"/>
            </w:tabs>
            <w:rPr/>
          </w:pPr>
          <w:hyperlink w:anchor="__RefHeading___Toc3599061_1067777946">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3599063_1067777946">
            <w:r>
              <w:rPr>
                <w:webHidden/>
                <w:rStyle w:val="IndexLink"/>
                <w:rtl w:val="true"/>
              </w:rPr>
              <w:t>علم موكّل به كذب وكيل و</w:t>
            </w:r>
            <w:r>
              <w:rPr>
                <w:rStyle w:val="IndexLink"/>
                <w:rtl w:val="true"/>
              </w:rPr>
              <w:t>...</w:t>
              <w:tab/>
            </w:r>
            <w:r>
              <w:rPr>
                <w:rStyle w:val="IndexLink"/>
              </w:rPr>
              <w:t>394</w:t>
            </w:r>
          </w:hyperlink>
        </w:p>
        <w:p>
          <w:pPr>
            <w:pStyle w:val="Contents2"/>
            <w:tabs>
              <w:tab w:val="clear" w:pos="8743"/>
              <w:tab w:val="right" w:pos="9026" w:leader="dot"/>
            </w:tabs>
            <w:rPr/>
          </w:pPr>
          <w:hyperlink w:anchor="__RefHeading___Toc3599065_1067777946">
            <w:r>
              <w:rPr>
                <w:webHidden/>
                <w:rStyle w:val="IndexLink"/>
                <w:rtl w:val="true"/>
              </w:rPr>
              <w:t>كتاب وقف</w:t>
            </w:r>
            <w:r>
              <w:rPr>
                <w:rStyle w:val="IndexLink"/>
                <w:rtl w:val="true"/>
              </w:rPr>
              <w:tab/>
            </w:r>
            <w:r>
              <w:rPr>
                <w:rStyle w:val="IndexLink"/>
              </w:rPr>
              <w:t>396</w:t>
            </w:r>
          </w:hyperlink>
        </w:p>
        <w:p>
          <w:pPr>
            <w:pStyle w:val="Contents3"/>
            <w:tabs>
              <w:tab w:val="clear" w:pos="8459"/>
              <w:tab w:val="right" w:pos="9026" w:leader="dot"/>
            </w:tabs>
            <w:rPr/>
          </w:pPr>
          <w:hyperlink w:anchor="__RefHeading___Toc3599067_1067777946">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3599069_1067777946">
            <w:r>
              <w:rPr>
                <w:webHidden/>
                <w:rStyle w:val="IndexLink"/>
                <w:rtl w:val="true"/>
              </w:rPr>
              <w:t>فصل اوّل عقد وقف و شرايط آن</w:t>
            </w:r>
            <w:r>
              <w:rPr>
                <w:rStyle w:val="IndexLink"/>
                <w:rtl w:val="true"/>
              </w:rPr>
              <w:tab/>
            </w:r>
            <w:r>
              <w:rPr>
                <w:rStyle w:val="IndexLink"/>
              </w:rPr>
              <w:t>398</w:t>
            </w:r>
          </w:hyperlink>
        </w:p>
        <w:p>
          <w:pPr>
            <w:pStyle w:val="Contents4"/>
            <w:tabs>
              <w:tab w:val="clear" w:pos="8176"/>
              <w:tab w:val="right" w:pos="9026" w:leader="dot"/>
            </w:tabs>
            <w:rPr/>
          </w:pPr>
          <w:hyperlink w:anchor="__RefHeading___Toc3599071_1067777946">
            <w:r>
              <w:rPr>
                <w:webHidden/>
                <w:rStyle w:val="IndexLink"/>
                <w:rtl w:val="true"/>
              </w:rPr>
              <w:t>تعريف عقد</w:t>
            </w:r>
            <w:r>
              <w:rPr>
                <w:rStyle w:val="IndexLink"/>
                <w:rtl w:val="true"/>
              </w:rPr>
              <w:tab/>
            </w:r>
            <w:r>
              <w:rPr>
                <w:rStyle w:val="IndexLink"/>
              </w:rPr>
              <w:t>398</w:t>
            </w:r>
          </w:hyperlink>
        </w:p>
        <w:p>
          <w:pPr>
            <w:pStyle w:val="Contents4"/>
            <w:tabs>
              <w:tab w:val="clear" w:pos="8176"/>
              <w:tab w:val="right" w:pos="9026" w:leader="dot"/>
            </w:tabs>
            <w:rPr/>
          </w:pPr>
          <w:hyperlink w:anchor="__RefHeading___Toc3599073_1067777946">
            <w:r>
              <w:rPr>
                <w:webHidden/>
                <w:rStyle w:val="IndexLink"/>
                <w:rtl w:val="true"/>
              </w:rPr>
              <w:t>الفاظ وقف</w:t>
            </w:r>
            <w:r>
              <w:rPr>
                <w:rStyle w:val="IndexLink"/>
                <w:rtl w:val="true"/>
              </w:rPr>
              <w:tab/>
            </w:r>
            <w:r>
              <w:rPr>
                <w:rStyle w:val="IndexLink"/>
              </w:rPr>
              <w:t>398</w:t>
            </w:r>
          </w:hyperlink>
        </w:p>
        <w:p>
          <w:pPr>
            <w:pStyle w:val="Contents4"/>
            <w:tabs>
              <w:tab w:val="clear" w:pos="8176"/>
              <w:tab w:val="right" w:pos="9026" w:leader="dot"/>
            </w:tabs>
            <w:rPr/>
          </w:pPr>
          <w:hyperlink w:anchor="__RefHeading___Toc3599075_1067777946">
            <w:r>
              <w:rPr>
                <w:webHidden/>
                <w:rStyle w:val="IndexLink"/>
                <w:rtl w:val="true"/>
              </w:rPr>
              <w:t>شرطيّت قبض در لزوم و صحت وقف</w:t>
            </w:r>
            <w:r>
              <w:rPr>
                <w:rStyle w:val="IndexLink"/>
                <w:rtl w:val="true"/>
              </w:rPr>
              <w:tab/>
            </w:r>
            <w:r>
              <w:rPr>
                <w:rStyle w:val="IndexLink"/>
              </w:rPr>
              <w:t>399</w:t>
            </w:r>
          </w:hyperlink>
        </w:p>
        <w:p>
          <w:pPr>
            <w:pStyle w:val="Contents4"/>
            <w:tabs>
              <w:tab w:val="clear" w:pos="8176"/>
              <w:tab w:val="right" w:pos="9026" w:leader="dot"/>
            </w:tabs>
            <w:rPr/>
          </w:pPr>
          <w:hyperlink w:anchor="__RefHeading___Toc3599077_1067777946">
            <w:r>
              <w:rPr>
                <w:webHidden/>
                <w:rStyle w:val="IndexLink"/>
                <w:rtl w:val="true"/>
              </w:rPr>
              <w:t>وقف در مرض موت</w:t>
            </w:r>
            <w:r>
              <w:rPr>
                <w:rStyle w:val="IndexLink"/>
                <w:rtl w:val="true"/>
              </w:rPr>
              <w:tab/>
            </w:r>
            <w:r>
              <w:rPr>
                <w:rStyle w:val="IndexLink"/>
              </w:rPr>
              <w:t>399</w:t>
            </w:r>
          </w:hyperlink>
        </w:p>
        <w:p>
          <w:pPr>
            <w:pStyle w:val="Contents4"/>
            <w:tabs>
              <w:tab w:val="clear" w:pos="8176"/>
              <w:tab w:val="right" w:pos="9026" w:leader="dot"/>
            </w:tabs>
            <w:rPr/>
          </w:pPr>
          <w:hyperlink w:anchor="__RefHeading___Toc3599079_1067777946">
            <w:r>
              <w:rPr>
                <w:webHidden/>
                <w:rStyle w:val="IndexLink"/>
                <w:rtl w:val="true"/>
              </w:rPr>
              <w:t>آنچه داخل در وقف مى شود</w:t>
            </w:r>
            <w:r>
              <w:rPr>
                <w:rStyle w:val="IndexLink"/>
                <w:rtl w:val="true"/>
              </w:rPr>
              <w:tab/>
            </w:r>
            <w:r>
              <w:rPr>
                <w:rStyle w:val="IndexLink"/>
              </w:rPr>
              <w:t>399</w:t>
            </w:r>
          </w:hyperlink>
        </w:p>
        <w:p>
          <w:pPr>
            <w:pStyle w:val="Contents4"/>
            <w:tabs>
              <w:tab w:val="clear" w:pos="8176"/>
              <w:tab w:val="right" w:pos="9026" w:leader="dot"/>
            </w:tabs>
            <w:rPr/>
          </w:pPr>
          <w:hyperlink w:anchor="__RefHeading___Toc3599081_1067777946">
            <w:r>
              <w:rPr>
                <w:webHidden/>
                <w:rStyle w:val="IndexLink"/>
                <w:rtl w:val="true"/>
              </w:rPr>
              <w:t>در شرايط موقوف است</w:t>
            </w:r>
            <w:r>
              <w:rPr>
                <w:rStyle w:val="IndexLink"/>
                <w:rtl w:val="true"/>
              </w:rPr>
              <w:tab/>
            </w:r>
            <w:r>
              <w:rPr>
                <w:rStyle w:val="IndexLink"/>
              </w:rPr>
              <w:t>400</w:t>
            </w:r>
          </w:hyperlink>
        </w:p>
        <w:p>
          <w:pPr>
            <w:pStyle w:val="Contents5"/>
            <w:tabs>
              <w:tab w:val="clear" w:pos="7892"/>
              <w:tab w:val="right" w:pos="9026" w:leader="dot"/>
            </w:tabs>
            <w:rPr/>
          </w:pPr>
          <w:hyperlink w:anchor="__RefHeading___Toc3599083_1067777946">
            <w:r>
              <w:rPr>
                <w:webHidden/>
                <w:rStyle w:val="IndexLink"/>
                <w:rtl w:val="true"/>
              </w:rPr>
              <w:t>ضابط موقوف</w:t>
            </w:r>
            <w:r>
              <w:rPr>
                <w:rStyle w:val="IndexLink"/>
                <w:rtl w:val="true"/>
              </w:rPr>
              <w:tab/>
            </w:r>
            <w:r>
              <w:rPr>
                <w:rStyle w:val="IndexLink"/>
              </w:rPr>
              <w:t>400</w:t>
            </w:r>
          </w:hyperlink>
        </w:p>
        <w:p>
          <w:pPr>
            <w:pStyle w:val="Contents5"/>
            <w:tabs>
              <w:tab w:val="clear" w:pos="7892"/>
              <w:tab w:val="right" w:pos="9026" w:leader="dot"/>
            </w:tabs>
            <w:rPr/>
          </w:pPr>
          <w:hyperlink w:anchor="__RefHeading___Toc3599085_1067777946">
            <w:r>
              <w:rPr>
                <w:webHidden/>
                <w:rStyle w:val="IndexLink"/>
                <w:rtl w:val="true"/>
              </w:rPr>
              <w:t>لزوم داشتن منفعت محلّلۀ غير تالفۀ عين</w:t>
            </w:r>
            <w:r>
              <w:rPr>
                <w:rStyle w:val="IndexLink"/>
                <w:rtl w:val="true"/>
              </w:rPr>
              <w:tab/>
            </w:r>
            <w:r>
              <w:rPr>
                <w:rStyle w:val="IndexLink"/>
              </w:rPr>
              <w:t>400</w:t>
            </w:r>
          </w:hyperlink>
        </w:p>
        <w:p>
          <w:pPr>
            <w:pStyle w:val="Contents5"/>
            <w:tabs>
              <w:tab w:val="clear" w:pos="7892"/>
              <w:tab w:val="right" w:pos="9026" w:leader="dot"/>
            </w:tabs>
            <w:rPr/>
          </w:pPr>
          <w:hyperlink w:anchor="__RefHeading___Toc3599087_1067777946">
            <w:r>
              <w:rPr>
                <w:webHidden/>
                <w:rStyle w:val="IndexLink"/>
                <w:rtl w:val="true"/>
              </w:rPr>
              <w:t>وقف كلاب مملوكه</w:t>
            </w:r>
            <w:r>
              <w:rPr>
                <w:rStyle w:val="IndexLink"/>
                <w:rtl w:val="true"/>
              </w:rPr>
              <w:tab/>
            </w:r>
            <w:r>
              <w:rPr>
                <w:rStyle w:val="IndexLink"/>
              </w:rPr>
              <w:t>400</w:t>
            </w:r>
          </w:hyperlink>
        </w:p>
        <w:p>
          <w:pPr>
            <w:pStyle w:val="Contents5"/>
            <w:tabs>
              <w:tab w:val="clear" w:pos="7892"/>
              <w:tab w:val="right" w:pos="9026" w:leader="dot"/>
            </w:tabs>
            <w:rPr/>
          </w:pPr>
          <w:hyperlink w:anchor="__RefHeading___Toc3599089_1067777946">
            <w:r>
              <w:rPr>
                <w:webHidden/>
                <w:rStyle w:val="IndexLink"/>
                <w:rtl w:val="true"/>
              </w:rPr>
              <w:t>لزوم قدرت بر تسليم با تسلّم عين موقوفه</w:t>
            </w:r>
            <w:r>
              <w:rPr>
                <w:rStyle w:val="IndexLink"/>
                <w:rtl w:val="true"/>
              </w:rPr>
              <w:tab/>
            </w:r>
            <w:r>
              <w:rPr>
                <w:rStyle w:val="IndexLink"/>
              </w:rPr>
              <w:t>401</w:t>
            </w:r>
          </w:hyperlink>
        </w:p>
        <w:p>
          <w:pPr>
            <w:pStyle w:val="Contents5"/>
            <w:tabs>
              <w:tab w:val="clear" w:pos="7892"/>
              <w:tab w:val="right" w:pos="9026" w:leader="dot"/>
            </w:tabs>
            <w:rPr/>
          </w:pPr>
          <w:hyperlink w:anchor="__RefHeading___Toc3599091_1067777946">
            <w:r>
              <w:rPr>
                <w:webHidden/>
                <w:rStyle w:val="IndexLink"/>
                <w:rtl w:val="true"/>
              </w:rPr>
              <w:t>وقف درهم و دينار و زيور</w:t>
            </w:r>
            <w:r>
              <w:rPr>
                <w:rStyle w:val="IndexLink"/>
                <w:rtl w:val="true"/>
              </w:rPr>
              <w:tab/>
            </w:r>
            <w:r>
              <w:rPr>
                <w:rStyle w:val="IndexLink"/>
              </w:rPr>
              <w:t>401</w:t>
            </w:r>
          </w:hyperlink>
        </w:p>
        <w:p>
          <w:pPr>
            <w:pStyle w:val="Contents5"/>
            <w:tabs>
              <w:tab w:val="clear" w:pos="7892"/>
              <w:tab w:val="right" w:pos="9026" w:leader="dot"/>
            </w:tabs>
            <w:rPr/>
          </w:pPr>
          <w:hyperlink w:anchor="__RefHeading___Toc3599093_1067777946">
            <w:r>
              <w:rPr>
                <w:webHidden/>
                <w:rStyle w:val="IndexLink"/>
                <w:rtl w:val="true"/>
              </w:rPr>
              <w:t>وقف مال غير</w:t>
            </w:r>
            <w:r>
              <w:rPr>
                <w:rStyle w:val="IndexLink"/>
                <w:rtl w:val="true"/>
              </w:rPr>
              <w:tab/>
            </w:r>
            <w:r>
              <w:rPr>
                <w:rStyle w:val="IndexLink"/>
              </w:rPr>
              <w:t>401</w:t>
            </w:r>
          </w:hyperlink>
        </w:p>
        <w:p>
          <w:pPr>
            <w:pStyle w:val="Contents5"/>
            <w:tabs>
              <w:tab w:val="clear" w:pos="7892"/>
              <w:tab w:val="right" w:pos="9026" w:leader="dot"/>
            </w:tabs>
            <w:rPr/>
          </w:pPr>
          <w:hyperlink w:anchor="__RefHeading___Toc3599095_1067777946">
            <w:r>
              <w:rPr>
                <w:webHidden/>
                <w:rStyle w:val="IndexLink"/>
                <w:rtl w:val="true"/>
              </w:rPr>
              <w:t>وقف مشاع و مدبَّر و عين مستأجره</w:t>
            </w:r>
            <w:r>
              <w:rPr>
                <w:rStyle w:val="IndexLink"/>
                <w:rtl w:val="true"/>
              </w:rPr>
              <w:tab/>
            </w:r>
            <w:r>
              <w:rPr>
                <w:rStyle w:val="IndexLink"/>
              </w:rPr>
              <w:t>401</w:t>
            </w:r>
          </w:hyperlink>
        </w:p>
        <w:p>
          <w:pPr>
            <w:pStyle w:val="Contents4"/>
            <w:tabs>
              <w:tab w:val="clear" w:pos="8176"/>
              <w:tab w:val="right" w:pos="9026" w:leader="dot"/>
            </w:tabs>
            <w:rPr/>
          </w:pPr>
          <w:hyperlink w:anchor="__RefHeading___Toc3599097_1067777946">
            <w:r>
              <w:rPr>
                <w:webHidden/>
                <w:rStyle w:val="IndexLink"/>
                <w:rtl w:val="true"/>
              </w:rPr>
              <w:t>در شرايط واقف است</w:t>
            </w:r>
            <w:r>
              <w:rPr>
                <w:rStyle w:val="IndexLink"/>
                <w:rtl w:val="true"/>
              </w:rPr>
              <w:tab/>
            </w:r>
            <w:r>
              <w:rPr>
                <w:rStyle w:val="IndexLink"/>
              </w:rPr>
              <w:t>402</w:t>
            </w:r>
          </w:hyperlink>
        </w:p>
        <w:p>
          <w:pPr>
            <w:pStyle w:val="Contents5"/>
            <w:tabs>
              <w:tab w:val="clear" w:pos="7892"/>
              <w:tab w:val="right" w:pos="9026" w:leader="dot"/>
            </w:tabs>
            <w:rPr/>
          </w:pPr>
          <w:hyperlink w:anchor="__RefHeading___Toc3599099_1067777946">
            <w:r>
              <w:rPr>
                <w:webHidden/>
                <w:rStyle w:val="IndexLink"/>
                <w:rtl w:val="true"/>
              </w:rPr>
              <w:t>بلوغ و جواز تصرّف</w:t>
            </w:r>
            <w:r>
              <w:rPr>
                <w:rStyle w:val="IndexLink"/>
                <w:rtl w:val="true"/>
              </w:rPr>
              <w:tab/>
            </w:r>
            <w:r>
              <w:rPr>
                <w:rStyle w:val="IndexLink"/>
              </w:rPr>
              <w:t>402</w:t>
            </w:r>
          </w:hyperlink>
        </w:p>
        <w:p>
          <w:pPr>
            <w:pStyle w:val="Contents5"/>
            <w:tabs>
              <w:tab w:val="clear" w:pos="7892"/>
              <w:tab w:val="right" w:pos="9026" w:leader="dot"/>
            </w:tabs>
            <w:rPr/>
          </w:pPr>
          <w:hyperlink w:anchor="__RefHeading___Toc3599101_1067777946">
            <w:r>
              <w:rPr>
                <w:webHidden/>
                <w:rStyle w:val="IndexLink"/>
                <w:rtl w:val="true"/>
              </w:rPr>
              <w:t>ناظر امين قرار دادن براى وقف</w:t>
            </w:r>
            <w:r>
              <w:rPr>
                <w:rStyle w:val="IndexLink"/>
                <w:rtl w:val="true"/>
              </w:rPr>
              <w:tab/>
            </w:r>
            <w:r>
              <w:rPr>
                <w:rStyle w:val="IndexLink"/>
              </w:rPr>
              <w:t>402</w:t>
            </w:r>
          </w:hyperlink>
        </w:p>
        <w:p>
          <w:pPr>
            <w:pStyle w:val="Contents5"/>
            <w:tabs>
              <w:tab w:val="clear" w:pos="7892"/>
              <w:tab w:val="right" w:pos="9026" w:leader="dot"/>
            </w:tabs>
            <w:rPr/>
          </w:pPr>
          <w:hyperlink w:anchor="__RefHeading___Toc3599103_1067777946">
            <w:r>
              <w:rPr>
                <w:webHidden/>
                <w:rStyle w:val="IndexLink"/>
                <w:rtl w:val="true"/>
              </w:rPr>
              <w:t>عدم جواز عزل ناظر با فرض قبول موقوف عليه</w:t>
            </w:r>
            <w:r>
              <w:rPr>
                <w:rStyle w:val="IndexLink"/>
                <w:rtl w:val="true"/>
              </w:rPr>
              <w:tab/>
            </w:r>
            <w:r>
              <w:rPr>
                <w:rStyle w:val="IndexLink"/>
              </w:rPr>
              <w:t>402</w:t>
            </w:r>
          </w:hyperlink>
        </w:p>
        <w:p>
          <w:pPr>
            <w:pStyle w:val="Contents5"/>
            <w:tabs>
              <w:tab w:val="clear" w:pos="7892"/>
              <w:tab w:val="right" w:pos="9026" w:leader="dot"/>
            </w:tabs>
            <w:rPr/>
          </w:pPr>
          <w:hyperlink w:anchor="__RefHeading___Toc3599105_1067777946">
            <w:r>
              <w:rPr>
                <w:webHidden/>
                <w:rStyle w:val="IndexLink"/>
                <w:rtl w:val="true"/>
              </w:rPr>
              <w:t>استقلال و اشتراك در فرض جعل دو ناظر</w:t>
            </w:r>
            <w:r>
              <w:rPr>
                <w:rStyle w:val="IndexLink"/>
                <w:rtl w:val="true"/>
              </w:rPr>
              <w:tab/>
            </w:r>
            <w:r>
              <w:rPr>
                <w:rStyle w:val="IndexLink"/>
              </w:rPr>
              <w:t>402</w:t>
            </w:r>
          </w:hyperlink>
        </w:p>
        <w:p>
          <w:pPr>
            <w:pStyle w:val="Contents5"/>
            <w:tabs>
              <w:tab w:val="clear" w:pos="7892"/>
              <w:tab w:val="right" w:pos="9026" w:leader="dot"/>
            </w:tabs>
            <w:rPr/>
          </w:pPr>
          <w:hyperlink w:anchor="__RefHeading___Toc3599107_1067777946">
            <w:r>
              <w:rPr>
                <w:webHidden/>
                <w:rStyle w:val="IndexLink"/>
                <w:rtl w:val="true"/>
              </w:rPr>
              <w:t>وظيفه در صورت عدم تعيين ناظر توسّط واقف</w:t>
            </w:r>
            <w:r>
              <w:rPr>
                <w:rStyle w:val="IndexLink"/>
                <w:rtl w:val="true"/>
              </w:rPr>
              <w:tab/>
            </w:r>
            <w:r>
              <w:rPr>
                <w:rStyle w:val="IndexLink"/>
              </w:rPr>
              <w:t>403</w:t>
            </w:r>
          </w:hyperlink>
        </w:p>
        <w:p>
          <w:pPr>
            <w:pStyle w:val="Contents4"/>
            <w:tabs>
              <w:tab w:val="clear" w:pos="8176"/>
              <w:tab w:val="right" w:pos="9026" w:leader="dot"/>
            </w:tabs>
            <w:rPr/>
          </w:pPr>
          <w:hyperlink w:anchor="__RefHeading___Toc3599109_1067777946">
            <w:r>
              <w:rPr>
                <w:webHidden/>
                <w:rStyle w:val="IndexLink"/>
                <w:rtl w:val="true"/>
              </w:rPr>
              <w:t>در شرايط موقوف عليه</w:t>
            </w:r>
            <w:r>
              <w:rPr>
                <w:rStyle w:val="IndexLink"/>
                <w:rtl w:val="true"/>
              </w:rPr>
              <w:tab/>
            </w:r>
            <w:r>
              <w:rPr>
                <w:rStyle w:val="IndexLink"/>
              </w:rPr>
              <w:t>403</w:t>
            </w:r>
          </w:hyperlink>
        </w:p>
        <w:p>
          <w:pPr>
            <w:pStyle w:val="Contents5"/>
            <w:tabs>
              <w:tab w:val="clear" w:pos="7892"/>
              <w:tab w:val="right" w:pos="9026" w:leader="dot"/>
            </w:tabs>
            <w:rPr/>
          </w:pPr>
          <w:hyperlink w:anchor="__RefHeading___Toc3599111_1067777946">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3599113_1067777946">
            <w:r>
              <w:rPr>
                <w:webHidden/>
                <w:rStyle w:val="IndexLink"/>
                <w:rtl w:val="true"/>
              </w:rPr>
              <w:t>وقف بر معدوم در زمان وقف</w:t>
            </w:r>
            <w:r>
              <w:rPr>
                <w:rStyle w:val="IndexLink"/>
                <w:rtl w:val="true"/>
              </w:rPr>
              <w:tab/>
            </w:r>
            <w:r>
              <w:rPr>
                <w:rStyle w:val="IndexLink"/>
              </w:rPr>
              <w:t>403</w:t>
            </w:r>
          </w:hyperlink>
        </w:p>
        <w:p>
          <w:pPr>
            <w:pStyle w:val="Contents5"/>
            <w:tabs>
              <w:tab w:val="clear" w:pos="7892"/>
              <w:tab w:val="right" w:pos="9026" w:leader="dot"/>
            </w:tabs>
            <w:rPr/>
          </w:pPr>
          <w:hyperlink w:anchor="__RefHeading___Toc3599115_1067777946">
            <w:r>
              <w:rPr>
                <w:webHidden/>
                <w:rStyle w:val="IndexLink"/>
                <w:rtl w:val="true"/>
              </w:rPr>
              <w:t>صحّت وقف بر تمامى مصالح</w:t>
            </w:r>
            <w:r>
              <w:rPr>
                <w:rStyle w:val="IndexLink"/>
                <w:rtl w:val="true"/>
              </w:rPr>
              <w:tab/>
            </w:r>
            <w:r>
              <w:rPr>
                <w:rStyle w:val="IndexLink"/>
              </w:rPr>
              <w:t>404</w:t>
            </w:r>
          </w:hyperlink>
        </w:p>
        <w:p>
          <w:pPr>
            <w:pStyle w:val="Contents5"/>
            <w:tabs>
              <w:tab w:val="clear" w:pos="7892"/>
              <w:tab w:val="right" w:pos="9026" w:leader="dot"/>
            </w:tabs>
            <w:rPr/>
          </w:pPr>
          <w:hyperlink w:anchor="__RefHeading___Toc3599117_1067777946">
            <w:r>
              <w:rPr>
                <w:webHidden/>
                <w:rStyle w:val="IndexLink"/>
                <w:rtl w:val="true"/>
              </w:rPr>
              <w:t>وقف بر كافر و عاصى و كتابت كتب ضلال</w:t>
            </w:r>
            <w:r>
              <w:rPr>
                <w:rStyle w:val="IndexLink"/>
                <w:rtl w:val="true"/>
              </w:rPr>
              <w:tab/>
            </w:r>
            <w:r>
              <w:rPr>
                <w:rStyle w:val="IndexLink"/>
              </w:rPr>
              <w:t>404</w:t>
            </w:r>
          </w:hyperlink>
        </w:p>
        <w:p>
          <w:pPr>
            <w:pStyle w:val="Contents5"/>
            <w:tabs>
              <w:tab w:val="clear" w:pos="7892"/>
              <w:tab w:val="right" w:pos="9026" w:leader="dot"/>
            </w:tabs>
            <w:rPr/>
          </w:pPr>
          <w:hyperlink w:anchor="__RefHeading___Toc3599119_1067777946">
            <w:r>
              <w:rPr>
                <w:webHidden/>
                <w:rStyle w:val="IndexLink"/>
                <w:rtl w:val="true"/>
              </w:rPr>
              <w:t>وقف كفّار براى خودشان</w:t>
            </w:r>
            <w:r>
              <w:rPr>
                <w:rStyle w:val="IndexLink"/>
                <w:rtl w:val="true"/>
              </w:rPr>
              <w:tab/>
            </w:r>
            <w:r>
              <w:rPr>
                <w:rStyle w:val="IndexLink"/>
              </w:rPr>
              <w:t>404</w:t>
            </w:r>
          </w:hyperlink>
        </w:p>
        <w:p>
          <w:pPr>
            <w:pStyle w:val="Contents5"/>
            <w:tabs>
              <w:tab w:val="clear" w:pos="7892"/>
              <w:tab w:val="right" w:pos="9026" w:leader="dot"/>
            </w:tabs>
            <w:rPr/>
          </w:pPr>
          <w:hyperlink w:anchor="__RefHeading___Toc3599121_1067777946">
            <w:r>
              <w:rPr>
                <w:webHidden/>
                <w:rStyle w:val="IndexLink"/>
                <w:rtl w:val="true"/>
              </w:rPr>
              <w:t>وقف مؤمن و كافر بر فقرا و انصراف آن</w:t>
            </w:r>
            <w:r>
              <w:rPr>
                <w:rStyle w:val="IndexLink"/>
                <w:rtl w:val="true"/>
              </w:rPr>
              <w:tab/>
            </w:r>
            <w:r>
              <w:rPr>
                <w:rStyle w:val="IndexLink"/>
              </w:rPr>
              <w:t>404</w:t>
            </w:r>
          </w:hyperlink>
        </w:p>
        <w:p>
          <w:pPr>
            <w:pStyle w:val="Contents5"/>
            <w:tabs>
              <w:tab w:val="clear" w:pos="7892"/>
              <w:tab w:val="right" w:pos="9026" w:leader="dot"/>
            </w:tabs>
            <w:rPr/>
          </w:pPr>
          <w:hyperlink w:anchor="__RefHeading___Toc3599123_1067777946">
            <w:r>
              <w:rPr>
                <w:webHidden/>
                <w:rStyle w:val="IndexLink"/>
                <w:rtl w:val="true"/>
              </w:rPr>
              <w:t>وقف بر مسلمين و انصراف آن</w:t>
            </w:r>
            <w:r>
              <w:rPr>
                <w:rStyle w:val="IndexLink"/>
                <w:rtl w:val="true"/>
              </w:rPr>
              <w:tab/>
            </w:r>
            <w:r>
              <w:rPr>
                <w:rStyle w:val="IndexLink"/>
              </w:rPr>
              <w:t>405</w:t>
            </w:r>
          </w:hyperlink>
        </w:p>
        <w:p>
          <w:pPr>
            <w:pStyle w:val="Contents5"/>
            <w:tabs>
              <w:tab w:val="clear" w:pos="7892"/>
              <w:tab w:val="right" w:pos="9026" w:leader="dot"/>
            </w:tabs>
            <w:rPr/>
          </w:pPr>
          <w:hyperlink w:anchor="__RefHeading___Toc3599125_1067777946">
            <w:r>
              <w:rPr>
                <w:webHidden/>
                <w:rStyle w:val="IndexLink"/>
                <w:rtl w:val="true"/>
              </w:rPr>
              <w:t>وقف بر مؤمنين</w:t>
            </w:r>
            <w:r>
              <w:rPr>
                <w:rStyle w:val="IndexLink"/>
                <w:rtl w:val="true"/>
              </w:rPr>
              <w:tab/>
            </w:r>
            <w:r>
              <w:rPr>
                <w:rStyle w:val="IndexLink"/>
              </w:rPr>
              <w:t>405</w:t>
            </w:r>
          </w:hyperlink>
        </w:p>
        <w:p>
          <w:pPr>
            <w:pStyle w:val="Contents5"/>
            <w:tabs>
              <w:tab w:val="clear" w:pos="7892"/>
              <w:tab w:val="right" w:pos="9026" w:leader="dot"/>
            </w:tabs>
            <w:rPr/>
          </w:pPr>
          <w:hyperlink w:anchor="__RefHeading___Toc3599127_1067777946">
            <w:r>
              <w:rPr>
                <w:webHidden/>
                <w:rStyle w:val="IndexLink"/>
                <w:rtl w:val="true"/>
              </w:rPr>
              <w:t>وقف بر شيعه و اماميّه</w:t>
            </w:r>
            <w:r>
              <w:rPr>
                <w:rStyle w:val="IndexLink"/>
                <w:rtl w:val="true"/>
              </w:rPr>
              <w:tab/>
            </w:r>
            <w:r>
              <w:rPr>
                <w:rStyle w:val="IndexLink"/>
              </w:rPr>
              <w:t>405</w:t>
            </w:r>
          </w:hyperlink>
        </w:p>
        <w:p>
          <w:pPr>
            <w:pStyle w:val="Contents5"/>
            <w:tabs>
              <w:tab w:val="clear" w:pos="7892"/>
              <w:tab w:val="right" w:pos="9026" w:leader="dot"/>
            </w:tabs>
            <w:rPr/>
          </w:pPr>
          <w:hyperlink w:anchor="__RefHeading___Toc3599129_1067777946">
            <w:r>
              <w:rPr>
                <w:webHidden/>
                <w:rStyle w:val="IndexLink"/>
                <w:rtl w:val="true"/>
              </w:rPr>
              <w:t>وقف بر هاشميّين و علويّين</w:t>
            </w:r>
            <w:r>
              <w:rPr>
                <w:rStyle w:val="IndexLink"/>
                <w:rtl w:val="true"/>
              </w:rPr>
              <w:tab/>
            </w:r>
            <w:r>
              <w:rPr>
                <w:rStyle w:val="IndexLink"/>
              </w:rPr>
              <w:t>406</w:t>
            </w:r>
          </w:hyperlink>
        </w:p>
        <w:p>
          <w:pPr>
            <w:pStyle w:val="Contents5"/>
            <w:tabs>
              <w:tab w:val="clear" w:pos="7892"/>
              <w:tab w:val="right" w:pos="9026" w:leader="dot"/>
            </w:tabs>
            <w:rPr/>
          </w:pPr>
          <w:hyperlink w:anchor="__RefHeading___Toc3599131_1067777946">
            <w:r>
              <w:rPr>
                <w:webHidden/>
                <w:rStyle w:val="IndexLink"/>
                <w:rtl w:val="true"/>
              </w:rPr>
              <w:t>وقف بر همسايه ها و ميزان صدق همسايه</w:t>
            </w:r>
            <w:r>
              <w:rPr>
                <w:rStyle w:val="IndexLink"/>
                <w:rtl w:val="true"/>
              </w:rPr>
              <w:tab/>
            </w:r>
            <w:r>
              <w:rPr>
                <w:rStyle w:val="IndexLink"/>
              </w:rPr>
              <w:t>406</w:t>
            </w:r>
          </w:hyperlink>
        </w:p>
        <w:p>
          <w:pPr>
            <w:pStyle w:val="Contents5"/>
            <w:tabs>
              <w:tab w:val="clear" w:pos="7892"/>
              <w:tab w:val="right" w:pos="9026" w:leader="dot"/>
            </w:tabs>
            <w:rPr/>
          </w:pPr>
          <w:hyperlink w:anchor="__RefHeading___Toc3599133_1067777946">
            <w:r>
              <w:rPr>
                <w:webHidden/>
                <w:rStyle w:val="IndexLink"/>
                <w:rtl w:val="true"/>
              </w:rPr>
              <w:t>انتفاى مصلحت وقف</w:t>
            </w:r>
            <w:r>
              <w:rPr>
                <w:rStyle w:val="IndexLink"/>
                <w:rtl w:val="true"/>
              </w:rPr>
              <w:tab/>
            </w:r>
            <w:r>
              <w:rPr>
                <w:rStyle w:val="IndexLink"/>
              </w:rPr>
              <w:t>406</w:t>
            </w:r>
          </w:hyperlink>
        </w:p>
        <w:p>
          <w:pPr>
            <w:pStyle w:val="Contents5"/>
            <w:tabs>
              <w:tab w:val="clear" w:pos="7892"/>
              <w:tab w:val="right" w:pos="9026" w:leader="dot"/>
            </w:tabs>
            <w:rPr/>
          </w:pPr>
          <w:hyperlink w:anchor="__RefHeading___Toc3599135_1067777946">
            <w:r>
              <w:rPr>
                <w:webHidden/>
                <w:rStyle w:val="IndexLink"/>
                <w:rtl w:val="true"/>
              </w:rPr>
              <w:t>وقف بر وجوه برّ</w:t>
            </w:r>
            <w:r>
              <w:rPr>
                <w:rStyle w:val="IndexLink"/>
                <w:rtl w:val="true"/>
              </w:rPr>
              <w:tab/>
            </w:r>
            <w:r>
              <w:rPr>
                <w:rStyle w:val="IndexLink"/>
              </w:rPr>
              <w:t>407</w:t>
            </w:r>
          </w:hyperlink>
        </w:p>
        <w:p>
          <w:pPr>
            <w:pStyle w:val="Contents5"/>
            <w:tabs>
              <w:tab w:val="clear" w:pos="7892"/>
              <w:tab w:val="right" w:pos="9026" w:leader="dot"/>
            </w:tabs>
            <w:rPr/>
          </w:pPr>
          <w:hyperlink w:anchor="__RefHeading___Toc3599137_1067777946">
            <w:r>
              <w:rPr>
                <w:webHidden/>
                <w:rStyle w:val="IndexLink"/>
                <w:rtl w:val="true"/>
              </w:rPr>
              <w:t>وقف بر مرتدّ</w:t>
            </w:r>
            <w:r>
              <w:rPr>
                <w:rStyle w:val="IndexLink"/>
                <w:rtl w:val="true"/>
              </w:rPr>
              <w:tab/>
            </w:r>
            <w:r>
              <w:rPr>
                <w:rStyle w:val="IndexLink"/>
              </w:rPr>
              <w:t>407</w:t>
            </w:r>
          </w:hyperlink>
        </w:p>
        <w:p>
          <w:pPr>
            <w:pStyle w:val="Contents5"/>
            <w:tabs>
              <w:tab w:val="clear" w:pos="7892"/>
              <w:tab w:val="right" w:pos="9026" w:leader="dot"/>
            </w:tabs>
            <w:rPr/>
          </w:pPr>
          <w:hyperlink w:anchor="__RefHeading___Toc3599139_1067777946">
            <w:r>
              <w:rPr>
                <w:webHidden/>
                <w:rStyle w:val="IndexLink"/>
                <w:rtl w:val="true"/>
              </w:rPr>
              <w:t>عدم تعيين يا ترديد مصرف وقف</w:t>
            </w:r>
            <w:r>
              <w:rPr>
                <w:rStyle w:val="IndexLink"/>
                <w:rtl w:val="true"/>
              </w:rPr>
              <w:tab/>
            </w:r>
            <w:r>
              <w:rPr>
                <w:rStyle w:val="IndexLink"/>
              </w:rPr>
              <w:t>407</w:t>
            </w:r>
          </w:hyperlink>
        </w:p>
        <w:p>
          <w:pPr>
            <w:pStyle w:val="Contents5"/>
            <w:tabs>
              <w:tab w:val="clear" w:pos="7892"/>
              <w:tab w:val="right" w:pos="9026" w:leader="dot"/>
            </w:tabs>
            <w:rPr/>
          </w:pPr>
          <w:hyperlink w:anchor="__RefHeading___Toc3599141_1067777946">
            <w:r>
              <w:rPr>
                <w:webHidden/>
                <w:rStyle w:val="IndexLink"/>
                <w:rtl w:val="true"/>
              </w:rPr>
              <w:t>وقف بر اولاد و خويشان</w:t>
            </w:r>
            <w:r>
              <w:rPr>
                <w:rStyle w:val="IndexLink"/>
                <w:rtl w:val="true"/>
              </w:rPr>
              <w:tab/>
            </w:r>
            <w:r>
              <w:rPr>
                <w:rStyle w:val="IndexLink"/>
              </w:rPr>
              <w:t>407</w:t>
            </w:r>
          </w:hyperlink>
        </w:p>
        <w:p>
          <w:pPr>
            <w:pStyle w:val="Contents5"/>
            <w:tabs>
              <w:tab w:val="clear" w:pos="7892"/>
              <w:tab w:val="right" w:pos="9026" w:leader="dot"/>
            </w:tabs>
            <w:rPr/>
          </w:pPr>
          <w:hyperlink w:anchor="__RefHeading___Toc3599143_1067777946">
            <w:r>
              <w:rPr>
                <w:webHidden/>
                <w:rStyle w:val="IndexLink"/>
                <w:rtl w:val="true"/>
              </w:rPr>
              <w:t>وقف بر اقرب مردم به او</w:t>
            </w:r>
            <w:r>
              <w:rPr>
                <w:rStyle w:val="IndexLink"/>
                <w:rtl w:val="true"/>
              </w:rPr>
              <w:tab/>
            </w:r>
            <w:r>
              <w:rPr>
                <w:rStyle w:val="IndexLink"/>
              </w:rPr>
              <w:t>408</w:t>
            </w:r>
          </w:hyperlink>
        </w:p>
        <w:p>
          <w:pPr>
            <w:pStyle w:val="Contents4"/>
            <w:tabs>
              <w:tab w:val="clear" w:pos="8176"/>
              <w:tab w:val="right" w:pos="9026" w:leader="dot"/>
            </w:tabs>
            <w:rPr/>
          </w:pPr>
          <w:hyperlink w:anchor="__RefHeading___Toc3599145_1067777946">
            <w:r>
              <w:rPr>
                <w:webHidden/>
                <w:rStyle w:val="IndexLink"/>
                <w:rtl w:val="true"/>
              </w:rPr>
              <w:t>در شروط وقف است</w:t>
            </w:r>
            <w:r>
              <w:rPr>
                <w:rStyle w:val="IndexLink"/>
                <w:rtl w:val="true"/>
              </w:rPr>
              <w:tab/>
            </w:r>
            <w:r>
              <w:rPr>
                <w:rStyle w:val="IndexLink"/>
              </w:rPr>
              <w:t>408</w:t>
            </w:r>
          </w:hyperlink>
        </w:p>
        <w:p>
          <w:pPr>
            <w:pStyle w:val="Contents5"/>
            <w:tabs>
              <w:tab w:val="clear" w:pos="7892"/>
              <w:tab w:val="right" w:pos="9026" w:leader="dot"/>
            </w:tabs>
            <w:rPr/>
          </w:pPr>
          <w:hyperlink w:anchor="__RefHeading___Toc3599147_1067777946">
            <w:r>
              <w:rPr>
                <w:webHidden/>
                <w:rStyle w:val="IndexLink"/>
                <w:rtl w:val="true"/>
              </w:rPr>
              <w:t>دوام</w:t>
            </w:r>
            <w:r>
              <w:rPr>
                <w:rStyle w:val="IndexLink"/>
                <w:rtl w:val="true"/>
              </w:rPr>
              <w:tab/>
            </w:r>
            <w:r>
              <w:rPr>
                <w:rStyle w:val="IndexLink"/>
              </w:rPr>
              <w:t>408</w:t>
            </w:r>
          </w:hyperlink>
        </w:p>
        <w:p>
          <w:pPr>
            <w:pStyle w:val="Contents5"/>
            <w:tabs>
              <w:tab w:val="clear" w:pos="7892"/>
              <w:tab w:val="right" w:pos="9026" w:leader="dot"/>
            </w:tabs>
            <w:rPr/>
          </w:pPr>
          <w:hyperlink w:anchor="__RefHeading___Toc3599149_1067777946">
            <w:r>
              <w:rPr>
                <w:webHidden/>
                <w:rStyle w:val="IndexLink"/>
                <w:rtl w:val="true"/>
              </w:rPr>
              <w:t>اعتبار تنجيز</w:t>
            </w:r>
            <w:r>
              <w:rPr>
                <w:rStyle w:val="IndexLink"/>
                <w:rtl w:val="true"/>
              </w:rPr>
              <w:tab/>
            </w:r>
            <w:r>
              <w:rPr>
                <w:rStyle w:val="IndexLink"/>
              </w:rPr>
              <w:t>409</w:t>
            </w:r>
          </w:hyperlink>
        </w:p>
        <w:p>
          <w:pPr>
            <w:pStyle w:val="Contents5"/>
            <w:tabs>
              <w:tab w:val="clear" w:pos="7892"/>
              <w:tab w:val="right" w:pos="9026" w:leader="dot"/>
            </w:tabs>
            <w:rPr/>
          </w:pPr>
          <w:hyperlink w:anchor="__RefHeading___Toc3599151_1067777946">
            <w:r>
              <w:rPr>
                <w:webHidden/>
                <w:rStyle w:val="IndexLink"/>
                <w:rtl w:val="true"/>
              </w:rPr>
              <w:t>اعتبار قبض</w:t>
            </w:r>
            <w:r>
              <w:rPr>
                <w:rStyle w:val="IndexLink"/>
                <w:rtl w:val="true"/>
              </w:rPr>
              <w:tab/>
            </w:r>
            <w:r>
              <w:rPr>
                <w:rStyle w:val="IndexLink"/>
              </w:rPr>
              <w:t>409</w:t>
            </w:r>
          </w:hyperlink>
        </w:p>
        <w:p>
          <w:pPr>
            <w:pStyle w:val="Contents5"/>
            <w:tabs>
              <w:tab w:val="clear" w:pos="7892"/>
              <w:tab w:val="right" w:pos="9026" w:leader="dot"/>
            </w:tabs>
            <w:rPr/>
          </w:pPr>
          <w:hyperlink w:anchor="__RefHeading___Toc3599153_1067777946">
            <w:r>
              <w:rPr>
                <w:webHidden/>
                <w:rStyle w:val="IndexLink"/>
                <w:rtl w:val="true"/>
              </w:rPr>
              <w:t>وقف بر نفس</w:t>
            </w:r>
            <w:r>
              <w:rPr>
                <w:rStyle w:val="IndexLink"/>
                <w:rtl w:val="true"/>
              </w:rPr>
              <w:tab/>
            </w:r>
            <w:r>
              <w:rPr>
                <w:rStyle w:val="IndexLink"/>
              </w:rPr>
              <w:t>410</w:t>
            </w:r>
          </w:hyperlink>
        </w:p>
        <w:p>
          <w:pPr>
            <w:pStyle w:val="Contents5"/>
            <w:tabs>
              <w:tab w:val="clear" w:pos="7892"/>
              <w:tab w:val="right" w:pos="9026" w:leader="dot"/>
            </w:tabs>
            <w:rPr/>
          </w:pPr>
          <w:hyperlink w:anchor="__RefHeading___Toc3599155_1067777946">
            <w:r>
              <w:rPr>
                <w:webHidden/>
                <w:rStyle w:val="IndexLink"/>
                <w:rtl w:val="true"/>
              </w:rPr>
              <w:t>شرط انتفاع واقف و متعلّقين او در مدّتى يا ما دام الحياة</w:t>
            </w:r>
            <w:r>
              <w:rPr>
                <w:rStyle w:val="IndexLink"/>
                <w:rtl w:val="true"/>
              </w:rPr>
              <w:tab/>
            </w:r>
            <w:r>
              <w:rPr>
                <w:rStyle w:val="IndexLink"/>
              </w:rPr>
              <w:t>410</w:t>
            </w:r>
          </w:hyperlink>
        </w:p>
        <w:p>
          <w:pPr>
            <w:pStyle w:val="Contents5"/>
            <w:tabs>
              <w:tab w:val="clear" w:pos="7892"/>
              <w:tab w:val="right" w:pos="9026" w:leader="dot"/>
            </w:tabs>
            <w:rPr/>
          </w:pPr>
          <w:hyperlink w:anchor="__RefHeading___Toc3599157_1067777946">
            <w:r>
              <w:rPr>
                <w:webHidden/>
                <w:rStyle w:val="IndexLink"/>
                <w:rtl w:val="true"/>
              </w:rPr>
              <w:t>وقف بر عنوانى و دخول واقف در آن عنوان</w:t>
            </w:r>
            <w:r>
              <w:rPr>
                <w:rStyle w:val="IndexLink"/>
                <w:rtl w:val="true"/>
              </w:rPr>
              <w:tab/>
            </w:r>
            <w:r>
              <w:rPr>
                <w:rStyle w:val="IndexLink"/>
              </w:rPr>
              <w:t>410</w:t>
            </w:r>
          </w:hyperlink>
        </w:p>
        <w:p>
          <w:pPr>
            <w:pStyle w:val="Contents5"/>
            <w:tabs>
              <w:tab w:val="clear" w:pos="7892"/>
              <w:tab w:val="right" w:pos="9026" w:leader="dot"/>
            </w:tabs>
            <w:rPr/>
          </w:pPr>
          <w:hyperlink w:anchor="__RefHeading___Toc3599159_1067777946">
            <w:r>
              <w:rPr>
                <w:webHidden/>
                <w:rStyle w:val="IndexLink"/>
                <w:rtl w:val="true"/>
              </w:rPr>
              <w:t>وقف بر جهتى و شرط عود در وقت احتياج</w:t>
            </w:r>
            <w:r>
              <w:rPr>
                <w:rStyle w:val="IndexLink"/>
                <w:rtl w:val="true"/>
              </w:rPr>
              <w:tab/>
            </w:r>
            <w:r>
              <w:rPr>
                <w:rStyle w:val="IndexLink"/>
              </w:rPr>
              <w:t>411</w:t>
            </w:r>
          </w:hyperlink>
        </w:p>
        <w:p>
          <w:pPr>
            <w:pStyle w:val="Contents5"/>
            <w:tabs>
              <w:tab w:val="clear" w:pos="7892"/>
              <w:tab w:val="right" w:pos="9026" w:leader="dot"/>
            </w:tabs>
            <w:rPr/>
          </w:pPr>
          <w:hyperlink w:anchor="__RefHeading___Toc3599161_1067777946">
            <w:r>
              <w:rPr>
                <w:webHidden/>
                <w:rStyle w:val="IndexLink"/>
                <w:rtl w:val="true"/>
              </w:rPr>
              <w:t>شرط اخراج واقف داخل در وقف را يا ادخال خارج از وقف را</w:t>
            </w:r>
            <w:r>
              <w:rPr>
                <w:rStyle w:val="IndexLink"/>
                <w:rtl w:val="true"/>
              </w:rPr>
              <w:tab/>
            </w:r>
            <w:r>
              <w:rPr>
                <w:rStyle w:val="IndexLink"/>
              </w:rPr>
              <w:t>411</w:t>
            </w:r>
          </w:hyperlink>
        </w:p>
        <w:p>
          <w:pPr>
            <w:pStyle w:val="Contents5"/>
            <w:tabs>
              <w:tab w:val="clear" w:pos="7892"/>
              <w:tab w:val="right" w:pos="9026" w:leader="dot"/>
            </w:tabs>
            <w:rPr/>
          </w:pPr>
          <w:hyperlink w:anchor="__RefHeading___Toc3599163_1067777946">
            <w:r>
              <w:rPr>
                <w:webHidden/>
                <w:rStyle w:val="IndexLink"/>
                <w:rtl w:val="true"/>
              </w:rPr>
              <w:t>شرط نقل از موقوف عليهم</w:t>
            </w:r>
            <w:r>
              <w:rPr>
                <w:rStyle w:val="IndexLink"/>
                <w:rtl w:val="true"/>
              </w:rPr>
              <w:tab/>
            </w:r>
            <w:r>
              <w:rPr>
                <w:rStyle w:val="IndexLink"/>
              </w:rPr>
              <w:t>411</w:t>
            </w:r>
          </w:hyperlink>
        </w:p>
        <w:p>
          <w:pPr>
            <w:pStyle w:val="Contents5"/>
            <w:tabs>
              <w:tab w:val="clear" w:pos="7892"/>
              <w:tab w:val="right" w:pos="9026" w:leader="dot"/>
            </w:tabs>
            <w:rPr/>
          </w:pPr>
          <w:hyperlink w:anchor="__RefHeading___Toc3599165_1067777946">
            <w:r>
              <w:rPr>
                <w:webHidden/>
                <w:rStyle w:val="IndexLink"/>
                <w:rtl w:val="true"/>
              </w:rPr>
              <w:t>وقف يك سال بر اولاد و يك سال بر علما و</w:t>
            </w:r>
            <w:r>
              <w:rPr>
                <w:rStyle w:val="IndexLink"/>
                <w:rtl w:val="true"/>
              </w:rPr>
              <w:t>...</w:t>
              <w:tab/>
            </w:r>
            <w:r>
              <w:rPr>
                <w:rStyle w:val="IndexLink"/>
              </w:rPr>
              <w:t>411</w:t>
            </w:r>
          </w:hyperlink>
        </w:p>
        <w:p>
          <w:pPr>
            <w:pStyle w:val="Contents5"/>
            <w:tabs>
              <w:tab w:val="clear" w:pos="7892"/>
              <w:tab w:val="right" w:pos="9026" w:leader="dot"/>
            </w:tabs>
            <w:rPr/>
          </w:pPr>
          <w:hyperlink w:anchor="__RefHeading___Toc3599167_1067777946">
            <w:r>
              <w:rPr>
                <w:webHidden/>
                <w:rStyle w:val="IndexLink"/>
                <w:rtl w:val="true"/>
              </w:rPr>
              <w:t>وقف بر اولاد اصاغر و شرط داخل شدن متولد از او</w:t>
            </w:r>
            <w:r>
              <w:rPr>
                <w:rStyle w:val="IndexLink"/>
                <w:rtl w:val="true"/>
              </w:rPr>
              <w:tab/>
            </w:r>
            <w:r>
              <w:rPr>
                <w:rStyle w:val="IndexLink"/>
              </w:rPr>
              <w:t>411</w:t>
            </w:r>
          </w:hyperlink>
        </w:p>
        <w:p>
          <w:pPr>
            <w:pStyle w:val="Contents5"/>
            <w:tabs>
              <w:tab w:val="clear" w:pos="7892"/>
              <w:tab w:val="right" w:pos="9026" w:leader="dot"/>
            </w:tabs>
            <w:rPr/>
          </w:pPr>
          <w:hyperlink w:anchor="__RefHeading___Toc3599169_1067777946">
            <w:r>
              <w:rPr>
                <w:webHidden/>
                <w:rStyle w:val="IndexLink"/>
                <w:rtl w:val="true"/>
              </w:rPr>
              <w:t>احتياط در قبض حاكم در وقف بر مصلحت يا بر فقرا و فقها</w:t>
            </w:r>
            <w:r>
              <w:rPr>
                <w:rStyle w:val="IndexLink"/>
                <w:rtl w:val="true"/>
              </w:rPr>
              <w:tab/>
            </w:r>
            <w:r>
              <w:rPr>
                <w:rStyle w:val="IndexLink"/>
              </w:rPr>
              <w:t>412</w:t>
            </w:r>
          </w:hyperlink>
        </w:p>
        <w:p>
          <w:pPr>
            <w:pStyle w:val="Contents5"/>
            <w:tabs>
              <w:tab w:val="clear" w:pos="7892"/>
              <w:tab w:val="right" w:pos="9026" w:leader="dot"/>
            </w:tabs>
            <w:rPr/>
          </w:pPr>
          <w:hyperlink w:anchor="__RefHeading___Toc3599171_1067777946">
            <w:r>
              <w:rPr>
                <w:webHidden/>
                <w:rStyle w:val="IndexLink"/>
                <w:rtl w:val="true"/>
              </w:rPr>
              <w:t>وقف مسجد و مقبره</w:t>
            </w:r>
            <w:r>
              <w:rPr>
                <w:rStyle w:val="IndexLink"/>
                <w:rtl w:val="true"/>
              </w:rPr>
              <w:tab/>
            </w:r>
            <w:r>
              <w:rPr>
                <w:rStyle w:val="IndexLink"/>
              </w:rPr>
              <w:t>412</w:t>
            </w:r>
          </w:hyperlink>
        </w:p>
        <w:p>
          <w:pPr>
            <w:pStyle w:val="Contents3"/>
            <w:tabs>
              <w:tab w:val="clear" w:pos="8459"/>
              <w:tab w:val="right" w:pos="9026" w:leader="dot"/>
            </w:tabs>
            <w:rPr/>
          </w:pPr>
          <w:hyperlink w:anchor="__RefHeading___Toc3599173_1067777946">
            <w:r>
              <w:rPr>
                <w:webHidden/>
                <w:rStyle w:val="IndexLink"/>
                <w:rtl w:val="true"/>
              </w:rPr>
              <w:t>فصل دوّم احكام وقف</w:t>
            </w:r>
            <w:r>
              <w:rPr>
                <w:rStyle w:val="IndexLink"/>
                <w:rtl w:val="true"/>
              </w:rPr>
              <w:tab/>
            </w:r>
            <w:r>
              <w:rPr>
                <w:rStyle w:val="IndexLink"/>
              </w:rPr>
              <w:t>413</w:t>
            </w:r>
          </w:hyperlink>
        </w:p>
        <w:p>
          <w:pPr>
            <w:pStyle w:val="Contents4"/>
            <w:tabs>
              <w:tab w:val="clear" w:pos="8176"/>
              <w:tab w:val="right" w:pos="9026" w:leader="dot"/>
            </w:tabs>
            <w:rPr/>
          </w:pPr>
          <w:hyperlink w:anchor="__RefHeading___Toc3599175_1067777946">
            <w:r>
              <w:rPr>
                <w:webHidden/>
                <w:rStyle w:val="IndexLink"/>
                <w:rtl w:val="true"/>
              </w:rPr>
              <w:t>خروج عين موقوفه از ملك واقف</w:t>
            </w:r>
            <w:r>
              <w:rPr>
                <w:rStyle w:val="IndexLink"/>
                <w:rtl w:val="true"/>
              </w:rPr>
              <w:tab/>
            </w:r>
            <w:r>
              <w:rPr>
                <w:rStyle w:val="IndexLink"/>
              </w:rPr>
              <w:t>413</w:t>
            </w:r>
          </w:hyperlink>
        </w:p>
        <w:p>
          <w:pPr>
            <w:pStyle w:val="Contents4"/>
            <w:tabs>
              <w:tab w:val="clear" w:pos="8176"/>
              <w:tab w:val="right" w:pos="9026" w:leader="dot"/>
            </w:tabs>
            <w:rPr/>
          </w:pPr>
          <w:hyperlink w:anchor="__RefHeading___Toc3599177_1067777946">
            <w:r>
              <w:rPr>
                <w:webHidden/>
                <w:rStyle w:val="IndexLink"/>
                <w:rtl w:val="true"/>
              </w:rPr>
              <w:t>نفقۀ موقوف</w:t>
            </w:r>
            <w:r>
              <w:rPr>
                <w:rStyle w:val="IndexLink"/>
                <w:rtl w:val="true"/>
              </w:rPr>
              <w:tab/>
            </w:r>
            <w:r>
              <w:rPr>
                <w:rStyle w:val="IndexLink"/>
              </w:rPr>
              <w:t>413</w:t>
            </w:r>
          </w:hyperlink>
        </w:p>
        <w:p>
          <w:pPr>
            <w:pStyle w:val="Contents4"/>
            <w:tabs>
              <w:tab w:val="clear" w:pos="8176"/>
              <w:tab w:val="right" w:pos="9026" w:leader="dot"/>
            </w:tabs>
            <w:rPr/>
          </w:pPr>
          <w:hyperlink w:anchor="__RefHeading___Toc3599179_1067777946">
            <w:r>
              <w:rPr>
                <w:webHidden/>
                <w:rStyle w:val="IndexLink"/>
                <w:rtl w:val="true"/>
              </w:rPr>
              <w:t>جنايت عبد موقوف</w:t>
            </w:r>
            <w:r>
              <w:rPr>
                <w:rStyle w:val="IndexLink"/>
                <w:rtl w:val="true"/>
              </w:rPr>
              <w:tab/>
            </w:r>
            <w:r>
              <w:rPr>
                <w:rStyle w:val="IndexLink"/>
              </w:rPr>
              <w:t>414</w:t>
            </w:r>
          </w:hyperlink>
        </w:p>
        <w:p>
          <w:pPr>
            <w:pStyle w:val="Contents5"/>
            <w:tabs>
              <w:tab w:val="clear" w:pos="7892"/>
              <w:tab w:val="right" w:pos="9026" w:leader="dot"/>
            </w:tabs>
            <w:rPr/>
          </w:pPr>
          <w:hyperlink w:anchor="__RefHeading___Toc3599181_1067777946">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3599183_1067777946">
            <w:r>
              <w:rPr>
                <w:webHidden/>
                <w:rStyle w:val="IndexLink"/>
                <w:rtl w:val="true"/>
              </w:rPr>
              <w:t>جنايت بر مملوك موقوف</w:t>
            </w:r>
            <w:r>
              <w:rPr>
                <w:rStyle w:val="IndexLink"/>
                <w:rtl w:val="true"/>
              </w:rPr>
              <w:tab/>
            </w:r>
            <w:r>
              <w:rPr>
                <w:rStyle w:val="IndexLink"/>
              </w:rPr>
              <w:t>414</w:t>
            </w:r>
          </w:hyperlink>
        </w:p>
        <w:p>
          <w:pPr>
            <w:pStyle w:val="Contents4"/>
            <w:tabs>
              <w:tab w:val="clear" w:pos="8176"/>
              <w:tab w:val="right" w:pos="9026" w:leader="dot"/>
            </w:tabs>
            <w:rPr/>
          </w:pPr>
          <w:hyperlink w:anchor="__RefHeading___Toc3599185_1067777946">
            <w:r>
              <w:rPr>
                <w:webHidden/>
                <w:rStyle w:val="IndexLink"/>
                <w:rtl w:val="true"/>
              </w:rPr>
              <w:t>مصارف وقف در راه خدا</w:t>
            </w:r>
            <w:r>
              <w:rPr>
                <w:rStyle w:val="IndexLink"/>
                <w:rtl w:val="true"/>
              </w:rPr>
              <w:tab/>
            </w:r>
            <w:r>
              <w:rPr>
                <w:rStyle w:val="IndexLink"/>
              </w:rPr>
              <w:t>415</w:t>
            </w:r>
          </w:hyperlink>
        </w:p>
        <w:p>
          <w:pPr>
            <w:pStyle w:val="Contents4"/>
            <w:tabs>
              <w:tab w:val="clear" w:pos="8176"/>
              <w:tab w:val="right" w:pos="9026" w:leader="dot"/>
            </w:tabs>
            <w:rPr/>
          </w:pPr>
          <w:hyperlink w:anchor="__RefHeading___Toc3599187_1067777946">
            <w:r>
              <w:rPr>
                <w:webHidden/>
                <w:rStyle w:val="IndexLink"/>
                <w:rtl w:val="true"/>
              </w:rPr>
              <w:t>مراد از موالى در وقف بر موالى</w:t>
            </w:r>
            <w:r>
              <w:rPr>
                <w:rStyle w:val="IndexLink"/>
                <w:rtl w:val="true"/>
              </w:rPr>
              <w:tab/>
            </w:r>
            <w:r>
              <w:rPr>
                <w:rStyle w:val="IndexLink"/>
              </w:rPr>
              <w:t>415</w:t>
            </w:r>
          </w:hyperlink>
        </w:p>
        <w:p>
          <w:pPr>
            <w:pStyle w:val="Contents4"/>
            <w:tabs>
              <w:tab w:val="clear" w:pos="8176"/>
              <w:tab w:val="right" w:pos="9026" w:leader="dot"/>
            </w:tabs>
            <w:rPr/>
          </w:pPr>
          <w:hyperlink w:anchor="__RefHeading___Toc3599189_1067777946">
            <w:r>
              <w:rPr>
                <w:webHidden/>
                <w:rStyle w:val="IndexLink"/>
                <w:rtl w:val="true"/>
              </w:rPr>
              <w:t>احكام وقف بر اولاد و شبيه آن</w:t>
            </w:r>
            <w:r>
              <w:rPr>
                <w:rStyle w:val="IndexLink"/>
                <w:rtl w:val="true"/>
              </w:rPr>
              <w:tab/>
            </w:r>
            <w:r>
              <w:rPr>
                <w:rStyle w:val="IndexLink"/>
              </w:rPr>
              <w:t>415</w:t>
            </w:r>
          </w:hyperlink>
        </w:p>
        <w:p>
          <w:pPr>
            <w:pStyle w:val="Contents4"/>
            <w:tabs>
              <w:tab w:val="clear" w:pos="8176"/>
              <w:tab w:val="right" w:pos="9026" w:leader="dot"/>
            </w:tabs>
            <w:rPr/>
          </w:pPr>
          <w:hyperlink w:anchor="__RefHeading___Toc3599191_1067777946">
            <w:r>
              <w:rPr>
                <w:webHidden/>
                <w:rStyle w:val="IndexLink"/>
                <w:rtl w:val="true"/>
              </w:rPr>
              <w:t>خرابى مسجد موقوف</w:t>
            </w:r>
            <w:r>
              <w:rPr>
                <w:rStyle w:val="IndexLink"/>
                <w:rtl w:val="true"/>
              </w:rPr>
              <w:tab/>
            </w:r>
            <w:r>
              <w:rPr>
                <w:rStyle w:val="IndexLink"/>
              </w:rPr>
              <w:t>416</w:t>
            </w:r>
          </w:hyperlink>
        </w:p>
        <w:p>
          <w:pPr>
            <w:pStyle w:val="Contents4"/>
            <w:tabs>
              <w:tab w:val="clear" w:pos="8176"/>
              <w:tab w:val="right" w:pos="9026" w:leader="dot"/>
            </w:tabs>
            <w:rPr/>
          </w:pPr>
          <w:hyperlink w:anchor="__RefHeading___Toc3599193_1067777946">
            <w:r>
              <w:rPr>
                <w:webHidden/>
                <w:rStyle w:val="IndexLink"/>
                <w:rtl w:val="true"/>
              </w:rPr>
              <w:t>وقف خانه</w:t>
            </w:r>
            <w:r>
              <w:rPr>
                <w:rStyle w:val="IndexLink"/>
                <w:rtl w:val="true"/>
              </w:rPr>
              <w:tab/>
            </w:r>
            <w:r>
              <w:rPr>
                <w:rStyle w:val="IndexLink"/>
              </w:rPr>
              <w:t>416</w:t>
            </w:r>
          </w:hyperlink>
        </w:p>
        <w:p>
          <w:pPr>
            <w:pStyle w:val="Contents5"/>
            <w:tabs>
              <w:tab w:val="clear" w:pos="7892"/>
              <w:tab w:val="right" w:pos="9026" w:leader="dot"/>
            </w:tabs>
            <w:rPr/>
          </w:pPr>
          <w:hyperlink w:anchor="__RefHeading___Toc3599195_1067777946">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3599197_1067777946">
            <w:r>
              <w:rPr>
                <w:webHidden/>
                <w:rStyle w:val="IndexLink"/>
                <w:rtl w:val="true"/>
              </w:rPr>
              <w:t>بعضى از موارد جواز بيع موقوف</w:t>
            </w:r>
            <w:r>
              <w:rPr>
                <w:rStyle w:val="IndexLink"/>
                <w:rtl w:val="true"/>
              </w:rPr>
              <w:tab/>
            </w:r>
            <w:r>
              <w:rPr>
                <w:rStyle w:val="IndexLink"/>
              </w:rPr>
              <w:t>417</w:t>
            </w:r>
          </w:hyperlink>
        </w:p>
        <w:p>
          <w:pPr>
            <w:pStyle w:val="Contents5"/>
            <w:tabs>
              <w:tab w:val="clear" w:pos="7892"/>
              <w:tab w:val="right" w:pos="9026" w:leader="dot"/>
            </w:tabs>
            <w:rPr/>
          </w:pPr>
          <w:hyperlink w:anchor="__RefHeading___Toc3599199_1067777946">
            <w:r>
              <w:rPr>
                <w:webHidden/>
                <w:rStyle w:val="IndexLink"/>
                <w:rtl w:val="true"/>
              </w:rPr>
              <w:t>قلع شدن نخلۀ موقوفه</w:t>
            </w:r>
            <w:r>
              <w:rPr>
                <w:rStyle w:val="IndexLink"/>
                <w:rtl w:val="true"/>
              </w:rPr>
              <w:tab/>
            </w:r>
            <w:r>
              <w:rPr>
                <w:rStyle w:val="IndexLink"/>
              </w:rPr>
              <w:t>417</w:t>
            </w:r>
          </w:hyperlink>
        </w:p>
        <w:p>
          <w:pPr>
            <w:pStyle w:val="Contents5"/>
            <w:tabs>
              <w:tab w:val="clear" w:pos="7892"/>
              <w:tab w:val="right" w:pos="9026" w:leader="dot"/>
            </w:tabs>
            <w:rPr/>
          </w:pPr>
          <w:hyperlink w:anchor="__RefHeading___Toc3599201_1067777946">
            <w:r>
              <w:rPr>
                <w:webHidden/>
                <w:rStyle w:val="IndexLink"/>
                <w:rtl w:val="true"/>
              </w:rPr>
              <w:t>وظيفه در صورت عدم امكان استفاده از موقوف</w:t>
            </w:r>
            <w:r>
              <w:rPr>
                <w:rStyle w:val="IndexLink"/>
                <w:rtl w:val="true"/>
              </w:rPr>
              <w:tab/>
            </w:r>
            <w:r>
              <w:rPr>
                <w:rStyle w:val="IndexLink"/>
              </w:rPr>
              <w:t>417</w:t>
            </w:r>
          </w:hyperlink>
        </w:p>
        <w:p>
          <w:pPr>
            <w:pStyle w:val="Contents4"/>
            <w:tabs>
              <w:tab w:val="clear" w:pos="8176"/>
              <w:tab w:val="right" w:pos="9026" w:leader="dot"/>
            </w:tabs>
            <w:rPr/>
          </w:pPr>
          <w:hyperlink w:anchor="__RefHeading___Toc3599203_1067777946">
            <w:r>
              <w:rPr>
                <w:webHidden/>
                <w:rStyle w:val="IndexLink"/>
                <w:rtl w:val="true"/>
              </w:rPr>
              <w:t>اجاره دادن بطن اوّل و انقراض آنها</w:t>
            </w:r>
            <w:r>
              <w:rPr>
                <w:rStyle w:val="IndexLink"/>
                <w:rtl w:val="true"/>
              </w:rPr>
              <w:tab/>
            </w:r>
            <w:r>
              <w:rPr>
                <w:rStyle w:val="IndexLink"/>
              </w:rPr>
              <w:t>418</w:t>
            </w:r>
          </w:hyperlink>
        </w:p>
        <w:p>
          <w:pPr>
            <w:pStyle w:val="Contents4"/>
            <w:tabs>
              <w:tab w:val="clear" w:pos="8176"/>
              <w:tab w:val="right" w:pos="9026" w:leader="dot"/>
            </w:tabs>
            <w:rPr/>
          </w:pPr>
          <w:hyperlink w:anchor="__RefHeading___Toc3599205_1067777946">
            <w:r>
              <w:rPr>
                <w:webHidden/>
                <w:rStyle w:val="IndexLink"/>
                <w:rtl w:val="true"/>
              </w:rPr>
              <w:t>عدم لزوم تتبع و استيعاب در وقف بر فقراى بلد يا علويين و يا پسران فلانى</w:t>
            </w:r>
            <w:r>
              <w:rPr>
                <w:rStyle w:val="IndexLink"/>
                <w:rtl w:val="true"/>
              </w:rPr>
              <w:tab/>
            </w:r>
            <w:r>
              <w:rPr>
                <w:rStyle w:val="IndexLink"/>
              </w:rPr>
              <w:t>418</w:t>
            </w:r>
          </w:hyperlink>
        </w:p>
        <w:p>
          <w:pPr>
            <w:pStyle w:val="Contents4"/>
            <w:tabs>
              <w:tab w:val="clear" w:pos="8176"/>
              <w:tab w:val="right" w:pos="9026" w:leader="dot"/>
            </w:tabs>
            <w:rPr/>
          </w:pPr>
          <w:hyperlink w:anchor="__RefHeading___Toc3599207_1067777946">
            <w:r>
              <w:rPr>
                <w:webHidden/>
                <w:rStyle w:val="IndexLink"/>
                <w:rtl w:val="true"/>
              </w:rPr>
              <w:t>امۀ موقوفه</w:t>
            </w:r>
            <w:r>
              <w:rPr>
                <w:rStyle w:val="IndexLink"/>
                <w:rtl w:val="true"/>
              </w:rPr>
              <w:tab/>
            </w:r>
            <w:r>
              <w:rPr>
                <w:rStyle w:val="IndexLink"/>
              </w:rPr>
              <w:t>419</w:t>
            </w:r>
          </w:hyperlink>
        </w:p>
        <w:p>
          <w:pPr>
            <w:pStyle w:val="Contents2"/>
            <w:tabs>
              <w:tab w:val="clear" w:pos="8743"/>
              <w:tab w:val="right" w:pos="9026" w:leader="dot"/>
            </w:tabs>
            <w:rPr/>
          </w:pPr>
          <w:hyperlink w:anchor="__RefHeading___Toc3599209_1067777946">
            <w:r>
              <w:rPr>
                <w:webHidden/>
                <w:rStyle w:val="IndexLink"/>
                <w:rtl w:val="true"/>
              </w:rPr>
              <w:t>كتاب صدقه</w:t>
            </w:r>
            <w:r>
              <w:rPr>
                <w:rStyle w:val="IndexLink"/>
                <w:rtl w:val="true"/>
              </w:rPr>
              <w:tab/>
            </w:r>
            <w:r>
              <w:rPr>
                <w:rStyle w:val="IndexLink"/>
              </w:rPr>
              <w:t>422</w:t>
            </w:r>
          </w:hyperlink>
        </w:p>
        <w:p>
          <w:pPr>
            <w:pStyle w:val="Contents3"/>
            <w:tabs>
              <w:tab w:val="clear" w:pos="8459"/>
              <w:tab w:val="right" w:pos="9026" w:leader="dot"/>
            </w:tabs>
            <w:rPr/>
          </w:pPr>
          <w:hyperlink w:anchor="__RefHeading___Toc3599211_1067777946">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3599213_1067777946">
            <w:r>
              <w:rPr>
                <w:webHidden/>
                <w:rStyle w:val="IndexLink"/>
                <w:rtl w:val="true"/>
              </w:rPr>
              <w:t>تعريف صدقه</w:t>
            </w:r>
            <w:r>
              <w:rPr>
                <w:rStyle w:val="IndexLink"/>
                <w:rtl w:val="true"/>
              </w:rPr>
              <w:tab/>
            </w:r>
            <w:r>
              <w:rPr>
                <w:rStyle w:val="IndexLink"/>
              </w:rPr>
              <w:t>424</w:t>
            </w:r>
          </w:hyperlink>
        </w:p>
        <w:p>
          <w:pPr>
            <w:pStyle w:val="Contents3"/>
            <w:tabs>
              <w:tab w:val="clear" w:pos="8459"/>
              <w:tab w:val="right" w:pos="9026" w:leader="dot"/>
            </w:tabs>
            <w:rPr/>
          </w:pPr>
          <w:hyperlink w:anchor="__RefHeading___Toc3599215_1067777946">
            <w:r>
              <w:rPr>
                <w:webHidden/>
                <w:rStyle w:val="IndexLink"/>
                <w:rtl w:val="true"/>
              </w:rPr>
              <w:t>اعتبار ايجاب و قبول</w:t>
            </w:r>
            <w:r>
              <w:rPr>
                <w:rStyle w:val="IndexLink"/>
                <w:rtl w:val="true"/>
              </w:rPr>
              <w:tab/>
            </w:r>
            <w:r>
              <w:rPr>
                <w:rStyle w:val="IndexLink"/>
              </w:rPr>
              <w:t>424</w:t>
            </w:r>
          </w:hyperlink>
        </w:p>
        <w:p>
          <w:pPr>
            <w:pStyle w:val="Contents3"/>
            <w:tabs>
              <w:tab w:val="clear" w:pos="8459"/>
              <w:tab w:val="right" w:pos="9026" w:leader="dot"/>
            </w:tabs>
            <w:rPr/>
          </w:pPr>
          <w:hyperlink w:anchor="__RefHeading___Toc3599217_1067777946">
            <w:r>
              <w:rPr>
                <w:webHidden/>
                <w:rStyle w:val="IndexLink"/>
                <w:rtl w:val="true"/>
              </w:rPr>
              <w:t>صدقۀ غير عقديّه</w:t>
            </w:r>
            <w:r>
              <w:rPr>
                <w:rStyle w:val="IndexLink"/>
                <w:rtl w:val="true"/>
              </w:rPr>
              <w:tab/>
            </w:r>
            <w:r>
              <w:rPr>
                <w:rStyle w:val="IndexLink"/>
              </w:rPr>
              <w:t>424</w:t>
            </w:r>
          </w:hyperlink>
        </w:p>
        <w:p>
          <w:pPr>
            <w:pStyle w:val="Contents3"/>
            <w:tabs>
              <w:tab w:val="clear" w:pos="8459"/>
              <w:tab w:val="right" w:pos="9026" w:leader="dot"/>
            </w:tabs>
            <w:rPr/>
          </w:pPr>
          <w:hyperlink w:anchor="__RefHeading___Toc3599219_1067777946">
            <w:r>
              <w:rPr>
                <w:webHidden/>
                <w:rStyle w:val="IndexLink"/>
                <w:rtl w:val="true"/>
              </w:rPr>
              <w:t>اعتبار تحقق قبض با اذن مالك</w:t>
            </w:r>
            <w:r>
              <w:rPr>
                <w:rStyle w:val="IndexLink"/>
                <w:rtl w:val="true"/>
              </w:rPr>
              <w:tab/>
            </w:r>
            <w:r>
              <w:rPr>
                <w:rStyle w:val="IndexLink"/>
              </w:rPr>
              <w:t>424</w:t>
            </w:r>
          </w:hyperlink>
        </w:p>
        <w:p>
          <w:pPr>
            <w:pStyle w:val="Contents3"/>
            <w:tabs>
              <w:tab w:val="clear" w:pos="8459"/>
              <w:tab w:val="right" w:pos="9026" w:leader="dot"/>
            </w:tabs>
            <w:rPr/>
          </w:pPr>
          <w:hyperlink w:anchor="__RefHeading___Toc3599221_1067777946">
            <w:r>
              <w:rPr>
                <w:webHidden/>
                <w:rStyle w:val="IndexLink"/>
                <w:rtl w:val="true"/>
              </w:rPr>
              <w:t>اعتبار قصد قربت</w:t>
            </w:r>
            <w:r>
              <w:rPr>
                <w:rStyle w:val="IndexLink"/>
                <w:rtl w:val="true"/>
              </w:rPr>
              <w:tab/>
            </w:r>
            <w:r>
              <w:rPr>
                <w:rStyle w:val="IndexLink"/>
              </w:rPr>
              <w:t>425</w:t>
            </w:r>
          </w:hyperlink>
        </w:p>
        <w:p>
          <w:pPr>
            <w:pStyle w:val="Contents3"/>
            <w:tabs>
              <w:tab w:val="clear" w:pos="8459"/>
              <w:tab w:val="right" w:pos="9026" w:leader="dot"/>
            </w:tabs>
            <w:rPr/>
          </w:pPr>
          <w:hyperlink w:anchor="__RefHeading___Toc3599223_1067777946">
            <w:r>
              <w:rPr>
                <w:webHidden/>
                <w:rStyle w:val="IndexLink"/>
                <w:rtl w:val="true"/>
              </w:rPr>
              <w:t>صدقه به هاشمى</w:t>
            </w:r>
            <w:r>
              <w:rPr>
                <w:rStyle w:val="IndexLink"/>
                <w:rtl w:val="true"/>
              </w:rPr>
              <w:tab/>
            </w:r>
            <w:r>
              <w:rPr>
                <w:rStyle w:val="IndexLink"/>
              </w:rPr>
              <w:t>425</w:t>
            </w:r>
          </w:hyperlink>
        </w:p>
        <w:p>
          <w:pPr>
            <w:pStyle w:val="Contents3"/>
            <w:tabs>
              <w:tab w:val="clear" w:pos="8459"/>
              <w:tab w:val="right" w:pos="9026" w:leader="dot"/>
            </w:tabs>
            <w:rPr/>
          </w:pPr>
          <w:hyperlink w:anchor="__RefHeading___Toc3599225_1067777946">
            <w:r>
              <w:rPr>
                <w:webHidden/>
                <w:rStyle w:val="IndexLink"/>
                <w:rtl w:val="true"/>
              </w:rPr>
              <w:t>حكم صدقۀ بدون قصد قربت</w:t>
            </w:r>
            <w:r>
              <w:rPr>
                <w:rStyle w:val="IndexLink"/>
                <w:rtl w:val="true"/>
              </w:rPr>
              <w:tab/>
            </w:r>
            <w:r>
              <w:rPr>
                <w:rStyle w:val="IndexLink"/>
              </w:rPr>
              <w:t>425</w:t>
            </w:r>
          </w:hyperlink>
        </w:p>
        <w:p>
          <w:pPr>
            <w:pStyle w:val="Contents3"/>
            <w:tabs>
              <w:tab w:val="clear" w:pos="8459"/>
              <w:tab w:val="right" w:pos="9026" w:leader="dot"/>
            </w:tabs>
            <w:rPr/>
          </w:pPr>
          <w:hyperlink w:anchor="__RefHeading___Toc3599227_1067777946">
            <w:r>
              <w:rPr>
                <w:webHidden/>
                <w:rStyle w:val="IndexLink"/>
                <w:rtl w:val="true"/>
              </w:rPr>
              <w:t>چند مسأله</w:t>
            </w:r>
            <w:r>
              <w:rPr>
                <w:rStyle w:val="IndexLink"/>
                <w:rtl w:val="true"/>
              </w:rPr>
              <w:tab/>
            </w:r>
            <w:r>
              <w:rPr>
                <w:rStyle w:val="IndexLink"/>
              </w:rPr>
              <w:t>425</w:t>
            </w:r>
          </w:hyperlink>
        </w:p>
        <w:p>
          <w:pPr>
            <w:pStyle w:val="Contents4"/>
            <w:tabs>
              <w:tab w:val="clear" w:pos="8176"/>
              <w:tab w:val="right" w:pos="9026" w:leader="dot"/>
            </w:tabs>
            <w:rPr/>
          </w:pPr>
          <w:hyperlink w:anchor="__RefHeading___Toc3599229_1067777946">
            <w:r>
              <w:rPr>
                <w:webHidden/>
                <w:rStyle w:val="IndexLink"/>
                <w:rtl w:val="true"/>
              </w:rPr>
              <w:t>صدقه بر كافر</w:t>
            </w:r>
            <w:r>
              <w:rPr>
                <w:rStyle w:val="IndexLink"/>
                <w:rtl w:val="true"/>
              </w:rPr>
              <w:tab/>
            </w:r>
            <w:r>
              <w:rPr>
                <w:rStyle w:val="IndexLink"/>
              </w:rPr>
              <w:t>425</w:t>
            </w:r>
          </w:hyperlink>
        </w:p>
        <w:p>
          <w:pPr>
            <w:pStyle w:val="Contents4"/>
            <w:tabs>
              <w:tab w:val="clear" w:pos="8176"/>
              <w:tab w:val="right" w:pos="9026" w:leader="dot"/>
            </w:tabs>
            <w:rPr/>
          </w:pPr>
          <w:hyperlink w:anchor="__RefHeading___Toc3599231_1067777946">
            <w:r>
              <w:rPr>
                <w:webHidden/>
                <w:rStyle w:val="IndexLink"/>
                <w:rtl w:val="true"/>
              </w:rPr>
              <w:t>اخفا و اعلان در صدقه</w:t>
            </w:r>
            <w:r>
              <w:rPr>
                <w:rStyle w:val="IndexLink"/>
                <w:rtl w:val="true"/>
              </w:rPr>
              <w:tab/>
            </w:r>
            <w:r>
              <w:rPr>
                <w:rStyle w:val="IndexLink"/>
              </w:rPr>
              <w:t>425</w:t>
            </w:r>
          </w:hyperlink>
        </w:p>
        <w:p>
          <w:pPr>
            <w:pStyle w:val="Contents4"/>
            <w:tabs>
              <w:tab w:val="clear" w:pos="8176"/>
              <w:tab w:val="right" w:pos="9026" w:leader="dot"/>
            </w:tabs>
            <w:rPr/>
          </w:pPr>
          <w:hyperlink w:anchor="__RefHeading___Toc3599233_1067777946">
            <w:r>
              <w:rPr>
                <w:webHidden/>
                <w:rStyle w:val="IndexLink"/>
                <w:rtl w:val="true"/>
              </w:rPr>
              <w:t>كراهت تصدّق همۀ مال</w:t>
            </w:r>
            <w:r>
              <w:rPr>
                <w:rStyle w:val="IndexLink"/>
                <w:rtl w:val="true"/>
              </w:rPr>
              <w:tab/>
            </w:r>
            <w:r>
              <w:rPr>
                <w:rStyle w:val="IndexLink"/>
              </w:rPr>
              <w:t>425</w:t>
            </w:r>
          </w:hyperlink>
        </w:p>
        <w:p>
          <w:pPr>
            <w:pStyle w:val="Contents4"/>
            <w:tabs>
              <w:tab w:val="clear" w:pos="8176"/>
              <w:tab w:val="right" w:pos="9026" w:leader="dot"/>
            </w:tabs>
            <w:rPr/>
          </w:pPr>
          <w:hyperlink w:anchor="__RefHeading___Toc3599235_1067777946">
            <w:r>
              <w:rPr>
                <w:webHidden/>
                <w:rStyle w:val="IndexLink"/>
                <w:rtl w:val="true"/>
              </w:rPr>
              <w:t>اولويّت صدقه بر قريب</w:t>
            </w:r>
            <w:r>
              <w:rPr>
                <w:rStyle w:val="IndexLink"/>
                <w:rtl w:val="true"/>
              </w:rPr>
              <w:tab/>
            </w:r>
            <w:r>
              <w:rPr>
                <w:rStyle w:val="IndexLink"/>
              </w:rPr>
              <w:t>426</w:t>
            </w:r>
          </w:hyperlink>
        </w:p>
        <w:p>
          <w:pPr>
            <w:pStyle w:val="Contents2"/>
            <w:tabs>
              <w:tab w:val="clear" w:pos="8743"/>
              <w:tab w:val="right" w:pos="9026" w:leader="dot"/>
            </w:tabs>
            <w:rPr/>
          </w:pPr>
          <w:hyperlink w:anchor="__RefHeading___Toc3599237_1067777946">
            <w:r>
              <w:rPr>
                <w:webHidden/>
                <w:rStyle w:val="IndexLink"/>
                <w:rtl w:val="true"/>
              </w:rPr>
              <w:t>كتاب سكنى</w:t>
            </w:r>
            <w:r>
              <w:rPr>
                <w:rStyle w:val="IndexLink"/>
                <w:rtl w:val="true"/>
              </w:rPr>
              <w:tab/>
            </w:r>
            <w:r>
              <w:rPr>
                <w:rStyle w:val="IndexLink"/>
              </w:rPr>
              <w:t>428</w:t>
            </w:r>
          </w:hyperlink>
        </w:p>
        <w:p>
          <w:pPr>
            <w:pStyle w:val="Contents3"/>
            <w:tabs>
              <w:tab w:val="clear" w:pos="8459"/>
              <w:tab w:val="right" w:pos="9026" w:leader="dot"/>
            </w:tabs>
            <w:rPr/>
          </w:pPr>
          <w:hyperlink w:anchor="__RefHeading___Toc3599239_1067777946">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3599241_1067777946">
            <w:r>
              <w:rPr>
                <w:webHidden/>
                <w:rStyle w:val="IndexLink"/>
                <w:rtl w:val="true"/>
              </w:rPr>
              <w:t>عقد سُكنىٰ‌</w:t>
            </w:r>
            <w:r>
              <w:rPr>
                <w:rStyle w:val="IndexLink"/>
                <w:rtl w:val="true"/>
              </w:rPr>
              <w:tab/>
            </w:r>
            <w:r>
              <w:rPr>
                <w:rStyle w:val="IndexLink"/>
              </w:rPr>
              <w:t>430</w:t>
            </w:r>
          </w:hyperlink>
        </w:p>
        <w:p>
          <w:pPr>
            <w:pStyle w:val="Contents3"/>
            <w:tabs>
              <w:tab w:val="clear" w:pos="8459"/>
              <w:tab w:val="right" w:pos="9026" w:leader="dot"/>
            </w:tabs>
            <w:rPr/>
          </w:pPr>
          <w:hyperlink w:anchor="__RefHeading___Toc3599243_1067777946">
            <w:r>
              <w:rPr>
                <w:webHidden/>
                <w:rStyle w:val="IndexLink"/>
                <w:rtl w:val="true"/>
              </w:rPr>
              <w:t>نسبت سكنى به رُقبى و عُمرىٰ‌</w:t>
            </w:r>
            <w:r>
              <w:rPr>
                <w:rStyle w:val="IndexLink"/>
                <w:rtl w:val="true"/>
              </w:rPr>
              <w:tab/>
            </w:r>
            <w:r>
              <w:rPr>
                <w:rStyle w:val="IndexLink"/>
              </w:rPr>
              <w:t>430</w:t>
            </w:r>
          </w:hyperlink>
        </w:p>
        <w:p>
          <w:pPr>
            <w:pStyle w:val="Contents3"/>
            <w:tabs>
              <w:tab w:val="clear" w:pos="8459"/>
              <w:tab w:val="right" w:pos="9026" w:leader="dot"/>
            </w:tabs>
            <w:rPr/>
          </w:pPr>
          <w:hyperlink w:anchor="__RefHeading___Toc3599245_1067777946">
            <w:r>
              <w:rPr>
                <w:webHidden/>
                <w:rStyle w:val="IndexLink"/>
                <w:rtl w:val="true"/>
              </w:rPr>
              <w:t>الفاظ سُكنى و عُمرى و رُقبى و موارد لزوم و جواز آنها</w:t>
            </w:r>
            <w:r>
              <w:rPr>
                <w:rStyle w:val="IndexLink"/>
                <w:rtl w:val="true"/>
              </w:rPr>
              <w:tab/>
            </w:r>
            <w:r>
              <w:rPr>
                <w:rStyle w:val="IndexLink"/>
              </w:rPr>
              <w:t>431</w:t>
            </w:r>
          </w:hyperlink>
        </w:p>
        <w:p>
          <w:pPr>
            <w:pStyle w:val="Contents3"/>
            <w:tabs>
              <w:tab w:val="clear" w:pos="8459"/>
              <w:tab w:val="right" w:pos="9026" w:leader="dot"/>
            </w:tabs>
            <w:rPr/>
          </w:pPr>
          <w:hyperlink w:anchor="__RefHeading___Toc3599247_1067777946">
            <w:r>
              <w:rPr>
                <w:webHidden/>
                <w:rStyle w:val="IndexLink"/>
                <w:rtl w:val="true"/>
              </w:rPr>
              <w:t>فروعى از سكنى و عمرى و رقبى</w:t>
            </w:r>
            <w:r>
              <w:rPr>
                <w:rStyle w:val="IndexLink"/>
                <w:rtl w:val="true"/>
              </w:rPr>
              <w:tab/>
            </w:r>
            <w:r>
              <w:rPr>
                <w:rStyle w:val="IndexLink"/>
              </w:rPr>
              <w:t>432</w:t>
            </w:r>
          </w:hyperlink>
        </w:p>
        <w:p>
          <w:pPr>
            <w:pStyle w:val="Contents3"/>
            <w:tabs>
              <w:tab w:val="clear" w:pos="8459"/>
              <w:tab w:val="right" w:pos="9026" w:leader="dot"/>
            </w:tabs>
            <w:rPr/>
          </w:pPr>
          <w:hyperlink w:anchor="__RefHeading___Toc3599249_1067777946">
            <w:r>
              <w:rPr>
                <w:webHidden/>
                <w:rStyle w:val="IndexLink"/>
                <w:rtl w:val="true"/>
              </w:rPr>
              <w:t>عدم بطلان عُمرىٰ و رقبىٰ و سكناى موقّته، به بيع و بعضى از احكام بيع مذكور</w:t>
            </w:r>
            <w:r>
              <w:rPr>
                <w:rStyle w:val="IndexLink"/>
                <w:rtl w:val="true"/>
              </w:rPr>
              <w:tab/>
            </w:r>
            <w:r>
              <w:rPr>
                <w:rStyle w:val="IndexLink"/>
              </w:rPr>
              <w:t>432</w:t>
            </w:r>
          </w:hyperlink>
        </w:p>
        <w:p>
          <w:pPr>
            <w:pStyle w:val="Contents3"/>
            <w:tabs>
              <w:tab w:val="clear" w:pos="8459"/>
              <w:tab w:val="right" w:pos="9026" w:leader="dot"/>
            </w:tabs>
            <w:rPr/>
          </w:pPr>
          <w:hyperlink w:anchor="__RefHeading___Toc3599251_1067777946">
            <w:r>
              <w:rPr>
                <w:webHidden/>
                <w:rStyle w:val="IndexLink"/>
                <w:rtl w:val="true"/>
              </w:rPr>
              <w:t>نحوۀ تصرّف در اسكان مطلق</w:t>
            </w:r>
            <w:r>
              <w:rPr>
                <w:rStyle w:val="IndexLink"/>
                <w:rtl w:val="true"/>
              </w:rPr>
              <w:tab/>
            </w:r>
            <w:r>
              <w:rPr>
                <w:rStyle w:val="IndexLink"/>
              </w:rPr>
              <w:t>433</w:t>
            </w:r>
          </w:hyperlink>
        </w:p>
        <w:p>
          <w:pPr>
            <w:pStyle w:val="Contents3"/>
            <w:tabs>
              <w:tab w:val="clear" w:pos="8459"/>
              <w:tab w:val="right" w:pos="9026" w:leader="dot"/>
            </w:tabs>
            <w:rPr/>
          </w:pPr>
          <w:hyperlink w:anchor="__RefHeading___Toc3599253_1067777946">
            <w:r>
              <w:rPr>
                <w:webHidden/>
                <w:rStyle w:val="IndexLink"/>
                <w:rtl w:val="true"/>
              </w:rPr>
              <w:t>در حبس است</w:t>
            </w:r>
            <w:r>
              <w:rPr>
                <w:rStyle w:val="IndexLink"/>
                <w:rtl w:val="true"/>
              </w:rPr>
              <w:tab/>
            </w:r>
            <w:r>
              <w:rPr>
                <w:rStyle w:val="IndexLink"/>
              </w:rPr>
              <w:t>433</w:t>
            </w:r>
          </w:hyperlink>
        </w:p>
        <w:p>
          <w:pPr>
            <w:pStyle w:val="Contents2"/>
            <w:tabs>
              <w:tab w:val="clear" w:pos="8743"/>
              <w:tab w:val="right" w:pos="9026" w:leader="dot"/>
            </w:tabs>
            <w:rPr/>
          </w:pPr>
          <w:hyperlink w:anchor="__RefHeading___Toc3599255_1067777946">
            <w:r>
              <w:rPr>
                <w:webHidden/>
                <w:rStyle w:val="IndexLink"/>
                <w:rtl w:val="true"/>
              </w:rPr>
              <w:t>كتاب هبه</w:t>
            </w:r>
            <w:r>
              <w:rPr>
                <w:rStyle w:val="IndexLink"/>
                <w:rtl w:val="true"/>
              </w:rPr>
              <w:tab/>
            </w:r>
            <w:r>
              <w:rPr>
                <w:rStyle w:val="IndexLink"/>
              </w:rPr>
              <w:t>436</w:t>
            </w:r>
          </w:hyperlink>
        </w:p>
        <w:p>
          <w:pPr>
            <w:pStyle w:val="Contents3"/>
            <w:tabs>
              <w:tab w:val="clear" w:pos="8459"/>
              <w:tab w:val="right" w:pos="9026" w:leader="dot"/>
            </w:tabs>
            <w:rPr/>
          </w:pPr>
          <w:hyperlink w:anchor="__RefHeading___Toc3599257_1067777946">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3599259_1067777946">
            <w:r>
              <w:rPr>
                <w:webHidden/>
                <w:rStyle w:val="IndexLink"/>
                <w:rtl w:val="true"/>
              </w:rPr>
              <w:t>فصل اوّل عقد هبه و شرايط آن</w:t>
            </w:r>
            <w:r>
              <w:rPr>
                <w:rStyle w:val="IndexLink"/>
                <w:rtl w:val="true"/>
              </w:rPr>
              <w:tab/>
            </w:r>
            <w:r>
              <w:rPr>
                <w:rStyle w:val="IndexLink"/>
              </w:rPr>
              <w:t>438</w:t>
            </w:r>
          </w:hyperlink>
        </w:p>
        <w:p>
          <w:pPr>
            <w:pStyle w:val="Contents4"/>
            <w:tabs>
              <w:tab w:val="clear" w:pos="8176"/>
              <w:tab w:val="right" w:pos="9026" w:leader="dot"/>
            </w:tabs>
            <w:rPr/>
          </w:pPr>
          <w:hyperlink w:anchor="__RefHeading___Toc3599261_1067777946">
            <w:r>
              <w:rPr>
                <w:webHidden/>
                <w:rStyle w:val="IndexLink"/>
                <w:rtl w:val="true"/>
              </w:rPr>
              <w:t>عقد هبه</w:t>
            </w:r>
            <w:r>
              <w:rPr>
                <w:rStyle w:val="IndexLink"/>
                <w:rtl w:val="true"/>
              </w:rPr>
              <w:tab/>
            </w:r>
            <w:r>
              <w:rPr>
                <w:rStyle w:val="IndexLink"/>
              </w:rPr>
              <w:t>438</w:t>
            </w:r>
          </w:hyperlink>
        </w:p>
        <w:p>
          <w:pPr>
            <w:pStyle w:val="Contents4"/>
            <w:tabs>
              <w:tab w:val="clear" w:pos="8176"/>
              <w:tab w:val="right" w:pos="9026" w:leader="dot"/>
            </w:tabs>
            <w:rPr/>
          </w:pPr>
          <w:hyperlink w:anchor="__RefHeading___Toc3599263_1067777946">
            <w:r>
              <w:rPr>
                <w:webHidden/>
                <w:rStyle w:val="IndexLink"/>
                <w:rtl w:val="true"/>
              </w:rPr>
              <w:t>اعتبار ايجاب و قبول و شرايط متعاقدين</w:t>
            </w:r>
            <w:r>
              <w:rPr>
                <w:rStyle w:val="IndexLink"/>
                <w:rtl w:val="true"/>
              </w:rPr>
              <w:tab/>
            </w:r>
            <w:r>
              <w:rPr>
                <w:rStyle w:val="IndexLink"/>
              </w:rPr>
              <w:t>438</w:t>
            </w:r>
          </w:hyperlink>
        </w:p>
        <w:p>
          <w:pPr>
            <w:pStyle w:val="Contents4"/>
            <w:tabs>
              <w:tab w:val="clear" w:pos="8176"/>
              <w:tab w:val="right" w:pos="9026" w:leader="dot"/>
            </w:tabs>
            <w:rPr/>
          </w:pPr>
          <w:hyperlink w:anchor="__RefHeading___Toc3599265_1067777946">
            <w:r>
              <w:rPr>
                <w:webHidden/>
                <w:rStyle w:val="IndexLink"/>
                <w:rtl w:val="true"/>
              </w:rPr>
              <w:t>صحّت هبۀ كلّى ثابت در ذمّه و نحوۀ قبض در آن</w:t>
            </w:r>
            <w:r>
              <w:rPr>
                <w:rStyle w:val="IndexLink"/>
                <w:rtl w:val="true"/>
              </w:rPr>
              <w:tab/>
            </w:r>
            <w:r>
              <w:rPr>
                <w:rStyle w:val="IndexLink"/>
              </w:rPr>
              <w:t>438</w:t>
            </w:r>
          </w:hyperlink>
        </w:p>
        <w:p>
          <w:pPr>
            <w:pStyle w:val="Contents4"/>
            <w:tabs>
              <w:tab w:val="clear" w:pos="8176"/>
              <w:tab w:val="right" w:pos="9026" w:leader="dot"/>
            </w:tabs>
            <w:rPr/>
          </w:pPr>
          <w:hyperlink w:anchor="__RefHeading___Toc3599267_1067777946">
            <w:r>
              <w:rPr>
                <w:webHidden/>
                <w:rStyle w:val="IndexLink"/>
                <w:rtl w:val="true"/>
              </w:rPr>
              <w:t>صحّت هبۀ دين به مديون</w:t>
            </w:r>
            <w:r>
              <w:rPr>
                <w:rStyle w:val="IndexLink"/>
                <w:rtl w:val="true"/>
              </w:rPr>
              <w:tab/>
            </w:r>
            <w:r>
              <w:rPr>
                <w:rStyle w:val="IndexLink"/>
              </w:rPr>
              <w:t>439</w:t>
            </w:r>
          </w:hyperlink>
        </w:p>
        <w:p>
          <w:pPr>
            <w:pStyle w:val="Contents4"/>
            <w:tabs>
              <w:tab w:val="clear" w:pos="8176"/>
              <w:tab w:val="right" w:pos="9026" w:leader="dot"/>
            </w:tabs>
            <w:rPr/>
          </w:pPr>
          <w:hyperlink w:anchor="__RefHeading___Toc3599269_1067777946">
            <w:r>
              <w:rPr>
                <w:webHidden/>
                <w:rStyle w:val="IndexLink"/>
                <w:rtl w:val="true"/>
              </w:rPr>
              <w:t>اعتبار قبض</w:t>
            </w:r>
            <w:r>
              <w:rPr>
                <w:rStyle w:val="IndexLink"/>
                <w:rtl w:val="true"/>
              </w:rPr>
              <w:tab/>
            </w:r>
            <w:r>
              <w:rPr>
                <w:rStyle w:val="IndexLink"/>
              </w:rPr>
              <w:t>439</w:t>
            </w:r>
          </w:hyperlink>
        </w:p>
        <w:p>
          <w:pPr>
            <w:pStyle w:val="Contents4"/>
            <w:tabs>
              <w:tab w:val="clear" w:pos="8176"/>
              <w:tab w:val="right" w:pos="9026" w:leader="dot"/>
            </w:tabs>
            <w:rPr/>
          </w:pPr>
          <w:hyperlink w:anchor="__RefHeading___Toc3599271_1067777946">
            <w:r>
              <w:rPr>
                <w:webHidden/>
                <w:rStyle w:val="IndexLink"/>
                <w:rtl w:val="true"/>
              </w:rPr>
              <w:t>فوت واهب يا موهوبٌ له</w:t>
            </w:r>
            <w:r>
              <w:rPr>
                <w:rStyle w:val="IndexLink"/>
                <w:rtl w:val="true"/>
              </w:rPr>
              <w:tab/>
            </w:r>
            <w:r>
              <w:rPr>
                <w:rStyle w:val="IndexLink"/>
              </w:rPr>
              <w:t>439</w:t>
            </w:r>
          </w:hyperlink>
        </w:p>
        <w:p>
          <w:pPr>
            <w:pStyle w:val="Contents4"/>
            <w:tabs>
              <w:tab w:val="clear" w:pos="8176"/>
              <w:tab w:val="right" w:pos="9026" w:leader="dot"/>
            </w:tabs>
            <w:rPr/>
          </w:pPr>
          <w:hyperlink w:anchor="__RefHeading___Toc3599273_1067777946">
            <w:r>
              <w:rPr>
                <w:webHidden/>
                <w:rStyle w:val="IndexLink"/>
                <w:rtl w:val="true"/>
              </w:rPr>
              <w:t>اعتبار اذن واهب در قبض</w:t>
            </w:r>
            <w:r>
              <w:rPr>
                <w:rStyle w:val="IndexLink"/>
                <w:rtl w:val="true"/>
              </w:rPr>
              <w:tab/>
            </w:r>
            <w:r>
              <w:rPr>
                <w:rStyle w:val="IndexLink"/>
              </w:rPr>
              <w:t>440</w:t>
            </w:r>
          </w:hyperlink>
        </w:p>
        <w:p>
          <w:pPr>
            <w:pStyle w:val="Contents4"/>
            <w:tabs>
              <w:tab w:val="clear" w:pos="8176"/>
              <w:tab w:val="right" w:pos="9026" w:leader="dot"/>
            </w:tabs>
            <w:rPr/>
          </w:pPr>
          <w:hyperlink w:anchor="__RefHeading___Toc3599275_1067777946">
            <w:r>
              <w:rPr>
                <w:webHidden/>
                <w:rStyle w:val="IndexLink"/>
                <w:rtl w:val="true"/>
              </w:rPr>
              <w:t>هبۀ آنچه در يد موهوبٌ له است</w:t>
            </w:r>
            <w:r>
              <w:rPr>
                <w:rStyle w:val="IndexLink"/>
                <w:rtl w:val="true"/>
              </w:rPr>
              <w:tab/>
            </w:r>
            <w:r>
              <w:rPr>
                <w:rStyle w:val="IndexLink"/>
              </w:rPr>
              <w:t>440</w:t>
            </w:r>
          </w:hyperlink>
        </w:p>
        <w:p>
          <w:pPr>
            <w:pStyle w:val="Contents4"/>
            <w:tabs>
              <w:tab w:val="clear" w:pos="8176"/>
              <w:tab w:val="right" w:pos="9026" w:leader="dot"/>
            </w:tabs>
            <w:rPr/>
          </w:pPr>
          <w:hyperlink w:anchor="__RefHeading___Toc3599277_1067777946">
            <w:r>
              <w:rPr>
                <w:webHidden/>
                <w:rStyle w:val="IndexLink"/>
                <w:rtl w:val="true"/>
              </w:rPr>
              <w:t>هبۀ چيزى كه از يد واهب خارج است</w:t>
            </w:r>
            <w:r>
              <w:rPr>
                <w:rStyle w:val="IndexLink"/>
                <w:rtl w:val="true"/>
              </w:rPr>
              <w:tab/>
            </w:r>
            <w:r>
              <w:rPr>
                <w:rStyle w:val="IndexLink"/>
              </w:rPr>
              <w:t>440</w:t>
            </w:r>
          </w:hyperlink>
        </w:p>
        <w:p>
          <w:pPr>
            <w:pStyle w:val="Contents4"/>
            <w:tabs>
              <w:tab w:val="clear" w:pos="8176"/>
              <w:tab w:val="right" w:pos="9026" w:leader="dot"/>
            </w:tabs>
            <w:rPr/>
          </w:pPr>
          <w:hyperlink w:anchor="__RefHeading___Toc3599279_1067777946">
            <w:r>
              <w:rPr>
                <w:webHidden/>
                <w:rStyle w:val="IndexLink"/>
                <w:rtl w:val="true"/>
              </w:rPr>
              <w:t>هبۀ مشاع</w:t>
            </w:r>
            <w:r>
              <w:rPr>
                <w:rStyle w:val="IndexLink"/>
                <w:rtl w:val="true"/>
              </w:rPr>
              <w:tab/>
            </w:r>
            <w:r>
              <w:rPr>
                <w:rStyle w:val="IndexLink"/>
              </w:rPr>
              <w:t>441</w:t>
            </w:r>
          </w:hyperlink>
        </w:p>
        <w:p>
          <w:pPr>
            <w:pStyle w:val="Contents4"/>
            <w:tabs>
              <w:tab w:val="clear" w:pos="8176"/>
              <w:tab w:val="right" w:pos="9026" w:leader="dot"/>
            </w:tabs>
            <w:rPr/>
          </w:pPr>
          <w:hyperlink w:anchor="__RefHeading___Toc3599281_1067777946">
            <w:r>
              <w:rPr>
                <w:webHidden/>
                <w:rStyle w:val="IndexLink"/>
                <w:rtl w:val="true"/>
              </w:rPr>
              <w:t>هبۀ مرهون</w:t>
            </w:r>
            <w:r>
              <w:rPr>
                <w:rStyle w:val="IndexLink"/>
                <w:rtl w:val="true"/>
              </w:rPr>
              <w:tab/>
            </w:r>
            <w:r>
              <w:rPr>
                <w:rStyle w:val="IndexLink"/>
              </w:rPr>
              <w:t>441</w:t>
            </w:r>
          </w:hyperlink>
        </w:p>
        <w:p>
          <w:pPr>
            <w:pStyle w:val="Contents4"/>
            <w:tabs>
              <w:tab w:val="clear" w:pos="8176"/>
              <w:tab w:val="right" w:pos="9026" w:leader="dot"/>
            </w:tabs>
            <w:rPr/>
          </w:pPr>
          <w:hyperlink w:anchor="__RefHeading___Toc3599283_1067777946">
            <w:r>
              <w:rPr>
                <w:webHidden/>
                <w:rStyle w:val="IndexLink"/>
                <w:rtl w:val="true"/>
              </w:rPr>
              <w:t>هبۀ غير مقدور التسليم</w:t>
            </w:r>
            <w:r>
              <w:rPr>
                <w:rStyle w:val="IndexLink"/>
                <w:rtl w:val="true"/>
              </w:rPr>
              <w:tab/>
            </w:r>
            <w:r>
              <w:rPr>
                <w:rStyle w:val="IndexLink"/>
              </w:rPr>
              <w:t>442</w:t>
            </w:r>
          </w:hyperlink>
        </w:p>
        <w:p>
          <w:pPr>
            <w:pStyle w:val="Contents4"/>
            <w:tabs>
              <w:tab w:val="clear" w:pos="8176"/>
              <w:tab w:val="right" w:pos="9026" w:leader="dot"/>
            </w:tabs>
            <w:rPr/>
          </w:pPr>
          <w:hyperlink w:anchor="__RefHeading___Toc3599285_1067777946">
            <w:r>
              <w:rPr>
                <w:webHidden/>
                <w:rStyle w:val="IndexLink"/>
                <w:rtl w:val="true"/>
              </w:rPr>
              <w:t>هبۀ شيء معيّن به دو نفر و بالعكس و حكم رجوع در آن</w:t>
            </w:r>
            <w:r>
              <w:rPr>
                <w:rStyle w:val="IndexLink"/>
                <w:rtl w:val="true"/>
              </w:rPr>
              <w:tab/>
            </w:r>
            <w:r>
              <w:rPr>
                <w:rStyle w:val="IndexLink"/>
              </w:rPr>
              <w:t>442</w:t>
            </w:r>
          </w:hyperlink>
        </w:p>
        <w:p>
          <w:pPr>
            <w:pStyle w:val="Contents4"/>
            <w:tabs>
              <w:tab w:val="clear" w:pos="8176"/>
              <w:tab w:val="right" w:pos="9026" w:leader="dot"/>
            </w:tabs>
            <w:rPr/>
          </w:pPr>
          <w:hyperlink w:anchor="__RefHeading___Toc3599287_1067777946">
            <w:r>
              <w:rPr>
                <w:webHidden/>
                <w:rStyle w:val="IndexLink"/>
                <w:rtl w:val="true"/>
              </w:rPr>
              <w:t>جواز تفكيك در رجوع در هبه مجموع دو چيز</w:t>
            </w:r>
            <w:r>
              <w:rPr>
                <w:rStyle w:val="IndexLink"/>
                <w:rtl w:val="true"/>
              </w:rPr>
              <w:tab/>
            </w:r>
            <w:r>
              <w:rPr>
                <w:rStyle w:val="IndexLink"/>
              </w:rPr>
              <w:t>442</w:t>
            </w:r>
          </w:hyperlink>
        </w:p>
        <w:p>
          <w:pPr>
            <w:pStyle w:val="Contents4"/>
            <w:tabs>
              <w:tab w:val="clear" w:pos="8176"/>
              <w:tab w:val="right" w:pos="9026" w:leader="dot"/>
            </w:tabs>
            <w:rPr/>
          </w:pPr>
          <w:hyperlink w:anchor="__RefHeading___Toc3599289_1067777946">
            <w:r>
              <w:rPr>
                <w:webHidden/>
                <w:rStyle w:val="IndexLink"/>
                <w:rtl w:val="true"/>
              </w:rPr>
              <w:t>كراهت تفضيل بعض اولاد بر بعضى در هبه</w:t>
            </w:r>
            <w:r>
              <w:rPr>
                <w:rStyle w:val="IndexLink"/>
                <w:rtl w:val="true"/>
              </w:rPr>
              <w:tab/>
            </w:r>
            <w:r>
              <w:rPr>
                <w:rStyle w:val="IndexLink"/>
              </w:rPr>
              <w:t>442</w:t>
            </w:r>
          </w:hyperlink>
        </w:p>
        <w:p>
          <w:pPr>
            <w:pStyle w:val="Contents4"/>
            <w:tabs>
              <w:tab w:val="clear" w:pos="8176"/>
              <w:tab w:val="right" w:pos="9026" w:leader="dot"/>
            </w:tabs>
            <w:rPr/>
          </w:pPr>
          <w:hyperlink w:anchor="__RefHeading___Toc3599291_1067777946">
            <w:r>
              <w:rPr>
                <w:webHidden/>
                <w:rStyle w:val="IndexLink"/>
                <w:rtl w:val="true"/>
              </w:rPr>
              <w:t>موارد عدم جواز رجوع در هبه</w:t>
            </w:r>
            <w:r>
              <w:rPr>
                <w:rStyle w:val="IndexLink"/>
                <w:rtl w:val="true"/>
              </w:rPr>
              <w:tab/>
            </w:r>
            <w:r>
              <w:rPr>
                <w:rStyle w:val="IndexLink"/>
              </w:rPr>
              <w:t>443</w:t>
            </w:r>
          </w:hyperlink>
        </w:p>
        <w:p>
          <w:pPr>
            <w:pStyle w:val="Contents4"/>
            <w:tabs>
              <w:tab w:val="clear" w:pos="8176"/>
              <w:tab w:val="right" w:pos="9026" w:leader="dot"/>
            </w:tabs>
            <w:rPr/>
          </w:pPr>
          <w:hyperlink w:anchor="__RefHeading___Toc3599293_1067777946">
            <w:r>
              <w:rPr>
                <w:webHidden/>
                <w:rStyle w:val="IndexLink"/>
                <w:rtl w:val="true"/>
              </w:rPr>
              <w:t>مراد از قريب و رحم</w:t>
            </w:r>
            <w:r>
              <w:rPr>
                <w:rStyle w:val="IndexLink"/>
                <w:rtl w:val="true"/>
              </w:rPr>
              <w:tab/>
            </w:r>
            <w:r>
              <w:rPr>
                <w:rStyle w:val="IndexLink"/>
              </w:rPr>
              <w:t>443</w:t>
            </w:r>
          </w:hyperlink>
        </w:p>
        <w:p>
          <w:pPr>
            <w:pStyle w:val="Contents4"/>
            <w:tabs>
              <w:tab w:val="clear" w:pos="8176"/>
              <w:tab w:val="right" w:pos="9026" w:leader="dot"/>
            </w:tabs>
            <w:rPr/>
          </w:pPr>
          <w:hyperlink w:anchor="__RefHeading___Toc3599295_1067777946">
            <w:r>
              <w:rPr>
                <w:webHidden/>
                <w:rStyle w:val="IndexLink"/>
                <w:rtl w:val="true"/>
              </w:rPr>
              <w:t>رجوع در هبه به اجنبى</w:t>
            </w:r>
            <w:r>
              <w:rPr>
                <w:rStyle w:val="IndexLink"/>
                <w:rtl w:val="true"/>
              </w:rPr>
              <w:tab/>
            </w:r>
            <w:r>
              <w:rPr>
                <w:rStyle w:val="IndexLink"/>
              </w:rPr>
              <w:t>443</w:t>
            </w:r>
          </w:hyperlink>
        </w:p>
        <w:p>
          <w:pPr>
            <w:pStyle w:val="Contents4"/>
            <w:tabs>
              <w:tab w:val="clear" w:pos="8176"/>
              <w:tab w:val="right" w:pos="9026" w:leader="dot"/>
            </w:tabs>
            <w:rPr/>
          </w:pPr>
          <w:hyperlink w:anchor="__RefHeading___Toc3599297_1067777946">
            <w:r>
              <w:rPr>
                <w:webHidden/>
                <w:rStyle w:val="IndexLink"/>
                <w:rtl w:val="true"/>
              </w:rPr>
              <w:t>عدم جواز رجوع در هبۀ معوّضه</w:t>
            </w:r>
            <w:r>
              <w:rPr>
                <w:rStyle w:val="IndexLink"/>
                <w:rtl w:val="true"/>
              </w:rPr>
              <w:tab/>
            </w:r>
            <w:r>
              <w:rPr>
                <w:rStyle w:val="IndexLink"/>
              </w:rPr>
              <w:t>443</w:t>
            </w:r>
          </w:hyperlink>
        </w:p>
        <w:p>
          <w:pPr>
            <w:pStyle w:val="Contents4"/>
            <w:tabs>
              <w:tab w:val="clear" w:pos="8176"/>
              <w:tab w:val="right" w:pos="9026" w:leader="dot"/>
            </w:tabs>
            <w:rPr/>
          </w:pPr>
          <w:hyperlink w:anchor="__RefHeading___Toc3599299_1067777946">
            <w:r>
              <w:rPr>
                <w:webHidden/>
                <w:rStyle w:val="IndexLink"/>
                <w:rtl w:val="true"/>
              </w:rPr>
              <w:t>عدم جواز رجوع در هبه به تصرّف موجب تغيّر عين يا ناقل از ملك</w:t>
            </w:r>
            <w:r>
              <w:rPr>
                <w:rStyle w:val="IndexLink"/>
                <w:rtl w:val="true"/>
              </w:rPr>
              <w:tab/>
            </w:r>
            <w:r>
              <w:rPr>
                <w:rStyle w:val="IndexLink"/>
              </w:rPr>
              <w:t>444</w:t>
            </w:r>
          </w:hyperlink>
        </w:p>
        <w:p>
          <w:pPr>
            <w:pStyle w:val="Contents4"/>
            <w:tabs>
              <w:tab w:val="clear" w:pos="8176"/>
              <w:tab w:val="right" w:pos="9026" w:leader="dot"/>
            </w:tabs>
            <w:rPr/>
          </w:pPr>
          <w:hyperlink w:anchor="__RefHeading___Toc3599301_1067777946">
            <w:r>
              <w:rPr>
                <w:webHidden/>
                <w:rStyle w:val="IndexLink"/>
                <w:rtl w:val="true"/>
              </w:rPr>
              <w:t>استحباب هبه به ارحام</w:t>
            </w:r>
            <w:r>
              <w:rPr>
                <w:rStyle w:val="IndexLink"/>
                <w:rtl w:val="true"/>
              </w:rPr>
              <w:tab/>
            </w:r>
            <w:r>
              <w:rPr>
                <w:rStyle w:val="IndexLink"/>
              </w:rPr>
              <w:t>444</w:t>
            </w:r>
          </w:hyperlink>
        </w:p>
        <w:p>
          <w:pPr>
            <w:pStyle w:val="Contents4"/>
            <w:tabs>
              <w:tab w:val="clear" w:pos="8176"/>
              <w:tab w:val="right" w:pos="9026" w:leader="dot"/>
            </w:tabs>
            <w:rPr/>
          </w:pPr>
          <w:hyperlink w:anchor="__RefHeading___Toc3599303_1067777946">
            <w:r>
              <w:rPr>
                <w:webHidden/>
                <w:rStyle w:val="IndexLink"/>
                <w:rtl w:val="true"/>
              </w:rPr>
              <w:t>استحباب تسويه بين اولاد در هبه</w:t>
            </w:r>
            <w:r>
              <w:rPr>
                <w:rStyle w:val="IndexLink"/>
                <w:rtl w:val="true"/>
              </w:rPr>
              <w:tab/>
            </w:r>
            <w:r>
              <w:rPr>
                <w:rStyle w:val="IndexLink"/>
              </w:rPr>
              <w:t>444</w:t>
            </w:r>
          </w:hyperlink>
        </w:p>
        <w:p>
          <w:pPr>
            <w:pStyle w:val="Contents4"/>
            <w:tabs>
              <w:tab w:val="clear" w:pos="8176"/>
              <w:tab w:val="right" w:pos="9026" w:leader="dot"/>
            </w:tabs>
            <w:rPr/>
          </w:pPr>
          <w:hyperlink w:anchor="__RefHeading___Toc3599305_1067777946">
            <w:r>
              <w:rPr>
                <w:webHidden/>
                <w:rStyle w:val="IndexLink"/>
                <w:rtl w:val="true"/>
              </w:rPr>
              <w:t>جواز رجوع در هبۀ زوجين</w:t>
            </w:r>
            <w:r>
              <w:rPr>
                <w:rStyle w:val="IndexLink"/>
                <w:rtl w:val="true"/>
              </w:rPr>
              <w:tab/>
            </w:r>
            <w:r>
              <w:rPr>
                <w:rStyle w:val="IndexLink"/>
              </w:rPr>
              <w:t>444</w:t>
            </w:r>
          </w:hyperlink>
        </w:p>
        <w:p>
          <w:pPr>
            <w:pStyle w:val="Contents3"/>
            <w:tabs>
              <w:tab w:val="clear" w:pos="8459"/>
              <w:tab w:val="right" w:pos="9026" w:leader="dot"/>
            </w:tabs>
            <w:rPr/>
          </w:pPr>
          <w:hyperlink w:anchor="__RefHeading___Toc3599307_1067777946">
            <w:r>
              <w:rPr>
                <w:webHidden/>
                <w:rStyle w:val="IndexLink"/>
                <w:rtl w:val="true"/>
              </w:rPr>
              <w:t>فصل دوّم احكام هبه</w:t>
            </w:r>
            <w:r>
              <w:rPr>
                <w:rStyle w:val="IndexLink"/>
                <w:rtl w:val="true"/>
              </w:rPr>
              <w:tab/>
            </w:r>
            <w:r>
              <w:rPr>
                <w:rStyle w:val="IndexLink"/>
              </w:rPr>
              <w:t>445</w:t>
            </w:r>
          </w:hyperlink>
        </w:p>
        <w:p>
          <w:pPr>
            <w:pStyle w:val="Contents4"/>
            <w:tabs>
              <w:tab w:val="clear" w:pos="8176"/>
              <w:tab w:val="right" w:pos="9026" w:leader="dot"/>
            </w:tabs>
            <w:rPr/>
          </w:pPr>
          <w:hyperlink w:anchor="__RefHeading___Toc3599309_1067777946">
            <w:r>
              <w:rPr>
                <w:webHidden/>
                <w:rStyle w:val="IndexLink"/>
                <w:rtl w:val="true"/>
              </w:rPr>
              <w:t>بيع واهب بعد از هبه و قبض</w:t>
            </w:r>
            <w:r>
              <w:rPr>
                <w:rStyle w:val="IndexLink"/>
                <w:rtl w:val="true"/>
              </w:rPr>
              <w:tab/>
            </w:r>
            <w:r>
              <w:rPr>
                <w:rStyle w:val="IndexLink"/>
              </w:rPr>
              <w:t>445</w:t>
            </w:r>
          </w:hyperlink>
        </w:p>
        <w:p>
          <w:pPr>
            <w:pStyle w:val="Contents4"/>
            <w:tabs>
              <w:tab w:val="clear" w:pos="8176"/>
              <w:tab w:val="right" w:pos="9026" w:leader="dot"/>
            </w:tabs>
            <w:rPr/>
          </w:pPr>
          <w:hyperlink w:anchor="__RefHeading___Toc3599311_1067777946">
            <w:r>
              <w:rPr>
                <w:webHidden/>
                <w:rStyle w:val="IndexLink"/>
                <w:rtl w:val="true"/>
              </w:rPr>
              <w:t>عدم لزوم فوريّت در قبض</w:t>
            </w:r>
            <w:r>
              <w:rPr>
                <w:rStyle w:val="IndexLink"/>
                <w:rtl w:val="true"/>
              </w:rPr>
              <w:tab/>
            </w:r>
            <w:r>
              <w:rPr>
                <w:rStyle w:val="IndexLink"/>
              </w:rPr>
              <w:t>445</w:t>
            </w:r>
          </w:hyperlink>
        </w:p>
        <w:p>
          <w:pPr>
            <w:pStyle w:val="Contents4"/>
            <w:tabs>
              <w:tab w:val="clear" w:pos="8176"/>
              <w:tab w:val="right" w:pos="9026" w:leader="dot"/>
            </w:tabs>
            <w:rPr/>
          </w:pPr>
          <w:hyperlink w:anchor="__RefHeading___Toc3599313_1067777946">
            <w:r>
              <w:rPr>
                <w:webHidden/>
                <w:rStyle w:val="IndexLink"/>
                <w:rtl w:val="true"/>
              </w:rPr>
              <w:t>اختلاف بين واهب و موهوبٌ له</w:t>
            </w:r>
            <w:r>
              <w:rPr>
                <w:rStyle w:val="IndexLink"/>
                <w:rtl w:val="true"/>
              </w:rPr>
              <w:tab/>
            </w:r>
            <w:r>
              <w:rPr>
                <w:rStyle w:val="IndexLink"/>
              </w:rPr>
              <w:t>446</w:t>
            </w:r>
          </w:hyperlink>
        </w:p>
        <w:p>
          <w:pPr>
            <w:pStyle w:val="Contents4"/>
            <w:tabs>
              <w:tab w:val="clear" w:pos="8176"/>
              <w:tab w:val="right" w:pos="9026" w:leader="dot"/>
            </w:tabs>
            <w:rPr/>
          </w:pPr>
          <w:hyperlink w:anchor="__RefHeading___Toc3599315_1067777946">
            <w:r>
              <w:rPr>
                <w:webHidden/>
                <w:rStyle w:val="IndexLink"/>
                <w:rtl w:val="true"/>
              </w:rPr>
              <w:t>عدم ضمان در رجوع در هبه با فرض حصول عيب</w:t>
            </w:r>
            <w:r>
              <w:rPr>
                <w:rStyle w:val="IndexLink"/>
                <w:rtl w:val="true"/>
              </w:rPr>
              <w:tab/>
            </w:r>
            <w:r>
              <w:rPr>
                <w:rStyle w:val="IndexLink"/>
              </w:rPr>
              <w:t>446</w:t>
            </w:r>
          </w:hyperlink>
        </w:p>
        <w:p>
          <w:pPr>
            <w:pStyle w:val="Contents5"/>
            <w:tabs>
              <w:tab w:val="clear" w:pos="7892"/>
              <w:tab w:val="right" w:pos="9026" w:leader="dot"/>
            </w:tabs>
            <w:rPr/>
          </w:pPr>
          <w:hyperlink w:anchor="__RefHeading___Toc3599317_1067777946">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3599319_1067777946">
            <w:r>
              <w:rPr>
                <w:webHidden/>
                <w:rStyle w:val="IndexLink"/>
                <w:rtl w:val="true"/>
              </w:rPr>
              <w:t>حصول زيادتى در موهوب</w:t>
            </w:r>
            <w:r>
              <w:rPr>
                <w:rStyle w:val="IndexLink"/>
                <w:rtl w:val="true"/>
              </w:rPr>
              <w:tab/>
            </w:r>
            <w:r>
              <w:rPr>
                <w:rStyle w:val="IndexLink"/>
              </w:rPr>
              <w:t>446</w:t>
            </w:r>
          </w:hyperlink>
        </w:p>
        <w:p>
          <w:pPr>
            <w:pStyle w:val="Contents4"/>
            <w:tabs>
              <w:tab w:val="clear" w:pos="8176"/>
              <w:tab w:val="right" w:pos="9026" w:leader="dot"/>
            </w:tabs>
            <w:rPr/>
          </w:pPr>
          <w:hyperlink w:anchor="__RefHeading___Toc3599321_1067777946">
            <w:r>
              <w:rPr>
                <w:webHidden/>
                <w:rStyle w:val="IndexLink"/>
                <w:rtl w:val="true"/>
              </w:rPr>
              <w:t>عدم ذكر عوض در هبه و احكام انحاى اشتراط به عوض</w:t>
            </w:r>
            <w:r>
              <w:rPr>
                <w:rStyle w:val="IndexLink"/>
                <w:rtl w:val="true"/>
              </w:rPr>
              <w:tab/>
            </w:r>
            <w:r>
              <w:rPr>
                <w:rStyle w:val="IndexLink"/>
              </w:rPr>
              <w:t>446</w:t>
            </w:r>
          </w:hyperlink>
        </w:p>
        <w:p>
          <w:pPr>
            <w:pStyle w:val="Contents5"/>
            <w:tabs>
              <w:tab w:val="clear" w:pos="7892"/>
              <w:tab w:val="right" w:pos="9026" w:leader="dot"/>
            </w:tabs>
            <w:rPr/>
          </w:pPr>
          <w:hyperlink w:anchor="__RefHeading___Toc3599323_1067777946">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3599325_1067777946">
            <w:r>
              <w:rPr>
                <w:webHidden/>
                <w:rStyle w:val="IndexLink"/>
                <w:rtl w:val="true"/>
              </w:rPr>
              <w:t>شرط عدم بذل عوض</w:t>
            </w:r>
            <w:r>
              <w:rPr>
                <w:rStyle w:val="IndexLink"/>
                <w:rtl w:val="true"/>
              </w:rPr>
              <w:tab/>
            </w:r>
            <w:r>
              <w:rPr>
                <w:rStyle w:val="IndexLink"/>
              </w:rPr>
              <w:t>448</w:t>
            </w:r>
          </w:hyperlink>
        </w:p>
        <w:p>
          <w:pPr>
            <w:pStyle w:val="Contents5"/>
            <w:tabs>
              <w:tab w:val="clear" w:pos="7892"/>
              <w:tab w:val="right" w:pos="9026" w:leader="dot"/>
            </w:tabs>
            <w:rPr/>
          </w:pPr>
          <w:hyperlink w:anchor="__RefHeading___Toc3599327_1067777946">
            <w:r>
              <w:rPr>
                <w:webHidden/>
                <w:rStyle w:val="IndexLink"/>
                <w:rtl w:val="true"/>
              </w:rPr>
              <w:t>انكشاف عدم مالكيّت</w:t>
            </w:r>
            <w:r>
              <w:rPr>
                <w:rStyle w:val="IndexLink"/>
                <w:rtl w:val="true"/>
              </w:rPr>
              <w:tab/>
            </w:r>
            <w:r>
              <w:rPr>
                <w:rStyle w:val="IndexLink"/>
              </w:rPr>
              <w:t>448</w:t>
            </w:r>
          </w:hyperlink>
        </w:p>
        <w:p>
          <w:pPr>
            <w:pStyle w:val="Contents4"/>
            <w:tabs>
              <w:tab w:val="clear" w:pos="8176"/>
              <w:tab w:val="right" w:pos="9026" w:leader="dot"/>
            </w:tabs>
            <w:rPr/>
          </w:pPr>
          <w:hyperlink w:anchor="__RefHeading___Toc3599329_1067777946">
            <w:r>
              <w:rPr>
                <w:webHidden/>
                <w:rStyle w:val="IndexLink"/>
                <w:rtl w:val="true"/>
              </w:rPr>
              <w:t>جواز رجوع در فرض رنگ كردن لباس و امثال آن</w:t>
            </w:r>
            <w:r>
              <w:rPr>
                <w:rStyle w:val="IndexLink"/>
                <w:rtl w:val="true"/>
              </w:rPr>
              <w:tab/>
            </w:r>
            <w:r>
              <w:rPr>
                <w:rStyle w:val="IndexLink"/>
              </w:rPr>
              <w:t>449</w:t>
            </w:r>
          </w:hyperlink>
        </w:p>
        <w:p>
          <w:pPr>
            <w:pStyle w:val="Contents4"/>
            <w:tabs>
              <w:tab w:val="clear" w:pos="8176"/>
              <w:tab w:val="right" w:pos="9026" w:leader="dot"/>
            </w:tabs>
            <w:rPr/>
          </w:pPr>
          <w:hyperlink w:anchor="__RefHeading___Toc3599331_1067777946">
            <w:r>
              <w:rPr>
                <w:webHidden/>
                <w:rStyle w:val="IndexLink"/>
                <w:rtl w:val="true"/>
              </w:rPr>
              <w:t>هبۀ در مرض موت</w:t>
            </w:r>
            <w:r>
              <w:rPr>
                <w:rStyle w:val="IndexLink"/>
                <w:rtl w:val="true"/>
              </w:rPr>
              <w:tab/>
            </w:r>
            <w:r>
              <w:rPr>
                <w:rStyle w:val="IndexLink"/>
              </w:rPr>
              <w:t>449</w:t>
            </w:r>
          </w:hyperlink>
        </w:p>
        <w:p>
          <w:pPr>
            <w:pStyle w:val="Contents2"/>
            <w:tabs>
              <w:tab w:val="clear" w:pos="8743"/>
              <w:tab w:val="right" w:pos="9026" w:leader="dot"/>
            </w:tabs>
            <w:rPr/>
          </w:pPr>
          <w:hyperlink w:anchor="__RefHeading___Toc3599333_1067777946">
            <w:r>
              <w:rPr>
                <w:webHidden/>
                <w:rStyle w:val="IndexLink"/>
                <w:rtl w:val="true"/>
              </w:rPr>
              <w:t>كتاب سبق و رمايه</w:t>
            </w:r>
            <w:r>
              <w:rPr>
                <w:rStyle w:val="IndexLink"/>
                <w:rtl w:val="true"/>
              </w:rPr>
              <w:tab/>
            </w:r>
            <w:r>
              <w:rPr>
                <w:rStyle w:val="IndexLink"/>
              </w:rPr>
              <w:t>450</w:t>
            </w:r>
          </w:hyperlink>
        </w:p>
        <w:p>
          <w:pPr>
            <w:pStyle w:val="Contents3"/>
            <w:tabs>
              <w:tab w:val="clear" w:pos="8459"/>
              <w:tab w:val="right" w:pos="9026" w:leader="dot"/>
            </w:tabs>
            <w:rPr/>
          </w:pPr>
          <w:hyperlink w:anchor="__RefHeading___Toc3599335_1067777946">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3599337_1067777946">
            <w:r>
              <w:rPr>
                <w:webHidden/>
                <w:rStyle w:val="IndexLink"/>
                <w:rtl w:val="true"/>
              </w:rPr>
              <w:t>فصل اوّل الفاظ و اصطلاحات</w:t>
            </w:r>
            <w:r>
              <w:rPr>
                <w:rStyle w:val="IndexLink"/>
                <w:rtl w:val="true"/>
              </w:rPr>
              <w:tab/>
            </w:r>
            <w:r>
              <w:rPr>
                <w:rStyle w:val="IndexLink"/>
              </w:rPr>
              <w:t>452</w:t>
            </w:r>
          </w:hyperlink>
        </w:p>
        <w:p>
          <w:pPr>
            <w:pStyle w:val="Contents4"/>
            <w:tabs>
              <w:tab w:val="clear" w:pos="8176"/>
              <w:tab w:val="right" w:pos="9026" w:leader="dot"/>
            </w:tabs>
            <w:rPr/>
          </w:pPr>
          <w:hyperlink w:anchor="__RefHeading___Toc3599339_1067777946">
            <w:r>
              <w:rPr>
                <w:webHidden/>
                <w:rStyle w:val="IndexLink"/>
                <w:rtl w:val="true"/>
              </w:rPr>
              <w:t>تعريف سبق و رمايه</w:t>
            </w:r>
            <w:r>
              <w:rPr>
                <w:rStyle w:val="IndexLink"/>
                <w:rtl w:val="true"/>
              </w:rPr>
              <w:tab/>
            </w:r>
            <w:r>
              <w:rPr>
                <w:rStyle w:val="IndexLink"/>
              </w:rPr>
              <w:t>452</w:t>
            </w:r>
          </w:hyperlink>
        </w:p>
        <w:p>
          <w:pPr>
            <w:pStyle w:val="Contents4"/>
            <w:tabs>
              <w:tab w:val="clear" w:pos="8176"/>
              <w:tab w:val="right" w:pos="9026" w:leader="dot"/>
            </w:tabs>
            <w:rPr/>
          </w:pPr>
          <w:hyperlink w:anchor="__RefHeading___Toc3599341_1067777946">
            <w:r>
              <w:rPr>
                <w:webHidden/>
                <w:rStyle w:val="IndexLink"/>
                <w:rtl w:val="true"/>
              </w:rPr>
              <w:t>الفاظ مستعمله در اين باب</w:t>
            </w:r>
            <w:r>
              <w:rPr>
                <w:rStyle w:val="IndexLink"/>
                <w:rtl w:val="true"/>
              </w:rPr>
              <w:tab/>
            </w:r>
            <w:r>
              <w:rPr>
                <w:rStyle w:val="IndexLink"/>
              </w:rPr>
              <w:t>452</w:t>
            </w:r>
          </w:hyperlink>
        </w:p>
        <w:p>
          <w:pPr>
            <w:pStyle w:val="Contents4"/>
            <w:tabs>
              <w:tab w:val="clear" w:pos="8176"/>
              <w:tab w:val="right" w:pos="9026" w:leader="dot"/>
            </w:tabs>
            <w:rPr/>
          </w:pPr>
          <w:hyperlink w:anchor="__RefHeading___Toc3599343_1067777946">
            <w:r>
              <w:rPr>
                <w:webHidden/>
                <w:rStyle w:val="IndexLink"/>
                <w:rtl w:val="true"/>
              </w:rPr>
              <w:t>اسامى تيرها با توجه به اصابت به هدف</w:t>
            </w:r>
            <w:r>
              <w:rPr>
                <w:rStyle w:val="IndexLink"/>
                <w:rtl w:val="true"/>
              </w:rPr>
              <w:tab/>
            </w:r>
            <w:r>
              <w:rPr>
                <w:rStyle w:val="IndexLink"/>
              </w:rPr>
              <w:t>453</w:t>
            </w:r>
          </w:hyperlink>
        </w:p>
        <w:p>
          <w:pPr>
            <w:pStyle w:val="Contents4"/>
            <w:tabs>
              <w:tab w:val="clear" w:pos="8176"/>
              <w:tab w:val="right" w:pos="9026" w:leader="dot"/>
            </w:tabs>
            <w:rPr/>
          </w:pPr>
          <w:hyperlink w:anchor="__RefHeading___Toc3599345_1067777946">
            <w:r>
              <w:rPr>
                <w:webHidden/>
                <w:rStyle w:val="IndexLink"/>
                <w:rtl w:val="true"/>
              </w:rPr>
              <w:t>اقسام مرامات</w:t>
            </w:r>
            <w:r>
              <w:rPr>
                <w:rStyle w:val="IndexLink"/>
                <w:rtl w:val="true"/>
              </w:rPr>
              <w:t xml:space="preserve">: </w:t>
            </w:r>
            <w:r>
              <w:rPr>
                <w:rStyle w:val="IndexLink"/>
                <w:rtl w:val="true"/>
              </w:rPr>
              <w:t>مبادرت و محاطّه</w:t>
            </w:r>
            <w:r>
              <w:rPr>
                <w:rStyle w:val="IndexLink"/>
                <w:rtl w:val="true"/>
              </w:rPr>
              <w:tab/>
            </w:r>
            <w:r>
              <w:rPr>
                <w:rStyle w:val="IndexLink"/>
              </w:rPr>
              <w:t>454</w:t>
            </w:r>
          </w:hyperlink>
        </w:p>
        <w:p>
          <w:pPr>
            <w:pStyle w:val="Contents4"/>
            <w:tabs>
              <w:tab w:val="clear" w:pos="8176"/>
              <w:tab w:val="right" w:pos="9026" w:leader="dot"/>
            </w:tabs>
            <w:rPr/>
          </w:pPr>
          <w:hyperlink w:anchor="__RefHeading___Toc3599347_1067777946">
            <w:r>
              <w:rPr>
                <w:webHidden/>
                <w:rStyle w:val="IndexLink"/>
                <w:rtl w:val="true"/>
              </w:rPr>
              <w:t>چيزهايى كه با آن مسابقه مشروع است</w:t>
            </w:r>
            <w:r>
              <w:rPr>
                <w:rStyle w:val="IndexLink"/>
                <w:rtl w:val="true"/>
              </w:rPr>
              <w:tab/>
            </w:r>
            <w:r>
              <w:rPr>
                <w:rStyle w:val="IndexLink"/>
              </w:rPr>
              <w:t>454</w:t>
            </w:r>
          </w:hyperlink>
        </w:p>
        <w:p>
          <w:pPr>
            <w:pStyle w:val="Contents3"/>
            <w:tabs>
              <w:tab w:val="clear" w:pos="8459"/>
              <w:tab w:val="right" w:pos="9026" w:leader="dot"/>
            </w:tabs>
            <w:rPr/>
          </w:pPr>
          <w:hyperlink w:anchor="__RefHeading___Toc3599349_1067777946">
            <w:r>
              <w:rPr>
                <w:webHidden/>
                <w:rStyle w:val="IndexLink"/>
                <w:rtl w:val="true"/>
              </w:rPr>
              <w:t>فصل دوّم عقد و عوض و شروط</w:t>
            </w:r>
            <w:r>
              <w:rPr>
                <w:rStyle w:val="IndexLink"/>
                <w:rtl w:val="true"/>
              </w:rPr>
              <w:tab/>
            </w:r>
            <w:r>
              <w:rPr>
                <w:rStyle w:val="IndexLink"/>
              </w:rPr>
              <w:t>455</w:t>
            </w:r>
          </w:hyperlink>
        </w:p>
        <w:p>
          <w:pPr>
            <w:pStyle w:val="Contents4"/>
            <w:tabs>
              <w:tab w:val="clear" w:pos="8176"/>
              <w:tab w:val="right" w:pos="9026" w:leader="dot"/>
            </w:tabs>
            <w:rPr/>
          </w:pPr>
          <w:hyperlink w:anchor="__RefHeading___Toc3599351_1067777946">
            <w:r>
              <w:rPr>
                <w:webHidden/>
                <w:rStyle w:val="IndexLink"/>
                <w:rtl w:val="true"/>
              </w:rPr>
              <w:t>كيفيّت عقد</w:t>
            </w:r>
            <w:r>
              <w:rPr>
                <w:rStyle w:val="IndexLink"/>
                <w:rtl w:val="true"/>
              </w:rPr>
              <w:tab/>
            </w:r>
            <w:r>
              <w:rPr>
                <w:rStyle w:val="IndexLink"/>
              </w:rPr>
              <w:t>455</w:t>
            </w:r>
          </w:hyperlink>
        </w:p>
        <w:p>
          <w:pPr>
            <w:pStyle w:val="Contents4"/>
            <w:tabs>
              <w:tab w:val="clear" w:pos="8176"/>
              <w:tab w:val="right" w:pos="9026" w:leader="dot"/>
            </w:tabs>
            <w:rPr/>
          </w:pPr>
          <w:hyperlink w:anchor="__RefHeading___Toc3599353_1067777946">
            <w:r>
              <w:rPr>
                <w:webHidden/>
                <w:rStyle w:val="IndexLink"/>
                <w:rtl w:val="true"/>
              </w:rPr>
              <w:t>عوض در سبق و رمايه</w:t>
            </w:r>
            <w:r>
              <w:rPr>
                <w:rStyle w:val="IndexLink"/>
                <w:rtl w:val="true"/>
              </w:rPr>
              <w:tab/>
            </w:r>
            <w:r>
              <w:rPr>
                <w:rStyle w:val="IndexLink"/>
              </w:rPr>
              <w:t>455</w:t>
            </w:r>
          </w:hyperlink>
        </w:p>
        <w:p>
          <w:pPr>
            <w:pStyle w:val="Contents4"/>
            <w:tabs>
              <w:tab w:val="clear" w:pos="8176"/>
              <w:tab w:val="right" w:pos="9026" w:leader="dot"/>
            </w:tabs>
            <w:rPr/>
          </w:pPr>
          <w:hyperlink w:anchor="__RefHeading___Toc3599355_1067777946">
            <w:r>
              <w:rPr>
                <w:webHidden/>
                <w:rStyle w:val="IndexLink"/>
                <w:rtl w:val="true"/>
              </w:rPr>
              <w:t>معنى محلِّل و عدم اشتراط صحّت به آن</w:t>
            </w:r>
            <w:r>
              <w:rPr>
                <w:rStyle w:val="IndexLink"/>
                <w:rtl w:val="true"/>
              </w:rPr>
              <w:tab/>
            </w:r>
            <w:r>
              <w:rPr>
                <w:rStyle w:val="IndexLink"/>
              </w:rPr>
              <w:t>456</w:t>
            </w:r>
          </w:hyperlink>
        </w:p>
        <w:p>
          <w:pPr>
            <w:pStyle w:val="Contents4"/>
            <w:tabs>
              <w:tab w:val="clear" w:pos="8176"/>
              <w:tab w:val="right" w:pos="9026" w:leader="dot"/>
            </w:tabs>
            <w:rPr/>
          </w:pPr>
          <w:hyperlink w:anchor="__RefHeading___Toc3599357_1067777946">
            <w:r>
              <w:rPr>
                <w:webHidden/>
                <w:rStyle w:val="IndexLink"/>
                <w:rtl w:val="true"/>
              </w:rPr>
              <w:t>شروط عقد مسابقه</w:t>
            </w:r>
            <w:r>
              <w:rPr>
                <w:rStyle w:val="IndexLink"/>
                <w:rtl w:val="true"/>
              </w:rPr>
              <w:tab/>
            </w:r>
            <w:r>
              <w:rPr>
                <w:rStyle w:val="IndexLink"/>
              </w:rPr>
              <w:t>456</w:t>
            </w:r>
          </w:hyperlink>
        </w:p>
        <w:p>
          <w:pPr>
            <w:pStyle w:val="Contents4"/>
            <w:tabs>
              <w:tab w:val="clear" w:pos="8176"/>
              <w:tab w:val="right" w:pos="9026" w:leader="dot"/>
            </w:tabs>
            <w:rPr/>
          </w:pPr>
          <w:hyperlink w:anchor="__RefHeading___Toc3599359_1067777946">
            <w:r>
              <w:rPr>
                <w:webHidden/>
                <w:rStyle w:val="IndexLink"/>
                <w:rtl w:val="true"/>
              </w:rPr>
              <w:t>شروط عقد رمايه</w:t>
            </w:r>
            <w:r>
              <w:rPr>
                <w:rStyle w:val="IndexLink"/>
                <w:rtl w:val="true"/>
              </w:rPr>
              <w:tab/>
            </w:r>
            <w:r>
              <w:rPr>
                <w:rStyle w:val="IndexLink"/>
              </w:rPr>
              <w:t>457</w:t>
            </w:r>
          </w:hyperlink>
        </w:p>
        <w:p>
          <w:pPr>
            <w:pStyle w:val="Contents5"/>
            <w:tabs>
              <w:tab w:val="clear" w:pos="7892"/>
              <w:tab w:val="right" w:pos="9026" w:leader="dot"/>
            </w:tabs>
            <w:rPr/>
          </w:pPr>
          <w:hyperlink w:anchor="__RefHeading___Toc3599361_1067777946">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3599363_1067777946">
            <w:r>
              <w:rPr>
                <w:webHidden/>
                <w:rStyle w:val="IndexLink"/>
                <w:rtl w:val="true"/>
              </w:rPr>
              <w:t>«</w:t>
            </w:r>
            <w:r>
              <w:rPr>
                <w:rStyle w:val="IndexLink"/>
                <w:rtl w:val="true"/>
              </w:rPr>
              <w:t>رشق</w:t>
            </w:r>
            <w:r>
              <w:rPr>
                <w:rStyle w:val="IndexLink"/>
                <w:rtl w:val="true"/>
              </w:rPr>
              <w:t>» (</w:t>
            </w:r>
            <w:r>
              <w:rPr>
                <w:rStyle w:val="IndexLink"/>
                <w:rtl w:val="true"/>
              </w:rPr>
              <w:t>عدد رمى</w:t>
            </w:r>
            <w:r>
              <w:rPr>
                <w:rStyle w:val="IndexLink"/>
                <w:rtl w:val="true"/>
              </w:rPr>
              <w:t>)</w:t>
              <w:tab/>
            </w:r>
            <w:r>
              <w:rPr>
                <w:rStyle w:val="IndexLink"/>
              </w:rPr>
              <w:t>457</w:t>
            </w:r>
          </w:hyperlink>
        </w:p>
        <w:p>
          <w:pPr>
            <w:pStyle w:val="Contents5"/>
            <w:tabs>
              <w:tab w:val="clear" w:pos="7892"/>
              <w:tab w:val="right" w:pos="9026" w:leader="dot"/>
            </w:tabs>
            <w:rPr/>
          </w:pPr>
          <w:hyperlink w:anchor="__RefHeading___Toc3599365_1067777946">
            <w:r>
              <w:rPr>
                <w:webHidden/>
                <w:rStyle w:val="IndexLink"/>
                <w:rtl w:val="true"/>
              </w:rPr>
              <w:t>تعيين قدر مسافت و غرض</w:t>
            </w:r>
            <w:r>
              <w:rPr>
                <w:rStyle w:val="IndexLink"/>
                <w:rtl w:val="true"/>
              </w:rPr>
              <w:tab/>
            </w:r>
            <w:r>
              <w:rPr>
                <w:rStyle w:val="IndexLink"/>
              </w:rPr>
              <w:t>458</w:t>
            </w:r>
          </w:hyperlink>
        </w:p>
        <w:p>
          <w:pPr>
            <w:pStyle w:val="Contents5"/>
            <w:tabs>
              <w:tab w:val="clear" w:pos="7892"/>
              <w:tab w:val="right" w:pos="9026" w:leader="dot"/>
            </w:tabs>
            <w:rPr/>
          </w:pPr>
          <w:hyperlink w:anchor="__RefHeading___Toc3599367_1067777946">
            <w:r>
              <w:rPr>
                <w:webHidden/>
                <w:rStyle w:val="IndexLink"/>
                <w:rtl w:val="true"/>
              </w:rPr>
              <w:t>چيزهايى كه در عقد رمى، شرط نيست</w:t>
            </w:r>
            <w:r>
              <w:rPr>
                <w:rStyle w:val="IndexLink"/>
                <w:rtl w:val="true"/>
              </w:rPr>
              <w:tab/>
            </w:r>
            <w:r>
              <w:rPr>
                <w:rStyle w:val="IndexLink"/>
              </w:rPr>
              <w:t>458</w:t>
            </w:r>
          </w:hyperlink>
        </w:p>
        <w:p>
          <w:pPr>
            <w:pStyle w:val="Contents4"/>
            <w:tabs>
              <w:tab w:val="clear" w:pos="8176"/>
              <w:tab w:val="right" w:pos="9026" w:leader="dot"/>
            </w:tabs>
            <w:rPr/>
          </w:pPr>
          <w:hyperlink w:anchor="__RefHeading___Toc3599369_1067777946">
            <w:r>
              <w:rPr>
                <w:webHidden/>
                <w:rStyle w:val="IndexLink"/>
                <w:rtl w:val="true"/>
              </w:rPr>
              <w:t>چند مسأله</w:t>
            </w:r>
            <w:r>
              <w:rPr>
                <w:rStyle w:val="IndexLink"/>
                <w:rtl w:val="true"/>
              </w:rPr>
              <w:tab/>
            </w:r>
            <w:r>
              <w:rPr>
                <w:rStyle w:val="IndexLink"/>
              </w:rPr>
              <w:t>459</w:t>
            </w:r>
          </w:hyperlink>
        </w:p>
        <w:p>
          <w:pPr>
            <w:pStyle w:val="Contents5"/>
            <w:tabs>
              <w:tab w:val="clear" w:pos="7892"/>
              <w:tab w:val="right" w:pos="9026" w:leader="dot"/>
            </w:tabs>
            <w:rPr/>
          </w:pPr>
          <w:hyperlink w:anchor="__RefHeading___Toc3599371_1067777946">
            <w:r>
              <w:rPr>
                <w:webHidden/>
                <w:rStyle w:val="IndexLink"/>
                <w:rtl w:val="true"/>
              </w:rPr>
              <w:t>نحوۀ استحقاق عوض</w:t>
            </w:r>
            <w:r>
              <w:rPr>
                <w:rStyle w:val="IndexLink"/>
                <w:rtl w:val="true"/>
              </w:rPr>
              <w:tab/>
            </w:r>
            <w:r>
              <w:rPr>
                <w:rStyle w:val="IndexLink"/>
              </w:rPr>
              <w:t>459</w:t>
            </w:r>
          </w:hyperlink>
        </w:p>
        <w:p>
          <w:pPr>
            <w:pStyle w:val="Contents5"/>
            <w:tabs>
              <w:tab w:val="clear" w:pos="7892"/>
              <w:tab w:val="right" w:pos="9026" w:leader="dot"/>
            </w:tabs>
            <w:rPr/>
          </w:pPr>
          <w:hyperlink w:anchor="__RefHeading___Toc3599373_1067777946">
            <w:r>
              <w:rPr>
                <w:webHidden/>
                <w:rStyle w:val="IndexLink"/>
                <w:rtl w:val="true"/>
              </w:rPr>
              <w:t>كيفيت تعلق سبق در فرض اخراج سبق توسط متراهنين و ادخال محلِّل</w:t>
            </w:r>
            <w:r>
              <w:rPr>
                <w:rStyle w:val="IndexLink"/>
                <w:rtl w:val="true"/>
              </w:rPr>
              <w:tab/>
            </w:r>
            <w:r>
              <w:rPr>
                <w:rStyle w:val="IndexLink"/>
              </w:rPr>
              <w:t>459</w:t>
            </w:r>
          </w:hyperlink>
        </w:p>
        <w:p>
          <w:pPr>
            <w:pStyle w:val="Contents5"/>
            <w:tabs>
              <w:tab w:val="clear" w:pos="7892"/>
              <w:tab w:val="right" w:pos="9026" w:leader="dot"/>
            </w:tabs>
            <w:rPr/>
          </w:pPr>
          <w:hyperlink w:anchor="__RefHeading___Toc3599375_1067777946">
            <w:r>
              <w:rPr>
                <w:webHidden/>
                <w:rStyle w:val="IndexLink"/>
                <w:rtl w:val="true"/>
              </w:rPr>
              <w:t>شرط مبادرت</w:t>
            </w:r>
            <w:r>
              <w:rPr>
                <w:rStyle w:val="IndexLink"/>
                <w:rtl w:val="true"/>
              </w:rPr>
              <w:tab/>
            </w:r>
            <w:r>
              <w:rPr>
                <w:rStyle w:val="IndexLink"/>
              </w:rPr>
              <w:t>460</w:t>
            </w:r>
          </w:hyperlink>
        </w:p>
        <w:p>
          <w:pPr>
            <w:pStyle w:val="Contents5"/>
            <w:tabs>
              <w:tab w:val="clear" w:pos="7892"/>
              <w:tab w:val="right" w:pos="9026" w:leader="dot"/>
            </w:tabs>
            <w:rPr/>
          </w:pPr>
          <w:hyperlink w:anchor="__RefHeading___Toc3599377_1067777946">
            <w:r>
              <w:rPr>
                <w:webHidden/>
                <w:rStyle w:val="IndexLink"/>
                <w:rtl w:val="true"/>
              </w:rPr>
              <w:t>شرط محاطّه</w:t>
            </w:r>
            <w:r>
              <w:rPr>
                <w:rStyle w:val="IndexLink"/>
                <w:rtl w:val="true"/>
              </w:rPr>
              <w:tab/>
            </w:r>
            <w:r>
              <w:rPr>
                <w:rStyle w:val="IndexLink"/>
              </w:rPr>
              <w:t>460</w:t>
            </w:r>
          </w:hyperlink>
        </w:p>
        <w:p>
          <w:pPr>
            <w:pStyle w:val="Contents5"/>
            <w:tabs>
              <w:tab w:val="clear" w:pos="7892"/>
              <w:tab w:val="right" w:pos="9026" w:leader="dot"/>
            </w:tabs>
            <w:rPr/>
          </w:pPr>
          <w:hyperlink w:anchor="__RefHeading___Toc3599379_1067777946">
            <w:r>
              <w:rPr>
                <w:webHidden/>
                <w:rStyle w:val="IndexLink"/>
                <w:rtl w:val="true"/>
              </w:rPr>
              <w:t>مالكيّت سابق بر عوض با تماميّت مسابقه</w:t>
            </w:r>
            <w:r>
              <w:rPr>
                <w:rStyle w:val="IndexLink"/>
                <w:rtl w:val="true"/>
              </w:rPr>
              <w:tab/>
            </w:r>
            <w:r>
              <w:rPr>
                <w:rStyle w:val="IndexLink"/>
              </w:rPr>
              <w:t>462</w:t>
            </w:r>
          </w:hyperlink>
        </w:p>
        <w:p>
          <w:pPr>
            <w:pStyle w:val="Contents5"/>
            <w:tabs>
              <w:tab w:val="clear" w:pos="7892"/>
              <w:tab w:val="right" w:pos="9026" w:leader="dot"/>
            </w:tabs>
            <w:rPr/>
          </w:pPr>
          <w:hyperlink w:anchor="__RefHeading___Toc3599381_1067777946">
            <w:r>
              <w:rPr>
                <w:webHidden/>
                <w:rStyle w:val="IndexLink"/>
                <w:rtl w:val="true"/>
              </w:rPr>
              <w:t>جواز اشتراط اطعام</w:t>
            </w:r>
            <w:r>
              <w:rPr>
                <w:rStyle w:val="IndexLink"/>
                <w:rtl w:val="true"/>
              </w:rPr>
              <w:tab/>
            </w:r>
            <w:r>
              <w:rPr>
                <w:rStyle w:val="IndexLink"/>
              </w:rPr>
              <w:t>462</w:t>
            </w:r>
          </w:hyperlink>
        </w:p>
        <w:p>
          <w:pPr>
            <w:pStyle w:val="Contents5"/>
            <w:tabs>
              <w:tab w:val="clear" w:pos="7892"/>
              <w:tab w:val="right" w:pos="9026" w:leader="dot"/>
            </w:tabs>
            <w:rPr/>
          </w:pPr>
          <w:hyperlink w:anchor="__RefHeading___Toc3599383_1067777946">
            <w:r>
              <w:rPr>
                <w:webHidden/>
                <w:rStyle w:val="IndexLink"/>
                <w:rtl w:val="true"/>
              </w:rPr>
              <w:t>لوازم فساد عقد</w:t>
            </w:r>
            <w:r>
              <w:rPr>
                <w:rStyle w:val="IndexLink"/>
                <w:rtl w:val="true"/>
              </w:rPr>
              <w:tab/>
            </w:r>
            <w:r>
              <w:rPr>
                <w:rStyle w:val="IndexLink"/>
              </w:rPr>
              <w:t>462</w:t>
            </w:r>
          </w:hyperlink>
        </w:p>
        <w:p>
          <w:pPr>
            <w:pStyle w:val="Contents5"/>
            <w:tabs>
              <w:tab w:val="clear" w:pos="7892"/>
              <w:tab w:val="right" w:pos="9026" w:leader="dot"/>
            </w:tabs>
            <w:rPr/>
          </w:pPr>
          <w:hyperlink w:anchor="__RefHeading___Toc3599385_1067777946">
            <w:r>
              <w:rPr>
                <w:webHidden/>
                <w:rStyle w:val="IndexLink"/>
                <w:rtl w:val="true"/>
              </w:rPr>
              <w:t>تغيير عقد مسابقه</w:t>
            </w:r>
            <w:r>
              <w:rPr>
                <w:rStyle w:val="IndexLink"/>
                <w:rtl w:val="true"/>
              </w:rPr>
              <w:tab/>
            </w:r>
            <w:r>
              <w:rPr>
                <w:rStyle w:val="IndexLink"/>
              </w:rPr>
              <w:t>462</w:t>
            </w:r>
          </w:hyperlink>
        </w:p>
        <w:p>
          <w:pPr>
            <w:pStyle w:val="Contents5"/>
            <w:tabs>
              <w:tab w:val="clear" w:pos="7892"/>
              <w:tab w:val="right" w:pos="9026" w:leader="dot"/>
            </w:tabs>
            <w:rPr/>
          </w:pPr>
          <w:hyperlink w:anchor="__RefHeading___Toc3599387_1067777946">
            <w:r>
              <w:rPr>
                <w:webHidden/>
                <w:rStyle w:val="IndexLink"/>
                <w:rtl w:val="true"/>
              </w:rPr>
              <w:t>جواز عقد مسابقه بين دو طايفه و حزب و امثال آن</w:t>
            </w:r>
            <w:r>
              <w:rPr>
                <w:rStyle w:val="IndexLink"/>
                <w:rtl w:val="true"/>
              </w:rPr>
              <w:tab/>
            </w:r>
            <w:r>
              <w:rPr>
                <w:rStyle w:val="IndexLink"/>
              </w:rPr>
              <w:t>462</w:t>
            </w:r>
          </w:hyperlink>
        </w:p>
        <w:p>
          <w:pPr>
            <w:pStyle w:val="Contents2"/>
            <w:tabs>
              <w:tab w:val="clear" w:pos="8743"/>
              <w:tab w:val="right" w:pos="9026" w:leader="dot"/>
            </w:tabs>
            <w:rPr/>
          </w:pPr>
          <w:hyperlink w:anchor="__RefHeading___Toc3599389_1067777946">
            <w:r>
              <w:rPr>
                <w:webHidden/>
                <w:rStyle w:val="IndexLink"/>
                <w:rtl w:val="true"/>
              </w:rPr>
              <w:t>كتاب وصيّت</w:t>
            </w:r>
            <w:r>
              <w:rPr>
                <w:rStyle w:val="IndexLink"/>
                <w:rtl w:val="true"/>
              </w:rPr>
              <w:tab/>
            </w:r>
            <w:r>
              <w:rPr>
                <w:rStyle w:val="IndexLink"/>
              </w:rPr>
              <w:t>464</w:t>
            </w:r>
          </w:hyperlink>
        </w:p>
        <w:p>
          <w:pPr>
            <w:pStyle w:val="Contents3"/>
            <w:tabs>
              <w:tab w:val="clear" w:pos="8459"/>
              <w:tab w:val="right" w:pos="9026" w:leader="dot"/>
            </w:tabs>
            <w:rPr/>
          </w:pPr>
          <w:hyperlink w:anchor="__RefHeading___Toc3599391_1067777946">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3599393_1067777946">
            <w:r>
              <w:rPr>
                <w:webHidden/>
                <w:rStyle w:val="IndexLink"/>
                <w:rtl w:val="true"/>
              </w:rPr>
              <w:t>فصل اوّل اقسام و شرايط وصيّت</w:t>
            </w:r>
            <w:r>
              <w:rPr>
                <w:rStyle w:val="IndexLink"/>
                <w:rtl w:val="true"/>
              </w:rPr>
              <w:tab/>
            </w:r>
            <w:r>
              <w:rPr>
                <w:rStyle w:val="IndexLink"/>
              </w:rPr>
              <w:t>466</w:t>
            </w:r>
          </w:hyperlink>
        </w:p>
        <w:p>
          <w:pPr>
            <w:pStyle w:val="Contents4"/>
            <w:tabs>
              <w:tab w:val="clear" w:pos="8176"/>
              <w:tab w:val="right" w:pos="9026" w:leader="dot"/>
            </w:tabs>
            <w:rPr/>
          </w:pPr>
          <w:hyperlink w:anchor="__RefHeading___Toc3599395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599397_1067777946">
            <w:r>
              <w:rPr>
                <w:webHidden/>
                <w:rStyle w:val="IndexLink"/>
                <w:rtl w:val="true"/>
              </w:rPr>
              <w:t>وصيّت تمليكيّه و احتياج آن به ايجاب و قبول</w:t>
            </w:r>
            <w:r>
              <w:rPr>
                <w:rStyle w:val="IndexLink"/>
                <w:rtl w:val="true"/>
              </w:rPr>
              <w:tab/>
            </w:r>
            <w:r>
              <w:rPr>
                <w:rStyle w:val="IndexLink"/>
              </w:rPr>
              <w:t>466</w:t>
            </w:r>
          </w:hyperlink>
        </w:p>
        <w:p>
          <w:pPr>
            <w:pStyle w:val="Contents4"/>
            <w:tabs>
              <w:tab w:val="clear" w:pos="8176"/>
              <w:tab w:val="right" w:pos="9026" w:leader="dot"/>
            </w:tabs>
            <w:rPr/>
          </w:pPr>
          <w:hyperlink w:anchor="__RefHeading___Toc3599399_1067777946">
            <w:r>
              <w:rPr>
                <w:webHidden/>
                <w:rStyle w:val="IndexLink"/>
                <w:rtl w:val="true"/>
              </w:rPr>
              <w:t>كفايت معاطات</w:t>
            </w:r>
            <w:r>
              <w:rPr>
                <w:rStyle w:val="IndexLink"/>
                <w:rtl w:val="true"/>
              </w:rPr>
              <w:tab/>
            </w:r>
            <w:r>
              <w:rPr>
                <w:rStyle w:val="IndexLink"/>
              </w:rPr>
              <w:t>467</w:t>
            </w:r>
          </w:hyperlink>
        </w:p>
        <w:p>
          <w:pPr>
            <w:pStyle w:val="Contents4"/>
            <w:tabs>
              <w:tab w:val="clear" w:pos="8176"/>
              <w:tab w:val="right" w:pos="9026" w:leader="dot"/>
            </w:tabs>
            <w:rPr/>
          </w:pPr>
          <w:hyperlink w:anchor="__RefHeading___Toc3599401_1067777946">
            <w:r>
              <w:rPr>
                <w:webHidden/>
                <w:rStyle w:val="IndexLink"/>
                <w:rtl w:val="true"/>
              </w:rPr>
              <w:t>احوطيّت اعتبار قبول در تحقق تمليك به وصيّت</w:t>
            </w:r>
            <w:r>
              <w:rPr>
                <w:rStyle w:val="IndexLink"/>
                <w:rtl w:val="true"/>
              </w:rPr>
              <w:tab/>
            </w:r>
            <w:r>
              <w:rPr>
                <w:rStyle w:val="IndexLink"/>
              </w:rPr>
              <w:t>467</w:t>
            </w:r>
          </w:hyperlink>
        </w:p>
        <w:p>
          <w:pPr>
            <w:pStyle w:val="Contents4"/>
            <w:tabs>
              <w:tab w:val="clear" w:pos="8176"/>
              <w:tab w:val="right" w:pos="9026" w:leader="dot"/>
            </w:tabs>
            <w:rPr/>
          </w:pPr>
          <w:hyperlink w:anchor="__RefHeading___Toc3599403_1067777946">
            <w:r>
              <w:rPr>
                <w:webHidden/>
                <w:rStyle w:val="IndexLink"/>
                <w:rtl w:val="true"/>
              </w:rPr>
              <w:t>كفايت اشاره و كتابت</w:t>
            </w:r>
            <w:r>
              <w:rPr>
                <w:rStyle w:val="IndexLink"/>
                <w:rtl w:val="true"/>
              </w:rPr>
              <w:tab/>
            </w:r>
            <w:r>
              <w:rPr>
                <w:rStyle w:val="IndexLink"/>
              </w:rPr>
              <w:t>467</w:t>
            </w:r>
          </w:hyperlink>
        </w:p>
        <w:p>
          <w:pPr>
            <w:pStyle w:val="Contents4"/>
            <w:tabs>
              <w:tab w:val="clear" w:pos="8176"/>
              <w:tab w:val="right" w:pos="9026" w:leader="dot"/>
            </w:tabs>
            <w:rPr/>
          </w:pPr>
          <w:hyperlink w:anchor="__RefHeading___Toc3599405_1067777946">
            <w:r>
              <w:rPr>
                <w:webHidden/>
                <w:rStyle w:val="IndexLink"/>
                <w:rtl w:val="true"/>
              </w:rPr>
              <w:t>فرق بين وصيّت عهديّه و تمليكيّه و ابطال تمليكيّه به رد</w:t>
            </w:r>
            <w:r>
              <w:rPr>
                <w:rStyle w:val="IndexLink"/>
                <w:rtl w:val="true"/>
              </w:rPr>
              <w:tab/>
            </w:r>
            <w:r>
              <w:rPr>
                <w:rStyle w:val="IndexLink"/>
              </w:rPr>
              <w:t>467</w:t>
            </w:r>
          </w:hyperlink>
        </w:p>
        <w:p>
          <w:pPr>
            <w:pStyle w:val="Contents4"/>
            <w:tabs>
              <w:tab w:val="clear" w:pos="8176"/>
              <w:tab w:val="right" w:pos="9026" w:leader="dot"/>
            </w:tabs>
            <w:rPr/>
          </w:pPr>
          <w:hyperlink w:anchor="__RefHeading___Toc3599407_1067777946">
            <w:r>
              <w:rPr>
                <w:webHidden/>
                <w:rStyle w:val="IndexLink"/>
                <w:rtl w:val="true"/>
              </w:rPr>
              <w:t>مطلق قبول كافى است و لو قبل يا بعد موت باشد</w:t>
            </w:r>
            <w:r>
              <w:rPr>
                <w:rStyle w:val="IndexLink"/>
                <w:rtl w:val="true"/>
              </w:rPr>
              <w:tab/>
            </w:r>
            <w:r>
              <w:rPr>
                <w:rStyle w:val="IndexLink"/>
              </w:rPr>
              <w:t>467</w:t>
            </w:r>
          </w:hyperlink>
        </w:p>
        <w:p>
          <w:pPr>
            <w:pStyle w:val="Contents4"/>
            <w:tabs>
              <w:tab w:val="clear" w:pos="8176"/>
              <w:tab w:val="right" w:pos="9026" w:leader="dot"/>
            </w:tabs>
            <w:rPr/>
          </w:pPr>
          <w:hyperlink w:anchor="__RefHeading___Toc3599409_1067777946">
            <w:r>
              <w:rPr>
                <w:webHidden/>
                <w:rStyle w:val="IndexLink"/>
                <w:rtl w:val="true"/>
              </w:rPr>
              <w:t>گونه هاى مختلف رد موصىٰ له</w:t>
            </w:r>
            <w:r>
              <w:rPr>
                <w:rStyle w:val="IndexLink"/>
                <w:rtl w:val="true"/>
              </w:rPr>
              <w:tab/>
            </w:r>
            <w:r>
              <w:rPr>
                <w:rStyle w:val="IndexLink"/>
              </w:rPr>
              <w:t>468</w:t>
            </w:r>
          </w:hyperlink>
        </w:p>
        <w:p>
          <w:pPr>
            <w:pStyle w:val="Contents4"/>
            <w:tabs>
              <w:tab w:val="clear" w:pos="8176"/>
              <w:tab w:val="right" w:pos="9026" w:leader="dot"/>
            </w:tabs>
            <w:rPr/>
          </w:pPr>
          <w:hyperlink w:anchor="__RefHeading___Toc3599411_1067777946">
            <w:r>
              <w:rPr>
                <w:webHidden/>
                <w:rStyle w:val="IndexLink"/>
                <w:rtl w:val="true"/>
              </w:rPr>
              <w:t>تبعّض در قبول توسط موصىٰ له</w:t>
            </w:r>
            <w:r>
              <w:rPr>
                <w:rStyle w:val="IndexLink"/>
                <w:rtl w:val="true"/>
              </w:rPr>
              <w:tab/>
            </w:r>
            <w:r>
              <w:rPr>
                <w:rStyle w:val="IndexLink"/>
              </w:rPr>
              <w:t>468</w:t>
            </w:r>
          </w:hyperlink>
        </w:p>
        <w:p>
          <w:pPr>
            <w:pStyle w:val="Contents4"/>
            <w:tabs>
              <w:tab w:val="clear" w:pos="8176"/>
              <w:tab w:val="right" w:pos="9026" w:leader="dot"/>
            </w:tabs>
            <w:rPr/>
          </w:pPr>
          <w:hyperlink w:anchor="__RefHeading___Toc3599413_1067777946">
            <w:r>
              <w:rPr>
                <w:webHidden/>
                <w:rStyle w:val="IndexLink"/>
                <w:rtl w:val="true"/>
              </w:rPr>
              <w:t>رجوع موصى در بعض</w:t>
            </w:r>
            <w:r>
              <w:rPr>
                <w:rStyle w:val="IndexLink"/>
                <w:rtl w:val="true"/>
              </w:rPr>
              <w:tab/>
            </w:r>
            <w:r>
              <w:rPr>
                <w:rStyle w:val="IndexLink"/>
              </w:rPr>
              <w:t>468</w:t>
            </w:r>
          </w:hyperlink>
        </w:p>
        <w:p>
          <w:pPr>
            <w:pStyle w:val="Contents4"/>
            <w:tabs>
              <w:tab w:val="clear" w:pos="8176"/>
              <w:tab w:val="right" w:pos="9026" w:leader="dot"/>
            </w:tabs>
            <w:rPr/>
          </w:pPr>
          <w:hyperlink w:anchor="__RefHeading___Toc3599415_1067777946">
            <w:r>
              <w:rPr>
                <w:webHidden/>
                <w:rStyle w:val="IndexLink"/>
                <w:rtl w:val="true"/>
              </w:rPr>
              <w:t>وفات موصىٰ له قبل از قبول وصيّت</w:t>
            </w:r>
            <w:r>
              <w:rPr>
                <w:rStyle w:val="IndexLink"/>
                <w:rtl w:val="true"/>
              </w:rPr>
              <w:tab/>
            </w:r>
            <w:r>
              <w:rPr>
                <w:rStyle w:val="IndexLink"/>
              </w:rPr>
              <w:t>468</w:t>
            </w:r>
          </w:hyperlink>
        </w:p>
        <w:p>
          <w:pPr>
            <w:pStyle w:val="Contents4"/>
            <w:tabs>
              <w:tab w:val="clear" w:pos="8176"/>
              <w:tab w:val="right" w:pos="9026" w:leader="dot"/>
            </w:tabs>
            <w:rPr/>
          </w:pPr>
          <w:hyperlink w:anchor="__RefHeading___Toc3599417_1067777946">
            <w:r>
              <w:rPr>
                <w:webHidden/>
                <w:rStyle w:val="IndexLink"/>
                <w:rtl w:val="true"/>
              </w:rPr>
              <w:t>وصيّت به كنيز و حمل او و فوت موصىٰ له قبل از قبول</w:t>
            </w:r>
            <w:r>
              <w:rPr>
                <w:rStyle w:val="IndexLink"/>
                <w:rtl w:val="true"/>
              </w:rPr>
              <w:tab/>
            </w:r>
            <w:r>
              <w:rPr>
                <w:rStyle w:val="IndexLink"/>
              </w:rPr>
              <w:t>469</w:t>
            </w:r>
          </w:hyperlink>
        </w:p>
        <w:p>
          <w:pPr>
            <w:pStyle w:val="Contents4"/>
            <w:tabs>
              <w:tab w:val="clear" w:pos="8176"/>
              <w:tab w:val="right" w:pos="9026" w:leader="dot"/>
            </w:tabs>
            <w:rPr/>
          </w:pPr>
          <w:hyperlink w:anchor="__RefHeading___Toc3599419_1067777946">
            <w:r>
              <w:rPr>
                <w:webHidden/>
                <w:rStyle w:val="IndexLink"/>
                <w:rtl w:val="true"/>
              </w:rPr>
              <w:t>عدم جواز وصيت به صرف مال در معصيت</w:t>
            </w:r>
            <w:r>
              <w:rPr>
                <w:rStyle w:val="IndexLink"/>
                <w:rtl w:val="true"/>
              </w:rPr>
              <w:tab/>
            </w:r>
            <w:r>
              <w:rPr>
                <w:rStyle w:val="IndexLink"/>
              </w:rPr>
              <w:t>470</w:t>
            </w:r>
          </w:hyperlink>
        </w:p>
        <w:p>
          <w:pPr>
            <w:pStyle w:val="Contents4"/>
            <w:tabs>
              <w:tab w:val="clear" w:pos="8176"/>
              <w:tab w:val="right" w:pos="9026" w:leader="dot"/>
            </w:tabs>
            <w:rPr/>
          </w:pPr>
          <w:hyperlink w:anchor="__RefHeading___Toc3599421_1067777946">
            <w:r>
              <w:rPr>
                <w:webHidden/>
                <w:rStyle w:val="IndexLink"/>
                <w:rtl w:val="true"/>
              </w:rPr>
              <w:t>وصيت تمليكيّه جايز از طرفين است</w:t>
            </w:r>
            <w:r>
              <w:rPr>
                <w:rStyle w:val="IndexLink"/>
                <w:rtl w:val="true"/>
              </w:rPr>
              <w:tab/>
            </w:r>
            <w:r>
              <w:rPr>
                <w:rStyle w:val="IndexLink"/>
              </w:rPr>
              <w:t>470</w:t>
            </w:r>
          </w:hyperlink>
        </w:p>
        <w:p>
          <w:pPr>
            <w:pStyle w:val="Contents4"/>
            <w:tabs>
              <w:tab w:val="clear" w:pos="8176"/>
              <w:tab w:val="right" w:pos="9026" w:leader="dot"/>
            </w:tabs>
            <w:rPr/>
          </w:pPr>
          <w:hyperlink w:anchor="__RefHeading___Toc3599423_1067777946">
            <w:r>
              <w:rPr>
                <w:webHidden/>
                <w:rStyle w:val="IndexLink"/>
                <w:rtl w:val="true"/>
              </w:rPr>
              <w:t>الفاظ رجوع از وصيت و حكم وصيّت موصىٰ به، براى ديگرى</w:t>
            </w:r>
            <w:r>
              <w:rPr>
                <w:rStyle w:val="IndexLink"/>
                <w:rtl w:val="true"/>
              </w:rPr>
              <w:tab/>
            </w:r>
            <w:r>
              <w:rPr>
                <w:rStyle w:val="IndexLink"/>
              </w:rPr>
              <w:t>470</w:t>
            </w:r>
          </w:hyperlink>
        </w:p>
        <w:p>
          <w:pPr>
            <w:pStyle w:val="Contents4"/>
            <w:tabs>
              <w:tab w:val="clear" w:pos="8176"/>
              <w:tab w:val="right" w:pos="9026" w:leader="dot"/>
            </w:tabs>
            <w:rPr/>
          </w:pPr>
          <w:hyperlink w:anchor="__RefHeading___Toc3599425_1067777946">
            <w:r>
              <w:rPr>
                <w:webHidden/>
                <w:rStyle w:val="IndexLink"/>
                <w:rtl w:val="true"/>
              </w:rPr>
              <w:t>تعقّب وصيّت به مقدارى بعد از وصيّت به آن يا اقلّ از آن</w:t>
            </w:r>
            <w:r>
              <w:rPr>
                <w:rStyle w:val="IndexLink"/>
                <w:rtl w:val="true"/>
              </w:rPr>
              <w:tab/>
            </w:r>
            <w:r>
              <w:rPr>
                <w:rStyle w:val="IndexLink"/>
              </w:rPr>
              <w:t>471</w:t>
            </w:r>
          </w:hyperlink>
        </w:p>
        <w:p>
          <w:pPr>
            <w:pStyle w:val="Contents4"/>
            <w:tabs>
              <w:tab w:val="clear" w:pos="8176"/>
              <w:tab w:val="right" w:pos="9026" w:leader="dot"/>
            </w:tabs>
            <w:rPr/>
          </w:pPr>
          <w:hyperlink w:anchor="__RefHeading___Toc3599427_1067777946">
            <w:r>
              <w:rPr>
                <w:webHidden/>
                <w:rStyle w:val="IndexLink"/>
                <w:rtl w:val="true"/>
              </w:rPr>
              <w:t>تحقق رجوع از وصيّت به فعل منافى</w:t>
            </w:r>
            <w:r>
              <w:rPr>
                <w:rStyle w:val="IndexLink"/>
                <w:rtl w:val="true"/>
              </w:rPr>
              <w:tab/>
            </w:r>
            <w:r>
              <w:rPr>
                <w:rStyle w:val="IndexLink"/>
              </w:rPr>
              <w:t>471</w:t>
            </w:r>
          </w:hyperlink>
        </w:p>
        <w:p>
          <w:pPr>
            <w:pStyle w:val="Contents4"/>
            <w:tabs>
              <w:tab w:val="clear" w:pos="8176"/>
              <w:tab w:val="right" w:pos="9026" w:leader="dot"/>
            </w:tabs>
            <w:rPr/>
          </w:pPr>
          <w:hyperlink w:anchor="__RefHeading___Toc3599429_1067777946">
            <w:r>
              <w:rPr>
                <w:webHidden/>
                <w:rStyle w:val="IndexLink"/>
                <w:rtl w:val="true"/>
              </w:rPr>
              <w:t>دلالت خلط بر بطلان وصيت و عدم آن</w:t>
            </w:r>
            <w:r>
              <w:rPr>
                <w:rStyle w:val="IndexLink"/>
                <w:rtl w:val="true"/>
              </w:rPr>
              <w:tab/>
            </w:r>
            <w:r>
              <w:rPr>
                <w:rStyle w:val="IndexLink"/>
              </w:rPr>
              <w:t>471</w:t>
            </w:r>
          </w:hyperlink>
        </w:p>
        <w:p>
          <w:pPr>
            <w:pStyle w:val="Contents4"/>
            <w:tabs>
              <w:tab w:val="clear" w:pos="8176"/>
              <w:tab w:val="right" w:pos="9026" w:leader="dot"/>
            </w:tabs>
            <w:rPr/>
          </w:pPr>
          <w:hyperlink w:anchor="__RefHeading___Toc3599431_1067777946">
            <w:r>
              <w:rPr>
                <w:webHidden/>
                <w:rStyle w:val="IndexLink"/>
                <w:rtl w:val="true"/>
              </w:rPr>
              <w:t>اخذ به قرينه در تشخيص بقاى وصيت و عدم آن</w:t>
            </w:r>
            <w:r>
              <w:rPr>
                <w:rStyle w:val="IndexLink"/>
                <w:rtl w:val="true"/>
              </w:rPr>
              <w:tab/>
            </w:r>
            <w:r>
              <w:rPr>
                <w:rStyle w:val="IndexLink"/>
              </w:rPr>
              <w:t>472</w:t>
            </w:r>
          </w:hyperlink>
        </w:p>
        <w:p>
          <w:pPr>
            <w:pStyle w:val="Contents3"/>
            <w:tabs>
              <w:tab w:val="clear" w:pos="8459"/>
              <w:tab w:val="right" w:pos="9026" w:leader="dot"/>
            </w:tabs>
            <w:rPr/>
          </w:pPr>
          <w:hyperlink w:anchor="__RefHeading___Toc3599433_1067777946">
            <w:r>
              <w:rPr>
                <w:webHidden/>
                <w:rStyle w:val="IndexLink"/>
                <w:rtl w:val="true"/>
              </w:rPr>
              <w:t>فصل دوّم شروط موصىٖ‌</w:t>
            </w:r>
            <w:r>
              <w:rPr>
                <w:rStyle w:val="IndexLink"/>
                <w:rtl w:val="true"/>
              </w:rPr>
              <w:tab/>
            </w:r>
            <w:r>
              <w:rPr>
                <w:rStyle w:val="IndexLink"/>
              </w:rPr>
              <w:t>473</w:t>
            </w:r>
          </w:hyperlink>
        </w:p>
        <w:p>
          <w:pPr>
            <w:pStyle w:val="Contents4"/>
            <w:tabs>
              <w:tab w:val="clear" w:pos="8176"/>
              <w:tab w:val="right" w:pos="9026" w:leader="dot"/>
            </w:tabs>
            <w:rPr/>
          </w:pPr>
          <w:hyperlink w:anchor="__RefHeading___Toc3599435_1067777946">
            <w:r>
              <w:rPr>
                <w:webHidden/>
                <w:rStyle w:val="IndexLink"/>
                <w:rtl w:val="true"/>
              </w:rPr>
              <w:t>كامل بودن</w:t>
            </w:r>
            <w:r>
              <w:rPr>
                <w:rStyle w:val="IndexLink"/>
                <w:rtl w:val="true"/>
              </w:rPr>
              <w:tab/>
            </w:r>
            <w:r>
              <w:rPr>
                <w:rStyle w:val="IndexLink"/>
              </w:rPr>
              <w:t>473</w:t>
            </w:r>
          </w:hyperlink>
        </w:p>
        <w:p>
          <w:pPr>
            <w:pStyle w:val="Contents4"/>
            <w:tabs>
              <w:tab w:val="clear" w:pos="8176"/>
              <w:tab w:val="right" w:pos="9026" w:leader="dot"/>
            </w:tabs>
            <w:rPr/>
          </w:pPr>
          <w:hyperlink w:anchor="__RefHeading___Toc3599437_1067777946">
            <w:r>
              <w:rPr>
                <w:webHidden/>
                <w:rStyle w:val="IndexLink"/>
                <w:rtl w:val="true"/>
              </w:rPr>
              <w:t>صحّت وصيت ده ساله با شرايط ديگر</w:t>
            </w:r>
            <w:r>
              <w:rPr>
                <w:rStyle w:val="IndexLink"/>
                <w:rtl w:val="true"/>
              </w:rPr>
              <w:tab/>
            </w:r>
            <w:r>
              <w:rPr>
                <w:rStyle w:val="IndexLink"/>
              </w:rPr>
              <w:t>473</w:t>
            </w:r>
          </w:hyperlink>
        </w:p>
        <w:p>
          <w:pPr>
            <w:pStyle w:val="Contents4"/>
            <w:tabs>
              <w:tab w:val="clear" w:pos="8176"/>
              <w:tab w:val="right" w:pos="9026" w:leader="dot"/>
            </w:tabs>
            <w:rPr/>
          </w:pPr>
          <w:hyperlink w:anchor="__RefHeading___Toc3599439_1067777946">
            <w:r>
              <w:rPr>
                <w:webHidden/>
                <w:rStyle w:val="IndexLink"/>
                <w:rtl w:val="true"/>
              </w:rPr>
              <w:t>اجازۀ مالك</w:t>
            </w:r>
            <w:r>
              <w:rPr>
                <w:rStyle w:val="IndexLink"/>
                <w:rtl w:val="true"/>
              </w:rPr>
              <w:tab/>
            </w:r>
            <w:r>
              <w:rPr>
                <w:rStyle w:val="IndexLink"/>
              </w:rPr>
              <w:t>473</w:t>
            </w:r>
          </w:hyperlink>
        </w:p>
        <w:p>
          <w:pPr>
            <w:pStyle w:val="Contents4"/>
            <w:tabs>
              <w:tab w:val="clear" w:pos="8176"/>
              <w:tab w:val="right" w:pos="9026" w:leader="dot"/>
            </w:tabs>
            <w:rPr/>
          </w:pPr>
          <w:hyperlink w:anchor="__RefHeading___Toc3599441_1067777946">
            <w:r>
              <w:rPr>
                <w:webHidden/>
                <w:rStyle w:val="IndexLink"/>
                <w:rtl w:val="true"/>
              </w:rPr>
              <w:t>نفوذ وصيّت عهديّه سفيه و مملوك و مفلَّس</w:t>
            </w:r>
            <w:r>
              <w:rPr>
                <w:rStyle w:val="IndexLink"/>
                <w:rtl w:val="true"/>
              </w:rPr>
              <w:tab/>
            </w:r>
            <w:r>
              <w:rPr>
                <w:rStyle w:val="IndexLink"/>
              </w:rPr>
              <w:t>473</w:t>
            </w:r>
          </w:hyperlink>
        </w:p>
        <w:p>
          <w:pPr>
            <w:pStyle w:val="Contents4"/>
            <w:tabs>
              <w:tab w:val="clear" w:pos="8176"/>
              <w:tab w:val="right" w:pos="9026" w:leader="dot"/>
            </w:tabs>
            <w:rPr/>
          </w:pPr>
          <w:hyperlink w:anchor="__RefHeading___Toc3599443_1067777946">
            <w:r>
              <w:rPr>
                <w:webHidden/>
                <w:rStyle w:val="IndexLink"/>
                <w:rtl w:val="true"/>
              </w:rPr>
              <w:t>عدم نفوذ وصيّتِ بعد از اقدام به خودكشى</w:t>
            </w:r>
            <w:r>
              <w:rPr>
                <w:rStyle w:val="IndexLink"/>
                <w:rtl w:val="true"/>
              </w:rPr>
              <w:tab/>
            </w:r>
            <w:r>
              <w:rPr>
                <w:rStyle w:val="IndexLink"/>
              </w:rPr>
              <w:t>473</w:t>
            </w:r>
          </w:hyperlink>
        </w:p>
        <w:p>
          <w:pPr>
            <w:pStyle w:val="Contents4"/>
            <w:tabs>
              <w:tab w:val="clear" w:pos="8176"/>
              <w:tab w:val="right" w:pos="9026" w:leader="dot"/>
            </w:tabs>
            <w:rPr/>
          </w:pPr>
          <w:hyperlink w:anchor="__RefHeading___Toc3599445_1067777946">
            <w:r>
              <w:rPr>
                <w:webHidden/>
                <w:rStyle w:val="IndexLink"/>
                <w:rtl w:val="true"/>
              </w:rPr>
              <w:t>تعقّب وصيّت غير نافذه به اجازۀ ورثه</w:t>
            </w:r>
            <w:r>
              <w:rPr>
                <w:rStyle w:val="IndexLink"/>
                <w:rtl w:val="true"/>
              </w:rPr>
              <w:tab/>
            </w:r>
            <w:r>
              <w:rPr>
                <w:rStyle w:val="IndexLink"/>
              </w:rPr>
              <w:t>474</w:t>
            </w:r>
          </w:hyperlink>
        </w:p>
        <w:p>
          <w:pPr>
            <w:pStyle w:val="Contents4"/>
            <w:tabs>
              <w:tab w:val="clear" w:pos="8176"/>
              <w:tab w:val="right" w:pos="9026" w:leader="dot"/>
            </w:tabs>
            <w:rPr/>
          </w:pPr>
          <w:hyperlink w:anchor="__RefHeading___Toc3599447_1067777946">
            <w:r>
              <w:rPr>
                <w:webHidden/>
                <w:rStyle w:val="IndexLink"/>
                <w:rtl w:val="true"/>
              </w:rPr>
              <w:t>اثبات ولايت، به وصايت، توسّط پدر و جدّ پدرى</w:t>
            </w:r>
            <w:r>
              <w:rPr>
                <w:rStyle w:val="IndexLink"/>
                <w:rtl w:val="true"/>
              </w:rPr>
              <w:tab/>
            </w:r>
            <w:r>
              <w:rPr>
                <w:rStyle w:val="IndexLink"/>
              </w:rPr>
              <w:t>474</w:t>
            </w:r>
          </w:hyperlink>
        </w:p>
        <w:p>
          <w:pPr>
            <w:pStyle w:val="Contents4"/>
            <w:tabs>
              <w:tab w:val="clear" w:pos="8176"/>
              <w:tab w:val="right" w:pos="9026" w:leader="dot"/>
            </w:tabs>
            <w:rPr/>
          </w:pPr>
          <w:hyperlink w:anchor="__RefHeading___Toc3599449_1067777946">
            <w:r>
              <w:rPr>
                <w:webHidden/>
                <w:rStyle w:val="IndexLink"/>
                <w:rtl w:val="true"/>
              </w:rPr>
              <w:t>ولايت بر طفل بعد از پدر و جدّ پدرى در صورت عدم وصايت</w:t>
            </w:r>
            <w:r>
              <w:rPr>
                <w:rStyle w:val="IndexLink"/>
                <w:rtl w:val="true"/>
              </w:rPr>
              <w:tab/>
            </w:r>
            <w:r>
              <w:rPr>
                <w:rStyle w:val="IndexLink"/>
              </w:rPr>
              <w:t>475</w:t>
            </w:r>
          </w:hyperlink>
        </w:p>
        <w:p>
          <w:pPr>
            <w:pStyle w:val="Contents4"/>
            <w:tabs>
              <w:tab w:val="clear" w:pos="8176"/>
              <w:tab w:val="right" w:pos="9026" w:leader="dot"/>
            </w:tabs>
            <w:rPr/>
          </w:pPr>
          <w:hyperlink w:anchor="__RefHeading___Toc3599451_1067777946">
            <w:r>
              <w:rPr>
                <w:webHidden/>
                <w:rStyle w:val="IndexLink"/>
                <w:rtl w:val="true"/>
              </w:rPr>
              <w:t>عدم ولايت امّ بر صغير</w:t>
            </w:r>
            <w:r>
              <w:rPr>
                <w:rStyle w:val="IndexLink"/>
                <w:rtl w:val="true"/>
              </w:rPr>
              <w:tab/>
            </w:r>
            <w:r>
              <w:rPr>
                <w:rStyle w:val="IndexLink"/>
              </w:rPr>
              <w:t>475</w:t>
            </w:r>
          </w:hyperlink>
        </w:p>
        <w:p>
          <w:pPr>
            <w:pStyle w:val="Contents3"/>
            <w:tabs>
              <w:tab w:val="clear" w:pos="8459"/>
              <w:tab w:val="right" w:pos="9026" w:leader="dot"/>
            </w:tabs>
            <w:rPr/>
          </w:pPr>
          <w:hyperlink w:anchor="__RefHeading___Toc3599453_1067777946">
            <w:r>
              <w:rPr>
                <w:webHidden/>
                <w:rStyle w:val="IndexLink"/>
                <w:rtl w:val="true"/>
              </w:rPr>
              <w:t>فصل سوّم شروط موصىٰ به</w:t>
            </w:r>
            <w:r>
              <w:rPr>
                <w:rStyle w:val="IndexLink"/>
                <w:rtl w:val="true"/>
              </w:rPr>
              <w:tab/>
            </w:r>
            <w:r>
              <w:rPr>
                <w:rStyle w:val="IndexLink"/>
              </w:rPr>
              <w:t>476</w:t>
            </w:r>
          </w:hyperlink>
        </w:p>
        <w:p>
          <w:pPr>
            <w:pStyle w:val="Contents4"/>
            <w:tabs>
              <w:tab w:val="clear" w:pos="8176"/>
              <w:tab w:val="right" w:pos="9026" w:leader="dot"/>
            </w:tabs>
            <w:rPr/>
          </w:pPr>
          <w:hyperlink w:anchor="__RefHeading___Toc3599455_1067777946">
            <w:r>
              <w:rPr>
                <w:webHidden/>
                <w:rStyle w:val="IndexLink"/>
              </w:rPr>
              <w:t>1</w:t>
            </w:r>
            <w:r>
              <w:rPr>
                <w:rStyle w:val="IndexLink"/>
                <w:rtl w:val="true"/>
              </w:rPr>
              <w:t xml:space="preserve">. </w:t>
            </w:r>
            <w:r>
              <w:rPr>
                <w:rStyle w:val="IndexLink"/>
                <w:rtl w:val="true"/>
              </w:rPr>
              <w:t>متعلَّق وصيّت</w:t>
            </w:r>
            <w:r>
              <w:rPr>
                <w:rStyle w:val="IndexLink"/>
                <w:rtl w:val="true"/>
              </w:rPr>
              <w:tab/>
            </w:r>
            <w:r>
              <w:rPr>
                <w:rStyle w:val="IndexLink"/>
              </w:rPr>
              <w:t>476</w:t>
            </w:r>
          </w:hyperlink>
        </w:p>
        <w:p>
          <w:pPr>
            <w:pStyle w:val="Contents5"/>
            <w:tabs>
              <w:tab w:val="clear" w:pos="7892"/>
              <w:tab w:val="right" w:pos="9026" w:leader="dot"/>
            </w:tabs>
            <w:rPr/>
          </w:pPr>
          <w:hyperlink w:anchor="__RefHeading___Toc3599457_1067777946">
            <w:r>
              <w:rPr>
                <w:webHidden/>
                <w:rStyle w:val="IndexLink"/>
                <w:rtl w:val="true"/>
              </w:rPr>
              <w:t>شروط معتبر در متعلّق وصيّت</w:t>
            </w:r>
            <w:r>
              <w:rPr>
                <w:rStyle w:val="IndexLink"/>
                <w:rtl w:val="true"/>
              </w:rPr>
              <w:tab/>
            </w:r>
            <w:r>
              <w:rPr>
                <w:rStyle w:val="IndexLink"/>
              </w:rPr>
              <w:t>476</w:t>
            </w:r>
          </w:hyperlink>
        </w:p>
        <w:p>
          <w:pPr>
            <w:pStyle w:val="Contents5"/>
            <w:tabs>
              <w:tab w:val="clear" w:pos="7892"/>
              <w:tab w:val="right" w:pos="9026" w:leader="dot"/>
            </w:tabs>
            <w:rPr/>
          </w:pPr>
          <w:hyperlink w:anchor="__RefHeading___Toc3599459_1067777946">
            <w:r>
              <w:rPr>
                <w:webHidden/>
                <w:rStyle w:val="IndexLink"/>
                <w:rtl w:val="true"/>
              </w:rPr>
              <w:t>وصيّت به ثلث و اكثر از آن</w:t>
            </w:r>
            <w:r>
              <w:rPr>
                <w:rStyle w:val="IndexLink"/>
                <w:rtl w:val="true"/>
              </w:rPr>
              <w:tab/>
            </w:r>
            <w:r>
              <w:rPr>
                <w:rStyle w:val="IndexLink"/>
              </w:rPr>
              <w:t>476</w:t>
            </w:r>
          </w:hyperlink>
        </w:p>
        <w:p>
          <w:pPr>
            <w:pStyle w:val="Contents5"/>
            <w:tabs>
              <w:tab w:val="clear" w:pos="7892"/>
              <w:tab w:val="right" w:pos="9026" w:leader="dot"/>
            </w:tabs>
            <w:rPr/>
          </w:pPr>
          <w:hyperlink w:anchor="__RefHeading___Toc3599461_1067777946">
            <w:r>
              <w:rPr>
                <w:webHidden/>
                <w:rStyle w:val="IndexLink"/>
                <w:rtl w:val="true"/>
              </w:rPr>
              <w:t>تبعّض در اجازۀ وصيّت بر زايد از ثلث</w:t>
            </w:r>
            <w:r>
              <w:rPr>
                <w:rStyle w:val="IndexLink"/>
                <w:rtl w:val="true"/>
              </w:rPr>
              <w:tab/>
            </w:r>
            <w:r>
              <w:rPr>
                <w:rStyle w:val="IndexLink"/>
              </w:rPr>
              <w:t>477</w:t>
            </w:r>
          </w:hyperlink>
        </w:p>
        <w:p>
          <w:pPr>
            <w:pStyle w:val="Contents5"/>
            <w:tabs>
              <w:tab w:val="clear" w:pos="7892"/>
              <w:tab w:val="right" w:pos="9026" w:leader="dot"/>
            </w:tabs>
            <w:rPr/>
          </w:pPr>
          <w:hyperlink w:anchor="__RefHeading___Toc3599463_1067777946">
            <w:r>
              <w:rPr>
                <w:webHidden/>
                <w:rStyle w:val="IndexLink"/>
                <w:rtl w:val="true"/>
              </w:rPr>
              <w:t>نفوذ اجازۀ وارث در حيات موصى و بعد از آن</w:t>
            </w:r>
            <w:r>
              <w:rPr>
                <w:rStyle w:val="IndexLink"/>
                <w:rtl w:val="true"/>
              </w:rPr>
              <w:tab/>
            </w:r>
            <w:r>
              <w:rPr>
                <w:rStyle w:val="IndexLink"/>
              </w:rPr>
              <w:t>477</w:t>
            </w:r>
          </w:hyperlink>
        </w:p>
        <w:p>
          <w:pPr>
            <w:pStyle w:val="Contents5"/>
            <w:tabs>
              <w:tab w:val="clear" w:pos="7892"/>
              <w:tab w:val="right" w:pos="9026" w:leader="dot"/>
            </w:tabs>
            <w:rPr/>
          </w:pPr>
          <w:hyperlink w:anchor="__RefHeading___Toc3599465_1067777946">
            <w:r>
              <w:rPr>
                <w:webHidden/>
                <w:rStyle w:val="IndexLink"/>
                <w:rtl w:val="true"/>
              </w:rPr>
              <w:t>تنفيذ بودن اجازۀ در زايد بر ثلث</w:t>
            </w:r>
            <w:r>
              <w:rPr>
                <w:rStyle w:val="IndexLink"/>
                <w:rtl w:val="true"/>
              </w:rPr>
              <w:tab/>
            </w:r>
            <w:r>
              <w:rPr>
                <w:rStyle w:val="IndexLink"/>
              </w:rPr>
              <w:t>478</w:t>
            </w:r>
          </w:hyperlink>
        </w:p>
        <w:p>
          <w:pPr>
            <w:pStyle w:val="Contents5"/>
            <w:tabs>
              <w:tab w:val="clear" w:pos="7892"/>
              <w:tab w:val="right" w:pos="9026" w:leader="dot"/>
            </w:tabs>
            <w:rPr/>
          </w:pPr>
          <w:hyperlink w:anchor="__RefHeading___Toc3599467_1067777946">
            <w:r>
              <w:rPr>
                <w:webHidden/>
                <w:rStyle w:val="IndexLink"/>
                <w:rtl w:val="true"/>
              </w:rPr>
              <w:t>اجازه مفلَّس و مجنون و صبىّ و سفيه</w:t>
            </w:r>
            <w:r>
              <w:rPr>
                <w:rStyle w:val="IndexLink"/>
                <w:rtl w:val="true"/>
              </w:rPr>
              <w:tab/>
            </w:r>
            <w:r>
              <w:rPr>
                <w:rStyle w:val="IndexLink"/>
              </w:rPr>
              <w:t>478</w:t>
            </w:r>
          </w:hyperlink>
        </w:p>
        <w:p>
          <w:pPr>
            <w:pStyle w:val="Contents5"/>
            <w:tabs>
              <w:tab w:val="clear" w:pos="7892"/>
              <w:tab w:val="right" w:pos="9026" w:leader="dot"/>
            </w:tabs>
            <w:rPr/>
          </w:pPr>
          <w:hyperlink w:anchor="__RefHeading___Toc3599469_1067777946">
            <w:r>
              <w:rPr>
                <w:webHidden/>
                <w:rStyle w:val="IndexLink"/>
                <w:rtl w:val="true"/>
              </w:rPr>
              <w:t>اعتبار در ميزان ثلث، وقت وفات است نه وقت وصيّت</w:t>
            </w:r>
            <w:r>
              <w:rPr>
                <w:rStyle w:val="IndexLink"/>
                <w:rtl w:val="true"/>
              </w:rPr>
              <w:tab/>
            </w:r>
            <w:r>
              <w:rPr>
                <w:rStyle w:val="IndexLink"/>
              </w:rPr>
              <w:t>478</w:t>
            </w:r>
          </w:hyperlink>
        </w:p>
        <w:p>
          <w:pPr>
            <w:pStyle w:val="Contents5"/>
            <w:tabs>
              <w:tab w:val="clear" w:pos="7892"/>
              <w:tab w:val="right" w:pos="9026" w:leader="dot"/>
            </w:tabs>
            <w:rPr/>
          </w:pPr>
          <w:hyperlink w:anchor="__RefHeading___Toc3599471_1067777946">
            <w:r>
              <w:rPr>
                <w:webHidden/>
                <w:rStyle w:val="IndexLink"/>
                <w:rtl w:val="true"/>
              </w:rPr>
              <w:t>حكم اموال افزودۀ بعد از وصيّت</w:t>
            </w:r>
            <w:r>
              <w:rPr>
                <w:rStyle w:val="IndexLink"/>
                <w:rtl w:val="true"/>
              </w:rPr>
              <w:tab/>
            </w:r>
            <w:r>
              <w:rPr>
                <w:rStyle w:val="IndexLink"/>
              </w:rPr>
              <w:t>479</w:t>
            </w:r>
          </w:hyperlink>
        </w:p>
        <w:p>
          <w:pPr>
            <w:pStyle w:val="Contents5"/>
            <w:tabs>
              <w:tab w:val="clear" w:pos="7892"/>
              <w:tab w:val="right" w:pos="9026" w:leader="dot"/>
            </w:tabs>
            <w:rPr/>
          </w:pPr>
          <w:hyperlink w:anchor="__RefHeading___Toc3599473_1067777946">
            <w:r>
              <w:rPr>
                <w:webHidden/>
                <w:rStyle w:val="IndexLink"/>
                <w:rtl w:val="true"/>
              </w:rPr>
              <w:t>الحاق تلف و افزودۀ بعد از موت به قبل از موت</w:t>
            </w:r>
            <w:r>
              <w:rPr>
                <w:rStyle w:val="IndexLink"/>
                <w:rtl w:val="true"/>
              </w:rPr>
              <w:tab/>
            </w:r>
            <w:r>
              <w:rPr>
                <w:rStyle w:val="IndexLink"/>
              </w:rPr>
              <w:t>479</w:t>
            </w:r>
          </w:hyperlink>
        </w:p>
        <w:p>
          <w:pPr>
            <w:pStyle w:val="Contents5"/>
            <w:tabs>
              <w:tab w:val="clear" w:pos="7892"/>
              <w:tab w:val="right" w:pos="9026" w:leader="dot"/>
            </w:tabs>
            <w:rPr/>
          </w:pPr>
          <w:hyperlink w:anchor="__RefHeading___Toc3599475_1067777946">
            <w:r>
              <w:rPr>
                <w:webHidden/>
                <w:rStyle w:val="IndexLink"/>
                <w:rtl w:val="true"/>
              </w:rPr>
              <w:t>وصيّت به مضاربه در مال ورثه</w:t>
            </w:r>
            <w:r>
              <w:rPr>
                <w:rStyle w:val="IndexLink"/>
                <w:rtl w:val="true"/>
              </w:rPr>
              <w:tab/>
            </w:r>
            <w:r>
              <w:rPr>
                <w:rStyle w:val="IndexLink"/>
              </w:rPr>
              <w:t>479</w:t>
            </w:r>
          </w:hyperlink>
        </w:p>
        <w:p>
          <w:pPr>
            <w:pStyle w:val="Contents5"/>
            <w:tabs>
              <w:tab w:val="clear" w:pos="7892"/>
              <w:tab w:val="right" w:pos="9026" w:leader="dot"/>
            </w:tabs>
            <w:rPr/>
          </w:pPr>
          <w:hyperlink w:anchor="__RefHeading___Toc3599477_1067777946">
            <w:r>
              <w:rPr>
                <w:webHidden/>
                <w:rStyle w:val="IndexLink"/>
                <w:rtl w:val="true"/>
              </w:rPr>
              <w:t>محلّ اخراج در وصيّت به واجبات ماليّه</w:t>
            </w:r>
            <w:r>
              <w:rPr>
                <w:rStyle w:val="IndexLink"/>
                <w:rtl w:val="true"/>
              </w:rPr>
              <w:tab/>
            </w:r>
            <w:r>
              <w:rPr>
                <w:rStyle w:val="IndexLink"/>
              </w:rPr>
              <w:t>480</w:t>
            </w:r>
          </w:hyperlink>
        </w:p>
        <w:p>
          <w:pPr>
            <w:pStyle w:val="Contents5"/>
            <w:tabs>
              <w:tab w:val="clear" w:pos="7892"/>
              <w:tab w:val="right" w:pos="9026" w:leader="dot"/>
            </w:tabs>
            <w:rPr/>
          </w:pPr>
          <w:hyperlink w:anchor="__RefHeading___Toc3599479_1067777946">
            <w:r>
              <w:rPr>
                <w:webHidden/>
                <w:rStyle w:val="IndexLink"/>
                <w:rtl w:val="true"/>
              </w:rPr>
              <w:t>محلّ اخراج در وصيّت به واجبات بدنيّه</w:t>
            </w:r>
            <w:r>
              <w:rPr>
                <w:rStyle w:val="IndexLink"/>
                <w:rtl w:val="true"/>
              </w:rPr>
              <w:tab/>
            </w:r>
            <w:r>
              <w:rPr>
                <w:rStyle w:val="IndexLink"/>
              </w:rPr>
              <w:t>480</w:t>
            </w:r>
          </w:hyperlink>
        </w:p>
        <w:p>
          <w:pPr>
            <w:pStyle w:val="Contents5"/>
            <w:tabs>
              <w:tab w:val="clear" w:pos="7892"/>
              <w:tab w:val="right" w:pos="9026" w:leader="dot"/>
            </w:tabs>
            <w:rPr/>
          </w:pPr>
          <w:hyperlink w:anchor="__RefHeading___Toc3599481_1067777946">
            <w:r>
              <w:rPr>
                <w:webHidden/>
                <w:rStyle w:val="IndexLink"/>
                <w:rtl w:val="true"/>
              </w:rPr>
              <w:t>لزوم اعلام عدد فايت بر كسى كه مظنّۀ فوت دارد</w:t>
            </w:r>
            <w:r>
              <w:rPr>
                <w:rStyle w:val="IndexLink"/>
                <w:rtl w:val="true"/>
              </w:rPr>
              <w:tab/>
            </w:r>
            <w:r>
              <w:rPr>
                <w:rStyle w:val="IndexLink"/>
              </w:rPr>
              <w:t>481</w:t>
            </w:r>
          </w:hyperlink>
        </w:p>
        <w:p>
          <w:pPr>
            <w:pStyle w:val="Contents5"/>
            <w:tabs>
              <w:tab w:val="clear" w:pos="7892"/>
              <w:tab w:val="right" w:pos="9026" w:leader="dot"/>
            </w:tabs>
            <w:rPr/>
          </w:pPr>
          <w:hyperlink w:anchor="__RefHeading___Toc3599483_1067777946">
            <w:r>
              <w:rPr>
                <w:webHidden/>
                <w:rStyle w:val="IndexLink"/>
                <w:rtl w:val="true"/>
              </w:rPr>
              <w:t>كفايت و عدم كفايت ثلث به واجبات ماليّه و بدنيّۀ مورد وصيت</w:t>
            </w:r>
            <w:r>
              <w:rPr>
                <w:rStyle w:val="IndexLink"/>
                <w:rtl w:val="true"/>
              </w:rPr>
              <w:tab/>
            </w:r>
            <w:r>
              <w:rPr>
                <w:rStyle w:val="IndexLink"/>
              </w:rPr>
              <w:t>481</w:t>
            </w:r>
          </w:hyperlink>
        </w:p>
        <w:p>
          <w:pPr>
            <w:pStyle w:val="Contents5"/>
            <w:tabs>
              <w:tab w:val="clear" w:pos="7892"/>
              <w:tab w:val="right" w:pos="9026" w:leader="dot"/>
            </w:tabs>
            <w:rPr/>
          </w:pPr>
          <w:hyperlink w:anchor="__RefHeading___Toc3599485_1067777946">
            <w:r>
              <w:rPr>
                <w:webHidden/>
                <w:rStyle w:val="IndexLink"/>
                <w:rtl w:val="true"/>
              </w:rPr>
              <w:t>قصور ثلث از مورد وصيت به غير واجب</w:t>
            </w:r>
            <w:r>
              <w:rPr>
                <w:rStyle w:val="IndexLink"/>
                <w:rtl w:val="true"/>
              </w:rPr>
              <w:tab/>
            </w:r>
            <w:r>
              <w:rPr>
                <w:rStyle w:val="IndexLink"/>
              </w:rPr>
              <w:t>482</w:t>
            </w:r>
          </w:hyperlink>
        </w:p>
        <w:p>
          <w:pPr>
            <w:pStyle w:val="Contents5"/>
            <w:tabs>
              <w:tab w:val="clear" w:pos="7892"/>
              <w:tab w:val="right" w:pos="9026" w:leader="dot"/>
            </w:tabs>
            <w:rPr/>
          </w:pPr>
          <w:hyperlink w:anchor="__RefHeading___Toc3599487_1067777946">
            <w:r>
              <w:rPr>
                <w:webHidden/>
                <w:rStyle w:val="IndexLink"/>
                <w:rtl w:val="true"/>
              </w:rPr>
              <w:t>لزوم و عدم لزوم ملاحظۀ ترتيب در اختيار زايد بر ثلث</w:t>
            </w:r>
            <w:r>
              <w:rPr>
                <w:rStyle w:val="IndexLink"/>
                <w:rtl w:val="true"/>
              </w:rPr>
              <w:tab/>
            </w:r>
            <w:r>
              <w:rPr>
                <w:rStyle w:val="IndexLink"/>
              </w:rPr>
              <w:t>482</w:t>
            </w:r>
          </w:hyperlink>
        </w:p>
        <w:p>
          <w:pPr>
            <w:pStyle w:val="Contents5"/>
            <w:tabs>
              <w:tab w:val="clear" w:pos="7892"/>
              <w:tab w:val="right" w:pos="9026" w:leader="dot"/>
            </w:tabs>
            <w:rPr/>
          </w:pPr>
          <w:hyperlink w:anchor="__RefHeading___Toc3599489_1067777946">
            <w:r>
              <w:rPr>
                <w:webHidden/>
                <w:rStyle w:val="IndexLink"/>
                <w:rtl w:val="true"/>
              </w:rPr>
              <w:t>تضادّ بين وصاياى متعدّده</w:t>
            </w:r>
            <w:r>
              <w:rPr>
                <w:rStyle w:val="IndexLink"/>
                <w:rtl w:val="true"/>
              </w:rPr>
              <w:tab/>
            </w:r>
            <w:r>
              <w:rPr>
                <w:rStyle w:val="IndexLink"/>
              </w:rPr>
              <w:t>483</w:t>
            </w:r>
          </w:hyperlink>
        </w:p>
        <w:p>
          <w:pPr>
            <w:pStyle w:val="Contents5"/>
            <w:tabs>
              <w:tab w:val="clear" w:pos="7892"/>
              <w:tab w:val="right" w:pos="9026" w:leader="dot"/>
            </w:tabs>
            <w:rPr/>
          </w:pPr>
          <w:hyperlink w:anchor="__RefHeading___Toc3599491_1067777946">
            <w:r>
              <w:rPr>
                <w:webHidden/>
                <w:rStyle w:val="IndexLink"/>
                <w:rtl w:val="true"/>
              </w:rPr>
              <w:t>تنفيذ ثلث براى اوّلى و اناطۀ نفوذ زايد به اجازۀ ورثه در وصاياى مرتّبه</w:t>
            </w:r>
            <w:r>
              <w:rPr>
                <w:rStyle w:val="IndexLink"/>
                <w:rtl w:val="true"/>
              </w:rPr>
              <w:tab/>
            </w:r>
            <w:r>
              <w:rPr>
                <w:rStyle w:val="IndexLink"/>
              </w:rPr>
              <w:t>483</w:t>
            </w:r>
          </w:hyperlink>
        </w:p>
        <w:p>
          <w:pPr>
            <w:pStyle w:val="Contents5"/>
            <w:tabs>
              <w:tab w:val="clear" w:pos="7892"/>
              <w:tab w:val="right" w:pos="9026" w:leader="dot"/>
            </w:tabs>
            <w:rPr/>
          </w:pPr>
          <w:hyperlink w:anchor="__RefHeading___Toc3599493_1067777946">
            <w:r>
              <w:rPr>
                <w:webHidden/>
                <w:rStyle w:val="IndexLink"/>
                <w:rtl w:val="true"/>
              </w:rPr>
              <w:t>اتحاد و عدم اتحاد متعلّق دو وصيّت</w:t>
            </w:r>
            <w:r>
              <w:rPr>
                <w:rStyle w:val="IndexLink"/>
                <w:rtl w:val="true"/>
              </w:rPr>
              <w:tab/>
            </w:r>
            <w:r>
              <w:rPr>
                <w:rStyle w:val="IndexLink"/>
              </w:rPr>
              <w:t>483</w:t>
            </w:r>
          </w:hyperlink>
        </w:p>
        <w:p>
          <w:pPr>
            <w:pStyle w:val="Contents5"/>
            <w:tabs>
              <w:tab w:val="clear" w:pos="7892"/>
              <w:tab w:val="right" w:pos="9026" w:leader="dot"/>
            </w:tabs>
            <w:rPr/>
          </w:pPr>
          <w:hyperlink w:anchor="__RefHeading___Toc3599495_1067777946">
            <w:r>
              <w:rPr>
                <w:webHidden/>
                <w:rStyle w:val="IndexLink"/>
                <w:rtl w:val="true"/>
              </w:rPr>
              <w:t>شرط حكم به رجوع و لزوم اتباع قرينۀ شارحه</w:t>
            </w:r>
            <w:r>
              <w:rPr>
                <w:rStyle w:val="IndexLink"/>
                <w:rtl w:val="true"/>
              </w:rPr>
              <w:tab/>
            </w:r>
            <w:r>
              <w:rPr>
                <w:rStyle w:val="IndexLink"/>
              </w:rPr>
              <w:t>484</w:t>
            </w:r>
          </w:hyperlink>
        </w:p>
        <w:p>
          <w:pPr>
            <w:pStyle w:val="Contents5"/>
            <w:tabs>
              <w:tab w:val="clear" w:pos="7892"/>
              <w:tab w:val="right" w:pos="9026" w:leader="dot"/>
            </w:tabs>
            <w:rPr/>
          </w:pPr>
          <w:hyperlink w:anchor="__RefHeading___Toc3599497_1067777946">
            <w:r>
              <w:rPr>
                <w:webHidden/>
                <w:rStyle w:val="IndexLink"/>
                <w:rtl w:val="true"/>
              </w:rPr>
              <w:t>موارد تعيين با قرعه</w:t>
            </w:r>
            <w:r>
              <w:rPr>
                <w:rStyle w:val="IndexLink"/>
                <w:rtl w:val="true"/>
              </w:rPr>
              <w:tab/>
            </w:r>
            <w:r>
              <w:rPr>
                <w:rStyle w:val="IndexLink"/>
              </w:rPr>
              <w:t>485</w:t>
            </w:r>
          </w:hyperlink>
        </w:p>
        <w:p>
          <w:pPr>
            <w:pStyle w:val="Contents5"/>
            <w:tabs>
              <w:tab w:val="clear" w:pos="7892"/>
              <w:tab w:val="right" w:pos="9026" w:leader="dot"/>
            </w:tabs>
            <w:rPr/>
          </w:pPr>
          <w:hyperlink w:anchor="__RefHeading___Toc3599499_1067777946">
            <w:r>
              <w:rPr>
                <w:webHidden/>
                <w:rStyle w:val="IndexLink"/>
                <w:rtl w:val="true"/>
              </w:rPr>
              <w:t>وصيت به مملوك مشترك</w:t>
            </w:r>
            <w:r>
              <w:rPr>
                <w:rStyle w:val="IndexLink"/>
                <w:rtl w:val="true"/>
              </w:rPr>
              <w:tab/>
            </w:r>
            <w:r>
              <w:rPr>
                <w:rStyle w:val="IndexLink"/>
              </w:rPr>
              <w:t>485</w:t>
            </w:r>
          </w:hyperlink>
        </w:p>
        <w:p>
          <w:pPr>
            <w:pStyle w:val="Contents5"/>
            <w:tabs>
              <w:tab w:val="clear" w:pos="7892"/>
              <w:tab w:val="right" w:pos="9026" w:leader="dot"/>
            </w:tabs>
            <w:rPr/>
          </w:pPr>
          <w:hyperlink w:anchor="__RefHeading___Toc3599501_1067777946">
            <w:r>
              <w:rPr>
                <w:webHidden/>
                <w:rStyle w:val="IndexLink"/>
                <w:rtl w:val="true"/>
              </w:rPr>
              <w:t>صور مختلف وصيت به يك خانه براى دو نفر</w:t>
            </w:r>
            <w:r>
              <w:rPr>
                <w:rStyle w:val="IndexLink"/>
                <w:rtl w:val="true"/>
              </w:rPr>
              <w:tab/>
            </w:r>
            <w:r>
              <w:rPr>
                <w:rStyle w:val="IndexLink"/>
              </w:rPr>
              <w:t>485</w:t>
            </w:r>
          </w:hyperlink>
        </w:p>
        <w:p>
          <w:pPr>
            <w:pStyle w:val="Contents5"/>
            <w:tabs>
              <w:tab w:val="clear" w:pos="7892"/>
              <w:tab w:val="right" w:pos="9026" w:leader="dot"/>
            </w:tabs>
            <w:rPr/>
          </w:pPr>
          <w:hyperlink w:anchor="__RefHeading___Toc3599503_1067777946">
            <w:r>
              <w:rPr>
                <w:webHidden/>
                <w:rStyle w:val="IndexLink"/>
                <w:rtl w:val="true"/>
              </w:rPr>
              <w:t>رجوع ورثه از اجازۀ نصف با ادّعاى ظن به كمى</w:t>
            </w:r>
            <w:r>
              <w:rPr>
                <w:rStyle w:val="IndexLink"/>
                <w:rtl w:val="true"/>
              </w:rPr>
              <w:tab/>
            </w:r>
            <w:r>
              <w:rPr>
                <w:rStyle w:val="IndexLink"/>
              </w:rPr>
              <w:t>486</w:t>
            </w:r>
          </w:hyperlink>
        </w:p>
        <w:p>
          <w:pPr>
            <w:pStyle w:val="Contents5"/>
            <w:tabs>
              <w:tab w:val="clear" w:pos="7892"/>
              <w:tab w:val="right" w:pos="9026" w:leader="dot"/>
            </w:tabs>
            <w:rPr/>
          </w:pPr>
          <w:hyperlink w:anchor="__RefHeading___Toc3599505_1067777946">
            <w:r>
              <w:rPr>
                <w:webHidden/>
                <w:rStyle w:val="IndexLink"/>
                <w:rtl w:val="true"/>
              </w:rPr>
              <w:t>ادّعاى گمان تطابق مورد اجازه با ثلث</w:t>
            </w:r>
            <w:r>
              <w:rPr>
                <w:rStyle w:val="IndexLink"/>
                <w:rtl w:val="true"/>
              </w:rPr>
              <w:tab/>
            </w:r>
            <w:r>
              <w:rPr>
                <w:rStyle w:val="IndexLink"/>
              </w:rPr>
              <w:t>486</w:t>
            </w:r>
          </w:hyperlink>
        </w:p>
        <w:p>
          <w:pPr>
            <w:pStyle w:val="Contents5"/>
            <w:tabs>
              <w:tab w:val="clear" w:pos="7892"/>
              <w:tab w:val="right" w:pos="9026" w:leader="dot"/>
            </w:tabs>
            <w:rPr/>
          </w:pPr>
          <w:hyperlink w:anchor="__RefHeading___Toc3599507_1067777946">
            <w:r>
              <w:rPr>
                <w:webHidden/>
                <w:rStyle w:val="IndexLink"/>
                <w:rtl w:val="true"/>
              </w:rPr>
              <w:t>تعيين موصىٰ به در ثلث و عدم تعيين آن</w:t>
            </w:r>
            <w:r>
              <w:rPr>
                <w:rStyle w:val="IndexLink"/>
                <w:rtl w:val="true"/>
              </w:rPr>
              <w:tab/>
            </w:r>
            <w:r>
              <w:rPr>
                <w:rStyle w:val="IndexLink"/>
              </w:rPr>
              <w:t>486</w:t>
            </w:r>
          </w:hyperlink>
        </w:p>
        <w:p>
          <w:pPr>
            <w:pStyle w:val="Contents5"/>
            <w:tabs>
              <w:tab w:val="clear" w:pos="7892"/>
              <w:tab w:val="right" w:pos="9026" w:leader="dot"/>
            </w:tabs>
            <w:rPr/>
          </w:pPr>
          <w:hyperlink w:anchor="__RefHeading___Toc3599509_1067777946">
            <w:r>
              <w:rPr>
                <w:webHidden/>
                <w:rStyle w:val="IndexLink"/>
                <w:rtl w:val="true"/>
              </w:rPr>
              <w:t>در فرض مسأله اگر بعض اموال، غايب باشد</w:t>
            </w:r>
            <w:r>
              <w:rPr>
                <w:rStyle w:val="IndexLink"/>
                <w:rtl w:val="true"/>
              </w:rPr>
              <w:tab/>
            </w:r>
            <w:r>
              <w:rPr>
                <w:rStyle w:val="IndexLink"/>
              </w:rPr>
              <w:t>487</w:t>
            </w:r>
          </w:hyperlink>
        </w:p>
        <w:p>
          <w:pPr>
            <w:pStyle w:val="Contents5"/>
            <w:tabs>
              <w:tab w:val="clear" w:pos="7892"/>
              <w:tab w:val="right" w:pos="9026" w:leader="dot"/>
            </w:tabs>
            <w:rPr/>
          </w:pPr>
          <w:hyperlink w:anchor="__RefHeading___Toc3599511_1067777946">
            <w:r>
              <w:rPr>
                <w:webHidden/>
                <w:rStyle w:val="IndexLink"/>
                <w:rtl w:val="true"/>
              </w:rPr>
              <w:t>وصيّت به معيّنِ مطابق با ثلث و فرض غايب بودن بعض در اين فرض</w:t>
            </w:r>
            <w:r>
              <w:rPr>
                <w:rStyle w:val="IndexLink"/>
                <w:rtl w:val="true"/>
              </w:rPr>
              <w:tab/>
            </w:r>
            <w:r>
              <w:rPr>
                <w:rStyle w:val="IndexLink"/>
              </w:rPr>
              <w:t>487</w:t>
            </w:r>
          </w:hyperlink>
        </w:p>
        <w:p>
          <w:pPr>
            <w:pStyle w:val="Contents5"/>
            <w:tabs>
              <w:tab w:val="clear" w:pos="7892"/>
              <w:tab w:val="right" w:pos="9026" w:leader="dot"/>
            </w:tabs>
            <w:rPr/>
          </w:pPr>
          <w:hyperlink w:anchor="__RefHeading___Toc3599513_1067777946">
            <w:r>
              <w:rPr>
                <w:webHidden/>
                <w:rStyle w:val="IndexLink"/>
                <w:rtl w:val="true"/>
              </w:rPr>
              <w:t>وصيّت به ثلث و ظهور عدم مالكيّت دو ثلث ديگر</w:t>
            </w:r>
            <w:r>
              <w:rPr>
                <w:rStyle w:val="IndexLink"/>
                <w:rtl w:val="true"/>
              </w:rPr>
              <w:tab/>
            </w:r>
            <w:r>
              <w:rPr>
                <w:rStyle w:val="IndexLink"/>
              </w:rPr>
              <w:t>488</w:t>
            </w:r>
          </w:hyperlink>
        </w:p>
        <w:p>
          <w:pPr>
            <w:pStyle w:val="Contents5"/>
            <w:tabs>
              <w:tab w:val="clear" w:pos="7892"/>
              <w:tab w:val="right" w:pos="9026" w:leader="dot"/>
            </w:tabs>
            <w:rPr/>
          </w:pPr>
          <w:hyperlink w:anchor="__RefHeading___Toc3599515_1067777946">
            <w:r>
              <w:rPr>
                <w:webHidden/>
                <w:rStyle w:val="IndexLink"/>
                <w:rtl w:val="true"/>
              </w:rPr>
              <w:t>وصيّت به لفظ مشترك بين حرام و حلال</w:t>
            </w:r>
            <w:r>
              <w:rPr>
                <w:rStyle w:val="IndexLink"/>
                <w:rtl w:val="true"/>
              </w:rPr>
              <w:tab/>
            </w:r>
            <w:r>
              <w:rPr>
                <w:rStyle w:val="IndexLink"/>
              </w:rPr>
              <w:t>488</w:t>
            </w:r>
          </w:hyperlink>
        </w:p>
        <w:p>
          <w:pPr>
            <w:pStyle w:val="Contents5"/>
            <w:tabs>
              <w:tab w:val="clear" w:pos="7892"/>
              <w:tab w:val="right" w:pos="9026" w:leader="dot"/>
            </w:tabs>
            <w:rPr/>
          </w:pPr>
          <w:hyperlink w:anchor="__RefHeading___Toc3599517_1067777946">
            <w:r>
              <w:rPr>
                <w:webHidden/>
                <w:rStyle w:val="IndexLink"/>
                <w:rtl w:val="true"/>
              </w:rPr>
              <w:t>وصيّت به مشترك بين منفعت محلّله و محرّمه</w:t>
            </w:r>
            <w:r>
              <w:rPr>
                <w:rStyle w:val="IndexLink"/>
                <w:rtl w:val="true"/>
              </w:rPr>
              <w:tab/>
            </w:r>
            <w:r>
              <w:rPr>
                <w:rStyle w:val="IndexLink"/>
              </w:rPr>
              <w:t>488</w:t>
            </w:r>
          </w:hyperlink>
        </w:p>
        <w:p>
          <w:pPr>
            <w:pStyle w:val="Contents5"/>
            <w:tabs>
              <w:tab w:val="clear" w:pos="7892"/>
              <w:tab w:val="right" w:pos="9026" w:leader="dot"/>
            </w:tabs>
            <w:rPr/>
          </w:pPr>
          <w:hyperlink w:anchor="__RefHeading___Toc3599519_1067777946">
            <w:r>
              <w:rPr>
                <w:webHidden/>
                <w:rStyle w:val="IndexLink"/>
                <w:rtl w:val="true"/>
              </w:rPr>
              <w:t>وصيّت به كلاب مملوكه</w:t>
            </w:r>
            <w:r>
              <w:rPr>
                <w:rStyle w:val="IndexLink"/>
                <w:rtl w:val="true"/>
              </w:rPr>
              <w:tab/>
            </w:r>
            <w:r>
              <w:rPr>
                <w:rStyle w:val="IndexLink"/>
              </w:rPr>
              <w:t>489</w:t>
            </w:r>
          </w:hyperlink>
        </w:p>
        <w:p>
          <w:pPr>
            <w:pStyle w:val="Contents4"/>
            <w:tabs>
              <w:tab w:val="clear" w:pos="8176"/>
              <w:tab w:val="right" w:pos="9026" w:leader="dot"/>
            </w:tabs>
            <w:rPr/>
          </w:pPr>
          <w:hyperlink w:anchor="__RefHeading___Toc3599521_1067777946">
            <w:r>
              <w:rPr>
                <w:webHidden/>
                <w:rStyle w:val="IndexLink"/>
              </w:rPr>
              <w:t>2</w:t>
            </w:r>
            <w:r>
              <w:rPr>
                <w:rStyle w:val="IndexLink"/>
                <w:rtl w:val="true"/>
              </w:rPr>
              <w:t xml:space="preserve">. </w:t>
            </w:r>
            <w:r>
              <w:rPr>
                <w:rStyle w:val="IndexLink"/>
                <w:rtl w:val="true"/>
              </w:rPr>
              <w:t>در وصاياى مبهمه در لغت و عرف است</w:t>
            </w:r>
            <w:r>
              <w:rPr>
                <w:rStyle w:val="IndexLink"/>
                <w:rtl w:val="true"/>
              </w:rPr>
              <w:tab/>
            </w:r>
            <w:r>
              <w:rPr>
                <w:rStyle w:val="IndexLink"/>
              </w:rPr>
              <w:t>489</w:t>
            </w:r>
          </w:hyperlink>
        </w:p>
        <w:p>
          <w:pPr>
            <w:pStyle w:val="Contents5"/>
            <w:tabs>
              <w:tab w:val="clear" w:pos="7892"/>
              <w:tab w:val="right" w:pos="9026" w:leader="dot"/>
            </w:tabs>
            <w:rPr/>
          </w:pPr>
          <w:hyperlink w:anchor="__RefHeading___Toc3599523_1067777946">
            <w:r>
              <w:rPr>
                <w:webHidden/>
                <w:rStyle w:val="IndexLink"/>
                <w:rtl w:val="true"/>
              </w:rPr>
              <w:t>وصيّت به جزئى از مال</w:t>
            </w:r>
            <w:r>
              <w:rPr>
                <w:rStyle w:val="IndexLink"/>
                <w:rtl w:val="true"/>
              </w:rPr>
              <w:tab/>
            </w:r>
            <w:r>
              <w:rPr>
                <w:rStyle w:val="IndexLink"/>
              </w:rPr>
              <w:t>489</w:t>
            </w:r>
          </w:hyperlink>
        </w:p>
        <w:p>
          <w:pPr>
            <w:pStyle w:val="Contents5"/>
            <w:tabs>
              <w:tab w:val="clear" w:pos="7892"/>
              <w:tab w:val="right" w:pos="9026" w:leader="dot"/>
            </w:tabs>
            <w:rPr/>
          </w:pPr>
          <w:hyperlink w:anchor="__RefHeading___Toc3599525_1067777946">
            <w:r>
              <w:rPr>
                <w:webHidden/>
                <w:rStyle w:val="IndexLink"/>
                <w:rtl w:val="true"/>
              </w:rPr>
              <w:t>وصيّت به سهم و شيء</w:t>
            </w:r>
            <w:r>
              <w:rPr>
                <w:rStyle w:val="IndexLink"/>
                <w:rtl w:val="true"/>
              </w:rPr>
              <w:tab/>
            </w:r>
            <w:r>
              <w:rPr>
                <w:rStyle w:val="IndexLink"/>
              </w:rPr>
              <w:t>490</w:t>
            </w:r>
          </w:hyperlink>
        </w:p>
        <w:p>
          <w:pPr>
            <w:pStyle w:val="Contents5"/>
            <w:tabs>
              <w:tab w:val="clear" w:pos="7892"/>
              <w:tab w:val="right" w:pos="9026" w:leader="dot"/>
            </w:tabs>
            <w:rPr/>
          </w:pPr>
          <w:hyperlink w:anchor="__RefHeading___Toc3599527_1067777946">
            <w:r>
              <w:rPr>
                <w:webHidden/>
                <w:rStyle w:val="IndexLink"/>
                <w:rtl w:val="true"/>
              </w:rPr>
              <w:t>وصيّت به وجوه خاصۀ خير و فراموشى وصى و</w:t>
            </w:r>
            <w:r>
              <w:rPr>
                <w:rStyle w:val="IndexLink"/>
                <w:rtl w:val="true"/>
              </w:rPr>
              <w:t>...</w:t>
              <w:tab/>
            </w:r>
            <w:r>
              <w:rPr>
                <w:rStyle w:val="IndexLink"/>
              </w:rPr>
              <w:t>490</w:t>
            </w:r>
          </w:hyperlink>
        </w:p>
        <w:p>
          <w:pPr>
            <w:pStyle w:val="Contents5"/>
            <w:tabs>
              <w:tab w:val="clear" w:pos="7892"/>
              <w:tab w:val="right" w:pos="9026" w:leader="dot"/>
            </w:tabs>
            <w:rPr/>
          </w:pPr>
          <w:hyperlink w:anchor="__RefHeading___Toc3599529_1067777946">
            <w:r>
              <w:rPr>
                <w:webHidden/>
                <w:rStyle w:val="IndexLink"/>
                <w:rtl w:val="true"/>
              </w:rPr>
              <w:t>حكم ضمايم و ملحقات مورد وصيت</w:t>
            </w:r>
            <w:r>
              <w:rPr>
                <w:rStyle w:val="IndexLink"/>
                <w:rtl w:val="true"/>
              </w:rPr>
              <w:tab/>
            </w:r>
            <w:r>
              <w:rPr>
                <w:rStyle w:val="IndexLink"/>
              </w:rPr>
              <w:t>490</w:t>
            </w:r>
          </w:hyperlink>
        </w:p>
        <w:p>
          <w:pPr>
            <w:pStyle w:val="Contents5"/>
            <w:tabs>
              <w:tab w:val="clear" w:pos="7892"/>
              <w:tab w:val="right" w:pos="9026" w:leader="dot"/>
            </w:tabs>
            <w:rPr/>
          </w:pPr>
          <w:hyperlink w:anchor="__RefHeading___Toc3599531_1067777946">
            <w:r>
              <w:rPr>
                <w:webHidden/>
                <w:rStyle w:val="IndexLink"/>
                <w:rtl w:val="true"/>
              </w:rPr>
              <w:t>وصيّت به اخراج بعض ورثه از ميراث</w:t>
            </w:r>
            <w:r>
              <w:rPr>
                <w:rStyle w:val="IndexLink"/>
                <w:rtl w:val="true"/>
              </w:rPr>
              <w:tab/>
            </w:r>
            <w:r>
              <w:rPr>
                <w:rStyle w:val="IndexLink"/>
              </w:rPr>
              <w:t>491</w:t>
            </w:r>
          </w:hyperlink>
        </w:p>
        <w:p>
          <w:pPr>
            <w:pStyle w:val="Contents5"/>
            <w:tabs>
              <w:tab w:val="clear" w:pos="7892"/>
              <w:tab w:val="right" w:pos="9026" w:leader="dot"/>
            </w:tabs>
            <w:rPr/>
          </w:pPr>
          <w:hyperlink w:anchor="__RefHeading___Toc3599533_1067777946">
            <w:r>
              <w:rPr>
                <w:webHidden/>
                <w:rStyle w:val="IndexLink"/>
                <w:rtl w:val="true"/>
              </w:rPr>
              <w:t>وصيّت به لفظ مطلق و مال عظيم و كثير</w:t>
            </w:r>
            <w:r>
              <w:rPr>
                <w:rStyle w:val="IndexLink"/>
                <w:rtl w:val="true"/>
              </w:rPr>
              <w:tab/>
            </w:r>
            <w:r>
              <w:rPr>
                <w:rStyle w:val="IndexLink"/>
              </w:rPr>
              <w:t>491</w:t>
            </w:r>
          </w:hyperlink>
        </w:p>
        <w:p>
          <w:pPr>
            <w:pStyle w:val="Contents5"/>
            <w:tabs>
              <w:tab w:val="clear" w:pos="7892"/>
              <w:tab w:val="right" w:pos="9026" w:leader="dot"/>
            </w:tabs>
            <w:rPr/>
          </w:pPr>
          <w:hyperlink w:anchor="__RefHeading___Toc3599535_1067777946">
            <w:r>
              <w:rPr>
                <w:webHidden/>
                <w:rStyle w:val="IndexLink"/>
                <w:rtl w:val="true"/>
              </w:rPr>
              <w:t>مرتبۀ افضل در وصيت</w:t>
            </w:r>
            <w:r>
              <w:rPr>
                <w:rStyle w:val="IndexLink"/>
                <w:rtl w:val="true"/>
              </w:rPr>
              <w:tab/>
            </w:r>
            <w:r>
              <w:rPr>
                <w:rStyle w:val="IndexLink"/>
              </w:rPr>
              <w:t>491</w:t>
            </w:r>
          </w:hyperlink>
        </w:p>
        <w:p>
          <w:pPr>
            <w:pStyle w:val="Contents5"/>
            <w:tabs>
              <w:tab w:val="clear" w:pos="7892"/>
              <w:tab w:val="right" w:pos="9026" w:leader="dot"/>
            </w:tabs>
            <w:rPr/>
          </w:pPr>
          <w:hyperlink w:anchor="__RefHeading___Toc3599537_1067777946">
            <w:r>
              <w:rPr>
                <w:webHidden/>
                <w:rStyle w:val="IndexLink"/>
                <w:rtl w:val="true"/>
              </w:rPr>
              <w:t>ادّعاى موصىٰ له چيزى را در قصد و ارادۀ موصىٖ‌</w:t>
            </w:r>
            <w:r>
              <w:rPr>
                <w:rStyle w:val="IndexLink"/>
                <w:rtl w:val="true"/>
              </w:rPr>
              <w:tab/>
            </w:r>
            <w:r>
              <w:rPr>
                <w:rStyle w:val="IndexLink"/>
              </w:rPr>
              <w:t>491</w:t>
            </w:r>
          </w:hyperlink>
        </w:p>
        <w:p>
          <w:pPr>
            <w:pStyle w:val="Contents4"/>
            <w:tabs>
              <w:tab w:val="clear" w:pos="8176"/>
              <w:tab w:val="right" w:pos="9026" w:leader="dot"/>
            </w:tabs>
            <w:rPr/>
          </w:pPr>
          <w:hyperlink w:anchor="__RefHeading___Toc3599539_1067777946">
            <w:r>
              <w:rPr>
                <w:webHidden/>
                <w:rStyle w:val="IndexLink"/>
              </w:rPr>
              <w:t>3</w:t>
            </w:r>
            <w:r>
              <w:rPr>
                <w:rStyle w:val="IndexLink"/>
                <w:rtl w:val="true"/>
              </w:rPr>
              <w:t xml:space="preserve">. </w:t>
            </w:r>
            <w:r>
              <w:rPr>
                <w:rStyle w:val="IndexLink"/>
                <w:rtl w:val="true"/>
              </w:rPr>
              <w:t>در احكام وصيت است</w:t>
            </w:r>
            <w:r>
              <w:rPr>
                <w:rStyle w:val="IndexLink"/>
                <w:rtl w:val="true"/>
              </w:rPr>
              <w:tab/>
            </w:r>
            <w:r>
              <w:rPr>
                <w:rStyle w:val="IndexLink"/>
              </w:rPr>
              <w:t>492</w:t>
            </w:r>
          </w:hyperlink>
        </w:p>
        <w:p>
          <w:pPr>
            <w:pStyle w:val="Contents5"/>
            <w:tabs>
              <w:tab w:val="clear" w:pos="7892"/>
              <w:tab w:val="right" w:pos="9026" w:leader="dot"/>
            </w:tabs>
            <w:rPr/>
          </w:pPr>
          <w:hyperlink w:anchor="__RefHeading___Toc3599541_1067777946">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3599543_1067777946">
            <w:r>
              <w:rPr>
                <w:webHidden/>
                <w:rStyle w:val="IndexLink"/>
                <w:rtl w:val="true"/>
              </w:rPr>
              <w:t>وصيت به حمل كنيز براى شخصى</w:t>
            </w:r>
            <w:r>
              <w:rPr>
                <w:rStyle w:val="IndexLink"/>
                <w:rtl w:val="true"/>
              </w:rPr>
              <w:tab/>
            </w:r>
            <w:r>
              <w:rPr>
                <w:rStyle w:val="IndexLink"/>
              </w:rPr>
              <w:t>492</w:t>
            </w:r>
          </w:hyperlink>
        </w:p>
        <w:p>
          <w:pPr>
            <w:pStyle w:val="Contents5"/>
            <w:tabs>
              <w:tab w:val="clear" w:pos="7892"/>
              <w:tab w:val="right" w:pos="9026" w:leader="dot"/>
            </w:tabs>
            <w:rPr/>
          </w:pPr>
          <w:hyperlink w:anchor="__RefHeading___Toc3599545_1067777946">
            <w:r>
              <w:rPr>
                <w:webHidden/>
                <w:rStyle w:val="IndexLink"/>
                <w:rtl w:val="true"/>
              </w:rPr>
              <w:t>وصيّت به حمل حيوانات و اشجار مثمره</w:t>
            </w:r>
            <w:r>
              <w:rPr>
                <w:rStyle w:val="IndexLink"/>
                <w:rtl w:val="true"/>
              </w:rPr>
              <w:tab/>
            </w:r>
            <w:r>
              <w:rPr>
                <w:rStyle w:val="IndexLink"/>
              </w:rPr>
              <w:t>492</w:t>
            </w:r>
          </w:hyperlink>
        </w:p>
        <w:p>
          <w:pPr>
            <w:pStyle w:val="Contents5"/>
            <w:tabs>
              <w:tab w:val="clear" w:pos="7892"/>
              <w:tab w:val="right" w:pos="9026" w:leader="dot"/>
            </w:tabs>
            <w:rPr/>
          </w:pPr>
          <w:hyperlink w:anchor="__RefHeading___Toc3599547_1067777946">
            <w:r>
              <w:rPr>
                <w:webHidden/>
                <w:rStyle w:val="IndexLink"/>
                <w:rtl w:val="true"/>
              </w:rPr>
              <w:t>وصيت به مال براى شخصى با توجّه به نوع حمل كنيز</w:t>
            </w:r>
            <w:r>
              <w:rPr>
                <w:rStyle w:val="IndexLink"/>
                <w:rtl w:val="true"/>
              </w:rPr>
              <w:tab/>
            </w:r>
            <w:r>
              <w:rPr>
                <w:rStyle w:val="IndexLink"/>
              </w:rPr>
              <w:t>493</w:t>
            </w:r>
          </w:hyperlink>
        </w:p>
        <w:p>
          <w:pPr>
            <w:pStyle w:val="Contents5"/>
            <w:tabs>
              <w:tab w:val="clear" w:pos="7892"/>
              <w:tab w:val="right" w:pos="9026" w:leader="dot"/>
            </w:tabs>
            <w:rPr/>
          </w:pPr>
          <w:hyperlink w:anchor="__RefHeading___Toc3599549_1067777946">
            <w:r>
              <w:rPr>
                <w:webHidden/>
                <w:rStyle w:val="IndexLink"/>
                <w:rtl w:val="true"/>
              </w:rPr>
              <w:t>وصيت به حمل معيّن</w:t>
            </w:r>
            <w:r>
              <w:rPr>
                <w:rStyle w:val="IndexLink"/>
                <w:rtl w:val="true"/>
              </w:rPr>
              <w:tab/>
            </w:r>
            <w:r>
              <w:rPr>
                <w:rStyle w:val="IndexLink"/>
              </w:rPr>
              <w:t>494</w:t>
            </w:r>
          </w:hyperlink>
        </w:p>
        <w:p>
          <w:pPr>
            <w:pStyle w:val="Contents5"/>
            <w:tabs>
              <w:tab w:val="clear" w:pos="7892"/>
              <w:tab w:val="right" w:pos="9026" w:leader="dot"/>
            </w:tabs>
            <w:rPr/>
          </w:pPr>
          <w:hyperlink w:anchor="__RefHeading___Toc3599551_1067777946">
            <w:r>
              <w:rPr>
                <w:webHidden/>
                <w:rStyle w:val="IndexLink"/>
                <w:rtl w:val="true"/>
              </w:rPr>
              <w:t>سقوط حملِ مورد وصيت</w:t>
            </w:r>
            <w:r>
              <w:rPr>
                <w:rStyle w:val="IndexLink"/>
                <w:rtl w:val="true"/>
              </w:rPr>
              <w:tab/>
            </w:r>
            <w:r>
              <w:rPr>
                <w:rStyle w:val="IndexLink"/>
              </w:rPr>
              <w:t>494</w:t>
            </w:r>
          </w:hyperlink>
        </w:p>
        <w:p>
          <w:pPr>
            <w:pStyle w:val="Contents5"/>
            <w:tabs>
              <w:tab w:val="clear" w:pos="7892"/>
              <w:tab w:val="right" w:pos="9026" w:leader="dot"/>
            </w:tabs>
            <w:rPr/>
          </w:pPr>
          <w:hyperlink w:anchor="__RefHeading___Toc3599553_1067777946">
            <w:r>
              <w:rPr>
                <w:webHidden/>
                <w:rStyle w:val="IndexLink"/>
                <w:rtl w:val="true"/>
              </w:rPr>
              <w:t>مقدار نفوذ وصيت به حمل دابّه و امه و شجرۀ متحقق در حال وصيت</w:t>
            </w:r>
            <w:r>
              <w:rPr>
                <w:rStyle w:val="IndexLink"/>
                <w:rtl w:val="true"/>
              </w:rPr>
              <w:tab/>
            </w:r>
            <w:r>
              <w:rPr>
                <w:rStyle w:val="IndexLink"/>
              </w:rPr>
              <w:t>494</w:t>
            </w:r>
          </w:hyperlink>
        </w:p>
        <w:p>
          <w:pPr>
            <w:pStyle w:val="Contents5"/>
            <w:tabs>
              <w:tab w:val="clear" w:pos="7892"/>
              <w:tab w:val="right" w:pos="9026" w:leader="dot"/>
            </w:tabs>
            <w:rPr/>
          </w:pPr>
          <w:hyperlink w:anchor="__RefHeading___Toc3599555_1067777946">
            <w:r>
              <w:rPr>
                <w:webHidden/>
                <w:rStyle w:val="IndexLink"/>
                <w:rtl w:val="true"/>
              </w:rPr>
              <w:t>وصيت به سكناى خانه</w:t>
            </w:r>
            <w:r>
              <w:rPr>
                <w:rStyle w:val="IndexLink"/>
                <w:rtl w:val="true"/>
              </w:rPr>
              <w:tab/>
            </w:r>
            <w:r>
              <w:rPr>
                <w:rStyle w:val="IndexLink"/>
              </w:rPr>
              <w:t>495</w:t>
            </w:r>
          </w:hyperlink>
        </w:p>
        <w:p>
          <w:pPr>
            <w:pStyle w:val="Contents5"/>
            <w:tabs>
              <w:tab w:val="clear" w:pos="7892"/>
              <w:tab w:val="right" w:pos="9026" w:leader="dot"/>
            </w:tabs>
            <w:rPr/>
          </w:pPr>
          <w:hyperlink w:anchor="__RefHeading___Toc3599557_1067777946">
            <w:r>
              <w:rPr>
                <w:webHidden/>
                <w:rStyle w:val="IndexLink"/>
                <w:rtl w:val="true"/>
              </w:rPr>
              <w:t>دخول ميوۀ موجود در حال وصيّت در وصيت به ميوۀ درخت</w:t>
            </w:r>
            <w:r>
              <w:rPr>
                <w:rStyle w:val="IndexLink"/>
                <w:rtl w:val="true"/>
              </w:rPr>
              <w:tab/>
            </w:r>
            <w:r>
              <w:rPr>
                <w:rStyle w:val="IndexLink"/>
              </w:rPr>
              <w:t>495</w:t>
            </w:r>
          </w:hyperlink>
        </w:p>
        <w:p>
          <w:pPr>
            <w:pStyle w:val="Contents5"/>
            <w:tabs>
              <w:tab w:val="clear" w:pos="7892"/>
              <w:tab w:val="right" w:pos="9026" w:leader="dot"/>
            </w:tabs>
            <w:rPr/>
          </w:pPr>
          <w:hyperlink w:anchor="__RefHeading___Toc3599559_1067777946">
            <w:r>
              <w:rPr>
                <w:webHidden/>
                <w:rStyle w:val="IndexLink"/>
                <w:rtl w:val="true"/>
              </w:rPr>
              <w:t>وصيّت به منفعت ابديّۀ عين</w:t>
            </w:r>
            <w:r>
              <w:rPr>
                <w:rStyle w:val="IndexLink"/>
                <w:rtl w:val="true"/>
              </w:rPr>
              <w:tab/>
            </w:r>
            <w:r>
              <w:rPr>
                <w:rStyle w:val="IndexLink"/>
              </w:rPr>
              <w:t>495</w:t>
            </w:r>
          </w:hyperlink>
        </w:p>
        <w:p>
          <w:pPr>
            <w:pStyle w:val="Contents5"/>
            <w:tabs>
              <w:tab w:val="clear" w:pos="7892"/>
              <w:tab w:val="right" w:pos="9026" w:leader="dot"/>
            </w:tabs>
            <w:rPr/>
          </w:pPr>
          <w:hyperlink w:anchor="__RefHeading___Toc3599561_1067777946">
            <w:r>
              <w:rPr>
                <w:webHidden/>
                <w:rStyle w:val="IndexLink"/>
                <w:rtl w:val="true"/>
              </w:rPr>
              <w:t>وصيت به خدمت عبد</w:t>
            </w:r>
            <w:r>
              <w:rPr>
                <w:rStyle w:val="IndexLink"/>
                <w:rtl w:val="true"/>
              </w:rPr>
              <w:tab/>
            </w:r>
            <w:r>
              <w:rPr>
                <w:rStyle w:val="IndexLink"/>
              </w:rPr>
              <w:t>495</w:t>
            </w:r>
          </w:hyperlink>
        </w:p>
        <w:p>
          <w:pPr>
            <w:pStyle w:val="Contents5"/>
            <w:tabs>
              <w:tab w:val="clear" w:pos="7892"/>
              <w:tab w:val="right" w:pos="9026" w:leader="dot"/>
            </w:tabs>
            <w:rPr/>
          </w:pPr>
          <w:hyperlink w:anchor="__RefHeading___Toc3599563_1067777946">
            <w:r>
              <w:rPr>
                <w:webHidden/>
                <w:rStyle w:val="IndexLink"/>
                <w:rtl w:val="true"/>
              </w:rPr>
              <w:t>سقى يا تعمير در وصيت به منافع مؤبّدۀ خانه و نخل</w:t>
            </w:r>
            <w:r>
              <w:rPr>
                <w:rStyle w:val="IndexLink"/>
                <w:rtl w:val="true"/>
              </w:rPr>
              <w:tab/>
            </w:r>
            <w:r>
              <w:rPr>
                <w:rStyle w:val="IndexLink"/>
              </w:rPr>
              <w:t>497</w:t>
            </w:r>
          </w:hyperlink>
        </w:p>
        <w:p>
          <w:pPr>
            <w:pStyle w:val="Contents5"/>
            <w:tabs>
              <w:tab w:val="clear" w:pos="7892"/>
              <w:tab w:val="right" w:pos="9026" w:leader="dot"/>
            </w:tabs>
            <w:rPr/>
          </w:pPr>
          <w:hyperlink w:anchor="__RefHeading___Toc3599565_1067777946">
            <w:r>
              <w:rPr>
                <w:webHidden/>
                <w:rStyle w:val="IndexLink"/>
                <w:rtl w:val="true"/>
              </w:rPr>
              <w:t>جواز تصرّف معاملى در آنچه وصيّت به منافع آن شده است</w:t>
            </w:r>
            <w:r>
              <w:rPr>
                <w:rStyle w:val="IndexLink"/>
                <w:rtl w:val="true"/>
              </w:rPr>
              <w:tab/>
            </w:r>
            <w:r>
              <w:rPr>
                <w:rStyle w:val="IndexLink"/>
              </w:rPr>
              <w:t>497</w:t>
            </w:r>
          </w:hyperlink>
        </w:p>
        <w:p>
          <w:pPr>
            <w:pStyle w:val="Contents5"/>
            <w:tabs>
              <w:tab w:val="clear" w:pos="7892"/>
              <w:tab w:val="right" w:pos="9026" w:leader="dot"/>
            </w:tabs>
            <w:rPr/>
          </w:pPr>
          <w:hyperlink w:anchor="__RefHeading___Toc3599567_1067777946">
            <w:r>
              <w:rPr>
                <w:webHidden/>
                <w:rStyle w:val="IndexLink"/>
                <w:rtl w:val="true"/>
              </w:rPr>
              <w:t>مالكيّت ورثه موصىٰ له بعد از موت او</w:t>
            </w:r>
            <w:r>
              <w:rPr>
                <w:rStyle w:val="IndexLink"/>
                <w:rtl w:val="true"/>
              </w:rPr>
              <w:tab/>
            </w:r>
            <w:r>
              <w:rPr>
                <w:rStyle w:val="IndexLink"/>
              </w:rPr>
              <w:t>497</w:t>
            </w:r>
          </w:hyperlink>
        </w:p>
        <w:p>
          <w:pPr>
            <w:pStyle w:val="Contents5"/>
            <w:tabs>
              <w:tab w:val="clear" w:pos="7892"/>
              <w:tab w:val="right" w:pos="9026" w:leader="dot"/>
            </w:tabs>
            <w:rPr/>
          </w:pPr>
          <w:hyperlink w:anchor="__RefHeading___Toc3599569_1067777946">
            <w:r>
              <w:rPr>
                <w:webHidden/>
                <w:rStyle w:val="IndexLink"/>
                <w:rtl w:val="true"/>
              </w:rPr>
              <w:t>در وصيت منافع، عين احكام امانت را دارد</w:t>
            </w:r>
            <w:r>
              <w:rPr>
                <w:rStyle w:val="IndexLink"/>
                <w:rtl w:val="true"/>
              </w:rPr>
              <w:tab/>
            </w:r>
            <w:r>
              <w:rPr>
                <w:rStyle w:val="IndexLink"/>
              </w:rPr>
              <w:t>497</w:t>
            </w:r>
          </w:hyperlink>
        </w:p>
        <w:p>
          <w:pPr>
            <w:pStyle w:val="Contents5"/>
            <w:tabs>
              <w:tab w:val="clear" w:pos="7892"/>
              <w:tab w:val="right" w:pos="9026" w:leader="dot"/>
            </w:tabs>
            <w:rPr/>
          </w:pPr>
          <w:hyperlink w:anchor="__RefHeading___Toc3599571_1067777946">
            <w:r>
              <w:rPr>
                <w:webHidden/>
                <w:rStyle w:val="IndexLink"/>
                <w:rtl w:val="true"/>
              </w:rPr>
              <w:t>بعض احكام عبد و امۀ مورد وصيت</w:t>
            </w:r>
            <w:r>
              <w:rPr>
                <w:rStyle w:val="IndexLink"/>
                <w:rtl w:val="true"/>
              </w:rPr>
              <w:tab/>
            </w:r>
            <w:r>
              <w:rPr>
                <w:rStyle w:val="IndexLink"/>
              </w:rPr>
              <w:t>497</w:t>
            </w:r>
          </w:hyperlink>
        </w:p>
        <w:p>
          <w:pPr>
            <w:pStyle w:val="Contents5"/>
            <w:tabs>
              <w:tab w:val="clear" w:pos="7892"/>
              <w:tab w:val="right" w:pos="9026" w:leader="dot"/>
            </w:tabs>
            <w:rPr/>
          </w:pPr>
          <w:hyperlink w:anchor="__RefHeading___Toc3599573_1067777946">
            <w:r>
              <w:rPr>
                <w:webHidden/>
                <w:rStyle w:val="IndexLink"/>
                <w:rtl w:val="true"/>
              </w:rPr>
              <w:t>حمل الفاظ وصيّت بر مصاديق متعارف</w:t>
            </w:r>
            <w:r>
              <w:rPr>
                <w:rStyle w:val="IndexLink"/>
                <w:rtl w:val="true"/>
              </w:rPr>
              <w:tab/>
            </w:r>
            <w:r>
              <w:rPr>
                <w:rStyle w:val="IndexLink"/>
              </w:rPr>
              <w:t>499</w:t>
            </w:r>
          </w:hyperlink>
        </w:p>
        <w:p>
          <w:pPr>
            <w:pStyle w:val="Contents5"/>
            <w:tabs>
              <w:tab w:val="clear" w:pos="7892"/>
              <w:tab w:val="right" w:pos="9026" w:leader="dot"/>
            </w:tabs>
            <w:rPr/>
          </w:pPr>
          <w:hyperlink w:anchor="__RefHeading___Toc3599575_1067777946">
            <w:r>
              <w:rPr>
                <w:webHidden/>
                <w:rStyle w:val="IndexLink"/>
                <w:rtl w:val="true"/>
              </w:rPr>
              <w:t>مشترك لفظى و مجازِ بدون قرينه</w:t>
            </w:r>
            <w:r>
              <w:rPr>
                <w:rStyle w:val="IndexLink"/>
                <w:rtl w:val="true"/>
              </w:rPr>
              <w:tab/>
            </w:r>
            <w:r>
              <w:rPr>
                <w:rStyle w:val="IndexLink"/>
              </w:rPr>
              <w:t>499</w:t>
            </w:r>
          </w:hyperlink>
        </w:p>
        <w:p>
          <w:pPr>
            <w:pStyle w:val="Contents5"/>
            <w:tabs>
              <w:tab w:val="clear" w:pos="7892"/>
              <w:tab w:val="right" w:pos="9026" w:leader="dot"/>
            </w:tabs>
            <w:rPr/>
          </w:pPr>
          <w:hyperlink w:anchor="__RefHeading___Toc3599577_1067777946">
            <w:r>
              <w:rPr>
                <w:webHidden/>
                <w:rStyle w:val="IndexLink"/>
                <w:rtl w:val="true"/>
              </w:rPr>
              <w:t>اختيار وارث در انتخاب مورد وصيت، در صورت تعدد مصداق و عدم تعيين</w:t>
            </w:r>
            <w:r>
              <w:rPr>
                <w:rStyle w:val="IndexLink"/>
                <w:rtl w:val="true"/>
              </w:rPr>
              <w:tab/>
            </w:r>
            <w:r>
              <w:rPr>
                <w:rStyle w:val="IndexLink"/>
              </w:rPr>
              <w:t>500</w:t>
            </w:r>
          </w:hyperlink>
        </w:p>
        <w:p>
          <w:pPr>
            <w:pStyle w:val="Contents5"/>
            <w:tabs>
              <w:tab w:val="clear" w:pos="7892"/>
              <w:tab w:val="right" w:pos="9026" w:leader="dot"/>
            </w:tabs>
            <w:rPr/>
          </w:pPr>
          <w:hyperlink w:anchor="__RefHeading___Toc3599579_1067777946">
            <w:r>
              <w:rPr>
                <w:webHidden/>
                <w:rStyle w:val="IndexLink"/>
                <w:rtl w:val="true"/>
              </w:rPr>
              <w:t>محفوظيّت وصيت به انتقال به بدل در صورت عدم قصد خصوصيّت</w:t>
            </w:r>
            <w:r>
              <w:rPr>
                <w:rStyle w:val="IndexLink"/>
                <w:rtl w:val="true"/>
              </w:rPr>
              <w:tab/>
            </w:r>
            <w:r>
              <w:rPr>
                <w:rStyle w:val="IndexLink"/>
              </w:rPr>
              <w:t>500</w:t>
            </w:r>
          </w:hyperlink>
        </w:p>
        <w:p>
          <w:pPr>
            <w:pStyle w:val="Contents5"/>
            <w:tabs>
              <w:tab w:val="clear" w:pos="7892"/>
              <w:tab w:val="right" w:pos="9026" w:leader="dot"/>
            </w:tabs>
            <w:rPr/>
          </w:pPr>
          <w:hyperlink w:anchor="__RefHeading___Toc3599581_1067777946">
            <w:r>
              <w:rPr>
                <w:webHidden/>
                <w:rStyle w:val="IndexLink"/>
                <w:rtl w:val="true"/>
              </w:rPr>
              <w:t>نحوۀ اثبات وصيّت مسلمان</w:t>
            </w:r>
            <w:r>
              <w:rPr>
                <w:rStyle w:val="IndexLink"/>
                <w:rtl w:val="true"/>
              </w:rPr>
              <w:tab/>
            </w:r>
            <w:r>
              <w:rPr>
                <w:rStyle w:val="IndexLink"/>
              </w:rPr>
              <w:t>500</w:t>
            </w:r>
          </w:hyperlink>
        </w:p>
        <w:p>
          <w:pPr>
            <w:pStyle w:val="Contents5"/>
            <w:tabs>
              <w:tab w:val="clear" w:pos="7892"/>
              <w:tab w:val="right" w:pos="9026" w:leader="dot"/>
            </w:tabs>
            <w:rPr/>
          </w:pPr>
          <w:hyperlink w:anchor="__RefHeading___Toc3599583_1067777946">
            <w:r>
              <w:rPr>
                <w:webHidden/>
                <w:rStyle w:val="IndexLink"/>
                <w:rtl w:val="true"/>
              </w:rPr>
              <w:t>حكم شهادت اهل ذمّه و كتاب</w:t>
            </w:r>
            <w:r>
              <w:rPr>
                <w:rStyle w:val="IndexLink"/>
                <w:rtl w:val="true"/>
              </w:rPr>
              <w:tab/>
            </w:r>
            <w:r>
              <w:rPr>
                <w:rStyle w:val="IndexLink"/>
              </w:rPr>
              <w:t>500</w:t>
            </w:r>
          </w:hyperlink>
        </w:p>
        <w:p>
          <w:pPr>
            <w:pStyle w:val="Contents5"/>
            <w:tabs>
              <w:tab w:val="clear" w:pos="7892"/>
              <w:tab w:val="right" w:pos="9026" w:leader="dot"/>
            </w:tabs>
            <w:rPr/>
          </w:pPr>
          <w:hyperlink w:anchor="__RefHeading___Toc3599585_1067777946">
            <w:r>
              <w:rPr>
                <w:webHidden/>
                <w:rStyle w:val="IndexLink"/>
                <w:rtl w:val="true"/>
              </w:rPr>
              <w:t>شرايط شهادت ذمّى</w:t>
            </w:r>
            <w:r>
              <w:rPr>
                <w:rStyle w:val="IndexLink"/>
                <w:rtl w:val="true"/>
              </w:rPr>
              <w:tab/>
            </w:r>
            <w:r>
              <w:rPr>
                <w:rStyle w:val="IndexLink"/>
              </w:rPr>
              <w:t>501</w:t>
            </w:r>
          </w:hyperlink>
        </w:p>
        <w:p>
          <w:pPr>
            <w:pStyle w:val="Contents5"/>
            <w:tabs>
              <w:tab w:val="clear" w:pos="7892"/>
              <w:tab w:val="right" w:pos="9026" w:leader="dot"/>
            </w:tabs>
            <w:rPr/>
          </w:pPr>
          <w:hyperlink w:anchor="__RefHeading___Toc3599587_1067777946">
            <w:r>
              <w:rPr>
                <w:webHidden/>
                <w:rStyle w:val="IndexLink"/>
                <w:rtl w:val="true"/>
              </w:rPr>
              <w:t>ضم ذمّى به عدل واحد</w:t>
            </w:r>
            <w:r>
              <w:rPr>
                <w:rStyle w:val="IndexLink"/>
                <w:rtl w:val="true"/>
              </w:rPr>
              <w:tab/>
            </w:r>
            <w:r>
              <w:rPr>
                <w:rStyle w:val="IndexLink"/>
              </w:rPr>
              <w:t>502</w:t>
            </w:r>
          </w:hyperlink>
        </w:p>
        <w:p>
          <w:pPr>
            <w:pStyle w:val="Contents5"/>
            <w:tabs>
              <w:tab w:val="clear" w:pos="7892"/>
              <w:tab w:val="right" w:pos="9026" w:leader="dot"/>
            </w:tabs>
            <w:rPr/>
          </w:pPr>
          <w:hyperlink w:anchor="__RefHeading___Toc3599589_1067777946">
            <w:r>
              <w:rPr>
                <w:webHidden/>
                <w:rStyle w:val="IndexLink"/>
                <w:rtl w:val="true"/>
              </w:rPr>
              <w:t>شهادت زن</w:t>
            </w:r>
            <w:r>
              <w:rPr>
                <w:rStyle w:val="IndexLink"/>
                <w:rtl w:val="true"/>
              </w:rPr>
              <w:tab/>
            </w:r>
            <w:r>
              <w:rPr>
                <w:rStyle w:val="IndexLink"/>
              </w:rPr>
              <w:t>502</w:t>
            </w:r>
          </w:hyperlink>
        </w:p>
        <w:p>
          <w:pPr>
            <w:pStyle w:val="Contents5"/>
            <w:tabs>
              <w:tab w:val="clear" w:pos="7892"/>
              <w:tab w:val="right" w:pos="9026" w:leader="dot"/>
            </w:tabs>
            <w:rPr/>
          </w:pPr>
          <w:hyperlink w:anchor="__RefHeading___Toc3599591_1067777946">
            <w:r>
              <w:rPr>
                <w:webHidden/>
                <w:rStyle w:val="IndexLink"/>
                <w:rtl w:val="true"/>
              </w:rPr>
              <w:t>شهادت يك مرد عادل</w:t>
            </w:r>
            <w:r>
              <w:rPr>
                <w:rStyle w:val="IndexLink"/>
                <w:rtl w:val="true"/>
              </w:rPr>
              <w:tab/>
            </w:r>
            <w:r>
              <w:rPr>
                <w:rStyle w:val="IndexLink"/>
              </w:rPr>
              <w:t>502</w:t>
            </w:r>
          </w:hyperlink>
        </w:p>
        <w:p>
          <w:pPr>
            <w:pStyle w:val="Contents5"/>
            <w:tabs>
              <w:tab w:val="clear" w:pos="7892"/>
              <w:tab w:val="right" w:pos="9026" w:leader="dot"/>
            </w:tabs>
            <w:rPr/>
          </w:pPr>
          <w:hyperlink w:anchor="__RefHeading___Toc3599593_1067777946">
            <w:r>
              <w:rPr>
                <w:webHidden/>
                <w:rStyle w:val="IndexLink"/>
                <w:rtl w:val="true"/>
              </w:rPr>
              <w:t>شهادت خنثى</w:t>
            </w:r>
            <w:r>
              <w:rPr>
                <w:rStyle w:val="IndexLink"/>
                <w:rtl w:val="true"/>
              </w:rPr>
              <w:tab/>
            </w:r>
            <w:r>
              <w:rPr>
                <w:rStyle w:val="IndexLink"/>
              </w:rPr>
              <w:t>503</w:t>
            </w:r>
          </w:hyperlink>
        </w:p>
        <w:p>
          <w:pPr>
            <w:pStyle w:val="Contents5"/>
            <w:tabs>
              <w:tab w:val="clear" w:pos="7892"/>
              <w:tab w:val="right" w:pos="9026" w:leader="dot"/>
            </w:tabs>
            <w:rPr/>
          </w:pPr>
          <w:hyperlink w:anchor="__RefHeading___Toc3599595_1067777946">
            <w:r>
              <w:rPr>
                <w:webHidden/>
                <w:rStyle w:val="IndexLink"/>
                <w:rtl w:val="true"/>
              </w:rPr>
              <w:t>فروع مربوط به طرف مذكور در باب شهادت بر وصيّت</w:t>
            </w:r>
            <w:r>
              <w:rPr>
                <w:rStyle w:val="IndexLink"/>
                <w:rtl w:val="true"/>
              </w:rPr>
              <w:tab/>
            </w:r>
            <w:r>
              <w:rPr>
                <w:rStyle w:val="IndexLink"/>
              </w:rPr>
              <w:t>503</w:t>
            </w:r>
          </w:hyperlink>
        </w:p>
        <w:p>
          <w:pPr>
            <w:pStyle w:val="Contents5"/>
            <w:tabs>
              <w:tab w:val="clear" w:pos="7892"/>
              <w:tab w:val="right" w:pos="9026" w:leader="dot"/>
            </w:tabs>
            <w:rPr/>
          </w:pPr>
          <w:hyperlink w:anchor="__RefHeading___Toc3599597_1067777946">
            <w:r>
              <w:rPr>
                <w:webHidden/>
                <w:rStyle w:val="IndexLink"/>
                <w:rtl w:val="true"/>
              </w:rPr>
              <w:t>قبول شهادت عبد بعد از عتق</w:t>
            </w:r>
            <w:r>
              <w:rPr>
                <w:rStyle w:val="IndexLink"/>
                <w:rtl w:val="true"/>
              </w:rPr>
              <w:tab/>
            </w:r>
            <w:r>
              <w:rPr>
                <w:rStyle w:val="IndexLink"/>
              </w:rPr>
              <w:t>504</w:t>
            </w:r>
          </w:hyperlink>
        </w:p>
        <w:p>
          <w:pPr>
            <w:pStyle w:val="Contents5"/>
            <w:tabs>
              <w:tab w:val="clear" w:pos="7892"/>
              <w:tab w:val="right" w:pos="9026" w:leader="dot"/>
            </w:tabs>
            <w:rPr/>
          </w:pPr>
          <w:hyperlink w:anchor="__RefHeading___Toc3599599_1067777946">
            <w:r>
              <w:rPr>
                <w:webHidden/>
                <w:rStyle w:val="IndexLink"/>
                <w:rtl w:val="true"/>
              </w:rPr>
              <w:t>شهادت وصىّ‌</w:t>
            </w:r>
            <w:r>
              <w:rPr>
                <w:rStyle w:val="IndexLink"/>
                <w:rtl w:val="true"/>
              </w:rPr>
              <w:tab/>
            </w:r>
            <w:r>
              <w:rPr>
                <w:rStyle w:val="IndexLink"/>
              </w:rPr>
              <w:t>504</w:t>
            </w:r>
          </w:hyperlink>
        </w:p>
        <w:p>
          <w:pPr>
            <w:pStyle w:val="Contents5"/>
            <w:tabs>
              <w:tab w:val="clear" w:pos="7892"/>
              <w:tab w:val="right" w:pos="9026" w:leader="dot"/>
            </w:tabs>
            <w:rPr/>
          </w:pPr>
          <w:hyperlink w:anchor="__RefHeading___Toc3599601_1067777946">
            <w:r>
              <w:rPr>
                <w:webHidden/>
                <w:rStyle w:val="IndexLink"/>
                <w:rtl w:val="true"/>
              </w:rPr>
              <w:t>وصيّت به عتق عبيد</w:t>
            </w:r>
            <w:r>
              <w:rPr>
                <w:rStyle w:val="IndexLink"/>
                <w:rtl w:val="true"/>
              </w:rPr>
              <w:tab/>
            </w:r>
            <w:r>
              <w:rPr>
                <w:rStyle w:val="IndexLink"/>
              </w:rPr>
              <w:t>504</w:t>
            </w:r>
          </w:hyperlink>
        </w:p>
        <w:p>
          <w:pPr>
            <w:pStyle w:val="Contents5"/>
            <w:tabs>
              <w:tab w:val="clear" w:pos="7892"/>
              <w:tab w:val="right" w:pos="9026" w:leader="dot"/>
            </w:tabs>
            <w:rPr/>
          </w:pPr>
          <w:hyperlink w:anchor="__RefHeading___Toc3599603_1067777946">
            <w:r>
              <w:rPr>
                <w:webHidden/>
                <w:rStyle w:val="IndexLink"/>
                <w:rtl w:val="true"/>
              </w:rPr>
              <w:t>عتق عبد در مرض موت</w:t>
            </w:r>
            <w:r>
              <w:rPr>
                <w:rStyle w:val="IndexLink"/>
                <w:rtl w:val="true"/>
              </w:rPr>
              <w:tab/>
            </w:r>
            <w:r>
              <w:rPr>
                <w:rStyle w:val="IndexLink"/>
              </w:rPr>
              <w:t>505</w:t>
            </w:r>
          </w:hyperlink>
        </w:p>
        <w:p>
          <w:pPr>
            <w:pStyle w:val="Contents5"/>
            <w:tabs>
              <w:tab w:val="clear" w:pos="7892"/>
              <w:tab w:val="right" w:pos="9026" w:leader="dot"/>
            </w:tabs>
            <w:rPr/>
          </w:pPr>
          <w:hyperlink w:anchor="__RefHeading___Toc3599605_1067777946">
            <w:r>
              <w:rPr>
                <w:webHidden/>
                <w:rStyle w:val="IndexLink"/>
                <w:rtl w:val="true"/>
              </w:rPr>
              <w:t>اطلاق و تقييد عتق</w:t>
            </w:r>
            <w:r>
              <w:rPr>
                <w:rStyle w:val="IndexLink"/>
                <w:rtl w:val="true"/>
              </w:rPr>
              <w:tab/>
            </w:r>
            <w:r>
              <w:rPr>
                <w:rStyle w:val="IndexLink"/>
              </w:rPr>
              <w:t>506</w:t>
            </w:r>
          </w:hyperlink>
        </w:p>
        <w:p>
          <w:pPr>
            <w:pStyle w:val="Contents5"/>
            <w:tabs>
              <w:tab w:val="clear" w:pos="7892"/>
              <w:tab w:val="right" w:pos="9026" w:leader="dot"/>
            </w:tabs>
            <w:rPr/>
          </w:pPr>
          <w:hyperlink w:anchor="__RefHeading___Toc3599607_1067777946">
            <w:r>
              <w:rPr>
                <w:webHidden/>
                <w:rStyle w:val="IndexLink"/>
                <w:rtl w:val="true"/>
              </w:rPr>
              <w:t>اگر رقبۀ مورد وصيّت يافت نشود</w:t>
            </w:r>
            <w:r>
              <w:rPr>
                <w:rStyle w:val="IndexLink"/>
                <w:rtl w:val="true"/>
              </w:rPr>
              <w:tab/>
            </w:r>
            <w:r>
              <w:rPr>
                <w:rStyle w:val="IndexLink"/>
              </w:rPr>
              <w:t>506</w:t>
            </w:r>
          </w:hyperlink>
        </w:p>
        <w:p>
          <w:pPr>
            <w:pStyle w:val="Contents3"/>
            <w:tabs>
              <w:tab w:val="clear" w:pos="8459"/>
              <w:tab w:val="right" w:pos="9026" w:leader="dot"/>
            </w:tabs>
            <w:rPr/>
          </w:pPr>
          <w:hyperlink w:anchor="__RefHeading___Toc3599609_1067777946">
            <w:r>
              <w:rPr>
                <w:webHidden/>
                <w:rStyle w:val="IndexLink"/>
                <w:rtl w:val="true"/>
              </w:rPr>
              <w:t>فصل چهارم شرايط و احكام موصىٰ له</w:t>
            </w:r>
            <w:r>
              <w:rPr>
                <w:rStyle w:val="IndexLink"/>
                <w:rtl w:val="true"/>
              </w:rPr>
              <w:tab/>
            </w:r>
            <w:r>
              <w:rPr>
                <w:rStyle w:val="IndexLink"/>
              </w:rPr>
              <w:t>508</w:t>
            </w:r>
          </w:hyperlink>
        </w:p>
        <w:p>
          <w:pPr>
            <w:pStyle w:val="Contents4"/>
            <w:tabs>
              <w:tab w:val="clear" w:pos="8176"/>
              <w:tab w:val="right" w:pos="9026" w:leader="dot"/>
            </w:tabs>
            <w:rPr/>
          </w:pPr>
          <w:hyperlink w:anchor="__RefHeading___Toc3599611_1067777946">
            <w:r>
              <w:rPr>
                <w:webHidden/>
                <w:rStyle w:val="IndexLink"/>
                <w:rtl w:val="true"/>
              </w:rPr>
              <w:t>اشتراط وجود موصىٰ له</w:t>
            </w:r>
            <w:r>
              <w:rPr>
                <w:rStyle w:val="IndexLink"/>
                <w:rtl w:val="true"/>
              </w:rPr>
              <w:tab/>
            </w:r>
            <w:r>
              <w:rPr>
                <w:rStyle w:val="IndexLink"/>
              </w:rPr>
              <w:t>508</w:t>
            </w:r>
          </w:hyperlink>
        </w:p>
        <w:p>
          <w:pPr>
            <w:pStyle w:val="Contents4"/>
            <w:tabs>
              <w:tab w:val="clear" w:pos="8176"/>
              <w:tab w:val="right" w:pos="9026" w:leader="dot"/>
            </w:tabs>
            <w:rPr/>
          </w:pPr>
          <w:hyperlink w:anchor="__RefHeading___Toc3599613_1067777946">
            <w:r>
              <w:rPr>
                <w:webHidden/>
                <w:rStyle w:val="IndexLink"/>
                <w:rtl w:val="true"/>
              </w:rPr>
              <w:t>مستثنيات از اشتراط وجود</w:t>
            </w:r>
            <w:r>
              <w:rPr>
                <w:rStyle w:val="IndexLink"/>
                <w:rtl w:val="true"/>
              </w:rPr>
              <w:tab/>
            </w:r>
            <w:r>
              <w:rPr>
                <w:rStyle w:val="IndexLink"/>
              </w:rPr>
              <w:t>508</w:t>
            </w:r>
          </w:hyperlink>
        </w:p>
        <w:p>
          <w:pPr>
            <w:pStyle w:val="Contents4"/>
            <w:tabs>
              <w:tab w:val="clear" w:pos="8176"/>
              <w:tab w:val="right" w:pos="9026" w:leader="dot"/>
            </w:tabs>
            <w:rPr/>
          </w:pPr>
          <w:hyperlink w:anchor="__RefHeading___Toc3599615_1067777946">
            <w:r>
              <w:rPr>
                <w:webHidden/>
                <w:rStyle w:val="IndexLink"/>
                <w:rtl w:val="true"/>
              </w:rPr>
              <w:t>وصيت براى وارث</w:t>
            </w:r>
            <w:r>
              <w:rPr>
                <w:rStyle w:val="IndexLink"/>
                <w:rtl w:val="true"/>
              </w:rPr>
              <w:tab/>
            </w:r>
            <w:r>
              <w:rPr>
                <w:rStyle w:val="IndexLink"/>
              </w:rPr>
              <w:t>508</w:t>
            </w:r>
          </w:hyperlink>
        </w:p>
        <w:p>
          <w:pPr>
            <w:pStyle w:val="Contents4"/>
            <w:tabs>
              <w:tab w:val="clear" w:pos="8176"/>
              <w:tab w:val="right" w:pos="9026" w:leader="dot"/>
            </w:tabs>
            <w:rPr/>
          </w:pPr>
          <w:hyperlink w:anchor="__RefHeading___Toc3599617_1067777946">
            <w:r>
              <w:rPr>
                <w:webHidden/>
                <w:rStyle w:val="IndexLink"/>
                <w:rtl w:val="true"/>
              </w:rPr>
              <w:t>وصيّت براى غير مسلم</w:t>
            </w:r>
            <w:r>
              <w:rPr>
                <w:rStyle w:val="IndexLink"/>
                <w:rtl w:val="true"/>
              </w:rPr>
              <w:tab/>
            </w:r>
            <w:r>
              <w:rPr>
                <w:rStyle w:val="IndexLink"/>
              </w:rPr>
              <w:t>509</w:t>
            </w:r>
          </w:hyperlink>
        </w:p>
        <w:p>
          <w:pPr>
            <w:pStyle w:val="Contents4"/>
            <w:tabs>
              <w:tab w:val="clear" w:pos="8176"/>
              <w:tab w:val="right" w:pos="9026" w:leader="dot"/>
            </w:tabs>
            <w:rPr/>
          </w:pPr>
          <w:hyperlink w:anchor="__RefHeading___Toc3599619_1067777946">
            <w:r>
              <w:rPr>
                <w:webHidden/>
                <w:rStyle w:val="IndexLink"/>
                <w:rtl w:val="true"/>
              </w:rPr>
              <w:t>وصيّت براى مملوك غير</w:t>
            </w:r>
            <w:r>
              <w:rPr>
                <w:rStyle w:val="IndexLink"/>
                <w:rtl w:val="true"/>
              </w:rPr>
              <w:tab/>
            </w:r>
            <w:r>
              <w:rPr>
                <w:rStyle w:val="IndexLink"/>
              </w:rPr>
              <w:t>509</w:t>
            </w:r>
          </w:hyperlink>
        </w:p>
        <w:p>
          <w:pPr>
            <w:pStyle w:val="Contents4"/>
            <w:tabs>
              <w:tab w:val="clear" w:pos="8176"/>
              <w:tab w:val="right" w:pos="9026" w:leader="dot"/>
            </w:tabs>
            <w:rPr/>
          </w:pPr>
          <w:hyperlink w:anchor="__RefHeading___Toc3599621_1067777946">
            <w:r>
              <w:rPr>
                <w:webHidden/>
                <w:rStyle w:val="IndexLink"/>
                <w:rtl w:val="true"/>
              </w:rPr>
              <w:t>وصيّت به ثلث مال براى مملوك خودش</w:t>
            </w:r>
            <w:r>
              <w:rPr>
                <w:rStyle w:val="IndexLink"/>
                <w:rtl w:val="true"/>
              </w:rPr>
              <w:tab/>
            </w:r>
            <w:r>
              <w:rPr>
                <w:rStyle w:val="IndexLink"/>
              </w:rPr>
              <w:t>509</w:t>
            </w:r>
          </w:hyperlink>
        </w:p>
        <w:p>
          <w:pPr>
            <w:pStyle w:val="Contents4"/>
            <w:tabs>
              <w:tab w:val="clear" w:pos="8176"/>
              <w:tab w:val="right" w:pos="9026" w:leader="dot"/>
            </w:tabs>
            <w:rPr/>
          </w:pPr>
          <w:hyperlink w:anchor="__RefHeading___Toc3599623_1067777946">
            <w:r>
              <w:rPr>
                <w:webHidden/>
                <w:rStyle w:val="IndexLink"/>
                <w:rtl w:val="true"/>
              </w:rPr>
              <w:t>عتق منجّز در مرض موت</w:t>
            </w:r>
            <w:r>
              <w:rPr>
                <w:rStyle w:val="IndexLink"/>
                <w:rtl w:val="true"/>
              </w:rPr>
              <w:tab/>
            </w:r>
            <w:r>
              <w:rPr>
                <w:rStyle w:val="IndexLink"/>
              </w:rPr>
              <w:t>511</w:t>
            </w:r>
          </w:hyperlink>
        </w:p>
        <w:p>
          <w:pPr>
            <w:pStyle w:val="Contents4"/>
            <w:tabs>
              <w:tab w:val="clear" w:pos="8176"/>
              <w:tab w:val="right" w:pos="9026" w:leader="dot"/>
            </w:tabs>
            <w:rPr/>
          </w:pPr>
          <w:hyperlink w:anchor="__RefHeading___Toc3599625_1067777946">
            <w:r>
              <w:rPr>
                <w:webHidden/>
                <w:rStyle w:val="IndexLink"/>
                <w:rtl w:val="true"/>
              </w:rPr>
              <w:t>وصيت براى مكاتَب غير</w:t>
            </w:r>
            <w:r>
              <w:rPr>
                <w:rStyle w:val="IndexLink"/>
                <w:rtl w:val="true"/>
              </w:rPr>
              <w:tab/>
            </w:r>
            <w:r>
              <w:rPr>
                <w:rStyle w:val="IndexLink"/>
              </w:rPr>
              <w:t>512</w:t>
            </w:r>
          </w:hyperlink>
        </w:p>
        <w:p>
          <w:pPr>
            <w:pStyle w:val="Contents4"/>
            <w:tabs>
              <w:tab w:val="clear" w:pos="8176"/>
              <w:tab w:val="right" w:pos="9026" w:leader="dot"/>
            </w:tabs>
            <w:rPr/>
          </w:pPr>
          <w:hyperlink w:anchor="__RefHeading___Toc3599627_1067777946">
            <w:r>
              <w:rPr>
                <w:webHidden/>
                <w:rStyle w:val="IndexLink"/>
                <w:rtl w:val="true"/>
              </w:rPr>
              <w:t>وصيّت براى ام ولد خودش</w:t>
            </w:r>
            <w:r>
              <w:rPr>
                <w:rStyle w:val="IndexLink"/>
                <w:rtl w:val="true"/>
              </w:rPr>
              <w:tab/>
            </w:r>
            <w:r>
              <w:rPr>
                <w:rStyle w:val="IndexLink"/>
              </w:rPr>
              <w:t>512</w:t>
            </w:r>
          </w:hyperlink>
        </w:p>
        <w:p>
          <w:pPr>
            <w:pStyle w:val="Contents4"/>
            <w:tabs>
              <w:tab w:val="clear" w:pos="8176"/>
              <w:tab w:val="right" w:pos="9026" w:leader="dot"/>
            </w:tabs>
            <w:rPr/>
          </w:pPr>
          <w:hyperlink w:anchor="__RefHeading___Toc3599629_1067777946">
            <w:r>
              <w:rPr>
                <w:webHidden/>
                <w:rStyle w:val="IndexLink"/>
                <w:rtl w:val="true"/>
              </w:rPr>
              <w:t>حمل اطلاق وصيّت بر تساوى</w:t>
            </w:r>
            <w:r>
              <w:rPr>
                <w:rStyle w:val="IndexLink"/>
                <w:rtl w:val="true"/>
              </w:rPr>
              <w:tab/>
            </w:r>
            <w:r>
              <w:rPr>
                <w:rStyle w:val="IndexLink"/>
              </w:rPr>
              <w:t>512</w:t>
            </w:r>
          </w:hyperlink>
        </w:p>
        <w:p>
          <w:pPr>
            <w:pStyle w:val="Contents4"/>
            <w:tabs>
              <w:tab w:val="clear" w:pos="8176"/>
              <w:tab w:val="right" w:pos="9026" w:leader="dot"/>
            </w:tabs>
            <w:rPr/>
          </w:pPr>
          <w:hyperlink w:anchor="__RefHeading___Toc3599631_1067777946">
            <w:r>
              <w:rPr>
                <w:webHidden/>
                <w:rStyle w:val="IndexLink"/>
                <w:rtl w:val="true"/>
              </w:rPr>
              <w:t>وصيّت بر جماعت محصور و غير محصور</w:t>
            </w:r>
            <w:r>
              <w:rPr>
                <w:rStyle w:val="IndexLink"/>
                <w:rtl w:val="true"/>
              </w:rPr>
              <w:tab/>
            </w:r>
            <w:r>
              <w:rPr>
                <w:rStyle w:val="IndexLink"/>
              </w:rPr>
              <w:t>513</w:t>
            </w:r>
          </w:hyperlink>
        </w:p>
        <w:p>
          <w:pPr>
            <w:pStyle w:val="Contents4"/>
            <w:tabs>
              <w:tab w:val="clear" w:pos="8176"/>
              <w:tab w:val="right" w:pos="9026" w:leader="dot"/>
            </w:tabs>
            <w:rPr/>
          </w:pPr>
          <w:hyperlink w:anchor="__RefHeading___Toc3599633_1067777946">
            <w:r>
              <w:rPr>
                <w:webHidden/>
                <w:rStyle w:val="IndexLink"/>
                <w:rtl w:val="true"/>
              </w:rPr>
              <w:t>وصيّت براى اقربا</w:t>
            </w:r>
            <w:r>
              <w:rPr>
                <w:rStyle w:val="IndexLink"/>
                <w:rtl w:val="true"/>
              </w:rPr>
              <w:tab/>
            </w:r>
            <w:r>
              <w:rPr>
                <w:rStyle w:val="IndexLink"/>
              </w:rPr>
              <w:t>513</w:t>
            </w:r>
          </w:hyperlink>
        </w:p>
        <w:p>
          <w:pPr>
            <w:pStyle w:val="Contents4"/>
            <w:tabs>
              <w:tab w:val="clear" w:pos="8176"/>
              <w:tab w:val="right" w:pos="9026" w:leader="dot"/>
            </w:tabs>
            <w:rPr/>
          </w:pPr>
          <w:hyperlink w:anchor="__RefHeading___Toc3599635_1067777946">
            <w:r>
              <w:rPr>
                <w:webHidden/>
                <w:rStyle w:val="IndexLink"/>
                <w:rtl w:val="true"/>
              </w:rPr>
              <w:t>وصيّت براى قوم و عشيرۀ خود</w:t>
            </w:r>
            <w:r>
              <w:rPr>
                <w:rStyle w:val="IndexLink"/>
                <w:rtl w:val="true"/>
              </w:rPr>
              <w:tab/>
            </w:r>
            <w:r>
              <w:rPr>
                <w:rStyle w:val="IndexLink"/>
              </w:rPr>
              <w:t>513</w:t>
            </w:r>
          </w:hyperlink>
        </w:p>
        <w:p>
          <w:pPr>
            <w:pStyle w:val="Contents4"/>
            <w:tabs>
              <w:tab w:val="clear" w:pos="8176"/>
              <w:tab w:val="right" w:pos="9026" w:leader="dot"/>
            </w:tabs>
            <w:rPr/>
          </w:pPr>
          <w:hyperlink w:anchor="__RefHeading___Toc3599637_1067777946">
            <w:r>
              <w:rPr>
                <w:webHidden/>
                <w:rStyle w:val="IndexLink"/>
                <w:rtl w:val="true"/>
              </w:rPr>
              <w:t>وصيّت براى همسايه ها</w:t>
            </w:r>
            <w:r>
              <w:rPr>
                <w:rStyle w:val="IndexLink"/>
                <w:rtl w:val="true"/>
              </w:rPr>
              <w:tab/>
            </w:r>
            <w:r>
              <w:rPr>
                <w:rStyle w:val="IndexLink"/>
              </w:rPr>
              <w:t>513</w:t>
            </w:r>
          </w:hyperlink>
        </w:p>
        <w:p>
          <w:pPr>
            <w:pStyle w:val="Contents4"/>
            <w:tabs>
              <w:tab w:val="clear" w:pos="8176"/>
              <w:tab w:val="right" w:pos="9026" w:leader="dot"/>
            </w:tabs>
            <w:rPr/>
          </w:pPr>
          <w:hyperlink w:anchor="__RefHeading___Toc3599639_1067777946">
            <w:r>
              <w:rPr>
                <w:webHidden/>
                <w:rStyle w:val="IndexLink"/>
                <w:rtl w:val="true"/>
              </w:rPr>
              <w:t>وصيّت براى اهل بيت خودش</w:t>
            </w:r>
            <w:r>
              <w:rPr>
                <w:rStyle w:val="IndexLink"/>
                <w:rtl w:val="true"/>
              </w:rPr>
              <w:tab/>
            </w:r>
            <w:r>
              <w:rPr>
                <w:rStyle w:val="IndexLink"/>
              </w:rPr>
              <w:t>513</w:t>
            </w:r>
          </w:hyperlink>
        </w:p>
        <w:p>
          <w:pPr>
            <w:pStyle w:val="Contents4"/>
            <w:tabs>
              <w:tab w:val="clear" w:pos="8176"/>
              <w:tab w:val="right" w:pos="9026" w:leader="dot"/>
            </w:tabs>
            <w:rPr/>
          </w:pPr>
          <w:hyperlink w:anchor="__RefHeading___Toc3599641_1067777946">
            <w:r>
              <w:rPr>
                <w:webHidden/>
                <w:rStyle w:val="IndexLink"/>
                <w:rtl w:val="true"/>
              </w:rPr>
              <w:t>وصيّت براى حمل موجود در حال وصيت</w:t>
            </w:r>
            <w:r>
              <w:rPr>
                <w:rStyle w:val="IndexLink"/>
                <w:rtl w:val="true"/>
              </w:rPr>
              <w:tab/>
            </w:r>
            <w:r>
              <w:rPr>
                <w:rStyle w:val="IndexLink"/>
              </w:rPr>
              <w:t>514</w:t>
            </w:r>
          </w:hyperlink>
        </w:p>
        <w:p>
          <w:pPr>
            <w:pStyle w:val="Contents4"/>
            <w:tabs>
              <w:tab w:val="clear" w:pos="8176"/>
              <w:tab w:val="right" w:pos="9026" w:leader="dot"/>
            </w:tabs>
            <w:rPr/>
          </w:pPr>
          <w:hyperlink w:anchor="__RefHeading___Toc3599643_1067777946">
            <w:r>
              <w:rPr>
                <w:webHidden/>
                <w:rStyle w:val="IndexLink"/>
                <w:rtl w:val="true"/>
              </w:rPr>
              <w:t>وصيّت براى فقرا</w:t>
            </w:r>
            <w:r>
              <w:rPr>
                <w:rStyle w:val="IndexLink"/>
                <w:rtl w:val="true"/>
              </w:rPr>
              <w:tab/>
            </w:r>
            <w:r>
              <w:rPr>
                <w:rStyle w:val="IndexLink"/>
              </w:rPr>
              <w:t>514</w:t>
            </w:r>
          </w:hyperlink>
        </w:p>
        <w:p>
          <w:pPr>
            <w:pStyle w:val="Contents4"/>
            <w:tabs>
              <w:tab w:val="clear" w:pos="8176"/>
              <w:tab w:val="right" w:pos="9026" w:leader="dot"/>
            </w:tabs>
            <w:rPr/>
          </w:pPr>
          <w:hyperlink w:anchor="__RefHeading___Toc3599645_1067777946">
            <w:r>
              <w:rPr>
                <w:webHidden/>
                <w:rStyle w:val="IndexLink"/>
                <w:rtl w:val="true"/>
              </w:rPr>
              <w:t>اعتبار اتصاف به صفت در حال موت</w:t>
            </w:r>
            <w:r>
              <w:rPr>
                <w:rStyle w:val="IndexLink"/>
                <w:rtl w:val="true"/>
              </w:rPr>
              <w:tab/>
            </w:r>
            <w:r>
              <w:rPr>
                <w:rStyle w:val="IndexLink"/>
              </w:rPr>
              <w:t>514</w:t>
            </w:r>
          </w:hyperlink>
        </w:p>
        <w:p>
          <w:pPr>
            <w:pStyle w:val="Contents4"/>
            <w:tabs>
              <w:tab w:val="clear" w:pos="8176"/>
              <w:tab w:val="right" w:pos="9026" w:leader="dot"/>
            </w:tabs>
            <w:rPr/>
          </w:pPr>
          <w:hyperlink w:anchor="__RefHeading___Toc3599647_1067777946">
            <w:r>
              <w:rPr>
                <w:webHidden/>
                <w:rStyle w:val="IndexLink"/>
                <w:rtl w:val="true"/>
              </w:rPr>
              <w:t>وفات موصىٰ له قبل و بعد از قبول</w:t>
            </w:r>
            <w:r>
              <w:rPr>
                <w:rStyle w:val="IndexLink"/>
                <w:rtl w:val="true"/>
              </w:rPr>
              <w:tab/>
            </w:r>
            <w:r>
              <w:rPr>
                <w:rStyle w:val="IndexLink"/>
              </w:rPr>
              <w:t>514</w:t>
            </w:r>
          </w:hyperlink>
        </w:p>
        <w:p>
          <w:pPr>
            <w:pStyle w:val="Contents4"/>
            <w:tabs>
              <w:tab w:val="clear" w:pos="8176"/>
              <w:tab w:val="right" w:pos="9026" w:leader="dot"/>
            </w:tabs>
            <w:rPr/>
          </w:pPr>
          <w:hyperlink w:anchor="__RefHeading___Toc3599649_1067777946">
            <w:r>
              <w:rPr>
                <w:webHidden/>
                <w:rStyle w:val="IndexLink"/>
                <w:rtl w:val="true"/>
              </w:rPr>
              <w:t>وصيّت بدون تعيين مصرف و با آن</w:t>
            </w:r>
            <w:r>
              <w:rPr>
                <w:rStyle w:val="IndexLink"/>
                <w:rtl w:val="true"/>
              </w:rPr>
              <w:tab/>
            </w:r>
            <w:r>
              <w:rPr>
                <w:rStyle w:val="IndexLink"/>
              </w:rPr>
              <w:t>515</w:t>
            </w:r>
          </w:hyperlink>
        </w:p>
        <w:p>
          <w:pPr>
            <w:pStyle w:val="Contents4"/>
            <w:tabs>
              <w:tab w:val="clear" w:pos="8176"/>
              <w:tab w:val="right" w:pos="9026" w:leader="dot"/>
            </w:tabs>
            <w:rPr/>
          </w:pPr>
          <w:hyperlink w:anchor="__RefHeading___Toc3599651_1067777946">
            <w:r>
              <w:rPr>
                <w:webHidden/>
                <w:rStyle w:val="IndexLink"/>
                <w:rtl w:val="true"/>
              </w:rPr>
              <w:t>وصيت به مالى براى سبيل اللّٰه تعالى</w:t>
            </w:r>
            <w:r>
              <w:rPr>
                <w:rStyle w:val="IndexLink"/>
                <w:rtl w:val="true"/>
              </w:rPr>
              <w:tab/>
            </w:r>
            <w:r>
              <w:rPr>
                <w:rStyle w:val="IndexLink"/>
              </w:rPr>
              <w:t>515</w:t>
            </w:r>
          </w:hyperlink>
        </w:p>
        <w:p>
          <w:pPr>
            <w:pStyle w:val="Contents4"/>
            <w:tabs>
              <w:tab w:val="clear" w:pos="8176"/>
              <w:tab w:val="right" w:pos="9026" w:leader="dot"/>
            </w:tabs>
            <w:rPr/>
          </w:pPr>
          <w:hyperlink w:anchor="__RefHeading___Toc3599653_1067777946">
            <w:r>
              <w:rPr>
                <w:webHidden/>
                <w:rStyle w:val="IndexLink"/>
                <w:rtl w:val="true"/>
              </w:rPr>
              <w:t>وصيّت به ثلث بدون تعيين مصرف</w:t>
            </w:r>
            <w:r>
              <w:rPr>
                <w:rStyle w:val="IndexLink"/>
                <w:rtl w:val="true"/>
              </w:rPr>
              <w:tab/>
            </w:r>
            <w:r>
              <w:rPr>
                <w:rStyle w:val="IndexLink"/>
              </w:rPr>
              <w:t>515</w:t>
            </w:r>
          </w:hyperlink>
        </w:p>
        <w:p>
          <w:pPr>
            <w:pStyle w:val="Contents4"/>
            <w:tabs>
              <w:tab w:val="clear" w:pos="8176"/>
              <w:tab w:val="right" w:pos="9026" w:leader="dot"/>
            </w:tabs>
            <w:rPr/>
          </w:pPr>
          <w:hyperlink w:anchor="__RefHeading___Toc3599655_1067777946">
            <w:r>
              <w:rPr>
                <w:webHidden/>
                <w:rStyle w:val="IndexLink"/>
                <w:rtl w:val="true"/>
              </w:rPr>
              <w:t>استحباب وصيّت براى خويشان</w:t>
            </w:r>
            <w:r>
              <w:rPr>
                <w:rStyle w:val="IndexLink"/>
                <w:rtl w:val="true"/>
              </w:rPr>
              <w:tab/>
            </w:r>
            <w:r>
              <w:rPr>
                <w:rStyle w:val="IndexLink"/>
              </w:rPr>
              <w:t>515</w:t>
            </w:r>
          </w:hyperlink>
        </w:p>
        <w:p>
          <w:pPr>
            <w:pStyle w:val="Contents4"/>
            <w:tabs>
              <w:tab w:val="clear" w:pos="8176"/>
              <w:tab w:val="right" w:pos="9026" w:leader="dot"/>
            </w:tabs>
            <w:rPr/>
          </w:pPr>
          <w:hyperlink w:anchor="__RefHeading___Toc3599657_1067777946">
            <w:r>
              <w:rPr>
                <w:webHidden/>
                <w:rStyle w:val="IndexLink"/>
                <w:rtl w:val="true"/>
              </w:rPr>
              <w:t>وصيّت براى اقرب</w:t>
            </w:r>
            <w:r>
              <w:rPr>
                <w:rStyle w:val="IndexLink"/>
                <w:rtl w:val="true"/>
              </w:rPr>
              <w:tab/>
            </w:r>
            <w:r>
              <w:rPr>
                <w:rStyle w:val="IndexLink"/>
              </w:rPr>
              <w:t>516</w:t>
            </w:r>
          </w:hyperlink>
        </w:p>
        <w:p>
          <w:pPr>
            <w:pStyle w:val="Contents3"/>
            <w:tabs>
              <w:tab w:val="clear" w:pos="8459"/>
              <w:tab w:val="right" w:pos="9026" w:leader="dot"/>
            </w:tabs>
            <w:rPr/>
          </w:pPr>
          <w:hyperlink w:anchor="__RefHeading___Toc3599659_1067777946">
            <w:r>
              <w:rPr>
                <w:webHidden/>
                <w:rStyle w:val="IndexLink"/>
                <w:rtl w:val="true"/>
              </w:rPr>
              <w:t>فصل پنجم كيفيّت وصايت و شروط وصىّ‌</w:t>
            </w:r>
            <w:r>
              <w:rPr>
                <w:rStyle w:val="IndexLink"/>
                <w:rtl w:val="true"/>
              </w:rPr>
              <w:tab/>
            </w:r>
            <w:r>
              <w:rPr>
                <w:rStyle w:val="IndexLink"/>
              </w:rPr>
              <w:t>517</w:t>
            </w:r>
          </w:hyperlink>
        </w:p>
        <w:p>
          <w:pPr>
            <w:pStyle w:val="Contents4"/>
            <w:tabs>
              <w:tab w:val="clear" w:pos="8176"/>
              <w:tab w:val="right" w:pos="9026" w:leader="dot"/>
            </w:tabs>
            <w:rPr/>
          </w:pPr>
          <w:hyperlink w:anchor="__RefHeading___Toc3599661_1067777946">
            <w:r>
              <w:rPr>
                <w:webHidden/>
                <w:rStyle w:val="IndexLink"/>
                <w:rtl w:val="true"/>
              </w:rPr>
              <w:t>تعريف وصايت و الفاظ آن و</w:t>
            </w:r>
            <w:r>
              <w:rPr>
                <w:rStyle w:val="IndexLink"/>
                <w:rtl w:val="true"/>
              </w:rPr>
              <w:t>...</w:t>
              <w:tab/>
            </w:r>
            <w:r>
              <w:rPr>
                <w:rStyle w:val="IndexLink"/>
              </w:rPr>
              <w:t>517</w:t>
            </w:r>
          </w:hyperlink>
        </w:p>
        <w:p>
          <w:pPr>
            <w:pStyle w:val="Contents4"/>
            <w:tabs>
              <w:tab w:val="clear" w:pos="8176"/>
              <w:tab w:val="right" w:pos="9026" w:leader="dot"/>
            </w:tabs>
            <w:rPr/>
          </w:pPr>
          <w:hyperlink w:anchor="__RefHeading___Toc3599663_1067777946">
            <w:r>
              <w:rPr>
                <w:webHidden/>
                <w:rStyle w:val="IndexLink"/>
                <w:rtl w:val="true"/>
              </w:rPr>
              <w:t>شروط وصىّ‌</w:t>
            </w:r>
            <w:r>
              <w:rPr>
                <w:rStyle w:val="IndexLink"/>
                <w:rtl w:val="true"/>
              </w:rPr>
              <w:tab/>
            </w:r>
            <w:r>
              <w:rPr>
                <w:rStyle w:val="IndexLink"/>
              </w:rPr>
              <w:t>517</w:t>
            </w:r>
          </w:hyperlink>
        </w:p>
        <w:p>
          <w:pPr>
            <w:pStyle w:val="Contents5"/>
            <w:tabs>
              <w:tab w:val="clear" w:pos="7892"/>
              <w:tab w:val="right" w:pos="9026" w:leader="dot"/>
            </w:tabs>
            <w:rPr/>
          </w:pPr>
          <w:hyperlink w:anchor="__RefHeading___Toc3599665_1067777946">
            <w:r>
              <w:rPr>
                <w:webHidden/>
                <w:rStyle w:val="IndexLink"/>
                <w:rtl w:val="true"/>
              </w:rPr>
              <w:t>عقل</w:t>
            </w:r>
            <w:r>
              <w:rPr>
                <w:rStyle w:val="IndexLink"/>
                <w:rtl w:val="true"/>
              </w:rPr>
              <w:tab/>
            </w:r>
            <w:r>
              <w:rPr>
                <w:rStyle w:val="IndexLink"/>
              </w:rPr>
              <w:t>517</w:t>
            </w:r>
          </w:hyperlink>
        </w:p>
        <w:p>
          <w:pPr>
            <w:pStyle w:val="Contents5"/>
            <w:tabs>
              <w:tab w:val="clear" w:pos="7892"/>
              <w:tab w:val="right" w:pos="9026" w:leader="dot"/>
            </w:tabs>
            <w:rPr/>
          </w:pPr>
          <w:hyperlink w:anchor="__RefHeading___Toc3599667_1067777946">
            <w:r>
              <w:rPr>
                <w:webHidden/>
                <w:rStyle w:val="IndexLink"/>
                <w:rtl w:val="true"/>
              </w:rPr>
              <w:t>عدم اعتبار عدالت در وصى و اعتبار اطمينان</w:t>
            </w:r>
            <w:r>
              <w:rPr>
                <w:rStyle w:val="IndexLink"/>
                <w:rtl w:val="true"/>
              </w:rPr>
              <w:tab/>
            </w:r>
            <w:r>
              <w:rPr>
                <w:rStyle w:val="IndexLink"/>
              </w:rPr>
              <w:t>518</w:t>
            </w:r>
          </w:hyperlink>
        </w:p>
        <w:p>
          <w:pPr>
            <w:pStyle w:val="Contents5"/>
            <w:tabs>
              <w:tab w:val="clear" w:pos="7892"/>
              <w:tab w:val="right" w:pos="9026" w:leader="dot"/>
            </w:tabs>
            <w:rPr/>
          </w:pPr>
          <w:hyperlink w:anchor="__RefHeading___Toc3599669_1067777946">
            <w:r>
              <w:rPr>
                <w:webHidden/>
                <w:rStyle w:val="IndexLink"/>
                <w:rtl w:val="true"/>
              </w:rPr>
              <w:t>اگر وصىّ عادل، فاسق شود</w:t>
            </w:r>
            <w:r>
              <w:rPr>
                <w:rStyle w:val="IndexLink"/>
                <w:rtl w:val="true"/>
              </w:rPr>
              <w:tab/>
            </w:r>
            <w:r>
              <w:rPr>
                <w:rStyle w:val="IndexLink"/>
              </w:rPr>
              <w:t>518</w:t>
            </w:r>
          </w:hyperlink>
        </w:p>
        <w:p>
          <w:pPr>
            <w:pStyle w:val="Contents5"/>
            <w:tabs>
              <w:tab w:val="clear" w:pos="7892"/>
              <w:tab w:val="right" w:pos="9026" w:leader="dot"/>
            </w:tabs>
            <w:rPr/>
          </w:pPr>
          <w:hyperlink w:anchor="__RefHeading___Toc3599671_1067777946">
            <w:r>
              <w:rPr>
                <w:webHidden/>
                <w:rStyle w:val="IndexLink"/>
                <w:rtl w:val="true"/>
              </w:rPr>
              <w:t>وصايت مملوك</w:t>
            </w:r>
            <w:r>
              <w:rPr>
                <w:rStyle w:val="IndexLink"/>
                <w:rtl w:val="true"/>
              </w:rPr>
              <w:tab/>
            </w:r>
            <w:r>
              <w:rPr>
                <w:rStyle w:val="IndexLink"/>
              </w:rPr>
              <w:t>519</w:t>
            </w:r>
          </w:hyperlink>
        </w:p>
        <w:p>
          <w:pPr>
            <w:pStyle w:val="Contents5"/>
            <w:tabs>
              <w:tab w:val="clear" w:pos="7892"/>
              <w:tab w:val="right" w:pos="9026" w:leader="dot"/>
            </w:tabs>
            <w:rPr/>
          </w:pPr>
          <w:hyperlink w:anchor="__RefHeading___Toc3599673_1067777946">
            <w:r>
              <w:rPr>
                <w:webHidden/>
                <w:rStyle w:val="IndexLink"/>
                <w:rtl w:val="true"/>
              </w:rPr>
              <w:t>اشتراط بلوغ وصىّ‌</w:t>
            </w:r>
            <w:r>
              <w:rPr>
                <w:rStyle w:val="IndexLink"/>
                <w:rtl w:val="true"/>
              </w:rPr>
              <w:tab/>
            </w:r>
            <w:r>
              <w:rPr>
                <w:rStyle w:val="IndexLink"/>
              </w:rPr>
              <w:t>519</w:t>
            </w:r>
          </w:hyperlink>
        </w:p>
        <w:p>
          <w:pPr>
            <w:pStyle w:val="Contents5"/>
            <w:tabs>
              <w:tab w:val="clear" w:pos="7892"/>
              <w:tab w:val="right" w:pos="9026" w:leader="dot"/>
            </w:tabs>
            <w:rPr/>
          </w:pPr>
          <w:hyperlink w:anchor="__RefHeading___Toc3599675_1067777946">
            <w:r>
              <w:rPr>
                <w:webHidden/>
                <w:rStyle w:val="IndexLink"/>
                <w:rtl w:val="true"/>
              </w:rPr>
              <w:t>انضمام صغير به كبير و احكام آن</w:t>
            </w:r>
            <w:r>
              <w:rPr>
                <w:rStyle w:val="IndexLink"/>
                <w:rtl w:val="true"/>
              </w:rPr>
              <w:tab/>
            </w:r>
            <w:r>
              <w:rPr>
                <w:rStyle w:val="IndexLink"/>
              </w:rPr>
              <w:t>519</w:t>
            </w:r>
          </w:hyperlink>
        </w:p>
        <w:p>
          <w:pPr>
            <w:pStyle w:val="Contents5"/>
            <w:tabs>
              <w:tab w:val="clear" w:pos="7892"/>
              <w:tab w:val="right" w:pos="9026" w:leader="dot"/>
            </w:tabs>
            <w:rPr/>
          </w:pPr>
          <w:hyperlink w:anchor="__RefHeading___Toc3599677_1067777946">
            <w:r>
              <w:rPr>
                <w:webHidden/>
                <w:rStyle w:val="IndexLink"/>
                <w:rtl w:val="true"/>
              </w:rPr>
              <w:t>اعتبار اسلام در وصىّ از جانب مسلم</w:t>
            </w:r>
            <w:r>
              <w:rPr>
                <w:rStyle w:val="IndexLink"/>
                <w:rtl w:val="true"/>
              </w:rPr>
              <w:tab/>
            </w:r>
            <w:r>
              <w:rPr>
                <w:rStyle w:val="IndexLink"/>
              </w:rPr>
              <w:t>521</w:t>
            </w:r>
          </w:hyperlink>
        </w:p>
        <w:p>
          <w:pPr>
            <w:pStyle w:val="Contents5"/>
            <w:tabs>
              <w:tab w:val="clear" w:pos="7892"/>
              <w:tab w:val="right" w:pos="9026" w:leader="dot"/>
            </w:tabs>
            <w:rPr/>
          </w:pPr>
          <w:hyperlink w:anchor="__RefHeading___Toc3599679_1067777946">
            <w:r>
              <w:rPr>
                <w:webHidden/>
                <w:rStyle w:val="IndexLink"/>
                <w:rtl w:val="true"/>
              </w:rPr>
              <w:t>عدم اشتراط ذكورت و بصر و وارث نبودن</w:t>
            </w:r>
            <w:r>
              <w:rPr>
                <w:rStyle w:val="IndexLink"/>
                <w:rtl w:val="true"/>
              </w:rPr>
              <w:tab/>
            </w:r>
            <w:r>
              <w:rPr>
                <w:rStyle w:val="IndexLink"/>
              </w:rPr>
              <w:t>521</w:t>
            </w:r>
          </w:hyperlink>
        </w:p>
        <w:p>
          <w:pPr>
            <w:pStyle w:val="Contents4"/>
            <w:tabs>
              <w:tab w:val="clear" w:pos="8176"/>
              <w:tab w:val="right" w:pos="9026" w:leader="dot"/>
            </w:tabs>
            <w:rPr/>
          </w:pPr>
          <w:hyperlink w:anchor="__RefHeading___Toc3599681_1067777946">
            <w:r>
              <w:rPr>
                <w:webHidden/>
                <w:rStyle w:val="IndexLink"/>
                <w:rtl w:val="true"/>
              </w:rPr>
              <w:t>مسائل مربوط به وصايت</w:t>
            </w:r>
            <w:r>
              <w:rPr>
                <w:rStyle w:val="IndexLink"/>
                <w:rtl w:val="true"/>
              </w:rPr>
              <w:tab/>
            </w:r>
            <w:r>
              <w:rPr>
                <w:rStyle w:val="IndexLink"/>
              </w:rPr>
              <w:t>521</w:t>
            </w:r>
          </w:hyperlink>
        </w:p>
        <w:p>
          <w:pPr>
            <w:pStyle w:val="Contents5"/>
            <w:tabs>
              <w:tab w:val="clear" w:pos="7892"/>
              <w:tab w:val="right" w:pos="9026" w:leader="dot"/>
            </w:tabs>
            <w:rPr/>
          </w:pPr>
          <w:hyperlink w:anchor="__RefHeading___Toc3599683_1067777946">
            <w:r>
              <w:rPr>
                <w:webHidden/>
                <w:rStyle w:val="IndexLink"/>
                <w:rtl w:val="true"/>
              </w:rPr>
              <w:t>وصيّت به دو نفر و مسألۀ استقلال و معيّت در تصرّف</w:t>
            </w:r>
            <w:r>
              <w:rPr>
                <w:rStyle w:val="IndexLink"/>
                <w:rtl w:val="true"/>
              </w:rPr>
              <w:tab/>
            </w:r>
            <w:r>
              <w:rPr>
                <w:rStyle w:val="IndexLink"/>
              </w:rPr>
              <w:t>521</w:t>
            </w:r>
          </w:hyperlink>
        </w:p>
        <w:p>
          <w:pPr>
            <w:pStyle w:val="Contents5"/>
            <w:tabs>
              <w:tab w:val="clear" w:pos="7892"/>
              <w:tab w:val="right" w:pos="9026" w:leader="dot"/>
            </w:tabs>
            <w:rPr/>
          </w:pPr>
          <w:hyperlink w:anchor="__RefHeading___Toc3599685_1067777946">
            <w:r>
              <w:rPr>
                <w:webHidden/>
                <w:rStyle w:val="IndexLink"/>
                <w:rtl w:val="true"/>
              </w:rPr>
              <w:t>جعل وصىّ و ناظر</w:t>
            </w:r>
            <w:r>
              <w:rPr>
                <w:rStyle w:val="IndexLink"/>
                <w:rtl w:val="true"/>
              </w:rPr>
              <w:tab/>
            </w:r>
            <w:r>
              <w:rPr>
                <w:rStyle w:val="IndexLink"/>
              </w:rPr>
              <w:t>521</w:t>
            </w:r>
          </w:hyperlink>
        </w:p>
        <w:p>
          <w:pPr>
            <w:pStyle w:val="Contents5"/>
            <w:tabs>
              <w:tab w:val="clear" w:pos="7892"/>
              <w:tab w:val="right" w:pos="9026" w:leader="dot"/>
            </w:tabs>
            <w:rPr/>
          </w:pPr>
          <w:hyperlink w:anchor="__RefHeading___Toc3599687_1067777946">
            <w:r>
              <w:rPr>
                <w:webHidden/>
                <w:rStyle w:val="IndexLink"/>
                <w:rtl w:val="true"/>
              </w:rPr>
              <w:t>نزاع دو وصى</w:t>
            </w:r>
            <w:r>
              <w:rPr>
                <w:rStyle w:val="IndexLink"/>
                <w:rtl w:val="true"/>
              </w:rPr>
              <w:tab/>
            </w:r>
            <w:r>
              <w:rPr>
                <w:rStyle w:val="IndexLink"/>
              </w:rPr>
              <w:t>522</w:t>
            </w:r>
          </w:hyperlink>
        </w:p>
        <w:p>
          <w:pPr>
            <w:pStyle w:val="Contents5"/>
            <w:tabs>
              <w:tab w:val="clear" w:pos="7892"/>
              <w:tab w:val="right" w:pos="9026" w:leader="dot"/>
            </w:tabs>
            <w:rPr/>
          </w:pPr>
          <w:hyperlink w:anchor="__RefHeading___Toc3599689_1067777946">
            <w:r>
              <w:rPr>
                <w:webHidden/>
                <w:rStyle w:val="IndexLink"/>
                <w:rtl w:val="true"/>
              </w:rPr>
              <w:t>عجز يا انعزال يكى از چند وصىّ‌</w:t>
            </w:r>
            <w:r>
              <w:rPr>
                <w:rStyle w:val="IndexLink"/>
                <w:rtl w:val="true"/>
              </w:rPr>
              <w:tab/>
            </w:r>
            <w:r>
              <w:rPr>
                <w:rStyle w:val="IndexLink"/>
              </w:rPr>
              <w:t>522</w:t>
            </w:r>
          </w:hyperlink>
        </w:p>
        <w:p>
          <w:pPr>
            <w:pStyle w:val="Contents5"/>
            <w:tabs>
              <w:tab w:val="clear" w:pos="7892"/>
              <w:tab w:val="right" w:pos="9026" w:leader="dot"/>
            </w:tabs>
            <w:rPr/>
          </w:pPr>
          <w:hyperlink w:anchor="__RefHeading___Toc3599691_1067777946">
            <w:r>
              <w:rPr>
                <w:webHidden/>
                <w:rStyle w:val="IndexLink"/>
                <w:rtl w:val="true"/>
              </w:rPr>
              <w:t>شرط انفراد وصىّ‌</w:t>
            </w:r>
            <w:r>
              <w:rPr>
                <w:rStyle w:val="IndexLink"/>
                <w:rtl w:val="true"/>
              </w:rPr>
              <w:tab/>
            </w:r>
            <w:r>
              <w:rPr>
                <w:rStyle w:val="IndexLink"/>
              </w:rPr>
              <w:t>523</w:t>
            </w:r>
          </w:hyperlink>
        </w:p>
        <w:p>
          <w:pPr>
            <w:pStyle w:val="Contents5"/>
            <w:tabs>
              <w:tab w:val="clear" w:pos="7892"/>
              <w:tab w:val="right" w:pos="9026" w:leader="dot"/>
            </w:tabs>
            <w:rPr/>
          </w:pPr>
          <w:hyperlink w:anchor="__RefHeading___Toc3599693_1067777946">
            <w:r>
              <w:rPr>
                <w:webHidden/>
                <w:rStyle w:val="IndexLink"/>
                <w:rtl w:val="true"/>
              </w:rPr>
              <w:t>عزل وصى و رد وصيّت</w:t>
            </w:r>
            <w:r>
              <w:rPr>
                <w:rStyle w:val="IndexLink"/>
                <w:rtl w:val="true"/>
              </w:rPr>
              <w:tab/>
            </w:r>
            <w:r>
              <w:rPr>
                <w:rStyle w:val="IndexLink"/>
              </w:rPr>
              <w:t>523</w:t>
            </w:r>
          </w:hyperlink>
        </w:p>
        <w:p>
          <w:pPr>
            <w:pStyle w:val="Contents5"/>
            <w:tabs>
              <w:tab w:val="clear" w:pos="7892"/>
              <w:tab w:val="right" w:pos="9026" w:leader="dot"/>
            </w:tabs>
            <w:rPr/>
          </w:pPr>
          <w:hyperlink w:anchor="__RefHeading___Toc3599695_1067777946">
            <w:r>
              <w:rPr>
                <w:webHidden/>
                <w:rStyle w:val="IndexLink"/>
                <w:rtl w:val="true"/>
              </w:rPr>
              <w:t>وصيّت به غير حاضر و لزوم اعلام به موصى در تحقق رد</w:t>
            </w:r>
            <w:r>
              <w:rPr>
                <w:rStyle w:val="IndexLink"/>
                <w:rtl w:val="true"/>
              </w:rPr>
              <w:tab/>
            </w:r>
            <w:r>
              <w:rPr>
                <w:rStyle w:val="IndexLink"/>
              </w:rPr>
              <w:t>523</w:t>
            </w:r>
          </w:hyperlink>
        </w:p>
        <w:p>
          <w:pPr>
            <w:pStyle w:val="Contents5"/>
            <w:tabs>
              <w:tab w:val="clear" w:pos="7892"/>
              <w:tab w:val="right" w:pos="9026" w:leader="dot"/>
            </w:tabs>
            <w:rPr/>
          </w:pPr>
          <w:hyperlink w:anchor="__RefHeading___Toc3599697_1067777946">
            <w:r>
              <w:rPr>
                <w:webHidden/>
                <w:rStyle w:val="IndexLink"/>
                <w:rtl w:val="true"/>
              </w:rPr>
              <w:t>رد وصيّت و تجديد آن</w:t>
            </w:r>
            <w:r>
              <w:rPr>
                <w:rStyle w:val="IndexLink"/>
                <w:rtl w:val="true"/>
              </w:rPr>
              <w:tab/>
            </w:r>
            <w:r>
              <w:rPr>
                <w:rStyle w:val="IndexLink"/>
              </w:rPr>
              <w:t>524</w:t>
            </w:r>
          </w:hyperlink>
        </w:p>
        <w:p>
          <w:pPr>
            <w:pStyle w:val="Contents5"/>
            <w:tabs>
              <w:tab w:val="clear" w:pos="7892"/>
              <w:tab w:val="right" w:pos="9026" w:leader="dot"/>
            </w:tabs>
            <w:rPr/>
          </w:pPr>
          <w:hyperlink w:anchor="__RefHeading___Toc3599699_1067777946">
            <w:r>
              <w:rPr>
                <w:webHidden/>
                <w:rStyle w:val="IndexLink"/>
                <w:rtl w:val="true"/>
              </w:rPr>
              <w:t>صورت عجز وصىّ از عمل به وصايت</w:t>
            </w:r>
            <w:r>
              <w:rPr>
                <w:rStyle w:val="IndexLink"/>
                <w:rtl w:val="true"/>
              </w:rPr>
              <w:tab/>
            </w:r>
            <w:r>
              <w:rPr>
                <w:rStyle w:val="IndexLink"/>
              </w:rPr>
              <w:t>524</w:t>
            </w:r>
          </w:hyperlink>
        </w:p>
        <w:p>
          <w:pPr>
            <w:pStyle w:val="Contents5"/>
            <w:tabs>
              <w:tab w:val="clear" w:pos="7892"/>
              <w:tab w:val="right" w:pos="9026" w:leader="dot"/>
            </w:tabs>
            <w:rPr/>
          </w:pPr>
          <w:hyperlink w:anchor="__RefHeading___Toc3599701_1067777946">
            <w:r>
              <w:rPr>
                <w:webHidden/>
                <w:rStyle w:val="IndexLink"/>
                <w:rtl w:val="true"/>
              </w:rPr>
              <w:t>ظهور خيانت از وصى</w:t>
            </w:r>
            <w:r>
              <w:rPr>
                <w:rStyle w:val="IndexLink"/>
                <w:rtl w:val="true"/>
              </w:rPr>
              <w:tab/>
            </w:r>
            <w:r>
              <w:rPr>
                <w:rStyle w:val="IndexLink"/>
              </w:rPr>
              <w:t>524</w:t>
            </w:r>
          </w:hyperlink>
        </w:p>
        <w:p>
          <w:pPr>
            <w:pStyle w:val="Contents5"/>
            <w:tabs>
              <w:tab w:val="clear" w:pos="7892"/>
              <w:tab w:val="right" w:pos="9026" w:leader="dot"/>
            </w:tabs>
            <w:rPr/>
          </w:pPr>
          <w:hyperlink w:anchor="__RefHeading___Toc3599703_1067777946">
            <w:r>
              <w:rPr>
                <w:webHidden/>
                <w:rStyle w:val="IndexLink"/>
                <w:rtl w:val="true"/>
              </w:rPr>
              <w:t>ظهور فسق از وصىّ بنابر اعتبار عدالت</w:t>
            </w:r>
            <w:r>
              <w:rPr>
                <w:rStyle w:val="IndexLink"/>
                <w:rtl w:val="true"/>
              </w:rPr>
              <w:tab/>
            </w:r>
            <w:r>
              <w:rPr>
                <w:rStyle w:val="IndexLink"/>
              </w:rPr>
              <w:t>525</w:t>
            </w:r>
          </w:hyperlink>
        </w:p>
        <w:p>
          <w:pPr>
            <w:pStyle w:val="Contents5"/>
            <w:tabs>
              <w:tab w:val="clear" w:pos="7892"/>
              <w:tab w:val="right" w:pos="9026" w:leader="dot"/>
            </w:tabs>
            <w:rPr/>
          </w:pPr>
          <w:hyperlink w:anchor="__RefHeading___Toc3599705_1067777946">
            <w:r>
              <w:rPr>
                <w:webHidden/>
                <w:rStyle w:val="IndexLink"/>
                <w:rtl w:val="true"/>
              </w:rPr>
              <w:t>عزل يا انعزال وصىّ‌</w:t>
            </w:r>
            <w:r>
              <w:rPr>
                <w:rStyle w:val="IndexLink"/>
                <w:rtl w:val="true"/>
              </w:rPr>
              <w:tab/>
            </w:r>
            <w:r>
              <w:rPr>
                <w:rStyle w:val="IndexLink"/>
              </w:rPr>
              <w:t>525</w:t>
            </w:r>
          </w:hyperlink>
        </w:p>
        <w:p>
          <w:pPr>
            <w:pStyle w:val="Contents5"/>
            <w:tabs>
              <w:tab w:val="clear" w:pos="7892"/>
              <w:tab w:val="right" w:pos="9026" w:leader="dot"/>
            </w:tabs>
            <w:rPr/>
          </w:pPr>
          <w:hyperlink w:anchor="__RefHeading___Toc3599707_1067777946">
            <w:r>
              <w:rPr>
                <w:webHidden/>
                <w:rStyle w:val="IndexLink"/>
                <w:rtl w:val="true"/>
              </w:rPr>
              <w:t>امين بودن وصىّ‌</w:t>
            </w:r>
            <w:r>
              <w:rPr>
                <w:rStyle w:val="IndexLink"/>
                <w:rtl w:val="true"/>
              </w:rPr>
              <w:tab/>
            </w:r>
            <w:r>
              <w:rPr>
                <w:rStyle w:val="IndexLink"/>
              </w:rPr>
              <w:t>525</w:t>
            </w:r>
          </w:hyperlink>
        </w:p>
        <w:p>
          <w:pPr>
            <w:pStyle w:val="Contents5"/>
            <w:tabs>
              <w:tab w:val="clear" w:pos="7892"/>
              <w:tab w:val="right" w:pos="9026" w:leader="dot"/>
            </w:tabs>
            <w:rPr/>
          </w:pPr>
          <w:hyperlink w:anchor="__RefHeading___Toc3599709_1067777946">
            <w:r>
              <w:rPr>
                <w:webHidden/>
                <w:rStyle w:val="IndexLink"/>
                <w:rtl w:val="true"/>
              </w:rPr>
              <w:t>استيفاى وصى دين خود را از مال موصىٖ‌</w:t>
            </w:r>
            <w:r>
              <w:rPr>
                <w:rStyle w:val="IndexLink"/>
                <w:rtl w:val="true"/>
              </w:rPr>
              <w:tab/>
            </w:r>
            <w:r>
              <w:rPr>
                <w:rStyle w:val="IndexLink"/>
              </w:rPr>
              <w:t>526</w:t>
            </w:r>
          </w:hyperlink>
        </w:p>
        <w:p>
          <w:pPr>
            <w:pStyle w:val="Contents5"/>
            <w:tabs>
              <w:tab w:val="clear" w:pos="7892"/>
              <w:tab w:val="right" w:pos="9026" w:leader="dot"/>
            </w:tabs>
            <w:rPr/>
          </w:pPr>
          <w:hyperlink w:anchor="__RefHeading___Toc3599711_1067777946">
            <w:r>
              <w:rPr>
                <w:webHidden/>
                <w:rStyle w:val="IndexLink"/>
                <w:rtl w:val="true"/>
              </w:rPr>
              <w:t>تقويم مال يتيم بر خود توسط وصىّ‌</w:t>
            </w:r>
            <w:r>
              <w:rPr>
                <w:rStyle w:val="IndexLink"/>
                <w:rtl w:val="true"/>
              </w:rPr>
              <w:tab/>
            </w:r>
            <w:r>
              <w:rPr>
                <w:rStyle w:val="IndexLink"/>
              </w:rPr>
              <w:t>526</w:t>
            </w:r>
          </w:hyperlink>
        </w:p>
        <w:p>
          <w:pPr>
            <w:pStyle w:val="Contents5"/>
            <w:tabs>
              <w:tab w:val="clear" w:pos="7892"/>
              <w:tab w:val="right" w:pos="9026" w:leader="dot"/>
            </w:tabs>
            <w:rPr/>
          </w:pPr>
          <w:hyperlink w:anchor="__RefHeading___Toc3599713_1067777946">
            <w:r>
              <w:rPr>
                <w:webHidden/>
                <w:rStyle w:val="IndexLink"/>
                <w:rtl w:val="true"/>
              </w:rPr>
              <w:t>اقتراض وصىّ از مال يتيم</w:t>
            </w:r>
            <w:r>
              <w:rPr>
                <w:rStyle w:val="IndexLink"/>
                <w:rtl w:val="true"/>
              </w:rPr>
              <w:tab/>
            </w:r>
            <w:r>
              <w:rPr>
                <w:rStyle w:val="IndexLink"/>
              </w:rPr>
              <w:t>526</w:t>
            </w:r>
          </w:hyperlink>
        </w:p>
        <w:p>
          <w:pPr>
            <w:pStyle w:val="Contents5"/>
            <w:tabs>
              <w:tab w:val="clear" w:pos="7892"/>
              <w:tab w:val="right" w:pos="9026" w:leader="dot"/>
            </w:tabs>
            <w:rPr/>
          </w:pPr>
          <w:hyperlink w:anchor="__RefHeading___Toc3599715_1067777946">
            <w:r>
              <w:rPr>
                <w:webHidden/>
                <w:rStyle w:val="IndexLink"/>
                <w:rtl w:val="true"/>
              </w:rPr>
              <w:t>استيفاى دين از مال موصى توسط وصى</w:t>
            </w:r>
            <w:r>
              <w:rPr>
                <w:rStyle w:val="IndexLink"/>
                <w:rtl w:val="true"/>
              </w:rPr>
              <w:tab/>
            </w:r>
            <w:r>
              <w:rPr>
                <w:rStyle w:val="IndexLink"/>
              </w:rPr>
              <w:t>526</w:t>
            </w:r>
          </w:hyperlink>
        </w:p>
        <w:p>
          <w:pPr>
            <w:pStyle w:val="Contents5"/>
            <w:tabs>
              <w:tab w:val="clear" w:pos="7892"/>
              <w:tab w:val="right" w:pos="9026" w:leader="dot"/>
            </w:tabs>
            <w:rPr/>
          </w:pPr>
          <w:hyperlink w:anchor="__RefHeading___Toc3599717_1067777946">
            <w:r>
              <w:rPr>
                <w:webHidden/>
                <w:rStyle w:val="IndexLink"/>
                <w:rtl w:val="true"/>
              </w:rPr>
              <w:t>اختصاص ولايت وصى به مورد وصايت</w:t>
            </w:r>
            <w:r>
              <w:rPr>
                <w:rStyle w:val="IndexLink"/>
                <w:rtl w:val="true"/>
              </w:rPr>
              <w:tab/>
            </w:r>
            <w:r>
              <w:rPr>
                <w:rStyle w:val="IndexLink"/>
              </w:rPr>
              <w:t>527</w:t>
            </w:r>
          </w:hyperlink>
        </w:p>
        <w:p>
          <w:pPr>
            <w:pStyle w:val="Contents5"/>
            <w:tabs>
              <w:tab w:val="clear" w:pos="7892"/>
              <w:tab w:val="right" w:pos="9026" w:leader="dot"/>
            </w:tabs>
            <w:rPr/>
          </w:pPr>
          <w:hyperlink w:anchor="__RefHeading___Toc3599719_1067777946">
            <w:r>
              <w:rPr>
                <w:webHidden/>
                <w:rStyle w:val="IndexLink"/>
                <w:rtl w:val="true"/>
              </w:rPr>
              <w:t>فرض اطلاق وصايت</w:t>
            </w:r>
            <w:r>
              <w:rPr>
                <w:rStyle w:val="IndexLink"/>
                <w:rtl w:val="true"/>
              </w:rPr>
              <w:tab/>
            </w:r>
            <w:r>
              <w:rPr>
                <w:rStyle w:val="IndexLink"/>
              </w:rPr>
              <w:t>527</w:t>
            </w:r>
          </w:hyperlink>
        </w:p>
        <w:p>
          <w:pPr>
            <w:pStyle w:val="Contents5"/>
            <w:tabs>
              <w:tab w:val="clear" w:pos="7892"/>
              <w:tab w:val="right" w:pos="9026" w:leader="dot"/>
            </w:tabs>
            <w:rPr/>
          </w:pPr>
          <w:hyperlink w:anchor="__RefHeading___Toc3599721_1067777946">
            <w:r>
              <w:rPr>
                <w:webHidden/>
                <w:rStyle w:val="IndexLink"/>
                <w:rtl w:val="true"/>
              </w:rPr>
              <w:t>تقييد يا اطلاق ولايت وصىّ در قيموميّت صغار</w:t>
            </w:r>
            <w:r>
              <w:rPr>
                <w:rStyle w:val="IndexLink"/>
                <w:rtl w:val="true"/>
              </w:rPr>
              <w:tab/>
            </w:r>
            <w:r>
              <w:rPr>
                <w:rStyle w:val="IndexLink"/>
              </w:rPr>
              <w:t>527</w:t>
            </w:r>
          </w:hyperlink>
        </w:p>
        <w:p>
          <w:pPr>
            <w:pStyle w:val="Contents5"/>
            <w:tabs>
              <w:tab w:val="clear" w:pos="7892"/>
              <w:tab w:val="right" w:pos="9026" w:leader="dot"/>
            </w:tabs>
            <w:rPr/>
          </w:pPr>
          <w:hyperlink w:anchor="__RefHeading___Toc3599723_1067777946">
            <w:r>
              <w:rPr>
                <w:webHidden/>
                <w:rStyle w:val="IndexLink"/>
                <w:rtl w:val="true"/>
              </w:rPr>
              <w:t>ولايت هر كدام از اب و جدّ ابى در نصب قيّم با فقد ديگرى</w:t>
            </w:r>
            <w:r>
              <w:rPr>
                <w:rStyle w:val="IndexLink"/>
                <w:rtl w:val="true"/>
              </w:rPr>
              <w:tab/>
            </w:r>
            <w:r>
              <w:rPr>
                <w:rStyle w:val="IndexLink"/>
              </w:rPr>
              <w:t>528</w:t>
            </w:r>
          </w:hyperlink>
        </w:p>
        <w:p>
          <w:pPr>
            <w:pStyle w:val="Contents5"/>
            <w:tabs>
              <w:tab w:val="clear" w:pos="7892"/>
              <w:tab w:val="right" w:pos="9026" w:leader="dot"/>
            </w:tabs>
            <w:rPr/>
          </w:pPr>
          <w:hyperlink w:anchor="__RefHeading___Toc3599725_1067777946">
            <w:r>
              <w:rPr>
                <w:webHidden/>
                <w:rStyle w:val="IndexLink"/>
                <w:rtl w:val="true"/>
              </w:rPr>
              <w:t>لزوم رعايت اعتدال در انفاق بر صغير توسط وصىّ‌</w:t>
            </w:r>
            <w:r>
              <w:rPr>
                <w:rStyle w:val="IndexLink"/>
                <w:rtl w:val="true"/>
              </w:rPr>
              <w:tab/>
            </w:r>
            <w:r>
              <w:rPr>
                <w:rStyle w:val="IndexLink"/>
              </w:rPr>
              <w:t>528</w:t>
            </w:r>
          </w:hyperlink>
        </w:p>
        <w:p>
          <w:pPr>
            <w:pStyle w:val="Contents5"/>
            <w:tabs>
              <w:tab w:val="clear" w:pos="7892"/>
              <w:tab w:val="right" w:pos="9026" w:leader="dot"/>
            </w:tabs>
            <w:rPr/>
          </w:pPr>
          <w:hyperlink w:anchor="__RefHeading___Toc3599727_1067777946">
            <w:r>
              <w:rPr>
                <w:webHidden/>
                <w:rStyle w:val="IndexLink"/>
                <w:rtl w:val="true"/>
              </w:rPr>
              <w:t>موارد جواز اخذ اجرت المثل عمل در اموال صغار</w:t>
            </w:r>
            <w:r>
              <w:rPr>
                <w:rStyle w:val="IndexLink"/>
                <w:rtl w:val="true"/>
              </w:rPr>
              <w:tab/>
            </w:r>
            <w:r>
              <w:rPr>
                <w:rStyle w:val="IndexLink"/>
              </w:rPr>
              <w:t>528</w:t>
            </w:r>
          </w:hyperlink>
        </w:p>
        <w:p>
          <w:pPr>
            <w:pStyle w:val="Contents5"/>
            <w:tabs>
              <w:tab w:val="clear" w:pos="7892"/>
              <w:tab w:val="right" w:pos="9026" w:leader="dot"/>
            </w:tabs>
            <w:rPr/>
          </w:pPr>
          <w:hyperlink w:anchor="__RefHeading___Toc3599729_1067777946">
            <w:r>
              <w:rPr>
                <w:webHidden/>
                <w:rStyle w:val="IndexLink"/>
                <w:rtl w:val="true"/>
              </w:rPr>
              <w:t>تعيين اجرت توسط موصى و ازيديّت از اجرت المثل</w:t>
            </w:r>
            <w:r>
              <w:rPr>
                <w:rStyle w:val="IndexLink"/>
                <w:rtl w:val="true"/>
              </w:rPr>
              <w:tab/>
            </w:r>
            <w:r>
              <w:rPr>
                <w:rStyle w:val="IndexLink"/>
              </w:rPr>
              <w:t>529</w:t>
            </w:r>
          </w:hyperlink>
        </w:p>
        <w:p>
          <w:pPr>
            <w:pStyle w:val="Contents5"/>
            <w:tabs>
              <w:tab w:val="clear" w:pos="7892"/>
              <w:tab w:val="right" w:pos="9026" w:leader="dot"/>
            </w:tabs>
            <w:rPr/>
          </w:pPr>
          <w:hyperlink w:anchor="__RefHeading___Toc3599731_1067777946">
            <w:r>
              <w:rPr>
                <w:webHidden/>
                <w:rStyle w:val="IndexLink"/>
                <w:rtl w:val="true"/>
              </w:rPr>
              <w:t>اجرت المثل در صرف ثلث</w:t>
            </w:r>
            <w:r>
              <w:rPr>
                <w:rStyle w:val="IndexLink"/>
                <w:rtl w:val="true"/>
              </w:rPr>
              <w:tab/>
            </w:r>
            <w:r>
              <w:rPr>
                <w:rStyle w:val="IndexLink"/>
              </w:rPr>
              <w:t>529</w:t>
            </w:r>
          </w:hyperlink>
        </w:p>
        <w:p>
          <w:pPr>
            <w:pStyle w:val="Contents5"/>
            <w:tabs>
              <w:tab w:val="clear" w:pos="7892"/>
              <w:tab w:val="right" w:pos="9026" w:leader="dot"/>
            </w:tabs>
            <w:rPr/>
          </w:pPr>
          <w:hyperlink w:anchor="__RefHeading___Toc3599733_1067777946">
            <w:r>
              <w:rPr>
                <w:webHidden/>
                <w:rStyle w:val="IndexLink"/>
                <w:rtl w:val="true"/>
              </w:rPr>
              <w:t>ايصاى وصى به غير</w:t>
            </w:r>
            <w:r>
              <w:rPr>
                <w:rStyle w:val="IndexLink"/>
                <w:rtl w:val="true"/>
              </w:rPr>
              <w:tab/>
            </w:r>
            <w:r>
              <w:rPr>
                <w:rStyle w:val="IndexLink"/>
              </w:rPr>
              <w:t>529</w:t>
            </w:r>
          </w:hyperlink>
        </w:p>
        <w:p>
          <w:pPr>
            <w:pStyle w:val="Contents5"/>
            <w:tabs>
              <w:tab w:val="clear" w:pos="7892"/>
              <w:tab w:val="right" w:pos="9026" w:leader="dot"/>
            </w:tabs>
            <w:rPr/>
          </w:pPr>
          <w:hyperlink w:anchor="__RefHeading___Toc3599735_1067777946">
            <w:r>
              <w:rPr>
                <w:webHidden/>
                <w:rStyle w:val="IndexLink"/>
                <w:rtl w:val="true"/>
              </w:rPr>
              <w:t>اختيار حاكم و عدول مؤمنين در ميّت بدون وصى</w:t>
            </w:r>
            <w:r>
              <w:rPr>
                <w:rStyle w:val="IndexLink"/>
                <w:rtl w:val="true"/>
              </w:rPr>
              <w:tab/>
            </w:r>
            <w:r>
              <w:rPr>
                <w:rStyle w:val="IndexLink"/>
              </w:rPr>
              <w:t>530</w:t>
            </w:r>
          </w:hyperlink>
        </w:p>
        <w:p>
          <w:pPr>
            <w:pStyle w:val="Contents5"/>
            <w:tabs>
              <w:tab w:val="clear" w:pos="7892"/>
              <w:tab w:val="right" w:pos="9026" w:leader="dot"/>
            </w:tabs>
            <w:rPr/>
          </w:pPr>
          <w:hyperlink w:anchor="__RefHeading___Toc3599737_1067777946">
            <w:r>
              <w:rPr>
                <w:webHidden/>
                <w:rStyle w:val="IndexLink"/>
                <w:rtl w:val="true"/>
              </w:rPr>
              <w:t>نفوذ وصايت پدر و جدّ پدرى</w:t>
            </w:r>
            <w:r>
              <w:rPr>
                <w:rStyle w:val="IndexLink"/>
                <w:rtl w:val="true"/>
              </w:rPr>
              <w:tab/>
            </w:r>
            <w:r>
              <w:rPr>
                <w:rStyle w:val="IndexLink"/>
              </w:rPr>
              <w:t>530</w:t>
            </w:r>
          </w:hyperlink>
        </w:p>
        <w:p>
          <w:pPr>
            <w:pStyle w:val="Contents4"/>
            <w:tabs>
              <w:tab w:val="clear" w:pos="8176"/>
              <w:tab w:val="right" w:pos="9026" w:leader="dot"/>
            </w:tabs>
            <w:rPr/>
          </w:pPr>
          <w:hyperlink w:anchor="__RefHeading___Toc3599739_1067777946">
            <w:r>
              <w:rPr>
                <w:webHidden/>
                <w:rStyle w:val="IndexLink"/>
                <w:rtl w:val="true"/>
              </w:rPr>
              <w:t>چند فرع</w:t>
            </w:r>
            <w:r>
              <w:rPr>
                <w:rStyle w:val="IndexLink"/>
                <w:rtl w:val="true"/>
              </w:rPr>
              <w:tab/>
            </w:r>
            <w:r>
              <w:rPr>
                <w:rStyle w:val="IndexLink"/>
              </w:rPr>
              <w:t>531</w:t>
            </w:r>
          </w:hyperlink>
        </w:p>
        <w:p>
          <w:pPr>
            <w:pStyle w:val="Contents5"/>
            <w:tabs>
              <w:tab w:val="clear" w:pos="7892"/>
              <w:tab w:val="right" w:pos="9026" w:leader="dot"/>
            </w:tabs>
            <w:rPr/>
          </w:pPr>
          <w:hyperlink w:anchor="__RefHeading___Toc3599741_1067777946">
            <w:r>
              <w:rPr>
                <w:webHidden/>
                <w:rStyle w:val="IndexLink"/>
                <w:rtl w:val="true"/>
              </w:rPr>
              <w:t>كفايت تحقق شروط وصى در حال موت</w:t>
            </w:r>
            <w:r>
              <w:rPr>
                <w:rStyle w:val="IndexLink"/>
                <w:rtl w:val="true"/>
              </w:rPr>
              <w:tab/>
            </w:r>
            <w:r>
              <w:rPr>
                <w:rStyle w:val="IndexLink"/>
              </w:rPr>
              <w:t>531</w:t>
            </w:r>
          </w:hyperlink>
        </w:p>
        <w:p>
          <w:pPr>
            <w:pStyle w:val="Contents5"/>
            <w:tabs>
              <w:tab w:val="clear" w:pos="7892"/>
              <w:tab w:val="right" w:pos="9026" w:leader="dot"/>
            </w:tabs>
            <w:rPr/>
          </w:pPr>
          <w:hyperlink w:anchor="__RefHeading___Toc3599743_1067777946">
            <w:r>
              <w:rPr>
                <w:webHidden/>
                <w:rStyle w:val="IndexLink"/>
                <w:rtl w:val="true"/>
              </w:rPr>
              <w:t>فقدان بعض شروط وصى بعد از فوت موصى</w:t>
            </w:r>
            <w:r>
              <w:rPr>
                <w:rStyle w:val="IndexLink"/>
                <w:rtl w:val="true"/>
              </w:rPr>
              <w:tab/>
            </w:r>
            <w:r>
              <w:rPr>
                <w:rStyle w:val="IndexLink"/>
              </w:rPr>
              <w:t>531</w:t>
            </w:r>
          </w:hyperlink>
        </w:p>
        <w:p>
          <w:pPr>
            <w:pStyle w:val="Contents5"/>
            <w:tabs>
              <w:tab w:val="clear" w:pos="7892"/>
              <w:tab w:val="right" w:pos="9026" w:leader="dot"/>
            </w:tabs>
            <w:rPr/>
          </w:pPr>
          <w:hyperlink w:anchor="__RefHeading___Toc3599745_1067777946">
            <w:r>
              <w:rPr>
                <w:webHidden/>
                <w:rStyle w:val="IndexLink"/>
                <w:rtl w:val="true"/>
              </w:rPr>
              <w:t>وصايت به ولايت</w:t>
            </w:r>
            <w:r>
              <w:rPr>
                <w:rStyle w:val="IndexLink"/>
                <w:rtl w:val="true"/>
              </w:rPr>
              <w:tab/>
            </w:r>
            <w:r>
              <w:rPr>
                <w:rStyle w:val="IndexLink"/>
              </w:rPr>
              <w:t>531</w:t>
            </w:r>
          </w:hyperlink>
        </w:p>
        <w:p>
          <w:pPr>
            <w:pStyle w:val="Contents5"/>
            <w:tabs>
              <w:tab w:val="clear" w:pos="7892"/>
              <w:tab w:val="right" w:pos="9026" w:leader="dot"/>
            </w:tabs>
            <w:rPr/>
          </w:pPr>
          <w:hyperlink w:anchor="__RefHeading___Toc3599747_1067777946">
            <w:r>
              <w:rPr>
                <w:webHidden/>
                <w:rStyle w:val="IndexLink"/>
                <w:rtl w:val="true"/>
              </w:rPr>
              <w:t>وصايت به اخراج ديون و حقوق و</w:t>
            </w:r>
            <w:r>
              <w:rPr>
                <w:rStyle w:val="IndexLink"/>
                <w:rtl w:val="true"/>
              </w:rPr>
              <w:t>...</w:t>
              <w:tab/>
            </w:r>
            <w:r>
              <w:rPr>
                <w:rStyle w:val="IndexLink"/>
              </w:rPr>
              <w:t>532</w:t>
            </w:r>
          </w:hyperlink>
        </w:p>
        <w:p>
          <w:pPr>
            <w:pStyle w:val="Contents5"/>
            <w:tabs>
              <w:tab w:val="clear" w:pos="7892"/>
              <w:tab w:val="right" w:pos="9026" w:leader="dot"/>
            </w:tabs>
            <w:rPr/>
          </w:pPr>
          <w:hyperlink w:anchor="__RefHeading___Toc3599749_1067777946">
            <w:r>
              <w:rPr>
                <w:webHidden/>
                <w:rStyle w:val="IndexLink"/>
                <w:rtl w:val="true"/>
              </w:rPr>
              <w:t>وصيّت براى اجنبى به مثل نصيب وارث</w:t>
            </w:r>
            <w:r>
              <w:rPr>
                <w:rStyle w:val="IndexLink"/>
                <w:rtl w:val="true"/>
              </w:rPr>
              <w:tab/>
            </w:r>
            <w:r>
              <w:rPr>
                <w:rStyle w:val="IndexLink"/>
              </w:rPr>
              <w:t>532</w:t>
            </w:r>
          </w:hyperlink>
        </w:p>
        <w:p>
          <w:pPr>
            <w:pStyle w:val="Contents3"/>
            <w:tabs>
              <w:tab w:val="clear" w:pos="8459"/>
              <w:tab w:val="right" w:pos="9026" w:leader="dot"/>
            </w:tabs>
            <w:rPr/>
          </w:pPr>
          <w:hyperlink w:anchor="__RefHeading___Toc3599751_1067777946">
            <w:r>
              <w:rPr>
                <w:webHidden/>
                <w:rStyle w:val="IndexLink"/>
                <w:rtl w:val="true"/>
              </w:rPr>
              <w:t>فصل ششم منجّزات مريض</w:t>
            </w:r>
            <w:r>
              <w:rPr>
                <w:rStyle w:val="IndexLink"/>
                <w:rtl w:val="true"/>
              </w:rPr>
              <w:tab/>
            </w:r>
            <w:r>
              <w:rPr>
                <w:rStyle w:val="IndexLink"/>
              </w:rPr>
              <w:t>533</w:t>
            </w:r>
          </w:hyperlink>
        </w:p>
        <w:p>
          <w:pPr>
            <w:pStyle w:val="Contents4"/>
            <w:tabs>
              <w:tab w:val="clear" w:pos="8176"/>
              <w:tab w:val="right" w:pos="9026" w:leader="dot"/>
            </w:tabs>
            <w:rPr/>
          </w:pPr>
          <w:hyperlink w:anchor="__RefHeading___Toc3599753_1067777946">
            <w:r>
              <w:rPr>
                <w:webHidden/>
                <w:rStyle w:val="IndexLink"/>
                <w:rtl w:val="true"/>
              </w:rPr>
              <w:t>خروج منجّزات از اصل تركه</w:t>
            </w:r>
            <w:r>
              <w:rPr>
                <w:rStyle w:val="IndexLink"/>
                <w:rtl w:val="true"/>
              </w:rPr>
              <w:tab/>
            </w:r>
            <w:r>
              <w:rPr>
                <w:rStyle w:val="IndexLink"/>
              </w:rPr>
              <w:t>533</w:t>
            </w:r>
          </w:hyperlink>
        </w:p>
        <w:p>
          <w:pPr>
            <w:pStyle w:val="Contents4"/>
            <w:tabs>
              <w:tab w:val="clear" w:pos="8176"/>
              <w:tab w:val="right" w:pos="9026" w:leader="dot"/>
            </w:tabs>
            <w:rPr/>
          </w:pPr>
          <w:hyperlink w:anchor="__RefHeading___Toc3599755_1067777946">
            <w:r>
              <w:rPr>
                <w:webHidden/>
                <w:rStyle w:val="IndexLink"/>
                <w:rtl w:val="true"/>
              </w:rPr>
              <w:t>اقرار مريض غير متهم و متهم</w:t>
            </w:r>
            <w:r>
              <w:rPr>
                <w:rStyle w:val="IndexLink"/>
                <w:rtl w:val="true"/>
              </w:rPr>
              <w:tab/>
            </w:r>
            <w:r>
              <w:rPr>
                <w:rStyle w:val="IndexLink"/>
              </w:rPr>
              <w:t>533</w:t>
            </w:r>
          </w:hyperlink>
        </w:p>
        <w:p>
          <w:pPr>
            <w:pStyle w:val="Contents4"/>
            <w:tabs>
              <w:tab w:val="clear" w:pos="8176"/>
              <w:tab w:val="right" w:pos="9026" w:leader="dot"/>
            </w:tabs>
            <w:rPr/>
          </w:pPr>
          <w:hyperlink w:anchor="__RefHeading___Toc3599757_1067777946">
            <w:r>
              <w:rPr>
                <w:webHidden/>
                <w:rStyle w:val="IndexLink"/>
                <w:rtl w:val="true"/>
              </w:rPr>
              <w:t>چند مسأله</w:t>
            </w:r>
            <w:r>
              <w:rPr>
                <w:rStyle w:val="IndexLink"/>
                <w:rtl w:val="true"/>
              </w:rPr>
              <w:tab/>
            </w:r>
            <w:r>
              <w:rPr>
                <w:rStyle w:val="IndexLink"/>
              </w:rPr>
              <w:t>534</w:t>
            </w:r>
          </w:hyperlink>
        </w:p>
        <w:p>
          <w:pPr>
            <w:pStyle w:val="Contents5"/>
            <w:tabs>
              <w:tab w:val="clear" w:pos="7892"/>
              <w:tab w:val="right" w:pos="9026" w:leader="dot"/>
            </w:tabs>
            <w:rPr/>
          </w:pPr>
          <w:hyperlink w:anchor="__RefHeading___Toc3599759_1067777946">
            <w:r>
              <w:rPr>
                <w:webHidden/>
                <w:rStyle w:val="IndexLink"/>
                <w:rtl w:val="true"/>
              </w:rPr>
              <w:t>تعدّد وصايا و منجّزات و عدم كفايت ثلث به آن</w:t>
            </w:r>
            <w:r>
              <w:rPr>
                <w:rStyle w:val="IndexLink"/>
                <w:rtl w:val="true"/>
              </w:rPr>
              <w:tab/>
            </w:r>
            <w:r>
              <w:rPr>
                <w:rStyle w:val="IndexLink"/>
              </w:rPr>
              <w:t>534</w:t>
            </w:r>
          </w:hyperlink>
        </w:p>
        <w:p>
          <w:pPr>
            <w:pStyle w:val="Contents5"/>
            <w:tabs>
              <w:tab w:val="clear" w:pos="7892"/>
              <w:tab w:val="right" w:pos="9026" w:leader="dot"/>
            </w:tabs>
            <w:rPr/>
          </w:pPr>
          <w:hyperlink w:anchor="__RefHeading___Toc3599761_1067777946">
            <w:r>
              <w:rPr>
                <w:webHidden/>
                <w:rStyle w:val="IndexLink"/>
                <w:rtl w:val="true"/>
              </w:rPr>
              <w:t>بيع مريض و عدم اجازۀ محابات ازيد از ثلث بنابر خروج منجّز از ثلث</w:t>
            </w:r>
            <w:r>
              <w:rPr>
                <w:rStyle w:val="IndexLink"/>
                <w:rtl w:val="true"/>
              </w:rPr>
              <w:tab/>
            </w:r>
            <w:r>
              <w:rPr>
                <w:rStyle w:val="IndexLink"/>
              </w:rPr>
              <w:t>535</w:t>
            </w:r>
          </w:hyperlink>
        </w:p>
        <w:p>
          <w:pPr>
            <w:pStyle w:val="Contents5"/>
            <w:tabs>
              <w:tab w:val="clear" w:pos="7892"/>
              <w:tab w:val="right" w:pos="9026" w:leader="dot"/>
            </w:tabs>
            <w:rPr/>
          </w:pPr>
          <w:hyperlink w:anchor="__RefHeading___Toc3599763_1067777946">
            <w:r>
              <w:rPr>
                <w:webHidden/>
                <w:rStyle w:val="IndexLink"/>
                <w:rtl w:val="true"/>
              </w:rPr>
              <w:t>بيع عبد به اقل قيمت و عدم اجازۀ محابات ازيد از ثلث بنابر خروج منجّز از ثلث</w:t>
            </w:r>
            <w:r>
              <w:rPr>
                <w:rStyle w:val="IndexLink"/>
                <w:rtl w:val="true"/>
              </w:rPr>
              <w:tab/>
            </w:r>
            <w:r>
              <w:rPr>
                <w:rStyle w:val="IndexLink"/>
              </w:rPr>
              <w:t>536</w:t>
            </w:r>
          </w:hyperlink>
        </w:p>
        <w:p>
          <w:pPr>
            <w:pStyle w:val="Contents5"/>
            <w:tabs>
              <w:tab w:val="clear" w:pos="7892"/>
              <w:tab w:val="right" w:pos="9026" w:leader="dot"/>
            </w:tabs>
            <w:rPr/>
          </w:pPr>
          <w:hyperlink w:anchor="__RefHeading___Toc3599765_1067777946">
            <w:r>
              <w:rPr>
                <w:webHidden/>
                <w:rStyle w:val="IndexLink"/>
                <w:rtl w:val="true"/>
              </w:rPr>
              <w:t>بيع چيزى با چيز نصف قيمت آن</w:t>
            </w:r>
            <w:r>
              <w:rPr>
                <w:rStyle w:val="IndexLink"/>
                <w:rtl w:val="true"/>
              </w:rPr>
              <w:tab/>
            </w:r>
            <w:r>
              <w:rPr>
                <w:rStyle w:val="IndexLink"/>
              </w:rPr>
              <w:t>537</w:t>
            </w:r>
          </w:hyperlink>
        </w:p>
        <w:p>
          <w:pPr>
            <w:pStyle w:val="Contents5"/>
            <w:tabs>
              <w:tab w:val="clear" w:pos="7892"/>
              <w:tab w:val="right" w:pos="9026" w:leader="dot"/>
            </w:tabs>
            <w:rPr/>
          </w:pPr>
          <w:hyperlink w:anchor="__RefHeading___Toc3599767_1067777946">
            <w:r>
              <w:rPr>
                <w:webHidden/>
                <w:rStyle w:val="IndexLink"/>
                <w:rtl w:val="true"/>
              </w:rPr>
              <w:t>معاملۀ قفيز با قفيزِ ثلث قيمت آن</w:t>
            </w:r>
            <w:r>
              <w:rPr>
                <w:rStyle w:val="IndexLink"/>
                <w:rtl w:val="true"/>
              </w:rPr>
              <w:tab/>
            </w:r>
            <w:r>
              <w:rPr>
                <w:rStyle w:val="IndexLink"/>
              </w:rPr>
              <w:t>537</w:t>
            </w:r>
          </w:hyperlink>
        </w:p>
        <w:p>
          <w:pPr>
            <w:pStyle w:val="Contents5"/>
            <w:tabs>
              <w:tab w:val="clear" w:pos="7892"/>
              <w:tab w:val="right" w:pos="9026" w:leader="dot"/>
            </w:tabs>
            <w:rPr/>
          </w:pPr>
          <w:hyperlink w:anchor="__RefHeading___Toc3599769_1067777946">
            <w:r>
              <w:rPr>
                <w:webHidden/>
                <w:rStyle w:val="IndexLink"/>
                <w:rtl w:val="true"/>
              </w:rPr>
              <w:t>ضابطۀ كلّى مسأله</w:t>
            </w:r>
            <w:r>
              <w:rPr>
                <w:rStyle w:val="IndexLink"/>
                <w:rtl w:val="true"/>
              </w:rPr>
              <w:tab/>
            </w:r>
            <w:r>
              <w:rPr>
                <w:rStyle w:val="IndexLink"/>
              </w:rPr>
              <w:t>537</w:t>
            </w:r>
          </w:hyperlink>
        </w:p>
        <w:p>
          <w:pPr>
            <w:pStyle w:val="Contents5"/>
            <w:tabs>
              <w:tab w:val="clear" w:pos="7892"/>
              <w:tab w:val="right" w:pos="9026" w:leader="dot"/>
            </w:tabs>
            <w:rPr/>
          </w:pPr>
          <w:hyperlink w:anchor="__RefHeading___Toc3599771_1067777946">
            <w:r>
              <w:rPr>
                <w:webHidden/>
                <w:rStyle w:val="IndexLink"/>
                <w:rtl w:val="true"/>
              </w:rPr>
              <w:t>عتق و ازدواج با كنيز در مرض موت و حكم امهار او</w:t>
            </w:r>
            <w:r>
              <w:rPr>
                <w:rStyle w:val="IndexLink"/>
                <w:rtl w:val="true"/>
              </w:rPr>
              <w:tab/>
            </w:r>
            <w:r>
              <w:rPr>
                <w:rStyle w:val="IndexLink"/>
              </w:rPr>
              <w:t>538</w:t>
            </w:r>
          </w:hyperlink>
        </w:p>
        <w:p>
          <w:pPr>
            <w:pStyle w:val="Contents2"/>
            <w:tabs>
              <w:tab w:val="clear" w:pos="8743"/>
              <w:tab w:val="right" w:pos="9026" w:leader="dot"/>
            </w:tabs>
            <w:rPr/>
          </w:pPr>
          <w:hyperlink w:anchor="__RefHeading___Toc3599773_1067777946">
            <w:r>
              <w:rPr>
                <w:webHidden/>
                <w:rStyle w:val="IndexLink"/>
                <w:rtl w:val="true"/>
              </w:rPr>
              <w:t>كتاب نكاح</w:t>
            </w:r>
            <w:r>
              <w:rPr>
                <w:rStyle w:val="IndexLink"/>
                <w:rtl w:val="true"/>
              </w:rPr>
              <w:tab/>
            </w:r>
            <w:r>
              <w:rPr>
                <w:rStyle w:val="IndexLink"/>
              </w:rPr>
              <w:t>542</w:t>
            </w:r>
          </w:hyperlink>
        </w:p>
        <w:p>
          <w:pPr>
            <w:pStyle w:val="Contents3"/>
            <w:tabs>
              <w:tab w:val="clear" w:pos="8459"/>
              <w:tab w:val="right" w:pos="9026" w:leader="dot"/>
            </w:tabs>
            <w:rPr/>
          </w:pPr>
          <w:hyperlink w:anchor="__RefHeading___Toc3599775_1067777946">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3599777_1067777946">
            <w:r>
              <w:rPr>
                <w:webHidden/>
                <w:rStyle w:val="IndexLink"/>
                <w:rtl w:val="true"/>
              </w:rPr>
              <w:t>فصل اوّل النكاح الدائم</w:t>
            </w:r>
            <w:r>
              <w:rPr>
                <w:rStyle w:val="IndexLink"/>
                <w:rtl w:val="true"/>
              </w:rPr>
              <w:tab/>
            </w:r>
            <w:r>
              <w:rPr>
                <w:rStyle w:val="IndexLink"/>
              </w:rPr>
              <w:t>544</w:t>
            </w:r>
          </w:hyperlink>
        </w:p>
        <w:p>
          <w:pPr>
            <w:pStyle w:val="Contents4"/>
            <w:tabs>
              <w:tab w:val="clear" w:pos="8176"/>
              <w:tab w:val="right" w:pos="9026" w:leader="dot"/>
            </w:tabs>
            <w:rPr/>
          </w:pPr>
          <w:hyperlink w:anchor="__RefHeading___Toc3599779_1067777946">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3599781_1067777946">
            <w:r>
              <w:rPr>
                <w:webHidden/>
                <w:rStyle w:val="IndexLink"/>
                <w:rtl w:val="true"/>
              </w:rPr>
              <w:t>في صيغة العقد و أحكامه و آدابه</w:t>
            </w:r>
            <w:r>
              <w:rPr>
                <w:rStyle w:val="IndexLink"/>
                <w:rtl w:val="true"/>
              </w:rPr>
              <w:tab/>
            </w:r>
            <w:r>
              <w:rPr>
                <w:rStyle w:val="IndexLink"/>
              </w:rPr>
              <w:t>544</w:t>
            </w:r>
          </w:hyperlink>
        </w:p>
        <w:p>
          <w:pPr>
            <w:pStyle w:val="Contents4"/>
            <w:tabs>
              <w:tab w:val="clear" w:pos="8176"/>
              <w:tab w:val="right" w:pos="9026" w:leader="dot"/>
            </w:tabs>
            <w:rPr/>
          </w:pPr>
          <w:hyperlink w:anchor="__RefHeading___Toc3599783_1067777946">
            <w:r>
              <w:rPr>
                <w:webHidden/>
                <w:rStyle w:val="IndexLink"/>
                <w:rtl w:val="true"/>
              </w:rPr>
              <w:t>التعبير في الإيجاب و القبول بالماضى و الأمر و المستقبل</w:t>
            </w:r>
            <w:r>
              <w:rPr>
                <w:rStyle w:val="IndexLink"/>
                <w:rtl w:val="true"/>
              </w:rPr>
              <w:tab/>
            </w:r>
            <w:r>
              <w:rPr>
                <w:rStyle w:val="IndexLink"/>
              </w:rPr>
              <w:t>544</w:t>
            </w:r>
          </w:hyperlink>
        </w:p>
        <w:p>
          <w:pPr>
            <w:pStyle w:val="Contents4"/>
            <w:tabs>
              <w:tab w:val="clear" w:pos="8176"/>
              <w:tab w:val="right" w:pos="9026" w:leader="dot"/>
            </w:tabs>
            <w:rPr/>
          </w:pPr>
          <w:hyperlink w:anchor="__RefHeading___Toc3599785_1067777946">
            <w:r>
              <w:rPr>
                <w:webHidden/>
                <w:rStyle w:val="IndexLink"/>
                <w:rtl w:val="true"/>
              </w:rPr>
              <w:t>عدم اعتبار تقديم القبول</w:t>
            </w:r>
            <w:r>
              <w:rPr>
                <w:rStyle w:val="IndexLink"/>
                <w:rtl w:val="true"/>
              </w:rPr>
              <w:tab/>
            </w:r>
            <w:r>
              <w:rPr>
                <w:rStyle w:val="IndexLink"/>
              </w:rPr>
              <w:t>544</w:t>
            </w:r>
          </w:hyperlink>
        </w:p>
        <w:p>
          <w:pPr>
            <w:pStyle w:val="Contents4"/>
            <w:tabs>
              <w:tab w:val="clear" w:pos="8176"/>
              <w:tab w:val="right" w:pos="9026" w:leader="dot"/>
            </w:tabs>
            <w:rPr/>
          </w:pPr>
          <w:hyperlink w:anchor="__RefHeading___Toc3599787_1067777946">
            <w:r>
              <w:rPr>
                <w:webHidden/>
                <w:rStyle w:val="IndexLink"/>
                <w:rtl w:val="true"/>
              </w:rPr>
              <w:t>العقد العربى و الفارسى و غيرهما</w:t>
            </w:r>
            <w:r>
              <w:rPr>
                <w:rStyle w:val="IndexLink"/>
                <w:rtl w:val="true"/>
              </w:rPr>
              <w:tab/>
            </w:r>
            <w:r>
              <w:rPr>
                <w:rStyle w:val="IndexLink"/>
              </w:rPr>
              <w:t>544</w:t>
            </w:r>
          </w:hyperlink>
        </w:p>
        <w:p>
          <w:pPr>
            <w:pStyle w:val="Contents4"/>
            <w:tabs>
              <w:tab w:val="clear" w:pos="8176"/>
              <w:tab w:val="right" w:pos="9026" w:leader="dot"/>
            </w:tabs>
            <w:rPr/>
          </w:pPr>
          <w:hyperlink w:anchor="__RefHeading___Toc3599789_1067777946">
            <w:r>
              <w:rPr>
                <w:webHidden/>
                <w:rStyle w:val="IndexLink"/>
                <w:rtl w:val="true"/>
              </w:rPr>
              <w:t>عدم لزوم التوكيل في الأخرس</w:t>
            </w:r>
            <w:r>
              <w:rPr>
                <w:rStyle w:val="IndexLink"/>
                <w:rtl w:val="true"/>
              </w:rPr>
              <w:tab/>
            </w:r>
            <w:r>
              <w:rPr>
                <w:rStyle w:val="IndexLink"/>
              </w:rPr>
              <w:t>545</w:t>
            </w:r>
          </w:hyperlink>
        </w:p>
        <w:p>
          <w:pPr>
            <w:pStyle w:val="Contents4"/>
            <w:tabs>
              <w:tab w:val="clear" w:pos="8176"/>
              <w:tab w:val="right" w:pos="9026" w:leader="dot"/>
            </w:tabs>
            <w:rPr/>
          </w:pPr>
          <w:hyperlink w:anchor="__RefHeading___Toc3599791_1067777946">
            <w:r>
              <w:rPr>
                <w:webHidden/>
                <w:rStyle w:val="IndexLink"/>
                <w:rtl w:val="true"/>
              </w:rPr>
              <w:t>عدم الاعتبار بعبارة الصبى و المجنون</w:t>
            </w:r>
            <w:r>
              <w:rPr>
                <w:rStyle w:val="IndexLink"/>
                <w:rtl w:val="true"/>
              </w:rPr>
              <w:tab/>
            </w:r>
            <w:r>
              <w:rPr>
                <w:rStyle w:val="IndexLink"/>
              </w:rPr>
              <w:t>545</w:t>
            </w:r>
          </w:hyperlink>
        </w:p>
        <w:p>
          <w:pPr>
            <w:pStyle w:val="Contents4"/>
            <w:tabs>
              <w:tab w:val="clear" w:pos="8176"/>
              <w:tab w:val="right" w:pos="9026" w:leader="dot"/>
            </w:tabs>
            <w:rPr/>
          </w:pPr>
          <w:hyperlink w:anchor="__RefHeading___Toc3599793_1067777946">
            <w:r>
              <w:rPr>
                <w:webHidden/>
                <w:rStyle w:val="IndexLink"/>
                <w:rtl w:val="true"/>
              </w:rPr>
              <w:t>عدم اعتبار حضور العدلين</w:t>
            </w:r>
            <w:r>
              <w:rPr>
                <w:rStyle w:val="IndexLink"/>
                <w:rtl w:val="true"/>
              </w:rPr>
              <w:tab/>
            </w:r>
            <w:r>
              <w:rPr>
                <w:rStyle w:val="IndexLink"/>
              </w:rPr>
              <w:t>545</w:t>
            </w:r>
          </w:hyperlink>
        </w:p>
        <w:p>
          <w:pPr>
            <w:pStyle w:val="Contents4"/>
            <w:tabs>
              <w:tab w:val="clear" w:pos="8176"/>
              <w:tab w:val="right" w:pos="9026" w:leader="dot"/>
            </w:tabs>
            <w:rPr/>
          </w:pPr>
          <w:hyperlink w:anchor="__RefHeading___Toc3599795_1067777946">
            <w:r>
              <w:rPr>
                <w:webHidden/>
                <w:rStyle w:val="IndexLink"/>
                <w:rtl w:val="true"/>
              </w:rPr>
              <w:t>ادّعاء الزوجيّة و انكار المرأة و ادّعاء اختها الزوجيّة و انكار الرجل</w:t>
            </w:r>
            <w:r>
              <w:rPr>
                <w:rStyle w:val="IndexLink"/>
                <w:rtl w:val="true"/>
              </w:rPr>
              <w:tab/>
            </w:r>
            <w:r>
              <w:rPr>
                <w:rStyle w:val="IndexLink"/>
              </w:rPr>
              <w:t>545</w:t>
            </w:r>
          </w:hyperlink>
        </w:p>
        <w:p>
          <w:pPr>
            <w:pStyle w:val="Contents4"/>
            <w:tabs>
              <w:tab w:val="clear" w:pos="8176"/>
              <w:tab w:val="right" w:pos="9026" w:leader="dot"/>
            </w:tabs>
            <w:rPr/>
          </w:pPr>
          <w:hyperlink w:anchor="__RefHeading___Toc3599797_1067777946">
            <w:r>
              <w:rPr>
                <w:webHidden/>
                <w:rStyle w:val="IndexLink"/>
                <w:rtl w:val="true"/>
              </w:rPr>
              <w:t>لو عقد على امرأة و ادّعى الآخر زوجيّتها</w:t>
            </w:r>
            <w:r>
              <w:rPr>
                <w:rStyle w:val="IndexLink"/>
                <w:rtl w:val="true"/>
              </w:rPr>
              <w:tab/>
            </w:r>
            <w:r>
              <w:rPr>
                <w:rStyle w:val="IndexLink"/>
              </w:rPr>
              <w:t>546</w:t>
            </w:r>
          </w:hyperlink>
        </w:p>
        <w:p>
          <w:pPr>
            <w:pStyle w:val="Contents4"/>
            <w:tabs>
              <w:tab w:val="clear" w:pos="8176"/>
              <w:tab w:val="right" w:pos="9026" w:leader="dot"/>
            </w:tabs>
            <w:rPr/>
          </w:pPr>
          <w:hyperlink w:anchor="__RefHeading___Toc3599799_1067777946">
            <w:r>
              <w:rPr>
                <w:webHidden/>
                <w:rStyle w:val="IndexLink"/>
                <w:rtl w:val="true"/>
              </w:rPr>
              <w:t>لو زوج واحدة من نباته و لم يسمّهن</w:t>
            </w:r>
            <w:r>
              <w:rPr>
                <w:rStyle w:val="IndexLink"/>
                <w:rtl w:val="true"/>
              </w:rPr>
              <w:tab/>
            </w:r>
            <w:r>
              <w:rPr>
                <w:rStyle w:val="IndexLink"/>
              </w:rPr>
              <w:t>546</w:t>
            </w:r>
          </w:hyperlink>
        </w:p>
        <w:p>
          <w:pPr>
            <w:pStyle w:val="Contents4"/>
            <w:tabs>
              <w:tab w:val="clear" w:pos="8176"/>
              <w:tab w:val="right" w:pos="9026" w:leader="dot"/>
            </w:tabs>
            <w:rPr/>
          </w:pPr>
          <w:hyperlink w:anchor="__RefHeading___Toc3599801_1067777946">
            <w:r>
              <w:rPr>
                <w:webHidden/>
                <w:rStyle w:val="IndexLink"/>
                <w:rtl w:val="true"/>
              </w:rPr>
              <w:t>النظر إلى وجه الامرأة المراد نكاحها</w:t>
            </w:r>
            <w:r>
              <w:rPr>
                <w:rStyle w:val="IndexLink"/>
                <w:rtl w:val="true"/>
              </w:rPr>
              <w:tab/>
            </w:r>
            <w:r>
              <w:rPr>
                <w:rStyle w:val="IndexLink"/>
              </w:rPr>
              <w:t>546</w:t>
            </w:r>
          </w:hyperlink>
        </w:p>
        <w:p>
          <w:pPr>
            <w:pStyle w:val="Contents4"/>
            <w:tabs>
              <w:tab w:val="clear" w:pos="8176"/>
              <w:tab w:val="right" w:pos="9026" w:leader="dot"/>
            </w:tabs>
            <w:rPr/>
          </w:pPr>
          <w:hyperlink w:anchor="__RefHeading___Toc3599803_1067777946">
            <w:r>
              <w:rPr>
                <w:webHidden/>
                <w:rStyle w:val="IndexLink"/>
                <w:rtl w:val="true"/>
              </w:rPr>
              <w:t>النظر إلى نساء الكفّار</w:t>
            </w:r>
            <w:r>
              <w:rPr>
                <w:rStyle w:val="IndexLink"/>
                <w:rtl w:val="true"/>
              </w:rPr>
              <w:tab/>
            </w:r>
            <w:r>
              <w:rPr>
                <w:rStyle w:val="IndexLink"/>
              </w:rPr>
              <w:t>547</w:t>
            </w:r>
          </w:hyperlink>
        </w:p>
        <w:p>
          <w:pPr>
            <w:pStyle w:val="Contents4"/>
            <w:tabs>
              <w:tab w:val="clear" w:pos="8176"/>
              <w:tab w:val="right" w:pos="9026" w:leader="dot"/>
            </w:tabs>
            <w:rPr/>
          </w:pPr>
          <w:hyperlink w:anchor="__RefHeading___Toc3599805_1067777946">
            <w:r>
              <w:rPr>
                <w:webHidden/>
                <w:rStyle w:val="IndexLink"/>
                <w:rtl w:val="true"/>
              </w:rPr>
              <w:t>نساء أهل القرى و البوادى</w:t>
            </w:r>
            <w:r>
              <w:rPr>
                <w:rStyle w:val="IndexLink"/>
                <w:rtl w:val="true"/>
              </w:rPr>
              <w:tab/>
            </w:r>
            <w:r>
              <w:rPr>
                <w:rStyle w:val="IndexLink"/>
              </w:rPr>
              <w:t>547</w:t>
            </w:r>
          </w:hyperlink>
        </w:p>
        <w:p>
          <w:pPr>
            <w:pStyle w:val="Contents4"/>
            <w:tabs>
              <w:tab w:val="clear" w:pos="8176"/>
              <w:tab w:val="right" w:pos="9026" w:leader="dot"/>
            </w:tabs>
            <w:rPr/>
          </w:pPr>
          <w:hyperlink w:anchor="__RefHeading___Toc3599807_1067777946">
            <w:r>
              <w:rPr>
                <w:webHidden/>
                <w:rStyle w:val="IndexLink"/>
                <w:rtl w:val="true"/>
              </w:rPr>
              <w:t>جواز سماع صوت الأجنبيّة</w:t>
            </w:r>
            <w:r>
              <w:rPr>
                <w:rStyle w:val="IndexLink"/>
                <w:rtl w:val="true"/>
              </w:rPr>
              <w:tab/>
            </w:r>
            <w:r>
              <w:rPr>
                <w:rStyle w:val="IndexLink"/>
              </w:rPr>
              <w:t>547</w:t>
            </w:r>
          </w:hyperlink>
        </w:p>
        <w:p>
          <w:pPr>
            <w:pStyle w:val="Contents4"/>
            <w:tabs>
              <w:tab w:val="clear" w:pos="8176"/>
              <w:tab w:val="right" w:pos="9026" w:leader="dot"/>
            </w:tabs>
            <w:rPr/>
          </w:pPr>
          <w:hyperlink w:anchor="__RefHeading___Toc3599809_1067777946">
            <w:r>
              <w:rPr>
                <w:webHidden/>
                <w:rStyle w:val="IndexLink"/>
                <w:rtl w:val="true"/>
              </w:rPr>
              <w:t>نظر الرجل إلى زوجته و محارمه</w:t>
            </w:r>
            <w:r>
              <w:rPr>
                <w:rStyle w:val="IndexLink"/>
                <w:rtl w:val="true"/>
              </w:rPr>
              <w:tab/>
            </w:r>
            <w:r>
              <w:rPr>
                <w:rStyle w:val="IndexLink"/>
              </w:rPr>
              <w:t>548</w:t>
            </w:r>
          </w:hyperlink>
        </w:p>
        <w:p>
          <w:pPr>
            <w:pStyle w:val="Contents4"/>
            <w:tabs>
              <w:tab w:val="clear" w:pos="8176"/>
              <w:tab w:val="right" w:pos="9026" w:leader="dot"/>
            </w:tabs>
            <w:rPr/>
          </w:pPr>
          <w:hyperlink w:anchor="__RefHeading___Toc3599811_1067777946">
            <w:r>
              <w:rPr>
                <w:webHidden/>
                <w:rStyle w:val="IndexLink"/>
                <w:rtl w:val="true"/>
              </w:rPr>
              <w:t>ملازمة حرمة النظر إلى الامرأة مع حرمة التكشّف</w:t>
            </w:r>
            <w:r>
              <w:rPr>
                <w:rStyle w:val="IndexLink"/>
                <w:rtl w:val="true"/>
              </w:rPr>
              <w:tab/>
            </w:r>
            <w:r>
              <w:rPr>
                <w:rStyle w:val="IndexLink"/>
              </w:rPr>
              <w:t>548</w:t>
            </w:r>
          </w:hyperlink>
        </w:p>
        <w:p>
          <w:pPr>
            <w:pStyle w:val="Contents4"/>
            <w:tabs>
              <w:tab w:val="clear" w:pos="8176"/>
              <w:tab w:val="right" w:pos="9026" w:leader="dot"/>
            </w:tabs>
            <w:rPr/>
          </w:pPr>
          <w:hyperlink w:anchor="__RefHeading___Toc3599813_1067777946">
            <w:r>
              <w:rPr>
                <w:webHidden/>
                <w:rStyle w:val="IndexLink"/>
                <w:rtl w:val="true"/>
              </w:rPr>
              <w:t>حكم النظر إلى الوجه و الكفّين</w:t>
            </w:r>
            <w:r>
              <w:rPr>
                <w:rStyle w:val="IndexLink"/>
                <w:rtl w:val="true"/>
              </w:rPr>
              <w:tab/>
            </w:r>
            <w:r>
              <w:rPr>
                <w:rStyle w:val="IndexLink"/>
              </w:rPr>
              <w:t>548</w:t>
            </w:r>
          </w:hyperlink>
        </w:p>
        <w:p>
          <w:pPr>
            <w:pStyle w:val="Contents4"/>
            <w:tabs>
              <w:tab w:val="clear" w:pos="8176"/>
              <w:tab w:val="right" w:pos="9026" w:leader="dot"/>
            </w:tabs>
            <w:rPr/>
          </w:pPr>
          <w:hyperlink w:anchor="__RefHeading___Toc3599815_1067777946">
            <w:r>
              <w:rPr>
                <w:webHidden/>
                <w:rStyle w:val="IndexLink"/>
                <w:rtl w:val="true"/>
              </w:rPr>
              <w:t>نظر المرأة إلى الرجل</w:t>
            </w:r>
            <w:r>
              <w:rPr>
                <w:rStyle w:val="IndexLink"/>
                <w:rtl w:val="true"/>
              </w:rPr>
              <w:tab/>
            </w:r>
            <w:r>
              <w:rPr>
                <w:rStyle w:val="IndexLink"/>
              </w:rPr>
              <w:t>549</w:t>
            </w:r>
          </w:hyperlink>
        </w:p>
        <w:p>
          <w:pPr>
            <w:pStyle w:val="Contents4"/>
            <w:tabs>
              <w:tab w:val="clear" w:pos="8176"/>
              <w:tab w:val="right" w:pos="9026" w:leader="dot"/>
            </w:tabs>
            <w:rPr/>
          </w:pPr>
          <w:hyperlink w:anchor="__RefHeading___Toc3599817_1067777946">
            <w:r>
              <w:rPr>
                <w:webHidden/>
                <w:rStyle w:val="IndexLink"/>
                <w:rtl w:val="true"/>
              </w:rPr>
              <w:t>حرمة اللمس</w:t>
            </w:r>
            <w:r>
              <w:rPr>
                <w:rStyle w:val="IndexLink"/>
                <w:rtl w:val="true"/>
              </w:rPr>
              <w:tab/>
            </w:r>
            <w:r>
              <w:rPr>
                <w:rStyle w:val="IndexLink"/>
              </w:rPr>
              <w:t>550</w:t>
            </w:r>
          </w:hyperlink>
        </w:p>
        <w:p>
          <w:pPr>
            <w:pStyle w:val="Contents4"/>
            <w:tabs>
              <w:tab w:val="clear" w:pos="8176"/>
              <w:tab w:val="right" w:pos="9026" w:leader="dot"/>
            </w:tabs>
            <w:rPr/>
          </w:pPr>
          <w:hyperlink w:anchor="__RefHeading___Toc3599819_1067777946">
            <w:r>
              <w:rPr>
                <w:webHidden/>
                <w:rStyle w:val="IndexLink"/>
                <w:rtl w:val="true"/>
              </w:rPr>
              <w:t>المستثنيات من حرمة النظر و اللمس</w:t>
            </w:r>
            <w:r>
              <w:rPr>
                <w:rStyle w:val="IndexLink"/>
                <w:rtl w:val="true"/>
              </w:rPr>
              <w:tab/>
            </w:r>
            <w:r>
              <w:rPr>
                <w:rStyle w:val="IndexLink"/>
              </w:rPr>
              <w:t>550</w:t>
            </w:r>
          </w:hyperlink>
        </w:p>
        <w:p>
          <w:pPr>
            <w:pStyle w:val="Contents4"/>
            <w:tabs>
              <w:tab w:val="clear" w:pos="8176"/>
              <w:tab w:val="right" w:pos="9026" w:leader="dot"/>
            </w:tabs>
            <w:rPr/>
          </w:pPr>
          <w:hyperlink w:anchor="__RefHeading___Toc3599821_1067777946">
            <w:r>
              <w:rPr>
                <w:webHidden/>
                <w:rStyle w:val="IndexLink"/>
                <w:rtl w:val="true"/>
              </w:rPr>
              <w:t>عدم جواز النظر الى عورة المميّز و الكشف لديه</w:t>
            </w:r>
            <w:r>
              <w:rPr>
                <w:rStyle w:val="IndexLink"/>
                <w:rtl w:val="true"/>
              </w:rPr>
              <w:tab/>
            </w:r>
            <w:r>
              <w:rPr>
                <w:rStyle w:val="IndexLink"/>
              </w:rPr>
              <w:t>550</w:t>
            </w:r>
          </w:hyperlink>
        </w:p>
        <w:p>
          <w:pPr>
            <w:pStyle w:val="Contents4"/>
            <w:tabs>
              <w:tab w:val="clear" w:pos="8176"/>
              <w:tab w:val="right" w:pos="9026" w:leader="dot"/>
            </w:tabs>
            <w:rPr/>
          </w:pPr>
          <w:hyperlink w:anchor="__RefHeading___Toc3599823_1067777946">
            <w:r>
              <w:rPr>
                <w:webHidden/>
                <w:rStyle w:val="IndexLink"/>
                <w:rtl w:val="true"/>
              </w:rPr>
              <w:t>النظر إلى المجانس</w:t>
            </w:r>
            <w:r>
              <w:rPr>
                <w:rStyle w:val="IndexLink"/>
                <w:rtl w:val="true"/>
              </w:rPr>
              <w:tab/>
            </w:r>
            <w:r>
              <w:rPr>
                <w:rStyle w:val="IndexLink"/>
              </w:rPr>
              <w:t>550</w:t>
            </w:r>
          </w:hyperlink>
        </w:p>
        <w:p>
          <w:pPr>
            <w:pStyle w:val="Contents4"/>
            <w:tabs>
              <w:tab w:val="clear" w:pos="8176"/>
              <w:tab w:val="right" w:pos="9026" w:leader="dot"/>
            </w:tabs>
            <w:rPr/>
          </w:pPr>
          <w:hyperlink w:anchor="__RefHeading___Toc3599825_1067777946">
            <w:r>
              <w:rPr>
                <w:webHidden/>
                <w:rStyle w:val="IndexLink"/>
                <w:rtl w:val="true"/>
              </w:rPr>
              <w:t>عدم جواز نظر المالكة إلى الخصىّ‌</w:t>
            </w:r>
            <w:r>
              <w:rPr>
                <w:rStyle w:val="IndexLink"/>
                <w:rtl w:val="true"/>
              </w:rPr>
              <w:tab/>
            </w:r>
            <w:r>
              <w:rPr>
                <w:rStyle w:val="IndexLink"/>
              </w:rPr>
              <w:t>550</w:t>
            </w:r>
          </w:hyperlink>
        </w:p>
        <w:p>
          <w:pPr>
            <w:pStyle w:val="Contents4"/>
            <w:tabs>
              <w:tab w:val="clear" w:pos="8176"/>
              <w:tab w:val="right" w:pos="9026" w:leader="dot"/>
            </w:tabs>
            <w:rPr/>
          </w:pPr>
          <w:hyperlink w:anchor="__RefHeading___Toc3599827_1067777946">
            <w:r>
              <w:rPr>
                <w:webHidden/>
                <w:rStyle w:val="IndexLink"/>
                <w:rtl w:val="true"/>
              </w:rPr>
              <w:t>الاستمتاع</w:t>
            </w:r>
            <w:r>
              <w:rPr>
                <w:rStyle w:val="IndexLink"/>
                <w:rtl w:val="true"/>
              </w:rPr>
              <w:tab/>
            </w:r>
            <w:r>
              <w:rPr>
                <w:rStyle w:val="IndexLink"/>
              </w:rPr>
              <w:t>551</w:t>
            </w:r>
          </w:hyperlink>
        </w:p>
        <w:p>
          <w:pPr>
            <w:pStyle w:val="Contents4"/>
            <w:tabs>
              <w:tab w:val="clear" w:pos="8176"/>
              <w:tab w:val="right" w:pos="9026" w:leader="dot"/>
            </w:tabs>
            <w:rPr/>
          </w:pPr>
          <w:hyperlink w:anchor="__RefHeading___Toc3599829_1067777946">
            <w:r>
              <w:rPr>
                <w:webHidden/>
                <w:rStyle w:val="IndexLink"/>
                <w:rtl w:val="true"/>
              </w:rPr>
              <w:t>العزل</w:t>
            </w:r>
            <w:r>
              <w:rPr>
                <w:rStyle w:val="IndexLink"/>
                <w:rtl w:val="true"/>
              </w:rPr>
              <w:tab/>
            </w:r>
            <w:r>
              <w:rPr>
                <w:rStyle w:val="IndexLink"/>
              </w:rPr>
              <w:t>551</w:t>
            </w:r>
          </w:hyperlink>
        </w:p>
        <w:p>
          <w:pPr>
            <w:pStyle w:val="Contents4"/>
            <w:tabs>
              <w:tab w:val="clear" w:pos="8176"/>
              <w:tab w:val="right" w:pos="9026" w:leader="dot"/>
            </w:tabs>
            <w:rPr/>
          </w:pPr>
          <w:hyperlink w:anchor="__RefHeading___Toc3599831_1067777946">
            <w:r>
              <w:rPr>
                <w:webHidden/>
                <w:rStyle w:val="IndexLink"/>
                <w:rtl w:val="true"/>
              </w:rPr>
              <w:t>سن المرأة</w:t>
            </w:r>
            <w:r>
              <w:rPr>
                <w:rStyle w:val="IndexLink"/>
                <w:rtl w:val="true"/>
              </w:rPr>
              <w:tab/>
            </w:r>
            <w:r>
              <w:rPr>
                <w:rStyle w:val="IndexLink"/>
              </w:rPr>
              <w:t>551</w:t>
            </w:r>
          </w:hyperlink>
        </w:p>
        <w:p>
          <w:pPr>
            <w:pStyle w:val="Contents4"/>
            <w:tabs>
              <w:tab w:val="clear" w:pos="8176"/>
              <w:tab w:val="right" w:pos="9026" w:leader="dot"/>
            </w:tabs>
            <w:rPr/>
          </w:pPr>
          <w:hyperlink w:anchor="__RefHeading___Toc3599833_1067777946">
            <w:r>
              <w:rPr>
                <w:webHidden/>
                <w:rStyle w:val="IndexLink"/>
                <w:rtl w:val="true"/>
              </w:rPr>
              <w:t>حكم افضاء الصغيرة</w:t>
            </w:r>
            <w:r>
              <w:rPr>
                <w:rStyle w:val="IndexLink"/>
                <w:rtl w:val="true"/>
              </w:rPr>
              <w:tab/>
            </w:r>
            <w:r>
              <w:rPr>
                <w:rStyle w:val="IndexLink"/>
              </w:rPr>
              <w:t>551</w:t>
            </w:r>
          </w:hyperlink>
        </w:p>
        <w:p>
          <w:pPr>
            <w:pStyle w:val="Contents4"/>
            <w:tabs>
              <w:tab w:val="clear" w:pos="8176"/>
              <w:tab w:val="right" w:pos="9026" w:leader="dot"/>
            </w:tabs>
            <w:rPr/>
          </w:pPr>
          <w:hyperlink w:anchor="__RefHeading___Toc3599835_1067777946">
            <w:r>
              <w:rPr>
                <w:webHidden/>
                <w:rStyle w:val="IndexLink"/>
                <w:rtl w:val="true"/>
              </w:rPr>
              <w:t>كراهة مجيء المسافر عند الأهل في الليل</w:t>
            </w:r>
            <w:r>
              <w:rPr>
                <w:rStyle w:val="IndexLink"/>
                <w:rtl w:val="true"/>
              </w:rPr>
              <w:tab/>
            </w:r>
            <w:r>
              <w:rPr>
                <w:rStyle w:val="IndexLink"/>
              </w:rPr>
              <w:t>552</w:t>
            </w:r>
          </w:hyperlink>
        </w:p>
        <w:p>
          <w:pPr>
            <w:pStyle w:val="Contents3"/>
            <w:tabs>
              <w:tab w:val="clear" w:pos="8459"/>
              <w:tab w:val="right" w:pos="9026" w:leader="dot"/>
            </w:tabs>
            <w:rPr/>
          </w:pPr>
          <w:hyperlink w:anchor="__RefHeading___Toc3599837_1067777946">
            <w:r>
              <w:rPr>
                <w:webHidden/>
                <w:rStyle w:val="IndexLink"/>
                <w:rtl w:val="true"/>
              </w:rPr>
              <w:t>فصل دوّم در اولياى عقد نكاح</w:t>
            </w:r>
            <w:r>
              <w:rPr>
                <w:rStyle w:val="IndexLink"/>
                <w:rtl w:val="true"/>
              </w:rPr>
              <w:tab/>
            </w:r>
            <w:r>
              <w:rPr>
                <w:rStyle w:val="IndexLink"/>
              </w:rPr>
              <w:t>553</w:t>
            </w:r>
          </w:hyperlink>
        </w:p>
        <w:p>
          <w:pPr>
            <w:pStyle w:val="Contents4"/>
            <w:tabs>
              <w:tab w:val="clear" w:pos="8176"/>
              <w:tab w:val="right" w:pos="9026" w:leader="dot"/>
            </w:tabs>
            <w:rPr/>
          </w:pPr>
          <w:hyperlink w:anchor="__RefHeading___Toc3599839_1067777946">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3599841_1067777946">
            <w:r>
              <w:rPr>
                <w:webHidden/>
                <w:rStyle w:val="IndexLink"/>
                <w:rtl w:val="true"/>
              </w:rPr>
              <w:t>اولياى عقد نكاح</w:t>
            </w:r>
            <w:r>
              <w:rPr>
                <w:rStyle w:val="IndexLink"/>
                <w:rtl w:val="true"/>
              </w:rPr>
              <w:tab/>
            </w:r>
            <w:r>
              <w:rPr>
                <w:rStyle w:val="IndexLink"/>
              </w:rPr>
              <w:t>553</w:t>
            </w:r>
          </w:hyperlink>
        </w:p>
        <w:p>
          <w:pPr>
            <w:pStyle w:val="Contents4"/>
            <w:tabs>
              <w:tab w:val="clear" w:pos="8176"/>
              <w:tab w:val="right" w:pos="9026" w:leader="dot"/>
            </w:tabs>
            <w:rPr/>
          </w:pPr>
          <w:hyperlink w:anchor="__RefHeading___Toc3599843_1067777946">
            <w:r>
              <w:rPr>
                <w:webHidden/>
                <w:rStyle w:val="IndexLink"/>
                <w:rtl w:val="true"/>
              </w:rPr>
              <w:t>مراد از جدّ پدرى و عدم اشتراط ولايت او به بقاى پدر</w:t>
            </w:r>
            <w:r>
              <w:rPr>
                <w:rStyle w:val="IndexLink"/>
                <w:rtl w:val="true"/>
              </w:rPr>
              <w:tab/>
            </w:r>
            <w:r>
              <w:rPr>
                <w:rStyle w:val="IndexLink"/>
              </w:rPr>
              <w:t>553</w:t>
            </w:r>
          </w:hyperlink>
        </w:p>
        <w:p>
          <w:pPr>
            <w:pStyle w:val="Contents4"/>
            <w:tabs>
              <w:tab w:val="clear" w:pos="8176"/>
              <w:tab w:val="right" w:pos="9026" w:leader="dot"/>
            </w:tabs>
            <w:rPr/>
          </w:pPr>
          <w:hyperlink w:anchor="__RefHeading___Toc3599845_1067777946">
            <w:r>
              <w:rPr>
                <w:webHidden/>
                <w:rStyle w:val="IndexLink"/>
                <w:rtl w:val="true"/>
              </w:rPr>
              <w:t>نفوذ عقد ولىّ بعد از كبير شدن</w:t>
            </w:r>
            <w:r>
              <w:rPr>
                <w:rStyle w:val="IndexLink"/>
                <w:rtl w:val="true"/>
              </w:rPr>
              <w:tab/>
            </w:r>
            <w:r>
              <w:rPr>
                <w:rStyle w:val="IndexLink"/>
              </w:rPr>
              <w:t>553</w:t>
            </w:r>
          </w:hyperlink>
        </w:p>
        <w:p>
          <w:pPr>
            <w:pStyle w:val="Contents4"/>
            <w:tabs>
              <w:tab w:val="clear" w:pos="8176"/>
              <w:tab w:val="right" w:pos="9026" w:leader="dot"/>
            </w:tabs>
            <w:rPr/>
          </w:pPr>
          <w:hyperlink w:anchor="__RefHeading___Toc3599847_1067777946">
            <w:r>
              <w:rPr>
                <w:webHidden/>
                <w:rStyle w:val="IndexLink"/>
                <w:rtl w:val="true"/>
              </w:rPr>
              <w:t>موارد عدم ولايت اب و جدّ</w:t>
            </w:r>
            <w:r>
              <w:rPr>
                <w:rStyle w:val="IndexLink"/>
                <w:rtl w:val="true"/>
              </w:rPr>
              <w:tab/>
            </w:r>
            <w:r>
              <w:rPr>
                <w:rStyle w:val="IndexLink"/>
              </w:rPr>
              <w:t>554</w:t>
            </w:r>
          </w:hyperlink>
        </w:p>
        <w:p>
          <w:pPr>
            <w:pStyle w:val="Contents4"/>
            <w:tabs>
              <w:tab w:val="clear" w:pos="8176"/>
              <w:tab w:val="right" w:pos="9026" w:leader="dot"/>
            </w:tabs>
            <w:rPr/>
          </w:pPr>
          <w:hyperlink w:anchor="__RefHeading___Toc3599849_1067777946">
            <w:r>
              <w:rPr>
                <w:webHidden/>
                <w:rStyle w:val="IndexLink"/>
                <w:rtl w:val="true"/>
              </w:rPr>
              <w:t>ولى بر مجنون در ازدواج</w:t>
            </w:r>
            <w:r>
              <w:rPr>
                <w:rStyle w:val="IndexLink"/>
                <w:rtl w:val="true"/>
              </w:rPr>
              <w:tab/>
            </w:r>
            <w:r>
              <w:rPr>
                <w:rStyle w:val="IndexLink"/>
              </w:rPr>
              <w:t>555</w:t>
            </w:r>
          </w:hyperlink>
        </w:p>
        <w:p>
          <w:pPr>
            <w:pStyle w:val="Contents4"/>
            <w:tabs>
              <w:tab w:val="clear" w:pos="8176"/>
              <w:tab w:val="right" w:pos="9026" w:leader="dot"/>
            </w:tabs>
            <w:rPr/>
          </w:pPr>
          <w:hyperlink w:anchor="__RefHeading___Toc3599851_1067777946">
            <w:r>
              <w:rPr>
                <w:webHidden/>
                <w:rStyle w:val="IndexLink"/>
                <w:rtl w:val="true"/>
              </w:rPr>
              <w:t>تزويج امه و عبد</w:t>
            </w:r>
            <w:r>
              <w:rPr>
                <w:rStyle w:val="IndexLink"/>
                <w:rtl w:val="true"/>
              </w:rPr>
              <w:tab/>
            </w:r>
            <w:r>
              <w:rPr>
                <w:rStyle w:val="IndexLink"/>
              </w:rPr>
              <w:t>555</w:t>
            </w:r>
          </w:hyperlink>
        </w:p>
        <w:p>
          <w:pPr>
            <w:pStyle w:val="Contents4"/>
            <w:tabs>
              <w:tab w:val="clear" w:pos="8176"/>
              <w:tab w:val="right" w:pos="9026" w:leader="dot"/>
            </w:tabs>
            <w:rPr/>
          </w:pPr>
          <w:hyperlink w:anchor="__RefHeading___Toc3599853_1067777946">
            <w:r>
              <w:rPr>
                <w:webHidden/>
                <w:rStyle w:val="IndexLink"/>
                <w:rtl w:val="true"/>
              </w:rPr>
              <w:t>محدودۀ ولايت حاكم در تزويج غير بالغ</w:t>
            </w:r>
            <w:r>
              <w:rPr>
                <w:rStyle w:val="IndexLink"/>
                <w:rtl w:val="true"/>
              </w:rPr>
              <w:tab/>
            </w:r>
            <w:r>
              <w:rPr>
                <w:rStyle w:val="IndexLink"/>
              </w:rPr>
              <w:t>555</w:t>
            </w:r>
          </w:hyperlink>
        </w:p>
        <w:p>
          <w:pPr>
            <w:pStyle w:val="Contents4"/>
            <w:tabs>
              <w:tab w:val="clear" w:pos="8176"/>
              <w:tab w:val="right" w:pos="9026" w:leader="dot"/>
            </w:tabs>
            <w:rPr/>
          </w:pPr>
          <w:hyperlink w:anchor="__RefHeading___Toc3599855_1067777946">
            <w:r>
              <w:rPr>
                <w:webHidden/>
                <w:rStyle w:val="IndexLink"/>
                <w:rtl w:val="true"/>
              </w:rPr>
              <w:t>عدم ولايت بر بالغ رشيد</w:t>
            </w:r>
            <w:r>
              <w:rPr>
                <w:rStyle w:val="IndexLink"/>
                <w:rtl w:val="true"/>
              </w:rPr>
              <w:tab/>
            </w:r>
            <w:r>
              <w:rPr>
                <w:rStyle w:val="IndexLink"/>
              </w:rPr>
              <w:t>556</w:t>
            </w:r>
          </w:hyperlink>
        </w:p>
        <w:p>
          <w:pPr>
            <w:pStyle w:val="Contents4"/>
            <w:tabs>
              <w:tab w:val="clear" w:pos="8176"/>
              <w:tab w:val="right" w:pos="9026" w:leader="dot"/>
            </w:tabs>
            <w:rPr/>
          </w:pPr>
          <w:hyperlink w:anchor="__RefHeading___Toc3599857_1067777946">
            <w:r>
              <w:rPr>
                <w:webHidden/>
                <w:rStyle w:val="IndexLink"/>
                <w:rtl w:val="true"/>
              </w:rPr>
              <w:t>ولايت وصى اب و جدّ در تزويج صغير و صغيره</w:t>
            </w:r>
            <w:r>
              <w:rPr>
                <w:rStyle w:val="IndexLink"/>
                <w:rtl w:val="true"/>
              </w:rPr>
              <w:tab/>
            </w:r>
            <w:r>
              <w:rPr>
                <w:rStyle w:val="IndexLink"/>
              </w:rPr>
              <w:t>556</w:t>
            </w:r>
          </w:hyperlink>
        </w:p>
        <w:p>
          <w:pPr>
            <w:pStyle w:val="Contents4"/>
            <w:tabs>
              <w:tab w:val="clear" w:pos="8176"/>
              <w:tab w:val="right" w:pos="9026" w:leader="dot"/>
            </w:tabs>
            <w:rPr/>
          </w:pPr>
          <w:hyperlink w:anchor="__RefHeading___Toc3599859_1067777946">
            <w:r>
              <w:rPr>
                <w:webHidden/>
                <w:rStyle w:val="IndexLink"/>
                <w:rtl w:val="true"/>
              </w:rPr>
              <w:t>بطلان عقد محجور به سبب تبذير</w:t>
            </w:r>
            <w:r>
              <w:rPr>
                <w:rStyle w:val="IndexLink"/>
                <w:rtl w:val="true"/>
              </w:rPr>
              <w:tab/>
            </w:r>
            <w:r>
              <w:rPr>
                <w:rStyle w:val="IndexLink"/>
              </w:rPr>
              <w:t>556</w:t>
            </w:r>
          </w:hyperlink>
        </w:p>
        <w:p>
          <w:pPr>
            <w:pStyle w:val="Contents4"/>
            <w:tabs>
              <w:tab w:val="clear" w:pos="8176"/>
              <w:tab w:val="right" w:pos="9026" w:leader="dot"/>
            </w:tabs>
            <w:rPr/>
          </w:pPr>
          <w:hyperlink w:anchor="__RefHeading___Toc3599861_1067777946">
            <w:r>
              <w:rPr>
                <w:webHidden/>
                <w:rStyle w:val="IndexLink"/>
                <w:rtl w:val="true"/>
              </w:rPr>
              <w:t>مسائل مربوط به اولياى عقد نكاح</w:t>
            </w:r>
            <w:r>
              <w:rPr>
                <w:rStyle w:val="IndexLink"/>
                <w:rtl w:val="true"/>
              </w:rPr>
              <w:tab/>
            </w:r>
            <w:r>
              <w:rPr>
                <w:rStyle w:val="IndexLink"/>
              </w:rPr>
              <w:t>557</w:t>
            </w:r>
          </w:hyperlink>
        </w:p>
        <w:p>
          <w:pPr>
            <w:pStyle w:val="Contents4"/>
            <w:tabs>
              <w:tab w:val="clear" w:pos="8176"/>
              <w:tab w:val="right" w:pos="9026" w:leader="dot"/>
            </w:tabs>
            <w:rPr/>
          </w:pPr>
          <w:hyperlink w:anchor="__RefHeading___Toc3599863_1067777946">
            <w:r>
              <w:rPr>
                <w:webHidden/>
                <w:rStyle w:val="IndexLink"/>
                <w:rtl w:val="true"/>
              </w:rPr>
              <w:t>تزويج به نفس در اذن در تزويج</w:t>
            </w:r>
            <w:r>
              <w:rPr>
                <w:rStyle w:val="IndexLink"/>
                <w:rtl w:val="true"/>
              </w:rPr>
              <w:tab/>
            </w:r>
            <w:r>
              <w:rPr>
                <w:rStyle w:val="IndexLink"/>
              </w:rPr>
              <w:t>557</w:t>
            </w:r>
          </w:hyperlink>
        </w:p>
        <w:p>
          <w:pPr>
            <w:pStyle w:val="Contents4"/>
            <w:tabs>
              <w:tab w:val="clear" w:pos="8176"/>
              <w:tab w:val="right" w:pos="9026" w:leader="dot"/>
            </w:tabs>
            <w:rPr/>
          </w:pPr>
          <w:hyperlink w:anchor="__RefHeading___Toc3599865_1067777946">
            <w:r>
              <w:rPr>
                <w:webHidden/>
                <w:rStyle w:val="IndexLink"/>
                <w:rtl w:val="true"/>
              </w:rPr>
              <w:t>تزويج زن به كمتر از مهر المثل توسط ولى</w:t>
            </w:r>
            <w:r>
              <w:rPr>
                <w:rStyle w:val="IndexLink"/>
                <w:rtl w:val="true"/>
              </w:rPr>
              <w:tab/>
            </w:r>
            <w:r>
              <w:rPr>
                <w:rStyle w:val="IndexLink"/>
              </w:rPr>
              <w:t>557</w:t>
            </w:r>
          </w:hyperlink>
        </w:p>
        <w:p>
          <w:pPr>
            <w:pStyle w:val="Contents4"/>
            <w:tabs>
              <w:tab w:val="clear" w:pos="8176"/>
              <w:tab w:val="right" w:pos="9026" w:leader="dot"/>
            </w:tabs>
            <w:rPr/>
          </w:pPr>
          <w:hyperlink w:anchor="__RefHeading___Toc3599867_1067777946">
            <w:r>
              <w:rPr>
                <w:webHidden/>
                <w:rStyle w:val="IndexLink"/>
                <w:rtl w:val="true"/>
              </w:rPr>
              <w:t>تولّى عقد توسط بالغۀ رشيده</w:t>
            </w:r>
            <w:r>
              <w:rPr>
                <w:rStyle w:val="IndexLink"/>
                <w:rtl w:val="true"/>
              </w:rPr>
              <w:tab/>
            </w:r>
            <w:r>
              <w:rPr>
                <w:rStyle w:val="IndexLink"/>
              </w:rPr>
              <w:t>557</w:t>
            </w:r>
          </w:hyperlink>
        </w:p>
        <w:p>
          <w:pPr>
            <w:pStyle w:val="Contents4"/>
            <w:tabs>
              <w:tab w:val="clear" w:pos="8176"/>
              <w:tab w:val="right" w:pos="9026" w:leader="dot"/>
            </w:tabs>
            <w:rPr/>
          </w:pPr>
          <w:hyperlink w:anchor="__RefHeading___Toc3599869_1067777946">
            <w:r>
              <w:rPr>
                <w:webHidden/>
                <w:rStyle w:val="IndexLink"/>
                <w:rtl w:val="true"/>
              </w:rPr>
              <w:t>اجازه در نكاح و كفايت سكوت بكر</w:t>
            </w:r>
            <w:r>
              <w:rPr>
                <w:rStyle w:val="IndexLink"/>
                <w:rtl w:val="true"/>
              </w:rPr>
              <w:tab/>
            </w:r>
            <w:r>
              <w:rPr>
                <w:rStyle w:val="IndexLink"/>
              </w:rPr>
              <w:t>558</w:t>
            </w:r>
          </w:hyperlink>
        </w:p>
        <w:p>
          <w:pPr>
            <w:pStyle w:val="Contents4"/>
            <w:tabs>
              <w:tab w:val="clear" w:pos="8176"/>
              <w:tab w:val="right" w:pos="9026" w:leader="dot"/>
            </w:tabs>
            <w:rPr/>
          </w:pPr>
          <w:hyperlink w:anchor="__RefHeading___Toc3599871_1067777946">
            <w:r>
              <w:rPr>
                <w:webHidden/>
                <w:rStyle w:val="IndexLink"/>
                <w:rtl w:val="true"/>
              </w:rPr>
              <w:t>فرض رقيّت يا كفر ولىّ‌</w:t>
            </w:r>
            <w:r>
              <w:rPr>
                <w:rStyle w:val="IndexLink"/>
                <w:rtl w:val="true"/>
              </w:rPr>
              <w:tab/>
            </w:r>
            <w:r>
              <w:rPr>
                <w:rStyle w:val="IndexLink"/>
              </w:rPr>
              <w:t>558</w:t>
            </w:r>
          </w:hyperlink>
        </w:p>
        <w:p>
          <w:pPr>
            <w:pStyle w:val="Contents4"/>
            <w:tabs>
              <w:tab w:val="clear" w:pos="8176"/>
              <w:tab w:val="right" w:pos="9026" w:leader="dot"/>
            </w:tabs>
            <w:rPr/>
          </w:pPr>
          <w:hyperlink w:anchor="__RefHeading___Toc3599873_1067777946">
            <w:r>
              <w:rPr>
                <w:webHidden/>
                <w:rStyle w:val="IndexLink"/>
                <w:rtl w:val="true"/>
              </w:rPr>
              <w:t>اسباب سلب ولايت و عود آن</w:t>
            </w:r>
            <w:r>
              <w:rPr>
                <w:rStyle w:val="IndexLink"/>
                <w:rtl w:val="true"/>
              </w:rPr>
              <w:tab/>
            </w:r>
            <w:r>
              <w:rPr>
                <w:rStyle w:val="IndexLink"/>
              </w:rPr>
              <w:t>559</w:t>
            </w:r>
          </w:hyperlink>
        </w:p>
        <w:p>
          <w:pPr>
            <w:pStyle w:val="Contents4"/>
            <w:tabs>
              <w:tab w:val="clear" w:pos="8176"/>
              <w:tab w:val="right" w:pos="9026" w:leader="dot"/>
            </w:tabs>
            <w:rPr/>
          </w:pPr>
          <w:hyperlink w:anchor="__RefHeading___Toc3599875_1067777946">
            <w:r>
              <w:rPr>
                <w:webHidden/>
                <w:rStyle w:val="IndexLink"/>
                <w:rtl w:val="true"/>
              </w:rPr>
              <w:t>نفوذ سبقت پدر يا جدّ در تزويج</w:t>
            </w:r>
            <w:r>
              <w:rPr>
                <w:rStyle w:val="IndexLink"/>
                <w:rtl w:val="true"/>
              </w:rPr>
              <w:tab/>
            </w:r>
            <w:r>
              <w:rPr>
                <w:rStyle w:val="IndexLink"/>
              </w:rPr>
              <w:t>559</w:t>
            </w:r>
          </w:hyperlink>
        </w:p>
        <w:p>
          <w:pPr>
            <w:pStyle w:val="Contents4"/>
            <w:tabs>
              <w:tab w:val="clear" w:pos="8176"/>
              <w:tab w:val="right" w:pos="9026" w:leader="dot"/>
            </w:tabs>
            <w:rPr/>
          </w:pPr>
          <w:hyperlink w:anchor="__RefHeading___Toc3599877_1067777946">
            <w:r>
              <w:rPr>
                <w:webHidden/>
                <w:rStyle w:val="IndexLink"/>
                <w:rtl w:val="true"/>
              </w:rPr>
              <w:t>ولايت جدّ مع الواسطه</w:t>
            </w:r>
            <w:r>
              <w:rPr>
                <w:rStyle w:val="IndexLink"/>
                <w:rtl w:val="true"/>
              </w:rPr>
              <w:tab/>
            </w:r>
            <w:r>
              <w:rPr>
                <w:rStyle w:val="IndexLink"/>
              </w:rPr>
              <w:t>559</w:t>
            </w:r>
          </w:hyperlink>
        </w:p>
        <w:p>
          <w:pPr>
            <w:pStyle w:val="Contents4"/>
            <w:tabs>
              <w:tab w:val="clear" w:pos="8176"/>
              <w:tab w:val="right" w:pos="9026" w:leader="dot"/>
            </w:tabs>
            <w:rPr/>
          </w:pPr>
          <w:hyperlink w:anchor="__RefHeading___Toc3599879_1067777946">
            <w:r>
              <w:rPr>
                <w:webHidden/>
                <w:rStyle w:val="IndexLink"/>
                <w:rtl w:val="true"/>
              </w:rPr>
              <w:t>اختلاف در سبقت و سابق</w:t>
            </w:r>
            <w:r>
              <w:rPr>
                <w:rStyle w:val="IndexLink"/>
                <w:rtl w:val="true"/>
              </w:rPr>
              <w:tab/>
            </w:r>
            <w:r>
              <w:rPr>
                <w:rStyle w:val="IndexLink"/>
              </w:rPr>
              <w:t>560</w:t>
            </w:r>
          </w:hyperlink>
        </w:p>
        <w:p>
          <w:pPr>
            <w:pStyle w:val="Contents4"/>
            <w:tabs>
              <w:tab w:val="clear" w:pos="8176"/>
              <w:tab w:val="right" w:pos="9026" w:leader="dot"/>
            </w:tabs>
            <w:rPr/>
          </w:pPr>
          <w:hyperlink w:anchor="__RefHeading___Toc3599881_1067777946">
            <w:r>
              <w:rPr>
                <w:webHidden/>
                <w:rStyle w:val="IndexLink"/>
                <w:rtl w:val="true"/>
              </w:rPr>
              <w:t>لزوم مصلحت در تزويج به مجنون يا معيوب</w:t>
            </w:r>
            <w:r>
              <w:rPr>
                <w:rStyle w:val="IndexLink"/>
                <w:rtl w:val="true"/>
              </w:rPr>
              <w:tab/>
            </w:r>
            <w:r>
              <w:rPr>
                <w:rStyle w:val="IndexLink"/>
              </w:rPr>
              <w:t>560</w:t>
            </w:r>
          </w:hyperlink>
        </w:p>
        <w:p>
          <w:pPr>
            <w:pStyle w:val="Contents4"/>
            <w:tabs>
              <w:tab w:val="clear" w:pos="8176"/>
              <w:tab w:val="right" w:pos="9026" w:leader="dot"/>
            </w:tabs>
            <w:rPr/>
          </w:pPr>
          <w:hyperlink w:anchor="__RefHeading___Toc3599883_1067777946">
            <w:r>
              <w:rPr>
                <w:webHidden/>
                <w:rStyle w:val="IndexLink"/>
                <w:rtl w:val="true"/>
              </w:rPr>
              <w:t>جواز عقد منقطع صغيره و غير آن براى اغراض غير استمتاع مثل محرميّت</w:t>
            </w:r>
            <w:r>
              <w:rPr>
                <w:rStyle w:val="IndexLink"/>
                <w:rtl w:val="true"/>
              </w:rPr>
              <w:tab/>
            </w:r>
            <w:r>
              <w:rPr>
                <w:rStyle w:val="IndexLink"/>
              </w:rPr>
              <w:t>560</w:t>
            </w:r>
          </w:hyperlink>
        </w:p>
        <w:p>
          <w:pPr>
            <w:pStyle w:val="Contents4"/>
            <w:tabs>
              <w:tab w:val="clear" w:pos="8176"/>
              <w:tab w:val="right" w:pos="9026" w:leader="dot"/>
            </w:tabs>
            <w:rPr/>
          </w:pPr>
          <w:hyperlink w:anchor="__RefHeading___Toc3599885_1067777946">
            <w:r>
              <w:rPr>
                <w:webHidden/>
                <w:rStyle w:val="IndexLink"/>
                <w:rtl w:val="true"/>
              </w:rPr>
              <w:t>لزوم اذن مالك در عقد كنيز</w:t>
            </w:r>
            <w:r>
              <w:rPr>
                <w:rStyle w:val="IndexLink"/>
                <w:rtl w:val="true"/>
              </w:rPr>
              <w:tab/>
            </w:r>
            <w:r>
              <w:rPr>
                <w:rStyle w:val="IndexLink"/>
              </w:rPr>
              <w:t>561</w:t>
            </w:r>
          </w:hyperlink>
        </w:p>
        <w:p>
          <w:pPr>
            <w:pStyle w:val="Contents4"/>
            <w:tabs>
              <w:tab w:val="clear" w:pos="8176"/>
              <w:tab w:val="right" w:pos="9026" w:leader="dot"/>
            </w:tabs>
            <w:rPr/>
          </w:pPr>
          <w:hyperlink w:anchor="__RefHeading___Toc3599887_1067777946">
            <w:r>
              <w:rPr>
                <w:webHidden/>
                <w:rStyle w:val="IndexLink"/>
                <w:rtl w:val="true"/>
              </w:rPr>
              <w:t>لزوم عقد توسط ابوين صغيرين</w:t>
            </w:r>
            <w:r>
              <w:rPr>
                <w:rStyle w:val="IndexLink"/>
                <w:rtl w:val="true"/>
              </w:rPr>
              <w:tab/>
            </w:r>
            <w:r>
              <w:rPr>
                <w:rStyle w:val="IndexLink"/>
              </w:rPr>
              <w:t>561</w:t>
            </w:r>
          </w:hyperlink>
        </w:p>
        <w:p>
          <w:pPr>
            <w:pStyle w:val="Contents4"/>
            <w:tabs>
              <w:tab w:val="clear" w:pos="8176"/>
              <w:tab w:val="right" w:pos="9026" w:leader="dot"/>
            </w:tabs>
            <w:rPr/>
          </w:pPr>
          <w:hyperlink w:anchor="__RefHeading___Toc3599889_1067777946">
            <w:r>
              <w:rPr>
                <w:webHidden/>
                <w:rStyle w:val="IndexLink"/>
                <w:rtl w:val="true"/>
              </w:rPr>
              <w:t>عقد فضولى در صغيرين</w:t>
            </w:r>
            <w:r>
              <w:rPr>
                <w:rStyle w:val="IndexLink"/>
                <w:rtl w:val="true"/>
              </w:rPr>
              <w:tab/>
            </w:r>
            <w:r>
              <w:rPr>
                <w:rStyle w:val="IndexLink"/>
              </w:rPr>
              <w:t>561</w:t>
            </w:r>
          </w:hyperlink>
        </w:p>
        <w:p>
          <w:pPr>
            <w:pStyle w:val="Contents4"/>
            <w:tabs>
              <w:tab w:val="clear" w:pos="8176"/>
              <w:tab w:val="right" w:pos="9026" w:leader="dot"/>
            </w:tabs>
            <w:rPr/>
          </w:pPr>
          <w:hyperlink w:anchor="__RefHeading___Toc3599891_1067777946">
            <w:r>
              <w:rPr>
                <w:webHidden/>
                <w:rStyle w:val="IndexLink"/>
                <w:rtl w:val="true"/>
              </w:rPr>
              <w:t>وفات يا جنون مجيز</w:t>
            </w:r>
            <w:r>
              <w:rPr>
                <w:rStyle w:val="IndexLink"/>
                <w:rtl w:val="true"/>
              </w:rPr>
              <w:tab/>
            </w:r>
            <w:r>
              <w:rPr>
                <w:rStyle w:val="IndexLink"/>
              </w:rPr>
              <w:t>561</w:t>
            </w:r>
          </w:hyperlink>
        </w:p>
        <w:p>
          <w:pPr>
            <w:pStyle w:val="Contents4"/>
            <w:tabs>
              <w:tab w:val="clear" w:pos="8176"/>
              <w:tab w:val="right" w:pos="9026" w:leader="dot"/>
            </w:tabs>
            <w:rPr/>
          </w:pPr>
          <w:hyperlink w:anchor="__RefHeading___Toc3599893_1067777946">
            <w:r>
              <w:rPr>
                <w:webHidden/>
                <w:rStyle w:val="IndexLink"/>
                <w:rtl w:val="true"/>
              </w:rPr>
              <w:t>نكول زوج از يمين بعد از اجازه</w:t>
            </w:r>
            <w:r>
              <w:rPr>
                <w:rStyle w:val="IndexLink"/>
                <w:rtl w:val="true"/>
              </w:rPr>
              <w:tab/>
            </w:r>
            <w:r>
              <w:rPr>
                <w:rStyle w:val="IndexLink"/>
              </w:rPr>
              <w:t>562</w:t>
            </w:r>
          </w:hyperlink>
        </w:p>
        <w:p>
          <w:pPr>
            <w:pStyle w:val="Contents4"/>
            <w:tabs>
              <w:tab w:val="clear" w:pos="8176"/>
              <w:tab w:val="right" w:pos="9026" w:leader="dot"/>
            </w:tabs>
            <w:rPr/>
          </w:pPr>
          <w:hyperlink w:anchor="__RefHeading___Toc3599895_1067777946">
            <w:r>
              <w:rPr>
                <w:webHidden/>
                <w:rStyle w:val="IndexLink"/>
                <w:rtl w:val="true"/>
              </w:rPr>
              <w:t>عقد فضولى بر دو مجنون</w:t>
            </w:r>
            <w:r>
              <w:rPr>
                <w:rStyle w:val="IndexLink"/>
                <w:rtl w:val="true"/>
              </w:rPr>
              <w:tab/>
            </w:r>
            <w:r>
              <w:rPr>
                <w:rStyle w:val="IndexLink"/>
              </w:rPr>
              <w:t>562</w:t>
            </w:r>
          </w:hyperlink>
        </w:p>
        <w:p>
          <w:pPr>
            <w:pStyle w:val="Contents4"/>
            <w:tabs>
              <w:tab w:val="clear" w:pos="8176"/>
              <w:tab w:val="right" w:pos="9026" w:leader="dot"/>
            </w:tabs>
            <w:rPr/>
          </w:pPr>
          <w:hyperlink w:anchor="__RefHeading___Toc3599897_1067777946">
            <w:r>
              <w:rPr>
                <w:webHidden/>
                <w:rStyle w:val="IndexLink"/>
                <w:rtl w:val="true"/>
              </w:rPr>
              <w:t>عقد فضولى بر دو بالغ</w:t>
            </w:r>
            <w:r>
              <w:rPr>
                <w:rStyle w:val="IndexLink"/>
                <w:rtl w:val="true"/>
              </w:rPr>
              <w:tab/>
            </w:r>
            <w:r>
              <w:rPr>
                <w:rStyle w:val="IndexLink"/>
              </w:rPr>
              <w:t>562</w:t>
            </w:r>
          </w:hyperlink>
        </w:p>
        <w:p>
          <w:pPr>
            <w:pStyle w:val="Contents4"/>
            <w:tabs>
              <w:tab w:val="clear" w:pos="8176"/>
              <w:tab w:val="right" w:pos="9026" w:leader="dot"/>
            </w:tabs>
            <w:rPr/>
          </w:pPr>
          <w:hyperlink w:anchor="__RefHeading___Toc3599899_1067777946">
            <w:r>
              <w:rPr>
                <w:webHidden/>
                <w:rStyle w:val="IndexLink"/>
                <w:rtl w:val="true"/>
              </w:rPr>
              <w:t>اذن مالك در نكاح عبد</w:t>
            </w:r>
            <w:r>
              <w:rPr>
                <w:rStyle w:val="IndexLink"/>
                <w:rtl w:val="true"/>
              </w:rPr>
              <w:tab/>
            </w:r>
            <w:r>
              <w:rPr>
                <w:rStyle w:val="IndexLink"/>
              </w:rPr>
              <w:t>563</w:t>
            </w:r>
          </w:hyperlink>
        </w:p>
        <w:p>
          <w:pPr>
            <w:pStyle w:val="Contents4"/>
            <w:tabs>
              <w:tab w:val="clear" w:pos="8176"/>
              <w:tab w:val="right" w:pos="9026" w:leader="dot"/>
            </w:tabs>
            <w:rPr/>
          </w:pPr>
          <w:hyperlink w:anchor="__RefHeading___Toc3599901_1067777946">
            <w:r>
              <w:rPr>
                <w:webHidden/>
                <w:rStyle w:val="IndexLink"/>
                <w:rtl w:val="true"/>
              </w:rPr>
              <w:t>تعيين زن و مقدار مهر</w:t>
            </w:r>
            <w:r>
              <w:rPr>
                <w:rStyle w:val="IndexLink"/>
                <w:rtl w:val="true"/>
              </w:rPr>
              <w:tab/>
            </w:r>
            <w:r>
              <w:rPr>
                <w:rStyle w:val="IndexLink"/>
              </w:rPr>
              <w:t>563</w:t>
            </w:r>
          </w:hyperlink>
        </w:p>
        <w:p>
          <w:pPr>
            <w:pStyle w:val="Contents4"/>
            <w:tabs>
              <w:tab w:val="clear" w:pos="8176"/>
              <w:tab w:val="right" w:pos="9026" w:leader="dot"/>
            </w:tabs>
            <w:rPr/>
          </w:pPr>
          <w:hyperlink w:anchor="__RefHeading___Toc3599903_1067777946">
            <w:r>
              <w:rPr>
                <w:webHidden/>
                <w:rStyle w:val="IndexLink"/>
                <w:rtl w:val="true"/>
              </w:rPr>
              <w:t>تعيين و عدم تعيين نوع نكاح و قدر و خصوصيّت مهر در نكاح عبد توسّط مالك</w:t>
            </w:r>
            <w:r>
              <w:rPr>
                <w:rStyle w:val="IndexLink"/>
                <w:rtl w:val="true"/>
              </w:rPr>
              <w:tab/>
            </w:r>
            <w:r>
              <w:rPr>
                <w:rStyle w:val="IndexLink"/>
              </w:rPr>
              <w:t>563</w:t>
            </w:r>
          </w:hyperlink>
        </w:p>
        <w:p>
          <w:pPr>
            <w:pStyle w:val="Contents4"/>
            <w:tabs>
              <w:tab w:val="clear" w:pos="8176"/>
              <w:tab w:val="right" w:pos="9026" w:leader="dot"/>
            </w:tabs>
            <w:rPr/>
          </w:pPr>
          <w:hyperlink w:anchor="__RefHeading___Toc3599905_1067777946">
            <w:r>
              <w:rPr>
                <w:webHidden/>
                <w:rStyle w:val="IndexLink"/>
                <w:rtl w:val="true"/>
              </w:rPr>
              <w:t>زايد بر مهر معيّن</w:t>
            </w:r>
            <w:r>
              <w:rPr>
                <w:rStyle w:val="IndexLink"/>
                <w:rtl w:val="true"/>
              </w:rPr>
              <w:tab/>
            </w:r>
            <w:r>
              <w:rPr>
                <w:rStyle w:val="IndexLink"/>
              </w:rPr>
              <w:t>564</w:t>
            </w:r>
          </w:hyperlink>
        </w:p>
        <w:p>
          <w:pPr>
            <w:pStyle w:val="Contents4"/>
            <w:tabs>
              <w:tab w:val="clear" w:pos="8176"/>
              <w:tab w:val="right" w:pos="9026" w:leader="dot"/>
            </w:tabs>
            <w:rPr/>
          </w:pPr>
          <w:hyperlink w:anchor="__RefHeading___Toc3599907_1067777946">
            <w:r>
              <w:rPr>
                <w:webHidden/>
                <w:rStyle w:val="IndexLink"/>
                <w:rtl w:val="true"/>
              </w:rPr>
              <w:t>نكاح و تصرّفات عبد مبعّض</w:t>
            </w:r>
            <w:r>
              <w:rPr>
                <w:rStyle w:val="IndexLink"/>
                <w:rtl w:val="true"/>
              </w:rPr>
              <w:tab/>
            </w:r>
            <w:r>
              <w:rPr>
                <w:rStyle w:val="IndexLink"/>
              </w:rPr>
              <w:t>564</w:t>
            </w:r>
          </w:hyperlink>
        </w:p>
        <w:p>
          <w:pPr>
            <w:pStyle w:val="Contents4"/>
            <w:tabs>
              <w:tab w:val="clear" w:pos="8176"/>
              <w:tab w:val="right" w:pos="9026" w:leader="dot"/>
            </w:tabs>
            <w:rPr/>
          </w:pPr>
          <w:hyperlink w:anchor="__RefHeading___Toc3599909_1067777946">
            <w:r>
              <w:rPr>
                <w:webHidden/>
                <w:rStyle w:val="IndexLink"/>
                <w:rtl w:val="true"/>
              </w:rPr>
              <w:t>اختيار تزويج امۀ مولّى عليه</w:t>
            </w:r>
            <w:r>
              <w:rPr>
                <w:rStyle w:val="IndexLink"/>
                <w:rtl w:val="true"/>
              </w:rPr>
              <w:tab/>
            </w:r>
            <w:r>
              <w:rPr>
                <w:rStyle w:val="IndexLink"/>
              </w:rPr>
              <w:t>565</w:t>
            </w:r>
          </w:hyperlink>
        </w:p>
        <w:p>
          <w:pPr>
            <w:pStyle w:val="Contents4"/>
            <w:tabs>
              <w:tab w:val="clear" w:pos="8176"/>
              <w:tab w:val="right" w:pos="9026" w:leader="dot"/>
            </w:tabs>
            <w:rPr/>
          </w:pPr>
          <w:hyperlink w:anchor="__RefHeading___Toc3599911_1067777946">
            <w:r>
              <w:rPr>
                <w:webHidden/>
                <w:rStyle w:val="IndexLink"/>
                <w:rtl w:val="true"/>
              </w:rPr>
              <w:t>استحباب استيذان</w:t>
            </w:r>
            <w:r>
              <w:rPr>
                <w:rStyle w:val="IndexLink"/>
                <w:rtl w:val="true"/>
              </w:rPr>
              <w:tab/>
            </w:r>
            <w:r>
              <w:rPr>
                <w:rStyle w:val="IndexLink"/>
              </w:rPr>
              <w:t>565</w:t>
            </w:r>
          </w:hyperlink>
        </w:p>
        <w:p>
          <w:pPr>
            <w:pStyle w:val="Contents4"/>
            <w:tabs>
              <w:tab w:val="clear" w:pos="8176"/>
              <w:tab w:val="right" w:pos="9026" w:leader="dot"/>
            </w:tabs>
            <w:rPr/>
          </w:pPr>
          <w:hyperlink w:anchor="__RefHeading___Toc3599913_1067777946">
            <w:r>
              <w:rPr>
                <w:webHidden/>
                <w:rStyle w:val="IndexLink"/>
                <w:rtl w:val="true"/>
              </w:rPr>
              <w:t>تزويج اخت توسط دو برادر با توكيل</w:t>
            </w:r>
            <w:r>
              <w:rPr>
                <w:rStyle w:val="IndexLink"/>
                <w:rtl w:val="true"/>
              </w:rPr>
              <w:tab/>
            </w:r>
            <w:r>
              <w:rPr>
                <w:rStyle w:val="IndexLink"/>
              </w:rPr>
              <w:t>565</w:t>
            </w:r>
          </w:hyperlink>
        </w:p>
        <w:p>
          <w:pPr>
            <w:pStyle w:val="Contents4"/>
            <w:tabs>
              <w:tab w:val="clear" w:pos="8176"/>
              <w:tab w:val="right" w:pos="9026" w:leader="dot"/>
            </w:tabs>
            <w:rPr/>
          </w:pPr>
          <w:hyperlink w:anchor="__RefHeading___Toc3599915_1067777946">
            <w:r>
              <w:rPr>
                <w:webHidden/>
                <w:rStyle w:val="IndexLink"/>
                <w:rtl w:val="true"/>
              </w:rPr>
              <w:t>عدم ولايت مادر در نكاح صغيره</w:t>
            </w:r>
            <w:r>
              <w:rPr>
                <w:rStyle w:val="IndexLink"/>
                <w:rtl w:val="true"/>
              </w:rPr>
              <w:tab/>
            </w:r>
            <w:r>
              <w:rPr>
                <w:rStyle w:val="IndexLink"/>
              </w:rPr>
              <w:t>566</w:t>
            </w:r>
          </w:hyperlink>
        </w:p>
        <w:p>
          <w:pPr>
            <w:pStyle w:val="Contents4"/>
            <w:tabs>
              <w:tab w:val="clear" w:pos="8176"/>
              <w:tab w:val="right" w:pos="9026" w:leader="dot"/>
            </w:tabs>
            <w:rPr/>
          </w:pPr>
          <w:hyperlink w:anchor="__RefHeading___Toc3599917_1067777946">
            <w:r>
              <w:rPr>
                <w:webHidden/>
                <w:rStyle w:val="IndexLink"/>
                <w:rtl w:val="true"/>
              </w:rPr>
              <w:t>تقدّم قول مدّعى صحّت با يمين</w:t>
            </w:r>
            <w:r>
              <w:rPr>
                <w:rStyle w:val="IndexLink"/>
                <w:rtl w:val="true"/>
              </w:rPr>
              <w:tab/>
            </w:r>
            <w:r>
              <w:rPr>
                <w:rStyle w:val="IndexLink"/>
              </w:rPr>
              <w:t>566</w:t>
            </w:r>
          </w:hyperlink>
        </w:p>
        <w:p>
          <w:pPr>
            <w:pStyle w:val="Contents3"/>
            <w:tabs>
              <w:tab w:val="clear" w:pos="8459"/>
              <w:tab w:val="right" w:pos="9026" w:leader="dot"/>
            </w:tabs>
            <w:rPr/>
          </w:pPr>
          <w:hyperlink w:anchor="__RefHeading___Toc3599919_1067777946">
            <w:r>
              <w:rPr>
                <w:webHidden/>
                <w:rStyle w:val="IndexLink"/>
                <w:rtl w:val="true"/>
              </w:rPr>
              <w:t>فصل سوّم در اسباب تحريم</w:t>
            </w:r>
            <w:r>
              <w:rPr>
                <w:rStyle w:val="IndexLink"/>
                <w:rtl w:val="true"/>
              </w:rPr>
              <w:tab/>
            </w:r>
            <w:r>
              <w:rPr>
                <w:rStyle w:val="IndexLink"/>
              </w:rPr>
              <w:t>568</w:t>
            </w:r>
          </w:hyperlink>
        </w:p>
        <w:p>
          <w:pPr>
            <w:pStyle w:val="Contents4"/>
            <w:tabs>
              <w:tab w:val="clear" w:pos="8176"/>
              <w:tab w:val="right" w:pos="9026" w:leader="dot"/>
            </w:tabs>
            <w:rPr/>
          </w:pPr>
          <w:hyperlink w:anchor="__RefHeading___Toc3599921_1067777946">
            <w:r>
              <w:rPr>
                <w:webHidden/>
                <w:rStyle w:val="IndexLink"/>
              </w:rPr>
              <w:t>1</w:t>
            </w:r>
            <w:r>
              <w:rPr>
                <w:rStyle w:val="IndexLink"/>
                <w:rtl w:val="true"/>
              </w:rPr>
              <w:t xml:space="preserve">. </w:t>
            </w:r>
            <w:r>
              <w:rPr>
                <w:rStyle w:val="IndexLink"/>
                <w:rtl w:val="true"/>
              </w:rPr>
              <w:t>نسب</w:t>
            </w:r>
            <w:r>
              <w:rPr>
                <w:rStyle w:val="IndexLink"/>
                <w:rtl w:val="true"/>
              </w:rPr>
              <w:tab/>
            </w:r>
            <w:r>
              <w:rPr>
                <w:rStyle w:val="IndexLink"/>
              </w:rPr>
              <w:t>568</w:t>
            </w:r>
          </w:hyperlink>
        </w:p>
        <w:p>
          <w:pPr>
            <w:pStyle w:val="Contents5"/>
            <w:tabs>
              <w:tab w:val="clear" w:pos="7892"/>
              <w:tab w:val="right" w:pos="9026" w:leader="dot"/>
            </w:tabs>
            <w:rPr/>
          </w:pPr>
          <w:hyperlink w:anchor="__RefHeading___Toc3599923_1067777946">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3599925_1067777946">
            <w:r>
              <w:rPr>
                <w:webHidden/>
                <w:rStyle w:val="IndexLink"/>
                <w:rtl w:val="true"/>
              </w:rPr>
              <w:t>افرادى كه ازدواج با آنها، به سبب نَسِب، حرام است</w:t>
            </w:r>
            <w:r>
              <w:rPr>
                <w:rStyle w:val="IndexLink"/>
                <w:rtl w:val="true"/>
              </w:rPr>
              <w:tab/>
            </w:r>
            <w:r>
              <w:rPr>
                <w:rStyle w:val="IndexLink"/>
              </w:rPr>
              <w:t>568</w:t>
            </w:r>
          </w:hyperlink>
        </w:p>
        <w:p>
          <w:pPr>
            <w:pStyle w:val="Contents5"/>
            <w:tabs>
              <w:tab w:val="clear" w:pos="7892"/>
              <w:tab w:val="right" w:pos="9026" w:leader="dot"/>
            </w:tabs>
            <w:rPr/>
          </w:pPr>
          <w:hyperlink w:anchor="__RefHeading___Toc3599927_1067777946">
            <w:r>
              <w:rPr>
                <w:webHidden/>
                <w:rStyle w:val="IndexLink"/>
                <w:rtl w:val="true"/>
              </w:rPr>
              <w:t>مراد از برخى از محرّمات به نسبت</w:t>
            </w:r>
            <w:r>
              <w:rPr>
                <w:rStyle w:val="IndexLink"/>
                <w:rtl w:val="true"/>
              </w:rPr>
              <w:tab/>
            </w:r>
            <w:r>
              <w:rPr>
                <w:rStyle w:val="IndexLink"/>
              </w:rPr>
              <w:t>569</w:t>
            </w:r>
          </w:hyperlink>
        </w:p>
        <w:p>
          <w:pPr>
            <w:pStyle w:val="Contents5"/>
            <w:tabs>
              <w:tab w:val="clear" w:pos="7892"/>
              <w:tab w:val="right" w:pos="9026" w:leader="dot"/>
            </w:tabs>
            <w:rPr/>
          </w:pPr>
          <w:hyperlink w:anchor="__RefHeading___Toc3599929_1067777946">
            <w:r>
              <w:rPr>
                <w:webHidden/>
                <w:rStyle w:val="IndexLink"/>
                <w:rtl w:val="true"/>
              </w:rPr>
              <w:t>چند مسأله</w:t>
            </w:r>
            <w:r>
              <w:rPr>
                <w:rStyle w:val="IndexLink"/>
                <w:rtl w:val="true"/>
              </w:rPr>
              <w:tab/>
            </w:r>
            <w:r>
              <w:rPr>
                <w:rStyle w:val="IndexLink"/>
              </w:rPr>
              <w:t>569</w:t>
            </w:r>
          </w:hyperlink>
        </w:p>
        <w:p>
          <w:pPr>
            <w:pStyle w:val="Contents6"/>
            <w:tabs>
              <w:tab w:val="clear" w:pos="7609"/>
              <w:tab w:val="right" w:pos="9026" w:leader="dot"/>
            </w:tabs>
            <w:rPr/>
          </w:pPr>
          <w:hyperlink w:anchor="__RefHeading___Toc3599931_1067777946">
            <w:r>
              <w:rPr>
                <w:webHidden/>
                <w:rStyle w:val="IndexLink"/>
                <w:rtl w:val="true"/>
              </w:rPr>
              <w:t>راه ثبوت نسب</w:t>
            </w:r>
            <w:r>
              <w:rPr>
                <w:rStyle w:val="IndexLink"/>
                <w:rtl w:val="true"/>
              </w:rPr>
              <w:tab/>
            </w:r>
            <w:r>
              <w:rPr>
                <w:rStyle w:val="IndexLink"/>
              </w:rPr>
              <w:t>569</w:t>
            </w:r>
          </w:hyperlink>
        </w:p>
        <w:p>
          <w:pPr>
            <w:pStyle w:val="Contents6"/>
            <w:tabs>
              <w:tab w:val="clear" w:pos="7609"/>
              <w:tab w:val="right" w:pos="9026" w:leader="dot"/>
            </w:tabs>
            <w:rPr/>
          </w:pPr>
          <w:hyperlink w:anchor="__RefHeading___Toc3599933_1067777946">
            <w:r>
              <w:rPr>
                <w:webHidden/>
                <w:rStyle w:val="IndexLink"/>
                <w:rtl w:val="true"/>
              </w:rPr>
              <w:t>ميزان در ولد شبهه بودن</w:t>
            </w:r>
            <w:r>
              <w:rPr>
                <w:rStyle w:val="IndexLink"/>
                <w:rtl w:val="true"/>
              </w:rPr>
              <w:tab/>
            </w:r>
            <w:r>
              <w:rPr>
                <w:rStyle w:val="IndexLink"/>
              </w:rPr>
              <w:t>569</w:t>
            </w:r>
          </w:hyperlink>
        </w:p>
        <w:p>
          <w:pPr>
            <w:pStyle w:val="Contents6"/>
            <w:tabs>
              <w:tab w:val="clear" w:pos="7609"/>
              <w:tab w:val="right" w:pos="9026" w:leader="dot"/>
            </w:tabs>
            <w:rPr/>
          </w:pPr>
          <w:hyperlink w:anchor="__RefHeading___Toc3599935_1067777946">
            <w:r>
              <w:rPr>
                <w:webHidden/>
                <w:rStyle w:val="IndexLink"/>
                <w:rtl w:val="true"/>
              </w:rPr>
              <w:t>محرّمات به سبب ولادت از زنا</w:t>
            </w:r>
            <w:r>
              <w:rPr>
                <w:rStyle w:val="IndexLink"/>
                <w:rtl w:val="true"/>
              </w:rPr>
              <w:tab/>
            </w:r>
            <w:r>
              <w:rPr>
                <w:rStyle w:val="IndexLink"/>
              </w:rPr>
              <w:t>570</w:t>
            </w:r>
          </w:hyperlink>
        </w:p>
        <w:p>
          <w:pPr>
            <w:pStyle w:val="Contents6"/>
            <w:tabs>
              <w:tab w:val="clear" w:pos="7609"/>
              <w:tab w:val="right" w:pos="9026" w:leader="dot"/>
            </w:tabs>
            <w:rPr/>
          </w:pPr>
          <w:hyperlink w:anchor="__RefHeading___Toc3599937_1067777946">
            <w:r>
              <w:rPr>
                <w:webHidden/>
                <w:rStyle w:val="IndexLink"/>
                <w:rtl w:val="true"/>
              </w:rPr>
              <w:t>حكم مولود بعد از طلاق و تحقّق وطى به شبهه</w:t>
            </w:r>
            <w:r>
              <w:rPr>
                <w:rStyle w:val="IndexLink"/>
                <w:rtl w:val="true"/>
              </w:rPr>
              <w:tab/>
            </w:r>
            <w:r>
              <w:rPr>
                <w:rStyle w:val="IndexLink"/>
              </w:rPr>
              <w:t>570</w:t>
            </w:r>
          </w:hyperlink>
        </w:p>
        <w:p>
          <w:pPr>
            <w:pStyle w:val="Contents6"/>
            <w:tabs>
              <w:tab w:val="clear" w:pos="7609"/>
              <w:tab w:val="right" w:pos="9026" w:leader="dot"/>
            </w:tabs>
            <w:rPr/>
          </w:pPr>
          <w:hyperlink w:anchor="__RefHeading___Toc3599939_1067777946">
            <w:r>
              <w:rPr>
                <w:webHidden/>
                <w:rStyle w:val="IndexLink"/>
                <w:rtl w:val="true"/>
              </w:rPr>
              <w:t>محدودۀ تأثير لعان در انتفاى نسب و آثار آن</w:t>
            </w:r>
            <w:r>
              <w:rPr>
                <w:rStyle w:val="IndexLink"/>
                <w:rtl w:val="true"/>
              </w:rPr>
              <w:tab/>
            </w:r>
            <w:r>
              <w:rPr>
                <w:rStyle w:val="IndexLink"/>
              </w:rPr>
              <w:t>571</w:t>
            </w:r>
          </w:hyperlink>
        </w:p>
        <w:p>
          <w:pPr>
            <w:pStyle w:val="Contents4"/>
            <w:tabs>
              <w:tab w:val="clear" w:pos="8176"/>
              <w:tab w:val="right" w:pos="9026" w:leader="dot"/>
            </w:tabs>
            <w:rPr/>
          </w:pPr>
          <w:hyperlink w:anchor="__RefHeading___Toc3599941_1067777946">
            <w:r>
              <w:rPr>
                <w:webHidden/>
                <w:rStyle w:val="IndexLink"/>
              </w:rPr>
              <w:t>2</w:t>
            </w:r>
            <w:r>
              <w:rPr>
                <w:rStyle w:val="IndexLink"/>
                <w:rtl w:val="true"/>
              </w:rPr>
              <w:t xml:space="preserve">. </w:t>
            </w:r>
            <w:r>
              <w:rPr>
                <w:rStyle w:val="IndexLink"/>
                <w:rtl w:val="true"/>
              </w:rPr>
              <w:t>رضاع</w:t>
            </w:r>
            <w:r>
              <w:rPr>
                <w:rStyle w:val="IndexLink"/>
                <w:rtl w:val="true"/>
              </w:rPr>
              <w:tab/>
            </w:r>
            <w:r>
              <w:rPr>
                <w:rStyle w:val="IndexLink"/>
              </w:rPr>
              <w:t>571</w:t>
            </w:r>
          </w:hyperlink>
        </w:p>
        <w:p>
          <w:pPr>
            <w:pStyle w:val="Contents5"/>
            <w:tabs>
              <w:tab w:val="clear" w:pos="7892"/>
              <w:tab w:val="right" w:pos="9026" w:leader="dot"/>
            </w:tabs>
            <w:rPr/>
          </w:pPr>
          <w:hyperlink w:anchor="__RefHeading___Toc3599943_1067777946">
            <w:r>
              <w:rPr>
                <w:webHidden/>
                <w:rStyle w:val="IndexLink"/>
                <w:rtl w:val="true"/>
              </w:rPr>
              <w:t>اشاره</w:t>
            </w:r>
            <w:r>
              <w:rPr>
                <w:rStyle w:val="IndexLink"/>
                <w:rtl w:val="true"/>
              </w:rPr>
              <w:tab/>
            </w:r>
            <w:r>
              <w:rPr>
                <w:rStyle w:val="IndexLink"/>
              </w:rPr>
              <w:t>571</w:t>
            </w:r>
          </w:hyperlink>
        </w:p>
        <w:p>
          <w:pPr>
            <w:pStyle w:val="Contents5"/>
            <w:tabs>
              <w:tab w:val="clear" w:pos="7892"/>
              <w:tab w:val="right" w:pos="9026" w:leader="dot"/>
            </w:tabs>
            <w:rPr/>
          </w:pPr>
          <w:hyperlink w:anchor="__RefHeading___Toc3599945_1067777946">
            <w:r>
              <w:rPr>
                <w:webHidden/>
                <w:rStyle w:val="IndexLink"/>
                <w:rtl w:val="true"/>
              </w:rPr>
              <w:t>شروط نشر حرمت به سبب رضاع</w:t>
            </w:r>
            <w:r>
              <w:rPr>
                <w:rStyle w:val="IndexLink"/>
                <w:rtl w:val="true"/>
              </w:rPr>
              <w:tab/>
            </w:r>
            <w:r>
              <w:rPr>
                <w:rStyle w:val="IndexLink"/>
              </w:rPr>
              <w:t>571</w:t>
            </w:r>
          </w:hyperlink>
        </w:p>
        <w:p>
          <w:pPr>
            <w:pStyle w:val="Contents6"/>
            <w:tabs>
              <w:tab w:val="clear" w:pos="7609"/>
              <w:tab w:val="right" w:pos="9026" w:leader="dot"/>
            </w:tabs>
            <w:rPr/>
          </w:pPr>
          <w:hyperlink w:anchor="__RefHeading___Toc3599947_1067777946">
            <w:r>
              <w:rPr>
                <w:webHidden/>
                <w:rStyle w:val="IndexLink"/>
                <w:rtl w:val="true"/>
              </w:rPr>
              <w:t>شرط اوّل</w:t>
            </w:r>
            <w:r>
              <w:rPr>
                <w:rStyle w:val="IndexLink"/>
                <w:rtl w:val="true"/>
              </w:rPr>
              <w:t xml:space="preserve">: </w:t>
            </w:r>
            <w:r>
              <w:rPr>
                <w:rStyle w:val="IndexLink"/>
                <w:rtl w:val="true"/>
              </w:rPr>
              <w:t>استناد شير به سبب خاص شرعى</w:t>
            </w:r>
            <w:r>
              <w:rPr>
                <w:rStyle w:val="IndexLink"/>
                <w:rtl w:val="true"/>
              </w:rPr>
              <w:tab/>
            </w:r>
            <w:r>
              <w:rPr>
                <w:rStyle w:val="IndexLink"/>
              </w:rPr>
              <w:t>571</w:t>
            </w:r>
          </w:hyperlink>
        </w:p>
        <w:p>
          <w:pPr>
            <w:pStyle w:val="Contents6"/>
            <w:tabs>
              <w:tab w:val="clear" w:pos="7609"/>
              <w:tab w:val="right" w:pos="9026" w:leader="dot"/>
            </w:tabs>
            <w:rPr/>
          </w:pPr>
          <w:hyperlink w:anchor="__RefHeading___Toc3599949_1067777946">
            <w:r>
              <w:rPr>
                <w:webHidden/>
                <w:rStyle w:val="IndexLink"/>
                <w:rtl w:val="true"/>
              </w:rPr>
              <w:t>اشاره</w:t>
            </w:r>
            <w:r>
              <w:rPr>
                <w:rStyle w:val="IndexLink"/>
                <w:rtl w:val="true"/>
              </w:rPr>
              <w:tab/>
            </w:r>
            <w:r>
              <w:rPr>
                <w:rStyle w:val="IndexLink"/>
              </w:rPr>
              <w:t>571</w:t>
            </w:r>
          </w:hyperlink>
        </w:p>
        <w:p>
          <w:pPr>
            <w:pStyle w:val="Contents6"/>
            <w:tabs>
              <w:tab w:val="clear" w:pos="7609"/>
              <w:tab w:val="right" w:pos="9026" w:leader="dot"/>
            </w:tabs>
            <w:rPr/>
          </w:pPr>
          <w:hyperlink w:anchor="__RefHeading___Toc3599951_1067777946">
            <w:r>
              <w:rPr>
                <w:webHidden/>
                <w:rStyle w:val="IndexLink"/>
                <w:rtl w:val="true"/>
              </w:rPr>
              <w:t>عدم نشر به واسطه وطى به شبهه و ارضاى خنثاى مشكل</w:t>
            </w:r>
            <w:r>
              <w:rPr>
                <w:rStyle w:val="IndexLink"/>
                <w:rtl w:val="true"/>
              </w:rPr>
              <w:tab/>
            </w:r>
            <w:r>
              <w:rPr>
                <w:rStyle w:val="IndexLink"/>
              </w:rPr>
              <w:t>572</w:t>
            </w:r>
          </w:hyperlink>
        </w:p>
        <w:p>
          <w:pPr>
            <w:pStyle w:val="Contents6"/>
            <w:tabs>
              <w:tab w:val="clear" w:pos="7609"/>
              <w:tab w:val="right" w:pos="9026" w:leader="dot"/>
            </w:tabs>
            <w:rPr/>
          </w:pPr>
          <w:hyperlink w:anchor="__RefHeading___Toc3599953_1067777946">
            <w:r>
              <w:rPr>
                <w:webHidden/>
                <w:rStyle w:val="IndexLink"/>
                <w:rtl w:val="true"/>
              </w:rPr>
              <w:t>عدم اشتراط بقاى زوجيّت</w:t>
            </w:r>
            <w:r>
              <w:rPr>
                <w:rStyle w:val="IndexLink"/>
                <w:rtl w:val="true"/>
              </w:rPr>
              <w:tab/>
            </w:r>
            <w:r>
              <w:rPr>
                <w:rStyle w:val="IndexLink"/>
              </w:rPr>
              <w:t>572</w:t>
            </w:r>
          </w:hyperlink>
        </w:p>
        <w:p>
          <w:pPr>
            <w:pStyle w:val="Contents6"/>
            <w:tabs>
              <w:tab w:val="clear" w:pos="7609"/>
              <w:tab w:val="right" w:pos="9026" w:leader="dot"/>
            </w:tabs>
            <w:rPr/>
          </w:pPr>
          <w:hyperlink w:anchor="__RefHeading___Toc3599955_1067777946">
            <w:r>
              <w:rPr>
                <w:webHidden/>
                <w:rStyle w:val="IndexLink"/>
                <w:rtl w:val="true"/>
              </w:rPr>
              <w:t>حكم انقطاع لبن در بين</w:t>
            </w:r>
            <w:r>
              <w:rPr>
                <w:rStyle w:val="IndexLink"/>
                <w:rtl w:val="true"/>
              </w:rPr>
              <w:tab/>
            </w:r>
            <w:r>
              <w:rPr>
                <w:rStyle w:val="IndexLink"/>
              </w:rPr>
              <w:t>572</w:t>
            </w:r>
          </w:hyperlink>
        </w:p>
        <w:p>
          <w:pPr>
            <w:pStyle w:val="Contents6"/>
            <w:tabs>
              <w:tab w:val="clear" w:pos="7609"/>
              <w:tab w:val="right" w:pos="9026" w:leader="dot"/>
            </w:tabs>
            <w:rPr/>
          </w:pPr>
          <w:hyperlink w:anchor="__RefHeading___Toc3599957_1067777946">
            <w:r>
              <w:rPr>
                <w:webHidden/>
                <w:rStyle w:val="IndexLink"/>
                <w:rtl w:val="true"/>
              </w:rPr>
              <w:t>حكم آمدن شير بدون ولادت و استمرار آن تا زمان حمل و ولادت</w:t>
            </w:r>
            <w:r>
              <w:rPr>
                <w:rStyle w:val="IndexLink"/>
                <w:rtl w:val="true"/>
              </w:rPr>
              <w:tab/>
            </w:r>
            <w:r>
              <w:rPr>
                <w:rStyle w:val="IndexLink"/>
              </w:rPr>
              <w:t>573</w:t>
            </w:r>
          </w:hyperlink>
        </w:p>
        <w:p>
          <w:pPr>
            <w:pStyle w:val="Contents6"/>
            <w:tabs>
              <w:tab w:val="clear" w:pos="7609"/>
              <w:tab w:val="right" w:pos="9026" w:leader="dot"/>
            </w:tabs>
            <w:rPr/>
          </w:pPr>
          <w:hyperlink w:anchor="__RefHeading___Toc3599959_1067777946">
            <w:r>
              <w:rPr>
                <w:webHidden/>
                <w:rStyle w:val="IndexLink"/>
                <w:rtl w:val="true"/>
              </w:rPr>
              <w:t>شرط دوّم</w:t>
            </w:r>
            <w:r>
              <w:rPr>
                <w:rStyle w:val="IndexLink"/>
                <w:rtl w:val="true"/>
              </w:rPr>
              <w:t xml:space="preserve">: </w:t>
            </w:r>
            <w:r>
              <w:rPr>
                <w:rStyle w:val="IndexLink"/>
                <w:rtl w:val="true"/>
              </w:rPr>
              <w:t>تمام رضعات در حيات مرضعه باشد</w:t>
            </w:r>
            <w:r>
              <w:rPr>
                <w:rStyle w:val="IndexLink"/>
                <w:rtl w:val="true"/>
              </w:rPr>
              <w:tab/>
            </w:r>
            <w:r>
              <w:rPr>
                <w:rStyle w:val="IndexLink"/>
              </w:rPr>
              <w:t>574</w:t>
            </w:r>
          </w:hyperlink>
        </w:p>
        <w:p>
          <w:pPr>
            <w:pStyle w:val="Contents6"/>
            <w:tabs>
              <w:tab w:val="clear" w:pos="7609"/>
              <w:tab w:val="right" w:pos="9026" w:leader="dot"/>
            </w:tabs>
            <w:rPr/>
          </w:pPr>
          <w:hyperlink w:anchor="__RefHeading___Toc3599961_1067777946">
            <w:r>
              <w:rPr>
                <w:webHidden/>
                <w:rStyle w:val="IndexLink"/>
                <w:rtl w:val="true"/>
              </w:rPr>
              <w:t>شرط سوّم</w:t>
            </w:r>
            <w:r>
              <w:rPr>
                <w:rStyle w:val="IndexLink"/>
                <w:rtl w:val="true"/>
              </w:rPr>
              <w:t xml:space="preserve">: </w:t>
            </w:r>
            <w:r>
              <w:rPr>
                <w:rStyle w:val="IndexLink"/>
                <w:rtl w:val="true"/>
              </w:rPr>
              <w:t>حصول اندازۀ لازم در رضاع</w:t>
            </w:r>
            <w:r>
              <w:rPr>
                <w:rStyle w:val="IndexLink"/>
                <w:rtl w:val="true"/>
              </w:rPr>
              <w:tab/>
            </w:r>
            <w:r>
              <w:rPr>
                <w:rStyle w:val="IndexLink"/>
              </w:rPr>
              <w:t>574</w:t>
            </w:r>
          </w:hyperlink>
        </w:p>
        <w:p>
          <w:pPr>
            <w:pStyle w:val="Contents6"/>
            <w:tabs>
              <w:tab w:val="clear" w:pos="7609"/>
              <w:tab w:val="right" w:pos="9026" w:leader="dot"/>
            </w:tabs>
            <w:rPr/>
          </w:pPr>
          <w:hyperlink w:anchor="__RefHeading___Toc3599963_1067777946">
            <w:r>
              <w:rPr>
                <w:webHidden/>
                <w:rStyle w:val="IndexLink"/>
                <w:rtl w:val="true"/>
              </w:rPr>
              <w:t>اشاره</w:t>
            </w:r>
            <w:r>
              <w:rPr>
                <w:rStyle w:val="IndexLink"/>
                <w:rtl w:val="true"/>
              </w:rPr>
              <w:tab/>
            </w:r>
            <w:r>
              <w:rPr>
                <w:rStyle w:val="IndexLink"/>
              </w:rPr>
              <w:t>574</w:t>
            </w:r>
          </w:hyperlink>
        </w:p>
        <w:p>
          <w:pPr>
            <w:pStyle w:val="Contents6"/>
            <w:tabs>
              <w:tab w:val="clear" w:pos="7609"/>
              <w:tab w:val="right" w:pos="9026" w:leader="dot"/>
            </w:tabs>
            <w:rPr/>
          </w:pPr>
          <w:hyperlink w:anchor="__RefHeading___Toc3599965_1067777946">
            <w:r>
              <w:rPr>
                <w:webHidden/>
                <w:rStyle w:val="IndexLink"/>
                <w:rtl w:val="true"/>
              </w:rPr>
              <w:t>حدّ اوّل</w:t>
            </w:r>
            <w:r>
              <w:rPr>
                <w:rStyle w:val="IndexLink"/>
                <w:rtl w:val="true"/>
              </w:rPr>
              <w:t xml:space="preserve">: </w:t>
            </w:r>
            <w:r>
              <w:rPr>
                <w:rStyle w:val="IndexLink"/>
                <w:rtl w:val="true"/>
              </w:rPr>
              <w:t>روييدن گوشت و سفت شدن استخوان</w:t>
            </w:r>
            <w:r>
              <w:rPr>
                <w:rStyle w:val="IndexLink"/>
                <w:rtl w:val="true"/>
              </w:rPr>
              <w:tab/>
            </w:r>
            <w:r>
              <w:rPr>
                <w:rStyle w:val="IndexLink"/>
              </w:rPr>
              <w:t>574</w:t>
            </w:r>
          </w:hyperlink>
        </w:p>
        <w:p>
          <w:pPr>
            <w:pStyle w:val="Contents6"/>
            <w:tabs>
              <w:tab w:val="clear" w:pos="7609"/>
              <w:tab w:val="right" w:pos="9026" w:leader="dot"/>
            </w:tabs>
            <w:rPr/>
          </w:pPr>
          <w:hyperlink w:anchor="__RefHeading___Toc3599967_1067777946">
            <w:r>
              <w:rPr>
                <w:webHidden/>
                <w:rStyle w:val="IndexLink"/>
                <w:rtl w:val="true"/>
              </w:rPr>
              <w:t>اشاره</w:t>
            </w:r>
            <w:r>
              <w:rPr>
                <w:rStyle w:val="IndexLink"/>
                <w:rtl w:val="true"/>
              </w:rPr>
              <w:tab/>
            </w:r>
            <w:r>
              <w:rPr>
                <w:rStyle w:val="IndexLink"/>
              </w:rPr>
              <w:t>574</w:t>
            </w:r>
          </w:hyperlink>
        </w:p>
        <w:p>
          <w:pPr>
            <w:pStyle w:val="Contents6"/>
            <w:tabs>
              <w:tab w:val="clear" w:pos="7609"/>
              <w:tab w:val="right" w:pos="9026" w:leader="dot"/>
            </w:tabs>
            <w:rPr/>
          </w:pPr>
          <w:hyperlink w:anchor="__RefHeading___Toc3599969_1067777946">
            <w:r>
              <w:rPr>
                <w:webHidden/>
                <w:rStyle w:val="IndexLink"/>
                <w:rtl w:val="true"/>
              </w:rPr>
              <w:t>لزوم استناد اثر به شير خوردن به نحو استقلال</w:t>
            </w:r>
            <w:r>
              <w:rPr>
                <w:rStyle w:val="IndexLink"/>
                <w:rtl w:val="true"/>
              </w:rPr>
              <w:tab/>
            </w:r>
            <w:r>
              <w:rPr>
                <w:rStyle w:val="IndexLink"/>
              </w:rPr>
              <w:t>574</w:t>
            </w:r>
          </w:hyperlink>
        </w:p>
        <w:p>
          <w:pPr>
            <w:pStyle w:val="Contents6"/>
            <w:tabs>
              <w:tab w:val="clear" w:pos="7609"/>
              <w:tab w:val="right" w:pos="9026" w:leader="dot"/>
            </w:tabs>
            <w:rPr/>
          </w:pPr>
          <w:hyperlink w:anchor="__RefHeading___Toc3599971_1067777946">
            <w:r>
              <w:rPr>
                <w:webHidden/>
                <w:rStyle w:val="IndexLink"/>
                <w:rtl w:val="true"/>
              </w:rPr>
              <w:t>نحوۀ اثبات تحقق اثر و مقتضاى اصل</w:t>
            </w:r>
            <w:r>
              <w:rPr>
                <w:rStyle w:val="IndexLink"/>
                <w:rtl w:val="true"/>
              </w:rPr>
              <w:tab/>
            </w:r>
            <w:r>
              <w:rPr>
                <w:rStyle w:val="IndexLink"/>
              </w:rPr>
              <w:t>575</w:t>
            </w:r>
          </w:hyperlink>
        </w:p>
        <w:p>
          <w:pPr>
            <w:pStyle w:val="Contents6"/>
            <w:tabs>
              <w:tab w:val="clear" w:pos="7609"/>
              <w:tab w:val="right" w:pos="9026" w:leader="dot"/>
            </w:tabs>
            <w:rPr/>
          </w:pPr>
          <w:hyperlink w:anchor="__RefHeading___Toc3599973_1067777946">
            <w:r>
              <w:rPr>
                <w:webHidden/>
                <w:rStyle w:val="IndexLink"/>
                <w:rtl w:val="true"/>
              </w:rPr>
              <w:t>حدّ دوّم</w:t>
            </w:r>
            <w:r>
              <w:rPr>
                <w:rStyle w:val="IndexLink"/>
                <w:rtl w:val="true"/>
              </w:rPr>
              <w:t xml:space="preserve">: </w:t>
            </w:r>
            <w:r>
              <w:rPr>
                <w:rStyle w:val="IndexLink"/>
                <w:rtl w:val="true"/>
              </w:rPr>
              <w:t>تحقق حدّ اقل ده مرتبه رضاع</w:t>
            </w:r>
            <w:r>
              <w:rPr>
                <w:rStyle w:val="IndexLink"/>
                <w:rtl w:val="true"/>
              </w:rPr>
              <w:tab/>
            </w:r>
            <w:r>
              <w:rPr>
                <w:rStyle w:val="IndexLink"/>
              </w:rPr>
              <w:t>575</w:t>
            </w:r>
          </w:hyperlink>
        </w:p>
        <w:p>
          <w:pPr>
            <w:pStyle w:val="Contents6"/>
            <w:tabs>
              <w:tab w:val="clear" w:pos="7609"/>
              <w:tab w:val="right" w:pos="9026" w:leader="dot"/>
            </w:tabs>
            <w:rPr/>
          </w:pPr>
          <w:hyperlink w:anchor="__RefHeading___Toc3599975_1067777946">
            <w:r>
              <w:rPr>
                <w:webHidden/>
                <w:rStyle w:val="IndexLink"/>
                <w:rtl w:val="true"/>
              </w:rPr>
              <w:t>حدّ سوّم</w:t>
            </w:r>
            <w:r>
              <w:rPr>
                <w:rStyle w:val="IndexLink"/>
                <w:rtl w:val="true"/>
              </w:rPr>
              <w:t xml:space="preserve">: </w:t>
            </w:r>
            <w:r>
              <w:rPr>
                <w:rStyle w:val="IndexLink"/>
                <w:rtl w:val="true"/>
              </w:rPr>
              <w:t>رضاع يك شبانه روز</w:t>
            </w:r>
            <w:r>
              <w:rPr>
                <w:rStyle w:val="IndexLink"/>
                <w:rtl w:val="true"/>
              </w:rPr>
              <w:tab/>
            </w:r>
            <w:r>
              <w:rPr>
                <w:rStyle w:val="IndexLink"/>
              </w:rPr>
              <w:t>575</w:t>
            </w:r>
          </w:hyperlink>
        </w:p>
        <w:p>
          <w:pPr>
            <w:pStyle w:val="Contents6"/>
            <w:tabs>
              <w:tab w:val="clear" w:pos="7609"/>
              <w:tab w:val="right" w:pos="9026" w:leader="dot"/>
            </w:tabs>
            <w:rPr/>
          </w:pPr>
          <w:hyperlink w:anchor="__RefHeading___Toc3599977_1067777946">
            <w:r>
              <w:rPr>
                <w:webHidden/>
                <w:rStyle w:val="IndexLink"/>
                <w:rtl w:val="true"/>
              </w:rPr>
              <w:t>شرط چهارم</w:t>
            </w:r>
            <w:r>
              <w:rPr>
                <w:rStyle w:val="IndexLink"/>
                <w:rtl w:val="true"/>
              </w:rPr>
              <w:t xml:space="preserve">: </w:t>
            </w:r>
            <w:r>
              <w:rPr>
                <w:rStyle w:val="IndexLink"/>
                <w:rtl w:val="true"/>
              </w:rPr>
              <w:t>تحقق رضاع به وسيلۀ مكيدن</w:t>
            </w:r>
            <w:r>
              <w:rPr>
                <w:rStyle w:val="IndexLink"/>
                <w:rtl w:val="true"/>
              </w:rPr>
              <w:tab/>
            </w:r>
            <w:r>
              <w:rPr>
                <w:rStyle w:val="IndexLink"/>
              </w:rPr>
              <w:t>575</w:t>
            </w:r>
          </w:hyperlink>
        </w:p>
        <w:p>
          <w:pPr>
            <w:pStyle w:val="Contents6"/>
            <w:tabs>
              <w:tab w:val="clear" w:pos="7609"/>
              <w:tab w:val="right" w:pos="9026" w:leader="dot"/>
            </w:tabs>
            <w:rPr/>
          </w:pPr>
          <w:hyperlink w:anchor="__RefHeading___Toc3599979_1067777946">
            <w:r>
              <w:rPr>
                <w:webHidden/>
                <w:rStyle w:val="IndexLink"/>
                <w:rtl w:val="true"/>
              </w:rPr>
              <w:t>شرط پنجم</w:t>
            </w:r>
            <w:r>
              <w:rPr>
                <w:rStyle w:val="IndexLink"/>
                <w:rtl w:val="true"/>
              </w:rPr>
              <w:t xml:space="preserve">: </w:t>
            </w:r>
            <w:r>
              <w:rPr>
                <w:rStyle w:val="IndexLink"/>
                <w:rtl w:val="true"/>
              </w:rPr>
              <w:t>كامل بودن رضعه و عدم فاصله در خصوص تقدير عددى</w:t>
            </w:r>
            <w:r>
              <w:rPr>
                <w:rStyle w:val="IndexLink"/>
                <w:rtl w:val="true"/>
              </w:rPr>
              <w:tab/>
            </w:r>
            <w:r>
              <w:rPr>
                <w:rStyle w:val="IndexLink"/>
              </w:rPr>
              <w:t>575</w:t>
            </w:r>
          </w:hyperlink>
        </w:p>
        <w:p>
          <w:pPr>
            <w:pStyle w:val="Contents6"/>
            <w:tabs>
              <w:tab w:val="clear" w:pos="7609"/>
              <w:tab w:val="right" w:pos="9026" w:leader="dot"/>
            </w:tabs>
            <w:rPr/>
          </w:pPr>
          <w:hyperlink w:anchor="__RefHeading___Toc3599981_1067777946">
            <w:r>
              <w:rPr>
                <w:webHidden/>
                <w:rStyle w:val="IndexLink"/>
                <w:rtl w:val="true"/>
              </w:rPr>
              <w:t>اشاره</w:t>
            </w:r>
            <w:r>
              <w:rPr>
                <w:rStyle w:val="IndexLink"/>
                <w:rtl w:val="true"/>
              </w:rPr>
              <w:tab/>
            </w:r>
            <w:r>
              <w:rPr>
                <w:rStyle w:val="IndexLink"/>
              </w:rPr>
              <w:t>575</w:t>
            </w:r>
          </w:hyperlink>
        </w:p>
        <w:p>
          <w:pPr>
            <w:pStyle w:val="Contents6"/>
            <w:tabs>
              <w:tab w:val="clear" w:pos="7609"/>
              <w:tab w:val="right" w:pos="9026" w:leader="dot"/>
            </w:tabs>
            <w:rPr/>
          </w:pPr>
          <w:hyperlink w:anchor="__RefHeading___Toc3599983_1067777946">
            <w:r>
              <w:rPr>
                <w:webHidden/>
                <w:rStyle w:val="IndexLink"/>
                <w:rtl w:val="true"/>
              </w:rPr>
              <w:t>نحوۀ تحقق يك مرتبه شير خوردن</w:t>
            </w:r>
            <w:r>
              <w:rPr>
                <w:rStyle w:val="IndexLink"/>
                <w:rtl w:val="true"/>
              </w:rPr>
              <w:tab/>
            </w:r>
            <w:r>
              <w:rPr>
                <w:rStyle w:val="IndexLink"/>
              </w:rPr>
              <w:t>576</w:t>
            </w:r>
          </w:hyperlink>
        </w:p>
        <w:p>
          <w:pPr>
            <w:pStyle w:val="Contents6"/>
            <w:tabs>
              <w:tab w:val="clear" w:pos="7609"/>
              <w:tab w:val="right" w:pos="9026" w:leader="dot"/>
            </w:tabs>
            <w:rPr/>
          </w:pPr>
          <w:hyperlink w:anchor="__RefHeading___Toc3599985_1067777946">
            <w:r>
              <w:rPr>
                <w:webHidden/>
                <w:rStyle w:val="IndexLink"/>
                <w:rtl w:val="true"/>
              </w:rPr>
              <w:t>دو رضعۀ ناقصه</w:t>
            </w:r>
            <w:r>
              <w:rPr>
                <w:rStyle w:val="IndexLink"/>
                <w:rtl w:val="true"/>
              </w:rPr>
              <w:tab/>
            </w:r>
            <w:r>
              <w:rPr>
                <w:rStyle w:val="IndexLink"/>
              </w:rPr>
              <w:t>576</w:t>
            </w:r>
          </w:hyperlink>
        </w:p>
        <w:p>
          <w:pPr>
            <w:pStyle w:val="Contents6"/>
            <w:tabs>
              <w:tab w:val="clear" w:pos="7609"/>
              <w:tab w:val="right" w:pos="9026" w:leader="dot"/>
            </w:tabs>
            <w:rPr/>
          </w:pPr>
          <w:hyperlink w:anchor="__RefHeading___Toc3599987_1067777946">
            <w:r>
              <w:rPr>
                <w:webHidden/>
                <w:rStyle w:val="IndexLink"/>
                <w:rtl w:val="true"/>
              </w:rPr>
              <w:t>شرط ششم</w:t>
            </w:r>
            <w:r>
              <w:rPr>
                <w:rStyle w:val="IndexLink"/>
                <w:rtl w:val="true"/>
              </w:rPr>
              <w:t xml:space="preserve">: </w:t>
            </w:r>
            <w:r>
              <w:rPr>
                <w:rStyle w:val="IndexLink"/>
                <w:rtl w:val="true"/>
              </w:rPr>
              <w:t>پى درپى بودن شير دادن از يك شير دهنده</w:t>
            </w:r>
            <w:r>
              <w:rPr>
                <w:rStyle w:val="IndexLink"/>
                <w:rtl w:val="true"/>
              </w:rPr>
              <w:tab/>
            </w:r>
            <w:r>
              <w:rPr>
                <w:rStyle w:val="IndexLink"/>
              </w:rPr>
              <w:t>577</w:t>
            </w:r>
          </w:hyperlink>
        </w:p>
        <w:p>
          <w:pPr>
            <w:pStyle w:val="Contents6"/>
            <w:tabs>
              <w:tab w:val="clear" w:pos="7609"/>
              <w:tab w:val="right" w:pos="9026" w:leader="dot"/>
            </w:tabs>
            <w:rPr/>
          </w:pPr>
          <w:hyperlink w:anchor="__RefHeading___Toc3599989_1067777946">
            <w:r>
              <w:rPr>
                <w:webHidden/>
                <w:rStyle w:val="IndexLink"/>
                <w:rtl w:val="true"/>
              </w:rPr>
              <w:t>شرط هفتم</w:t>
            </w:r>
            <w:r>
              <w:rPr>
                <w:rStyle w:val="IndexLink"/>
                <w:rtl w:val="true"/>
              </w:rPr>
              <w:t xml:space="preserve">: </w:t>
            </w:r>
            <w:r>
              <w:rPr>
                <w:rStyle w:val="IndexLink"/>
                <w:rtl w:val="true"/>
              </w:rPr>
              <w:t xml:space="preserve">عدم مانع از صدق </w:t>
            </w:r>
            <w:r>
              <w:rPr>
                <w:rStyle w:val="IndexLink"/>
                <w:rtl w:val="true"/>
              </w:rPr>
              <w:t>«</w:t>
            </w:r>
            <w:r>
              <w:rPr>
                <w:rStyle w:val="IndexLink"/>
                <w:rtl w:val="true"/>
              </w:rPr>
              <w:t>شير</w:t>
            </w:r>
            <w:r>
              <w:rPr>
                <w:rStyle w:val="IndexLink"/>
                <w:rtl w:val="true"/>
              </w:rPr>
              <w:t>»</w:t>
              <w:tab/>
            </w:r>
            <w:r>
              <w:rPr>
                <w:rStyle w:val="IndexLink"/>
              </w:rPr>
              <w:t>577</w:t>
            </w:r>
          </w:hyperlink>
        </w:p>
        <w:p>
          <w:pPr>
            <w:pStyle w:val="Contents6"/>
            <w:tabs>
              <w:tab w:val="clear" w:pos="7609"/>
              <w:tab w:val="right" w:pos="9026" w:leader="dot"/>
            </w:tabs>
            <w:rPr/>
          </w:pPr>
          <w:hyperlink w:anchor="__RefHeading___Toc3599991_1067777946">
            <w:r>
              <w:rPr>
                <w:webHidden/>
                <w:rStyle w:val="IndexLink"/>
                <w:rtl w:val="true"/>
              </w:rPr>
              <w:t>شرط هشتم</w:t>
            </w:r>
            <w:r>
              <w:rPr>
                <w:rStyle w:val="IndexLink"/>
                <w:rtl w:val="true"/>
              </w:rPr>
              <w:t xml:space="preserve">: </w:t>
            </w:r>
            <w:r>
              <w:rPr>
                <w:rStyle w:val="IndexLink"/>
                <w:rtl w:val="true"/>
              </w:rPr>
              <w:t>حيات</w:t>
            </w:r>
            <w:r>
              <w:rPr>
                <w:rStyle w:val="IndexLink"/>
                <w:rtl w:val="true"/>
              </w:rPr>
              <w:tab/>
            </w:r>
            <w:r>
              <w:rPr>
                <w:rStyle w:val="IndexLink"/>
              </w:rPr>
              <w:t>577</w:t>
            </w:r>
          </w:hyperlink>
        </w:p>
        <w:p>
          <w:pPr>
            <w:pStyle w:val="Contents6"/>
            <w:tabs>
              <w:tab w:val="clear" w:pos="7609"/>
              <w:tab w:val="right" w:pos="9026" w:leader="dot"/>
            </w:tabs>
            <w:rPr/>
          </w:pPr>
          <w:hyperlink w:anchor="__RefHeading___Toc3599993_1067777946">
            <w:r>
              <w:rPr>
                <w:webHidden/>
                <w:rStyle w:val="IndexLink"/>
                <w:rtl w:val="true"/>
              </w:rPr>
              <w:t>شرط نهم</w:t>
            </w:r>
            <w:r>
              <w:rPr>
                <w:rStyle w:val="IndexLink"/>
                <w:rtl w:val="true"/>
              </w:rPr>
              <w:t xml:space="preserve">: </w:t>
            </w:r>
            <w:r>
              <w:rPr>
                <w:rStyle w:val="IndexLink"/>
                <w:rtl w:val="true"/>
              </w:rPr>
              <w:t>ايصال شير از طريق متعارف به معده</w:t>
            </w:r>
            <w:r>
              <w:rPr>
                <w:rStyle w:val="IndexLink"/>
                <w:rtl w:val="true"/>
              </w:rPr>
              <w:tab/>
            </w:r>
            <w:r>
              <w:rPr>
                <w:rStyle w:val="IndexLink"/>
              </w:rPr>
              <w:t>578</w:t>
            </w:r>
          </w:hyperlink>
        </w:p>
        <w:p>
          <w:pPr>
            <w:pStyle w:val="Contents6"/>
            <w:tabs>
              <w:tab w:val="clear" w:pos="7609"/>
              <w:tab w:val="right" w:pos="9026" w:leader="dot"/>
            </w:tabs>
            <w:rPr/>
          </w:pPr>
          <w:hyperlink w:anchor="__RefHeading___Toc3599995_1067777946">
            <w:r>
              <w:rPr>
                <w:webHidden/>
                <w:rStyle w:val="IndexLink"/>
                <w:rtl w:val="true"/>
              </w:rPr>
              <w:t>شرط دهم</w:t>
            </w:r>
            <w:r>
              <w:rPr>
                <w:rStyle w:val="IndexLink"/>
                <w:rtl w:val="true"/>
              </w:rPr>
              <w:t xml:space="preserve">: </w:t>
            </w:r>
            <w:r>
              <w:rPr>
                <w:rStyle w:val="IndexLink"/>
                <w:rtl w:val="true"/>
              </w:rPr>
              <w:t>ارتضاع از فحل واحد</w:t>
            </w:r>
            <w:r>
              <w:rPr>
                <w:rStyle w:val="IndexLink"/>
                <w:rtl w:val="true"/>
              </w:rPr>
              <w:tab/>
            </w:r>
            <w:r>
              <w:rPr>
                <w:rStyle w:val="IndexLink"/>
              </w:rPr>
              <w:t>578</w:t>
            </w:r>
          </w:hyperlink>
        </w:p>
        <w:p>
          <w:pPr>
            <w:pStyle w:val="Contents6"/>
            <w:tabs>
              <w:tab w:val="clear" w:pos="7609"/>
              <w:tab w:val="right" w:pos="9026" w:leader="dot"/>
            </w:tabs>
            <w:rPr/>
          </w:pPr>
          <w:hyperlink w:anchor="__RefHeading___Toc3599997_1067777946">
            <w:r>
              <w:rPr>
                <w:webHidden/>
                <w:rStyle w:val="IndexLink"/>
                <w:rtl w:val="true"/>
              </w:rPr>
              <w:t>اشاره</w:t>
            </w:r>
            <w:r>
              <w:rPr>
                <w:rStyle w:val="IndexLink"/>
                <w:rtl w:val="true"/>
              </w:rPr>
              <w:tab/>
            </w:r>
            <w:r>
              <w:rPr>
                <w:rStyle w:val="IndexLink"/>
              </w:rPr>
              <w:t>578</w:t>
            </w:r>
          </w:hyperlink>
        </w:p>
        <w:p>
          <w:pPr>
            <w:pStyle w:val="Contents6"/>
            <w:tabs>
              <w:tab w:val="clear" w:pos="7609"/>
              <w:tab w:val="right" w:pos="9026" w:leader="dot"/>
            </w:tabs>
            <w:rPr/>
          </w:pPr>
          <w:hyperlink w:anchor="__RefHeading___Toc3599999_1067777946">
            <w:r>
              <w:rPr>
                <w:webHidden/>
                <w:rStyle w:val="IndexLink"/>
                <w:rtl w:val="true"/>
              </w:rPr>
              <w:t>ارضاع ازواج متعدّدۀ يك فحل</w:t>
            </w:r>
            <w:r>
              <w:rPr>
                <w:rStyle w:val="IndexLink"/>
                <w:rtl w:val="true"/>
              </w:rPr>
              <w:tab/>
            </w:r>
            <w:r>
              <w:rPr>
                <w:rStyle w:val="IndexLink"/>
              </w:rPr>
              <w:t>578</w:t>
            </w:r>
          </w:hyperlink>
        </w:p>
        <w:p>
          <w:pPr>
            <w:pStyle w:val="Contents6"/>
            <w:tabs>
              <w:tab w:val="clear" w:pos="7609"/>
              <w:tab w:val="right" w:pos="9026" w:leader="dot"/>
            </w:tabs>
            <w:rPr/>
          </w:pPr>
          <w:hyperlink w:anchor="__RefHeading___Toc3600001_1067777946">
            <w:r>
              <w:rPr>
                <w:webHidden/>
                <w:rStyle w:val="IndexLink"/>
                <w:rtl w:val="true"/>
              </w:rPr>
              <w:t>شرط يازدهم</w:t>
            </w:r>
            <w:r>
              <w:rPr>
                <w:rStyle w:val="IndexLink"/>
                <w:rtl w:val="true"/>
              </w:rPr>
              <w:t xml:space="preserve">: </w:t>
            </w:r>
            <w:r>
              <w:rPr>
                <w:rStyle w:val="IndexLink"/>
                <w:rtl w:val="true"/>
              </w:rPr>
              <w:t>تحقق رضاع در حولين مرتضع و لو بعد حولين ولد مرضعه باشد</w:t>
            </w:r>
            <w:r>
              <w:rPr>
                <w:rStyle w:val="IndexLink"/>
                <w:rtl w:val="true"/>
              </w:rPr>
              <w:tab/>
            </w:r>
            <w:r>
              <w:rPr>
                <w:rStyle w:val="IndexLink"/>
              </w:rPr>
              <w:t>578</w:t>
            </w:r>
          </w:hyperlink>
        </w:p>
        <w:p>
          <w:pPr>
            <w:pStyle w:val="Contents5"/>
            <w:tabs>
              <w:tab w:val="clear" w:pos="7892"/>
              <w:tab w:val="right" w:pos="9026" w:leader="dot"/>
            </w:tabs>
            <w:rPr/>
          </w:pPr>
          <w:hyperlink w:anchor="__RefHeading___Toc3600003_1067777946">
            <w:r>
              <w:rPr>
                <w:webHidden/>
                <w:rStyle w:val="IndexLink"/>
                <w:rtl w:val="true"/>
              </w:rPr>
              <w:t>چند مسأله</w:t>
            </w:r>
            <w:r>
              <w:rPr>
                <w:rStyle w:val="IndexLink"/>
                <w:rtl w:val="true"/>
              </w:rPr>
              <w:tab/>
            </w:r>
            <w:r>
              <w:rPr>
                <w:rStyle w:val="IndexLink"/>
              </w:rPr>
              <w:t>579</w:t>
            </w:r>
          </w:hyperlink>
        </w:p>
        <w:p>
          <w:pPr>
            <w:pStyle w:val="Contents6"/>
            <w:tabs>
              <w:tab w:val="clear" w:pos="7609"/>
              <w:tab w:val="right" w:pos="9026" w:leader="dot"/>
            </w:tabs>
            <w:rPr/>
          </w:pPr>
          <w:hyperlink w:anchor="__RefHeading___Toc3600005_1067777946">
            <w:r>
              <w:rPr>
                <w:webHidden/>
                <w:rStyle w:val="IndexLink"/>
                <w:rtl w:val="true"/>
              </w:rPr>
              <w:t>شك در تحققِ رضاع لازم</w:t>
            </w:r>
            <w:r>
              <w:rPr>
                <w:rStyle w:val="IndexLink"/>
                <w:rtl w:val="true"/>
              </w:rPr>
              <w:tab/>
            </w:r>
            <w:r>
              <w:rPr>
                <w:rStyle w:val="IndexLink"/>
              </w:rPr>
              <w:t>579</w:t>
            </w:r>
          </w:hyperlink>
        </w:p>
        <w:p>
          <w:pPr>
            <w:pStyle w:val="Contents6"/>
            <w:tabs>
              <w:tab w:val="clear" w:pos="7609"/>
              <w:tab w:val="right" w:pos="9026" w:leader="dot"/>
            </w:tabs>
            <w:rPr/>
          </w:pPr>
          <w:hyperlink w:anchor="__RefHeading___Toc3600007_1067777946">
            <w:r>
              <w:rPr>
                <w:webHidden/>
                <w:rStyle w:val="IndexLink"/>
                <w:rtl w:val="true"/>
              </w:rPr>
              <w:t>مستحبّات و مكروهات استرضاع</w:t>
            </w:r>
            <w:r>
              <w:rPr>
                <w:rStyle w:val="IndexLink"/>
                <w:rtl w:val="true"/>
              </w:rPr>
              <w:tab/>
            </w:r>
            <w:r>
              <w:rPr>
                <w:rStyle w:val="IndexLink"/>
              </w:rPr>
              <w:t>579</w:t>
            </w:r>
          </w:hyperlink>
        </w:p>
        <w:p>
          <w:pPr>
            <w:pStyle w:val="Contents6"/>
            <w:tabs>
              <w:tab w:val="clear" w:pos="7609"/>
              <w:tab w:val="right" w:pos="9026" w:leader="dot"/>
            </w:tabs>
            <w:rPr/>
          </w:pPr>
          <w:hyperlink w:anchor="__RefHeading___Toc3600009_1067777946">
            <w:r>
              <w:rPr>
                <w:webHidden/>
                <w:rStyle w:val="IndexLink"/>
                <w:rtl w:val="true"/>
              </w:rPr>
              <w:t>در احكام رضاعى كه جامع شروط تحريم است</w:t>
            </w:r>
            <w:r>
              <w:rPr>
                <w:rStyle w:val="IndexLink"/>
                <w:rtl w:val="true"/>
              </w:rPr>
              <w:tab/>
            </w:r>
            <w:r>
              <w:rPr>
                <w:rStyle w:val="IndexLink"/>
              </w:rPr>
              <w:t>580</w:t>
            </w:r>
          </w:hyperlink>
        </w:p>
        <w:p>
          <w:pPr>
            <w:pStyle w:val="Contents6"/>
            <w:tabs>
              <w:tab w:val="clear" w:pos="7609"/>
              <w:tab w:val="right" w:pos="9026" w:leader="dot"/>
            </w:tabs>
            <w:rPr/>
          </w:pPr>
          <w:hyperlink w:anchor="__RefHeading___Toc3600011_1067777946">
            <w:r>
              <w:rPr>
                <w:webHidden/>
                <w:rStyle w:val="IndexLink"/>
                <w:rtl w:val="true"/>
              </w:rPr>
              <w:t>حرمت نكاح و افرادى كه نكاح با آنها حرام مى شود</w:t>
            </w:r>
            <w:r>
              <w:rPr>
                <w:rStyle w:val="IndexLink"/>
                <w:rtl w:val="true"/>
              </w:rPr>
              <w:tab/>
            </w:r>
            <w:r>
              <w:rPr>
                <w:rStyle w:val="IndexLink"/>
              </w:rPr>
              <w:t>580</w:t>
            </w:r>
          </w:hyperlink>
        </w:p>
        <w:p>
          <w:pPr>
            <w:pStyle w:val="Contents6"/>
            <w:tabs>
              <w:tab w:val="clear" w:pos="7609"/>
              <w:tab w:val="right" w:pos="9026" w:leader="dot"/>
            </w:tabs>
            <w:rPr/>
          </w:pPr>
          <w:hyperlink w:anchor="__RefHeading___Toc3600013_1067777946">
            <w:r>
              <w:rPr>
                <w:webHidden/>
                <w:rStyle w:val="IndexLink"/>
                <w:rtl w:val="true"/>
              </w:rPr>
              <w:t>محدودۀ حرمت منسوبين به فحل و مادر رضاعى</w:t>
            </w:r>
            <w:r>
              <w:rPr>
                <w:rStyle w:val="IndexLink"/>
                <w:rtl w:val="true"/>
              </w:rPr>
              <w:tab/>
            </w:r>
            <w:r>
              <w:rPr>
                <w:rStyle w:val="IndexLink"/>
              </w:rPr>
              <w:t>580</w:t>
            </w:r>
          </w:hyperlink>
        </w:p>
        <w:p>
          <w:pPr>
            <w:pStyle w:val="Contents6"/>
            <w:tabs>
              <w:tab w:val="clear" w:pos="7609"/>
              <w:tab w:val="right" w:pos="9026" w:leader="dot"/>
            </w:tabs>
            <w:rPr/>
          </w:pPr>
          <w:hyperlink w:anchor="__RefHeading___Toc3600015_1067777946">
            <w:r>
              <w:rPr>
                <w:webHidden/>
                <w:rStyle w:val="IndexLink"/>
                <w:rtl w:val="true"/>
              </w:rPr>
              <w:t>آنهايى كه بر پدر و جدّ مرتضع حرام مى شوند</w:t>
            </w:r>
            <w:r>
              <w:rPr>
                <w:rStyle w:val="IndexLink"/>
                <w:rtl w:val="true"/>
              </w:rPr>
              <w:tab/>
            </w:r>
            <w:r>
              <w:rPr>
                <w:rStyle w:val="IndexLink"/>
              </w:rPr>
              <w:t>581</w:t>
            </w:r>
          </w:hyperlink>
        </w:p>
        <w:p>
          <w:pPr>
            <w:pStyle w:val="Contents6"/>
            <w:tabs>
              <w:tab w:val="clear" w:pos="7609"/>
              <w:tab w:val="right" w:pos="9026" w:leader="dot"/>
            </w:tabs>
            <w:rPr/>
          </w:pPr>
          <w:hyperlink w:anchor="__RefHeading___Toc3600017_1067777946">
            <w:r>
              <w:rPr>
                <w:webHidden/>
                <w:rStyle w:val="IndexLink"/>
                <w:rtl w:val="true"/>
              </w:rPr>
              <w:t>كسانى كه تناكح آنها جايز است</w:t>
            </w:r>
            <w:r>
              <w:rPr>
                <w:rStyle w:val="IndexLink"/>
                <w:rtl w:val="true"/>
              </w:rPr>
              <w:tab/>
            </w:r>
            <w:r>
              <w:rPr>
                <w:rStyle w:val="IndexLink"/>
              </w:rPr>
              <w:t>581</w:t>
            </w:r>
          </w:hyperlink>
        </w:p>
        <w:p>
          <w:pPr>
            <w:pStyle w:val="Contents6"/>
            <w:tabs>
              <w:tab w:val="clear" w:pos="7609"/>
              <w:tab w:val="right" w:pos="9026" w:leader="dot"/>
            </w:tabs>
            <w:rPr/>
          </w:pPr>
          <w:hyperlink w:anchor="__RefHeading___Toc3600019_1067777946">
            <w:r>
              <w:rPr>
                <w:webHidden/>
                <w:rStyle w:val="IndexLink"/>
                <w:rtl w:val="true"/>
              </w:rPr>
              <w:t>ابطال نكاح توسط رضاع كامل</w:t>
            </w:r>
            <w:r>
              <w:rPr>
                <w:rStyle w:val="IndexLink"/>
                <w:rtl w:val="true"/>
              </w:rPr>
              <w:tab/>
            </w:r>
            <w:r>
              <w:rPr>
                <w:rStyle w:val="IndexLink"/>
              </w:rPr>
              <w:t>582</w:t>
            </w:r>
          </w:hyperlink>
        </w:p>
        <w:p>
          <w:pPr>
            <w:pStyle w:val="Contents6"/>
            <w:tabs>
              <w:tab w:val="clear" w:pos="7609"/>
              <w:tab w:val="right" w:pos="9026" w:leader="dot"/>
            </w:tabs>
            <w:rPr/>
          </w:pPr>
          <w:hyperlink w:anchor="__RefHeading___Toc3600021_1067777946">
            <w:r>
              <w:rPr>
                <w:webHidden/>
                <w:rStyle w:val="IndexLink"/>
                <w:rtl w:val="true"/>
              </w:rPr>
              <w:t>مسألۀ ارضاعِ زوجۀ صغيرۀ شخصى توسط زوجۀ كبيرۀ او</w:t>
            </w:r>
            <w:r>
              <w:rPr>
                <w:rStyle w:val="IndexLink"/>
                <w:rtl w:val="true"/>
              </w:rPr>
              <w:tab/>
            </w:r>
            <w:r>
              <w:rPr>
                <w:rStyle w:val="IndexLink"/>
              </w:rPr>
              <w:t>582</w:t>
            </w:r>
          </w:hyperlink>
        </w:p>
        <w:p>
          <w:pPr>
            <w:pStyle w:val="Contents6"/>
            <w:tabs>
              <w:tab w:val="clear" w:pos="7609"/>
              <w:tab w:val="right" w:pos="9026" w:leader="dot"/>
            </w:tabs>
            <w:rPr/>
          </w:pPr>
          <w:hyperlink w:anchor="__RefHeading___Toc3600023_1067777946">
            <w:r>
              <w:rPr>
                <w:webHidden/>
                <w:rStyle w:val="IndexLink"/>
                <w:rtl w:val="true"/>
              </w:rPr>
              <w:t>از فروع باطل شدن نكاح توسط رضاع</w:t>
            </w:r>
            <w:r>
              <w:rPr>
                <w:rStyle w:val="IndexLink"/>
                <w:rtl w:val="true"/>
              </w:rPr>
              <w:tab/>
            </w:r>
            <w:r>
              <w:rPr>
                <w:rStyle w:val="IndexLink"/>
              </w:rPr>
              <w:t>583</w:t>
            </w:r>
          </w:hyperlink>
        </w:p>
        <w:p>
          <w:pPr>
            <w:pStyle w:val="Contents6"/>
            <w:tabs>
              <w:tab w:val="clear" w:pos="7609"/>
              <w:tab w:val="right" w:pos="9026" w:leader="dot"/>
            </w:tabs>
            <w:rPr/>
          </w:pPr>
          <w:hyperlink w:anchor="__RefHeading___Toc3600025_1067777946">
            <w:r>
              <w:rPr>
                <w:webHidden/>
                <w:rStyle w:val="IndexLink"/>
                <w:rtl w:val="true"/>
              </w:rPr>
              <w:t>فرض دو زوجۀ كبيره و يك صغيره و تحقق رضاع</w:t>
            </w:r>
            <w:r>
              <w:rPr>
                <w:rStyle w:val="IndexLink"/>
                <w:rtl w:val="true"/>
              </w:rPr>
              <w:tab/>
            </w:r>
            <w:r>
              <w:rPr>
                <w:rStyle w:val="IndexLink"/>
              </w:rPr>
              <w:t>583</w:t>
            </w:r>
          </w:hyperlink>
        </w:p>
        <w:p>
          <w:pPr>
            <w:pStyle w:val="Contents6"/>
            <w:tabs>
              <w:tab w:val="clear" w:pos="7609"/>
              <w:tab w:val="right" w:pos="9026" w:leader="dot"/>
            </w:tabs>
            <w:rPr/>
          </w:pPr>
          <w:hyperlink w:anchor="__RefHeading___Toc3600027_1067777946">
            <w:r>
              <w:rPr>
                <w:webHidden/>
                <w:rStyle w:val="IndexLink"/>
                <w:rtl w:val="true"/>
              </w:rPr>
              <w:t>ارضاع زوجۀ صغيره بعد از طلاق</w:t>
            </w:r>
            <w:r>
              <w:rPr>
                <w:rStyle w:val="IndexLink"/>
                <w:rtl w:val="true"/>
              </w:rPr>
              <w:tab/>
            </w:r>
            <w:r>
              <w:rPr>
                <w:rStyle w:val="IndexLink"/>
              </w:rPr>
              <w:t>584</w:t>
            </w:r>
          </w:hyperlink>
        </w:p>
        <w:p>
          <w:pPr>
            <w:pStyle w:val="Contents6"/>
            <w:tabs>
              <w:tab w:val="clear" w:pos="7609"/>
              <w:tab w:val="right" w:pos="9026" w:leader="dot"/>
            </w:tabs>
            <w:rPr/>
          </w:pPr>
          <w:hyperlink w:anchor="__RefHeading___Toc3600029_1067777946">
            <w:r>
              <w:rPr>
                <w:webHidden/>
                <w:rStyle w:val="IndexLink"/>
                <w:rtl w:val="true"/>
              </w:rPr>
              <w:t>مسألۀ استحقاق مهر در فرض مسأله</w:t>
            </w:r>
            <w:r>
              <w:rPr>
                <w:rStyle w:val="IndexLink"/>
                <w:rtl w:val="true"/>
              </w:rPr>
              <w:tab/>
            </w:r>
            <w:r>
              <w:rPr>
                <w:rStyle w:val="IndexLink"/>
              </w:rPr>
              <w:t>584</w:t>
            </w:r>
          </w:hyperlink>
        </w:p>
        <w:p>
          <w:pPr>
            <w:pStyle w:val="Contents6"/>
            <w:tabs>
              <w:tab w:val="clear" w:pos="7609"/>
              <w:tab w:val="right" w:pos="9026" w:leader="dot"/>
            </w:tabs>
            <w:rPr/>
          </w:pPr>
          <w:hyperlink w:anchor="__RefHeading___Toc3600031_1067777946">
            <w:r>
              <w:rPr>
                <w:webHidden/>
                <w:rStyle w:val="IndexLink"/>
                <w:rtl w:val="true"/>
              </w:rPr>
              <w:t>حرمت ولد صغيرى كه زن مرضعه مطلّقه ارضاع نموده است</w:t>
            </w:r>
            <w:r>
              <w:rPr>
                <w:rStyle w:val="IndexLink"/>
                <w:rtl w:val="true"/>
              </w:rPr>
              <w:tab/>
            </w:r>
            <w:r>
              <w:rPr>
                <w:rStyle w:val="IndexLink"/>
              </w:rPr>
              <w:t>584</w:t>
            </w:r>
          </w:hyperlink>
        </w:p>
        <w:p>
          <w:pPr>
            <w:pStyle w:val="Contents6"/>
            <w:tabs>
              <w:tab w:val="clear" w:pos="7609"/>
              <w:tab w:val="right" w:pos="9026" w:leader="dot"/>
            </w:tabs>
            <w:rPr/>
          </w:pPr>
          <w:hyperlink w:anchor="__RefHeading___Toc3600033_1067777946">
            <w:r>
              <w:rPr>
                <w:webHidden/>
                <w:rStyle w:val="IndexLink"/>
                <w:rtl w:val="true"/>
              </w:rPr>
              <w:t>ارضاع زوجۀ صغيره توسط كنيز</w:t>
            </w:r>
            <w:r>
              <w:rPr>
                <w:rStyle w:val="IndexLink"/>
                <w:rtl w:val="true"/>
              </w:rPr>
              <w:tab/>
            </w:r>
            <w:r>
              <w:rPr>
                <w:rStyle w:val="IndexLink"/>
              </w:rPr>
              <w:t>584</w:t>
            </w:r>
          </w:hyperlink>
        </w:p>
        <w:p>
          <w:pPr>
            <w:pStyle w:val="Contents6"/>
            <w:tabs>
              <w:tab w:val="clear" w:pos="7609"/>
              <w:tab w:val="right" w:pos="9026" w:leader="dot"/>
            </w:tabs>
            <w:rPr/>
          </w:pPr>
          <w:hyperlink w:anchor="__RefHeading___Toc3600035_1067777946">
            <w:r>
              <w:rPr>
                <w:webHidden/>
                <w:rStyle w:val="IndexLink"/>
                <w:rtl w:val="true"/>
              </w:rPr>
              <w:t>طلاق دو نفر، زوجۀ كبيره و صغيرۀ خود را و تزويج ديگرى</w:t>
            </w:r>
            <w:r>
              <w:rPr>
                <w:rStyle w:val="IndexLink"/>
                <w:rtl w:val="true"/>
              </w:rPr>
              <w:tab/>
            </w:r>
            <w:r>
              <w:rPr>
                <w:rStyle w:val="IndexLink"/>
              </w:rPr>
              <w:t>585</w:t>
            </w:r>
          </w:hyperlink>
        </w:p>
        <w:p>
          <w:pPr>
            <w:pStyle w:val="Contents6"/>
            <w:tabs>
              <w:tab w:val="clear" w:pos="7609"/>
              <w:tab w:val="right" w:pos="9026" w:leader="dot"/>
            </w:tabs>
            <w:rPr/>
          </w:pPr>
          <w:hyperlink w:anchor="__RefHeading___Toc3600037_1067777946">
            <w:r>
              <w:rPr>
                <w:webHidden/>
                <w:rStyle w:val="IndexLink"/>
                <w:rtl w:val="true"/>
              </w:rPr>
              <w:t>اقرار به خواهر رضاعى بودن قبل از عقد و تكذيب آن</w:t>
            </w:r>
            <w:r>
              <w:rPr>
                <w:rStyle w:val="IndexLink"/>
                <w:rtl w:val="true"/>
              </w:rPr>
              <w:tab/>
            </w:r>
            <w:r>
              <w:rPr>
                <w:rStyle w:val="IndexLink"/>
              </w:rPr>
              <w:t>585</w:t>
            </w:r>
          </w:hyperlink>
        </w:p>
        <w:p>
          <w:pPr>
            <w:pStyle w:val="Contents6"/>
            <w:tabs>
              <w:tab w:val="clear" w:pos="7609"/>
              <w:tab w:val="right" w:pos="9026" w:leader="dot"/>
            </w:tabs>
            <w:rPr/>
          </w:pPr>
          <w:hyperlink w:anchor="__RefHeading___Toc3600039_1067777946">
            <w:r>
              <w:rPr>
                <w:webHidden/>
                <w:rStyle w:val="IndexLink"/>
                <w:rtl w:val="true"/>
              </w:rPr>
              <w:t>اقرار بعد از عقد به خواهر رضاعى بودن</w:t>
            </w:r>
            <w:r>
              <w:rPr>
                <w:rStyle w:val="IndexLink"/>
                <w:rtl w:val="true"/>
              </w:rPr>
              <w:tab/>
            </w:r>
            <w:r>
              <w:rPr>
                <w:rStyle w:val="IndexLink"/>
              </w:rPr>
              <w:t>585</w:t>
            </w:r>
          </w:hyperlink>
        </w:p>
        <w:p>
          <w:pPr>
            <w:pStyle w:val="Contents6"/>
            <w:tabs>
              <w:tab w:val="clear" w:pos="7609"/>
              <w:tab w:val="right" w:pos="9026" w:leader="dot"/>
            </w:tabs>
            <w:rPr/>
          </w:pPr>
          <w:hyperlink w:anchor="__RefHeading___Toc3600041_1067777946">
            <w:r>
              <w:rPr>
                <w:webHidden/>
                <w:rStyle w:val="IndexLink"/>
                <w:rtl w:val="true"/>
              </w:rPr>
              <w:t>دعوى رضاع از جانب زوجه</w:t>
            </w:r>
            <w:r>
              <w:rPr>
                <w:rStyle w:val="IndexLink"/>
                <w:rtl w:val="true"/>
              </w:rPr>
              <w:tab/>
            </w:r>
            <w:r>
              <w:rPr>
                <w:rStyle w:val="IndexLink"/>
              </w:rPr>
              <w:t>586</w:t>
            </w:r>
          </w:hyperlink>
        </w:p>
        <w:p>
          <w:pPr>
            <w:pStyle w:val="Contents6"/>
            <w:tabs>
              <w:tab w:val="clear" w:pos="7609"/>
              <w:tab w:val="right" w:pos="9026" w:leader="dot"/>
            </w:tabs>
            <w:rPr/>
          </w:pPr>
          <w:hyperlink w:anchor="__RefHeading___Toc3600043_1067777946">
            <w:r>
              <w:rPr>
                <w:webHidden/>
                <w:rStyle w:val="IndexLink"/>
                <w:rtl w:val="true"/>
              </w:rPr>
              <w:t>شهادت در مسائل اختلافيه در خصوصيات موضوع</w:t>
            </w:r>
            <w:r>
              <w:rPr>
                <w:rStyle w:val="IndexLink"/>
                <w:rtl w:val="true"/>
              </w:rPr>
              <w:tab/>
            </w:r>
            <w:r>
              <w:rPr>
                <w:rStyle w:val="IndexLink"/>
              </w:rPr>
              <w:t>587</w:t>
            </w:r>
          </w:hyperlink>
        </w:p>
        <w:p>
          <w:pPr>
            <w:pStyle w:val="Contents6"/>
            <w:tabs>
              <w:tab w:val="clear" w:pos="7609"/>
              <w:tab w:val="right" w:pos="9026" w:leader="dot"/>
            </w:tabs>
            <w:rPr/>
          </w:pPr>
          <w:hyperlink w:anchor="__RefHeading___Toc3600045_1067777946">
            <w:r>
              <w:rPr>
                <w:webHidden/>
                <w:rStyle w:val="IndexLink"/>
                <w:rtl w:val="true"/>
              </w:rPr>
              <w:t>ارضاع زوج صغير بعد از طلاق و تزويج با كبير</w:t>
            </w:r>
            <w:r>
              <w:rPr>
                <w:rStyle w:val="IndexLink"/>
                <w:rtl w:val="true"/>
              </w:rPr>
              <w:tab/>
            </w:r>
            <w:r>
              <w:rPr>
                <w:rStyle w:val="IndexLink"/>
              </w:rPr>
              <w:t>587</w:t>
            </w:r>
          </w:hyperlink>
        </w:p>
        <w:p>
          <w:pPr>
            <w:pStyle w:val="Contents6"/>
            <w:tabs>
              <w:tab w:val="clear" w:pos="7609"/>
              <w:tab w:val="right" w:pos="9026" w:leader="dot"/>
            </w:tabs>
            <w:rPr/>
          </w:pPr>
          <w:hyperlink w:anchor="__RefHeading___Toc3600047_1067777946">
            <w:r>
              <w:rPr>
                <w:webHidden/>
                <w:rStyle w:val="IndexLink"/>
                <w:rtl w:val="true"/>
              </w:rPr>
              <w:t>اشاره</w:t>
            </w:r>
            <w:r>
              <w:rPr>
                <w:rStyle w:val="IndexLink"/>
                <w:rtl w:val="true"/>
              </w:rPr>
              <w:tab/>
            </w:r>
            <w:r>
              <w:rPr>
                <w:rStyle w:val="IndexLink"/>
              </w:rPr>
              <w:t>587</w:t>
            </w:r>
          </w:hyperlink>
        </w:p>
        <w:p>
          <w:pPr>
            <w:pStyle w:val="Contents6"/>
            <w:tabs>
              <w:tab w:val="clear" w:pos="7609"/>
              <w:tab w:val="right" w:pos="9026" w:leader="dot"/>
            </w:tabs>
            <w:rPr/>
          </w:pPr>
          <w:hyperlink w:anchor="__RefHeading___Toc3600049_1067777946">
            <w:r>
              <w:rPr>
                <w:webHidden/>
                <w:rStyle w:val="IndexLink"/>
                <w:rtl w:val="true"/>
              </w:rPr>
              <w:t>فرض عكس مسأله</w:t>
            </w:r>
            <w:r>
              <w:rPr>
                <w:rStyle w:val="IndexLink"/>
                <w:rtl w:val="true"/>
              </w:rPr>
              <w:tab/>
            </w:r>
            <w:r>
              <w:rPr>
                <w:rStyle w:val="IndexLink"/>
              </w:rPr>
              <w:t>587</w:t>
            </w:r>
          </w:hyperlink>
        </w:p>
        <w:p>
          <w:pPr>
            <w:pStyle w:val="Contents6"/>
            <w:tabs>
              <w:tab w:val="clear" w:pos="7609"/>
              <w:tab w:val="right" w:pos="9026" w:leader="dot"/>
            </w:tabs>
            <w:rPr/>
          </w:pPr>
          <w:hyperlink w:anchor="__RefHeading___Toc3600051_1067777946">
            <w:r>
              <w:rPr>
                <w:webHidden/>
                <w:rStyle w:val="IndexLink"/>
                <w:rtl w:val="true"/>
              </w:rPr>
              <w:t>شير دادن جدّه بعد از تزويج پدر پسر صغير خود را با دختر برادر</w:t>
            </w:r>
            <w:r>
              <w:rPr>
                <w:rStyle w:val="IndexLink"/>
                <w:rtl w:val="true"/>
              </w:rPr>
              <w:tab/>
            </w:r>
            <w:r>
              <w:rPr>
                <w:rStyle w:val="IndexLink"/>
              </w:rPr>
              <w:t>588</w:t>
            </w:r>
          </w:hyperlink>
        </w:p>
        <w:p>
          <w:pPr>
            <w:pStyle w:val="Contents6"/>
            <w:tabs>
              <w:tab w:val="clear" w:pos="7609"/>
              <w:tab w:val="right" w:pos="9026" w:leader="dot"/>
            </w:tabs>
            <w:rPr/>
          </w:pPr>
          <w:hyperlink w:anchor="__RefHeading___Toc3600053_1067777946">
            <w:r>
              <w:rPr>
                <w:webHidden/>
                <w:rStyle w:val="IndexLink"/>
                <w:rtl w:val="true"/>
              </w:rPr>
              <w:t>قبول شهادت زنها در رضاع</w:t>
            </w:r>
            <w:r>
              <w:rPr>
                <w:rStyle w:val="IndexLink"/>
                <w:rtl w:val="true"/>
              </w:rPr>
              <w:tab/>
            </w:r>
            <w:r>
              <w:rPr>
                <w:rStyle w:val="IndexLink"/>
              </w:rPr>
              <w:t>588</w:t>
            </w:r>
          </w:hyperlink>
        </w:p>
        <w:p>
          <w:pPr>
            <w:pStyle w:val="Contents4"/>
            <w:tabs>
              <w:tab w:val="clear" w:pos="8176"/>
              <w:tab w:val="right" w:pos="9026" w:leader="dot"/>
            </w:tabs>
            <w:rPr/>
          </w:pPr>
          <w:hyperlink w:anchor="__RefHeading___Toc3600055_1067777946">
            <w:r>
              <w:rPr>
                <w:webHidden/>
                <w:rStyle w:val="IndexLink"/>
              </w:rPr>
              <w:t>3</w:t>
            </w:r>
            <w:r>
              <w:rPr>
                <w:rStyle w:val="IndexLink"/>
                <w:rtl w:val="true"/>
              </w:rPr>
              <w:t xml:space="preserve">. </w:t>
            </w:r>
            <w:r>
              <w:rPr>
                <w:rStyle w:val="IndexLink"/>
                <w:rtl w:val="true"/>
              </w:rPr>
              <w:t>مصاهرت</w:t>
            </w:r>
            <w:r>
              <w:rPr>
                <w:rStyle w:val="IndexLink"/>
                <w:rtl w:val="true"/>
              </w:rPr>
              <w:tab/>
            </w:r>
            <w:r>
              <w:rPr>
                <w:rStyle w:val="IndexLink"/>
              </w:rPr>
              <w:t>588</w:t>
            </w:r>
          </w:hyperlink>
        </w:p>
        <w:p>
          <w:pPr>
            <w:pStyle w:val="Contents5"/>
            <w:tabs>
              <w:tab w:val="clear" w:pos="7892"/>
              <w:tab w:val="right" w:pos="9026" w:leader="dot"/>
            </w:tabs>
            <w:rPr/>
          </w:pPr>
          <w:hyperlink w:anchor="__RefHeading___Toc3600057_1067777946">
            <w:r>
              <w:rPr>
                <w:webHidden/>
                <w:rStyle w:val="IndexLink"/>
                <w:rtl w:val="true"/>
              </w:rPr>
              <w:t>اشاره</w:t>
            </w:r>
            <w:r>
              <w:rPr>
                <w:rStyle w:val="IndexLink"/>
                <w:rtl w:val="true"/>
              </w:rPr>
              <w:tab/>
            </w:r>
            <w:r>
              <w:rPr>
                <w:rStyle w:val="IndexLink"/>
              </w:rPr>
              <w:t>588</w:t>
            </w:r>
          </w:hyperlink>
        </w:p>
        <w:p>
          <w:pPr>
            <w:pStyle w:val="Contents5"/>
            <w:tabs>
              <w:tab w:val="clear" w:pos="7892"/>
              <w:tab w:val="right" w:pos="9026" w:leader="dot"/>
            </w:tabs>
            <w:rPr/>
          </w:pPr>
          <w:hyperlink w:anchor="__RefHeading___Toc3600059_1067777946">
            <w:r>
              <w:rPr>
                <w:webHidden/>
                <w:rStyle w:val="IndexLink"/>
                <w:rtl w:val="true"/>
              </w:rPr>
              <w:t>موارد حصول حرمت با نكاح صحيح</w:t>
            </w:r>
            <w:r>
              <w:rPr>
                <w:rStyle w:val="IndexLink"/>
                <w:rtl w:val="true"/>
              </w:rPr>
              <w:tab/>
            </w:r>
            <w:r>
              <w:rPr>
                <w:rStyle w:val="IndexLink"/>
              </w:rPr>
              <w:t>588</w:t>
            </w:r>
          </w:hyperlink>
        </w:p>
        <w:p>
          <w:pPr>
            <w:pStyle w:val="Contents5"/>
            <w:tabs>
              <w:tab w:val="clear" w:pos="7892"/>
              <w:tab w:val="right" w:pos="9026" w:leader="dot"/>
            </w:tabs>
            <w:rPr/>
          </w:pPr>
          <w:hyperlink w:anchor="__RefHeading___Toc3600061_1067777946">
            <w:r>
              <w:rPr>
                <w:webHidden/>
                <w:rStyle w:val="IndexLink"/>
                <w:rtl w:val="true"/>
              </w:rPr>
              <w:t>مملوكۀ پدر و پسر</w:t>
            </w:r>
            <w:r>
              <w:rPr>
                <w:rStyle w:val="IndexLink"/>
                <w:rtl w:val="true"/>
              </w:rPr>
              <w:tab/>
            </w:r>
            <w:r>
              <w:rPr>
                <w:rStyle w:val="IndexLink"/>
              </w:rPr>
              <w:t>589</w:t>
            </w:r>
          </w:hyperlink>
        </w:p>
        <w:p>
          <w:pPr>
            <w:pStyle w:val="Contents5"/>
            <w:tabs>
              <w:tab w:val="clear" w:pos="7892"/>
              <w:tab w:val="right" w:pos="9026" w:leader="dot"/>
            </w:tabs>
            <w:rPr/>
          </w:pPr>
          <w:hyperlink w:anchor="__RefHeading___Toc3600063_1067777946">
            <w:r>
              <w:rPr>
                <w:webHidden/>
                <w:rStyle w:val="IndexLink"/>
                <w:rtl w:val="true"/>
              </w:rPr>
              <w:t>وطى به شبهۀ پدر، زوجۀ پسر را</w:t>
            </w:r>
            <w:r>
              <w:rPr>
                <w:rStyle w:val="IndexLink"/>
                <w:rtl w:val="true"/>
              </w:rPr>
              <w:tab/>
            </w:r>
            <w:r>
              <w:rPr>
                <w:rStyle w:val="IndexLink"/>
              </w:rPr>
              <w:t>590</w:t>
            </w:r>
          </w:hyperlink>
        </w:p>
        <w:p>
          <w:pPr>
            <w:pStyle w:val="Contents5"/>
            <w:tabs>
              <w:tab w:val="clear" w:pos="7892"/>
              <w:tab w:val="right" w:pos="9026" w:leader="dot"/>
            </w:tabs>
            <w:rPr/>
          </w:pPr>
          <w:hyperlink w:anchor="__RefHeading___Toc3600065_1067777946">
            <w:r>
              <w:rPr>
                <w:webHidden/>
                <w:rStyle w:val="IndexLink"/>
                <w:rtl w:val="true"/>
              </w:rPr>
              <w:t>حرمت خواهر زن</w:t>
            </w:r>
            <w:r>
              <w:rPr>
                <w:rStyle w:val="IndexLink"/>
                <w:rtl w:val="true"/>
              </w:rPr>
              <w:tab/>
            </w:r>
            <w:r>
              <w:rPr>
                <w:rStyle w:val="IndexLink"/>
              </w:rPr>
              <w:t>590</w:t>
            </w:r>
          </w:hyperlink>
        </w:p>
        <w:p>
          <w:pPr>
            <w:pStyle w:val="Contents5"/>
            <w:tabs>
              <w:tab w:val="clear" w:pos="7892"/>
              <w:tab w:val="right" w:pos="9026" w:leader="dot"/>
            </w:tabs>
            <w:rPr/>
          </w:pPr>
          <w:hyperlink w:anchor="__RefHeading___Toc3600067_1067777946">
            <w:r>
              <w:rPr>
                <w:webHidden/>
                <w:rStyle w:val="IndexLink"/>
                <w:rtl w:val="true"/>
              </w:rPr>
              <w:t>حكم نكاح دختر خواهر و دختر برادر زوجه و بالعكس</w:t>
            </w:r>
            <w:r>
              <w:rPr>
                <w:rStyle w:val="IndexLink"/>
                <w:rtl w:val="true"/>
              </w:rPr>
              <w:tab/>
            </w:r>
            <w:r>
              <w:rPr>
                <w:rStyle w:val="IndexLink"/>
              </w:rPr>
              <w:t>590</w:t>
            </w:r>
          </w:hyperlink>
        </w:p>
        <w:p>
          <w:pPr>
            <w:pStyle w:val="Contents5"/>
            <w:tabs>
              <w:tab w:val="clear" w:pos="7892"/>
              <w:tab w:val="right" w:pos="9026" w:leader="dot"/>
            </w:tabs>
            <w:rPr/>
          </w:pPr>
          <w:hyperlink w:anchor="__RefHeading___Toc3600069_1067777946">
            <w:r>
              <w:rPr>
                <w:webHidden/>
                <w:rStyle w:val="IndexLink"/>
                <w:rtl w:val="true"/>
              </w:rPr>
              <w:t>بطلان عقد در صورت عدم اذن عمّه يا خاله</w:t>
            </w:r>
            <w:r>
              <w:rPr>
                <w:rStyle w:val="IndexLink"/>
                <w:rtl w:val="true"/>
              </w:rPr>
              <w:tab/>
            </w:r>
            <w:r>
              <w:rPr>
                <w:rStyle w:val="IndexLink"/>
              </w:rPr>
              <w:t>591</w:t>
            </w:r>
          </w:hyperlink>
        </w:p>
        <w:p>
          <w:pPr>
            <w:pStyle w:val="Contents5"/>
            <w:tabs>
              <w:tab w:val="clear" w:pos="7892"/>
              <w:tab w:val="right" w:pos="9026" w:leader="dot"/>
            </w:tabs>
            <w:rPr/>
          </w:pPr>
          <w:hyperlink w:anchor="__RefHeading___Toc3600071_1067777946">
            <w:r>
              <w:rPr>
                <w:webHidden/>
                <w:rStyle w:val="IndexLink"/>
                <w:rtl w:val="true"/>
              </w:rPr>
              <w:t>حكم نشر حرمت به زنا</w:t>
            </w:r>
            <w:r>
              <w:rPr>
                <w:rStyle w:val="IndexLink"/>
                <w:rtl w:val="true"/>
              </w:rPr>
              <w:tab/>
            </w:r>
            <w:r>
              <w:rPr>
                <w:rStyle w:val="IndexLink"/>
              </w:rPr>
              <w:t>591</w:t>
            </w:r>
          </w:hyperlink>
        </w:p>
        <w:p>
          <w:pPr>
            <w:pStyle w:val="Contents5"/>
            <w:tabs>
              <w:tab w:val="clear" w:pos="7892"/>
              <w:tab w:val="right" w:pos="9026" w:leader="dot"/>
            </w:tabs>
            <w:rPr/>
          </w:pPr>
          <w:hyperlink w:anchor="__RefHeading___Toc3600073_1067777946">
            <w:r>
              <w:rPr>
                <w:webHidden/>
                <w:rStyle w:val="IndexLink"/>
                <w:rtl w:val="true"/>
              </w:rPr>
              <w:t>نشر حرمت با وطى به شبهه</w:t>
            </w:r>
            <w:r>
              <w:rPr>
                <w:rStyle w:val="IndexLink"/>
                <w:rtl w:val="true"/>
              </w:rPr>
              <w:tab/>
            </w:r>
            <w:r>
              <w:rPr>
                <w:rStyle w:val="IndexLink"/>
              </w:rPr>
              <w:t>592</w:t>
            </w:r>
          </w:hyperlink>
        </w:p>
        <w:p>
          <w:pPr>
            <w:pStyle w:val="Contents5"/>
            <w:tabs>
              <w:tab w:val="clear" w:pos="7892"/>
              <w:tab w:val="right" w:pos="9026" w:leader="dot"/>
            </w:tabs>
            <w:rPr/>
          </w:pPr>
          <w:hyperlink w:anchor="__RefHeading___Toc3600075_1067777946">
            <w:r>
              <w:rPr>
                <w:webHidden/>
                <w:rStyle w:val="IndexLink"/>
                <w:rtl w:val="true"/>
              </w:rPr>
              <w:t>عدم نشر حرمت با نظر و لمس</w:t>
            </w:r>
            <w:r>
              <w:rPr>
                <w:rStyle w:val="IndexLink"/>
                <w:rtl w:val="true"/>
              </w:rPr>
              <w:tab/>
            </w:r>
            <w:r>
              <w:rPr>
                <w:rStyle w:val="IndexLink"/>
              </w:rPr>
              <w:t>592</w:t>
            </w:r>
          </w:hyperlink>
        </w:p>
        <w:p>
          <w:pPr>
            <w:pStyle w:val="Contents5"/>
            <w:tabs>
              <w:tab w:val="clear" w:pos="7892"/>
              <w:tab w:val="right" w:pos="9026" w:leader="dot"/>
            </w:tabs>
            <w:rPr/>
          </w:pPr>
          <w:hyperlink w:anchor="__RefHeading___Toc3600077_1067777946">
            <w:r>
              <w:rPr>
                <w:webHidden/>
                <w:rStyle w:val="IndexLink"/>
                <w:rtl w:val="true"/>
              </w:rPr>
              <w:t>عدم نشر حرمت به واسطه نظر و لمس وجه و كفّين و آنچه عادتاً ظاهر مى شود</w:t>
            </w:r>
            <w:r>
              <w:rPr>
                <w:rStyle w:val="IndexLink"/>
                <w:rtl w:val="true"/>
              </w:rPr>
              <w:tab/>
            </w:r>
            <w:r>
              <w:rPr>
                <w:rStyle w:val="IndexLink"/>
              </w:rPr>
              <w:t>592</w:t>
            </w:r>
          </w:hyperlink>
        </w:p>
        <w:p>
          <w:pPr>
            <w:pStyle w:val="Contents5"/>
            <w:tabs>
              <w:tab w:val="clear" w:pos="7892"/>
              <w:tab w:val="right" w:pos="9026" w:leader="dot"/>
            </w:tabs>
            <w:rPr/>
          </w:pPr>
          <w:hyperlink w:anchor="__RefHeading___Toc3600079_1067777946">
            <w:r>
              <w:rPr>
                <w:webHidden/>
                <w:rStyle w:val="IndexLink"/>
                <w:rtl w:val="true"/>
              </w:rPr>
              <w:t>تساوى نسب و رضاع در حكم مصاهرت</w:t>
            </w:r>
            <w:r>
              <w:rPr>
                <w:rStyle w:val="IndexLink"/>
                <w:rtl w:val="true"/>
              </w:rPr>
              <w:tab/>
            </w:r>
            <w:r>
              <w:rPr>
                <w:rStyle w:val="IndexLink"/>
              </w:rPr>
              <w:t>593</w:t>
            </w:r>
          </w:hyperlink>
        </w:p>
        <w:p>
          <w:pPr>
            <w:pStyle w:val="Contents5"/>
            <w:tabs>
              <w:tab w:val="clear" w:pos="7892"/>
              <w:tab w:val="right" w:pos="9026" w:leader="dot"/>
            </w:tabs>
            <w:rPr/>
          </w:pPr>
          <w:hyperlink w:anchor="__RefHeading___Toc3600081_1067777946">
            <w:r>
              <w:rPr>
                <w:webHidden/>
                <w:rStyle w:val="IndexLink"/>
                <w:rtl w:val="true"/>
              </w:rPr>
              <w:t>مسائل تحريم جمع</w:t>
            </w:r>
            <w:r>
              <w:rPr>
                <w:rStyle w:val="IndexLink"/>
                <w:rtl w:val="true"/>
              </w:rPr>
              <w:tab/>
            </w:r>
            <w:r>
              <w:rPr>
                <w:rStyle w:val="IndexLink"/>
              </w:rPr>
              <w:t>593</w:t>
            </w:r>
          </w:hyperlink>
        </w:p>
        <w:p>
          <w:pPr>
            <w:pStyle w:val="Contents6"/>
            <w:tabs>
              <w:tab w:val="clear" w:pos="7609"/>
              <w:tab w:val="right" w:pos="9026" w:leader="dot"/>
            </w:tabs>
            <w:rPr/>
          </w:pPr>
          <w:hyperlink w:anchor="__RefHeading___Toc3600083_1067777946">
            <w:r>
              <w:rPr>
                <w:webHidden/>
                <w:rStyle w:val="IndexLink"/>
                <w:rtl w:val="true"/>
              </w:rPr>
              <w:t>جمع بين دو اخت در عقد</w:t>
            </w:r>
            <w:r>
              <w:rPr>
                <w:rStyle w:val="IndexLink"/>
                <w:rtl w:val="true"/>
              </w:rPr>
              <w:tab/>
            </w:r>
            <w:r>
              <w:rPr>
                <w:rStyle w:val="IndexLink"/>
              </w:rPr>
              <w:t>593</w:t>
            </w:r>
          </w:hyperlink>
        </w:p>
        <w:p>
          <w:pPr>
            <w:pStyle w:val="Contents6"/>
            <w:tabs>
              <w:tab w:val="clear" w:pos="7609"/>
              <w:tab w:val="right" w:pos="9026" w:leader="dot"/>
            </w:tabs>
            <w:rPr/>
          </w:pPr>
          <w:hyperlink w:anchor="__RefHeading___Toc3600085_1067777946">
            <w:r>
              <w:rPr>
                <w:webHidden/>
                <w:rStyle w:val="IndexLink"/>
                <w:rtl w:val="true"/>
              </w:rPr>
              <w:t>اشاره</w:t>
            </w:r>
            <w:r>
              <w:rPr>
                <w:rStyle w:val="IndexLink"/>
                <w:rtl w:val="true"/>
              </w:rPr>
              <w:tab/>
            </w:r>
            <w:r>
              <w:rPr>
                <w:rStyle w:val="IndexLink"/>
              </w:rPr>
              <w:t>593</w:t>
            </w:r>
          </w:hyperlink>
        </w:p>
        <w:p>
          <w:pPr>
            <w:pStyle w:val="Contents6"/>
            <w:tabs>
              <w:tab w:val="clear" w:pos="7609"/>
              <w:tab w:val="right" w:pos="9026" w:leader="dot"/>
            </w:tabs>
            <w:rPr/>
          </w:pPr>
          <w:hyperlink w:anchor="__RefHeading___Toc3600087_1067777946">
            <w:r>
              <w:rPr>
                <w:webHidden/>
                <w:rStyle w:val="IndexLink"/>
                <w:rtl w:val="true"/>
              </w:rPr>
              <w:t>جواز عقد در عدّۀ بائنۀ يكى</w:t>
            </w:r>
            <w:r>
              <w:rPr>
                <w:rStyle w:val="IndexLink"/>
                <w:rtl w:val="true"/>
              </w:rPr>
              <w:tab/>
            </w:r>
            <w:r>
              <w:rPr>
                <w:rStyle w:val="IndexLink"/>
              </w:rPr>
              <w:t>593</w:t>
            </w:r>
          </w:hyperlink>
        </w:p>
        <w:p>
          <w:pPr>
            <w:pStyle w:val="Contents6"/>
            <w:tabs>
              <w:tab w:val="clear" w:pos="7609"/>
              <w:tab w:val="right" w:pos="9026" w:leader="dot"/>
            </w:tabs>
            <w:rPr/>
          </w:pPr>
          <w:hyperlink w:anchor="__RefHeading___Toc3600089_1067777946">
            <w:r>
              <w:rPr>
                <w:webHidden/>
                <w:rStyle w:val="IndexLink"/>
                <w:rtl w:val="true"/>
              </w:rPr>
              <w:t>حكم مهر در مسأله</w:t>
            </w:r>
            <w:r>
              <w:rPr>
                <w:rStyle w:val="IndexLink"/>
                <w:rtl w:val="true"/>
              </w:rPr>
              <w:tab/>
            </w:r>
            <w:r>
              <w:rPr>
                <w:rStyle w:val="IndexLink"/>
              </w:rPr>
              <w:t>594</w:t>
            </w:r>
          </w:hyperlink>
        </w:p>
        <w:p>
          <w:pPr>
            <w:pStyle w:val="Contents6"/>
            <w:tabs>
              <w:tab w:val="clear" w:pos="7609"/>
              <w:tab w:val="right" w:pos="9026" w:leader="dot"/>
            </w:tabs>
            <w:rPr/>
          </w:pPr>
          <w:hyperlink w:anchor="__RefHeading___Toc3600091_1067777946">
            <w:r>
              <w:rPr>
                <w:webHidden/>
                <w:rStyle w:val="IndexLink"/>
                <w:rtl w:val="true"/>
              </w:rPr>
              <w:t>جمع بين وطى امۀ مملوكه و ازدواج با خواهر او</w:t>
            </w:r>
            <w:r>
              <w:rPr>
                <w:rStyle w:val="IndexLink"/>
                <w:rtl w:val="true"/>
              </w:rPr>
              <w:tab/>
            </w:r>
            <w:r>
              <w:rPr>
                <w:rStyle w:val="IndexLink"/>
              </w:rPr>
              <w:t>595</w:t>
            </w:r>
          </w:hyperlink>
        </w:p>
        <w:p>
          <w:pPr>
            <w:pStyle w:val="Contents6"/>
            <w:tabs>
              <w:tab w:val="clear" w:pos="7609"/>
              <w:tab w:val="right" w:pos="9026" w:leader="dot"/>
            </w:tabs>
            <w:rPr/>
          </w:pPr>
          <w:hyperlink w:anchor="__RefHeading___Toc3600093_1067777946">
            <w:r>
              <w:rPr>
                <w:webHidden/>
                <w:rStyle w:val="IndexLink"/>
                <w:rtl w:val="true"/>
              </w:rPr>
              <w:t>اشاره</w:t>
            </w:r>
            <w:r>
              <w:rPr>
                <w:rStyle w:val="IndexLink"/>
                <w:rtl w:val="true"/>
              </w:rPr>
              <w:tab/>
            </w:r>
            <w:r>
              <w:rPr>
                <w:rStyle w:val="IndexLink"/>
              </w:rPr>
              <w:t>595</w:t>
            </w:r>
          </w:hyperlink>
        </w:p>
        <w:p>
          <w:pPr>
            <w:pStyle w:val="Contents6"/>
            <w:tabs>
              <w:tab w:val="clear" w:pos="7609"/>
              <w:tab w:val="right" w:pos="9026" w:leader="dot"/>
            </w:tabs>
            <w:rPr/>
          </w:pPr>
          <w:hyperlink w:anchor="__RefHeading___Toc3600095_1067777946">
            <w:r>
              <w:rPr>
                <w:webHidden/>
                <w:rStyle w:val="IndexLink"/>
                <w:rtl w:val="true"/>
              </w:rPr>
              <w:t>تملّك دو اخت</w:t>
            </w:r>
            <w:r>
              <w:rPr>
                <w:rStyle w:val="IndexLink"/>
                <w:rtl w:val="true"/>
              </w:rPr>
              <w:tab/>
            </w:r>
            <w:r>
              <w:rPr>
                <w:rStyle w:val="IndexLink"/>
              </w:rPr>
              <w:t>595</w:t>
            </w:r>
          </w:hyperlink>
        </w:p>
        <w:p>
          <w:pPr>
            <w:pStyle w:val="Contents6"/>
            <w:tabs>
              <w:tab w:val="clear" w:pos="7609"/>
              <w:tab w:val="right" w:pos="9026" w:leader="dot"/>
            </w:tabs>
            <w:rPr/>
          </w:pPr>
          <w:hyperlink w:anchor="__RefHeading___Toc3600097_1067777946">
            <w:r>
              <w:rPr>
                <w:webHidden/>
                <w:rStyle w:val="IndexLink"/>
                <w:rtl w:val="true"/>
              </w:rPr>
              <w:t>جواز عقد حرّ بر كنيز غير</w:t>
            </w:r>
            <w:r>
              <w:rPr>
                <w:rStyle w:val="IndexLink"/>
                <w:rtl w:val="true"/>
              </w:rPr>
              <w:tab/>
            </w:r>
            <w:r>
              <w:rPr>
                <w:rStyle w:val="IndexLink"/>
              </w:rPr>
              <w:t>596</w:t>
            </w:r>
          </w:hyperlink>
        </w:p>
        <w:p>
          <w:pPr>
            <w:pStyle w:val="Contents6"/>
            <w:tabs>
              <w:tab w:val="clear" w:pos="7609"/>
              <w:tab w:val="right" w:pos="9026" w:leader="dot"/>
            </w:tabs>
            <w:rPr/>
          </w:pPr>
          <w:hyperlink w:anchor="__RefHeading___Toc3600099_1067777946">
            <w:r>
              <w:rPr>
                <w:webHidden/>
                <w:rStyle w:val="IndexLink"/>
                <w:rtl w:val="true"/>
              </w:rPr>
              <w:t>اِذن زوجۀ حرّه، شرط ازدواج با امه</w:t>
            </w:r>
            <w:r>
              <w:rPr>
                <w:rStyle w:val="IndexLink"/>
                <w:rtl w:val="true"/>
              </w:rPr>
              <w:tab/>
            </w:r>
            <w:r>
              <w:rPr>
                <w:rStyle w:val="IndexLink"/>
              </w:rPr>
              <w:t>597</w:t>
            </w:r>
          </w:hyperlink>
        </w:p>
        <w:p>
          <w:pPr>
            <w:pStyle w:val="Contents5"/>
            <w:tabs>
              <w:tab w:val="clear" w:pos="7892"/>
              <w:tab w:val="right" w:pos="9026" w:leader="dot"/>
            </w:tabs>
            <w:rPr/>
          </w:pPr>
          <w:hyperlink w:anchor="__RefHeading___Toc3600101_1067777946">
            <w:r>
              <w:rPr>
                <w:webHidden/>
                <w:rStyle w:val="IndexLink"/>
                <w:rtl w:val="true"/>
              </w:rPr>
              <w:t>احكام نكاح صغيره</w:t>
            </w:r>
            <w:r>
              <w:rPr>
                <w:rStyle w:val="IndexLink"/>
                <w:rtl w:val="true"/>
              </w:rPr>
              <w:tab/>
            </w:r>
            <w:r>
              <w:rPr>
                <w:rStyle w:val="IndexLink"/>
              </w:rPr>
              <w:t>598</w:t>
            </w:r>
          </w:hyperlink>
        </w:p>
        <w:p>
          <w:pPr>
            <w:pStyle w:val="Contents6"/>
            <w:tabs>
              <w:tab w:val="clear" w:pos="7609"/>
              <w:tab w:val="right" w:pos="9026" w:leader="dot"/>
            </w:tabs>
            <w:rPr/>
          </w:pPr>
          <w:hyperlink w:anchor="__RefHeading___Toc3600103_1067777946">
            <w:r>
              <w:rPr>
                <w:webHidden/>
                <w:rStyle w:val="IndexLink"/>
                <w:rtl w:val="true"/>
              </w:rPr>
              <w:t>سن زوجه براى دخول و مسألۀ افضا</w:t>
            </w:r>
            <w:r>
              <w:rPr>
                <w:rStyle w:val="IndexLink"/>
                <w:rtl w:val="true"/>
              </w:rPr>
              <w:tab/>
            </w:r>
            <w:r>
              <w:rPr>
                <w:rStyle w:val="IndexLink"/>
              </w:rPr>
              <w:t>598</w:t>
            </w:r>
          </w:hyperlink>
        </w:p>
        <w:p>
          <w:pPr>
            <w:pStyle w:val="Contents6"/>
            <w:tabs>
              <w:tab w:val="clear" w:pos="7609"/>
              <w:tab w:val="right" w:pos="9026" w:leader="dot"/>
            </w:tabs>
            <w:rPr/>
          </w:pPr>
          <w:hyperlink w:anchor="__RefHeading___Toc3600105_1067777946">
            <w:r>
              <w:rPr>
                <w:webHidden/>
                <w:rStyle w:val="IndexLink"/>
                <w:rtl w:val="true"/>
              </w:rPr>
              <w:t>تعريف و حكم افضا</w:t>
            </w:r>
            <w:r>
              <w:rPr>
                <w:rStyle w:val="IndexLink"/>
                <w:rtl w:val="true"/>
              </w:rPr>
              <w:tab/>
            </w:r>
            <w:r>
              <w:rPr>
                <w:rStyle w:val="IndexLink"/>
              </w:rPr>
              <w:t>598</w:t>
            </w:r>
          </w:hyperlink>
        </w:p>
        <w:p>
          <w:pPr>
            <w:pStyle w:val="Contents6"/>
            <w:tabs>
              <w:tab w:val="clear" w:pos="7609"/>
              <w:tab w:val="right" w:pos="9026" w:leader="dot"/>
            </w:tabs>
            <w:rPr/>
          </w:pPr>
          <w:hyperlink w:anchor="__RefHeading___Toc3600107_1067777946">
            <w:r>
              <w:rPr>
                <w:webHidden/>
                <w:rStyle w:val="IndexLink"/>
                <w:rtl w:val="true"/>
              </w:rPr>
              <w:t>ديه در اِفضا</w:t>
            </w:r>
            <w:r>
              <w:rPr>
                <w:rStyle w:val="IndexLink"/>
                <w:rtl w:val="true"/>
              </w:rPr>
              <w:tab/>
            </w:r>
            <w:r>
              <w:rPr>
                <w:rStyle w:val="IndexLink"/>
              </w:rPr>
              <w:t>599</w:t>
            </w:r>
          </w:hyperlink>
        </w:p>
        <w:p>
          <w:pPr>
            <w:pStyle w:val="Contents6"/>
            <w:tabs>
              <w:tab w:val="clear" w:pos="7609"/>
              <w:tab w:val="right" w:pos="9026" w:leader="dot"/>
            </w:tabs>
            <w:rPr/>
          </w:pPr>
          <w:hyperlink w:anchor="__RefHeading___Toc3600109_1067777946">
            <w:r>
              <w:rPr>
                <w:webHidden/>
                <w:rStyle w:val="IndexLink"/>
                <w:rtl w:val="true"/>
              </w:rPr>
              <w:t>عدم حصول حرمت در فرض افضاى كبيره و مملوكه و زانيه</w:t>
            </w:r>
            <w:r>
              <w:rPr>
                <w:rStyle w:val="IndexLink"/>
                <w:rtl w:val="true"/>
              </w:rPr>
              <w:tab/>
            </w:r>
            <w:r>
              <w:rPr>
                <w:rStyle w:val="IndexLink"/>
              </w:rPr>
              <w:t>599</w:t>
            </w:r>
          </w:hyperlink>
        </w:p>
        <w:p>
          <w:pPr>
            <w:pStyle w:val="Contents6"/>
            <w:tabs>
              <w:tab w:val="clear" w:pos="7609"/>
              <w:tab w:val="right" w:pos="9026" w:leader="dot"/>
            </w:tabs>
            <w:rPr/>
          </w:pPr>
          <w:hyperlink w:anchor="__RefHeading___Toc3600111_1067777946">
            <w:r>
              <w:rPr>
                <w:webHidden/>
                <w:rStyle w:val="IndexLink"/>
                <w:rtl w:val="true"/>
              </w:rPr>
              <w:t>جهل به صغيره بودن و انكشاف كبر</w:t>
            </w:r>
            <w:r>
              <w:rPr>
                <w:rStyle w:val="IndexLink"/>
                <w:rtl w:val="true"/>
              </w:rPr>
              <w:tab/>
            </w:r>
            <w:r>
              <w:rPr>
                <w:rStyle w:val="IndexLink"/>
              </w:rPr>
              <w:t>599</w:t>
            </w:r>
          </w:hyperlink>
        </w:p>
        <w:p>
          <w:pPr>
            <w:pStyle w:val="Contents6"/>
            <w:tabs>
              <w:tab w:val="clear" w:pos="7609"/>
              <w:tab w:val="right" w:pos="9026" w:leader="dot"/>
            </w:tabs>
            <w:rPr/>
          </w:pPr>
          <w:hyperlink w:anchor="__RefHeading___Toc3600113_1067777946">
            <w:r>
              <w:rPr>
                <w:webHidden/>
                <w:rStyle w:val="IndexLink"/>
                <w:rtl w:val="true"/>
              </w:rPr>
              <w:t>حليّت وطى با اندمال جراحت</w:t>
            </w:r>
            <w:r>
              <w:rPr>
                <w:rStyle w:val="IndexLink"/>
                <w:rtl w:val="true"/>
              </w:rPr>
              <w:tab/>
            </w:r>
            <w:r>
              <w:rPr>
                <w:rStyle w:val="IndexLink"/>
              </w:rPr>
              <w:t>599</w:t>
            </w:r>
          </w:hyperlink>
        </w:p>
        <w:p>
          <w:pPr>
            <w:pStyle w:val="Contents6"/>
            <w:tabs>
              <w:tab w:val="clear" w:pos="7609"/>
              <w:tab w:val="right" w:pos="9026" w:leader="dot"/>
            </w:tabs>
            <w:rPr/>
          </w:pPr>
          <w:hyperlink w:anchor="__RefHeading___Toc3600115_1067777946">
            <w:r>
              <w:rPr>
                <w:webHidden/>
                <w:rStyle w:val="IndexLink"/>
                <w:rtl w:val="true"/>
              </w:rPr>
              <w:t>ثبوت ساير احكام زوجيّت با حرمت وطى</w:t>
            </w:r>
            <w:r>
              <w:rPr>
                <w:rStyle w:val="IndexLink"/>
                <w:rtl w:val="true"/>
              </w:rPr>
              <w:tab/>
            </w:r>
            <w:r>
              <w:rPr>
                <w:rStyle w:val="IndexLink"/>
              </w:rPr>
              <w:t>600</w:t>
            </w:r>
          </w:hyperlink>
        </w:p>
        <w:p>
          <w:pPr>
            <w:pStyle w:val="Contents6"/>
            <w:tabs>
              <w:tab w:val="clear" w:pos="7609"/>
              <w:tab w:val="right" w:pos="9026" w:leader="dot"/>
            </w:tabs>
            <w:rPr/>
          </w:pPr>
          <w:hyperlink w:anchor="__RefHeading___Toc3600117_1067777946">
            <w:r>
              <w:rPr>
                <w:webHidden/>
                <w:rStyle w:val="IndexLink"/>
                <w:rtl w:val="true"/>
              </w:rPr>
              <w:t>نفقۀ صغيره بعد از افضا</w:t>
            </w:r>
            <w:r>
              <w:rPr>
                <w:rStyle w:val="IndexLink"/>
                <w:rtl w:val="true"/>
              </w:rPr>
              <w:tab/>
            </w:r>
            <w:r>
              <w:rPr>
                <w:rStyle w:val="IndexLink"/>
              </w:rPr>
              <w:t>600</w:t>
            </w:r>
          </w:hyperlink>
        </w:p>
        <w:p>
          <w:pPr>
            <w:pStyle w:val="Contents5"/>
            <w:tabs>
              <w:tab w:val="clear" w:pos="7892"/>
              <w:tab w:val="right" w:pos="9026" w:leader="dot"/>
            </w:tabs>
            <w:rPr/>
          </w:pPr>
          <w:hyperlink w:anchor="__RefHeading___Toc3600119_1067777946">
            <w:r>
              <w:rPr>
                <w:webHidden/>
                <w:rStyle w:val="IndexLink"/>
                <w:rtl w:val="true"/>
              </w:rPr>
              <w:t>در مسائلى از تحريم عينى نكاح</w:t>
            </w:r>
            <w:r>
              <w:rPr>
                <w:rStyle w:val="IndexLink"/>
                <w:rtl w:val="true"/>
              </w:rPr>
              <w:tab/>
            </w:r>
            <w:r>
              <w:rPr>
                <w:rStyle w:val="IndexLink"/>
              </w:rPr>
              <w:t>601</w:t>
            </w:r>
          </w:hyperlink>
        </w:p>
        <w:p>
          <w:pPr>
            <w:pStyle w:val="Contents6"/>
            <w:tabs>
              <w:tab w:val="clear" w:pos="7609"/>
              <w:tab w:val="right" w:pos="9026" w:leader="dot"/>
            </w:tabs>
            <w:rPr/>
          </w:pPr>
          <w:hyperlink w:anchor="__RefHeading___Toc3600121_1067777946">
            <w:r>
              <w:rPr>
                <w:webHidden/>
                <w:rStyle w:val="IndexLink"/>
                <w:rtl w:val="true"/>
              </w:rPr>
              <w:t>حرمت نكاح در عدّه</w:t>
            </w:r>
            <w:r>
              <w:rPr>
                <w:rStyle w:val="IndexLink"/>
                <w:rtl w:val="true"/>
              </w:rPr>
              <w:tab/>
            </w:r>
            <w:r>
              <w:rPr>
                <w:rStyle w:val="IndexLink"/>
              </w:rPr>
              <w:t>601</w:t>
            </w:r>
          </w:hyperlink>
        </w:p>
        <w:p>
          <w:pPr>
            <w:pStyle w:val="Contents6"/>
            <w:tabs>
              <w:tab w:val="clear" w:pos="7609"/>
              <w:tab w:val="right" w:pos="9026" w:leader="dot"/>
            </w:tabs>
            <w:rPr/>
          </w:pPr>
          <w:hyperlink w:anchor="__RefHeading___Toc3600123_1067777946">
            <w:r>
              <w:rPr>
                <w:webHidden/>
                <w:rStyle w:val="IndexLink"/>
                <w:rtl w:val="true"/>
              </w:rPr>
              <w:t>الحاق زن داراى شوهر به معتدّه</w:t>
            </w:r>
            <w:r>
              <w:rPr>
                <w:rStyle w:val="IndexLink"/>
                <w:rtl w:val="true"/>
              </w:rPr>
              <w:tab/>
            </w:r>
            <w:r>
              <w:rPr>
                <w:rStyle w:val="IndexLink"/>
              </w:rPr>
              <w:t>601</w:t>
            </w:r>
          </w:hyperlink>
        </w:p>
        <w:p>
          <w:pPr>
            <w:pStyle w:val="Contents6"/>
            <w:tabs>
              <w:tab w:val="clear" w:pos="7609"/>
              <w:tab w:val="right" w:pos="9026" w:leader="dot"/>
            </w:tabs>
            <w:rPr/>
          </w:pPr>
          <w:hyperlink w:anchor="__RefHeading___Toc3600125_1067777946">
            <w:r>
              <w:rPr>
                <w:webHidden/>
                <w:rStyle w:val="IndexLink"/>
                <w:rtl w:val="true"/>
              </w:rPr>
              <w:t>عقد بر زن با وفات واقعى و جهل ظاهرى به آن</w:t>
            </w:r>
            <w:r>
              <w:rPr>
                <w:rStyle w:val="IndexLink"/>
                <w:rtl w:val="true"/>
              </w:rPr>
              <w:tab/>
            </w:r>
            <w:r>
              <w:rPr>
                <w:rStyle w:val="IndexLink"/>
              </w:rPr>
              <w:t>602</w:t>
            </w:r>
          </w:hyperlink>
        </w:p>
        <w:p>
          <w:pPr>
            <w:pStyle w:val="Contents6"/>
            <w:tabs>
              <w:tab w:val="clear" w:pos="7609"/>
              <w:tab w:val="right" w:pos="9026" w:leader="dot"/>
            </w:tabs>
            <w:rPr/>
          </w:pPr>
          <w:hyperlink w:anchor="__RefHeading___Toc3600127_1067777946">
            <w:r>
              <w:rPr>
                <w:webHidden/>
                <w:rStyle w:val="IndexLink"/>
                <w:rtl w:val="true"/>
              </w:rPr>
              <w:t>عقد در مدّت مسترابه در صورت انتقال به اعتداد به اقراء</w:t>
            </w:r>
            <w:r>
              <w:rPr>
                <w:rStyle w:val="IndexLink"/>
                <w:rtl w:val="true"/>
              </w:rPr>
              <w:tab/>
            </w:r>
            <w:r>
              <w:rPr>
                <w:rStyle w:val="IndexLink"/>
              </w:rPr>
              <w:t>602</w:t>
            </w:r>
          </w:hyperlink>
        </w:p>
        <w:p>
          <w:pPr>
            <w:pStyle w:val="Contents6"/>
            <w:tabs>
              <w:tab w:val="clear" w:pos="7609"/>
              <w:tab w:val="right" w:pos="9026" w:leader="dot"/>
            </w:tabs>
            <w:rPr/>
          </w:pPr>
          <w:hyperlink w:anchor="__RefHeading___Toc3600129_1067777946">
            <w:r>
              <w:rPr>
                <w:webHidden/>
                <w:rStyle w:val="IndexLink"/>
                <w:rtl w:val="true"/>
              </w:rPr>
              <w:t>حكم الحاق ولد در فرض عقد در عدّه و حمل</w:t>
            </w:r>
            <w:r>
              <w:rPr>
                <w:rStyle w:val="IndexLink"/>
                <w:rtl w:val="true"/>
              </w:rPr>
              <w:tab/>
            </w:r>
            <w:r>
              <w:rPr>
                <w:rStyle w:val="IndexLink"/>
              </w:rPr>
              <w:t>602</w:t>
            </w:r>
          </w:hyperlink>
        </w:p>
        <w:p>
          <w:pPr>
            <w:pStyle w:val="Contents6"/>
            <w:tabs>
              <w:tab w:val="clear" w:pos="7609"/>
              <w:tab w:val="right" w:pos="9026" w:leader="dot"/>
            </w:tabs>
            <w:rPr/>
          </w:pPr>
          <w:hyperlink w:anchor="__RefHeading___Toc3600131_1067777946">
            <w:r>
              <w:rPr>
                <w:webHidden/>
                <w:rStyle w:val="IndexLink"/>
                <w:rtl w:val="true"/>
              </w:rPr>
              <w:t>لزوم علم موكّل در حصول حرمت</w:t>
            </w:r>
            <w:r>
              <w:rPr>
                <w:rStyle w:val="IndexLink"/>
                <w:rtl w:val="true"/>
              </w:rPr>
              <w:tab/>
            </w:r>
            <w:r>
              <w:rPr>
                <w:rStyle w:val="IndexLink"/>
              </w:rPr>
              <w:t>603</w:t>
            </w:r>
          </w:hyperlink>
        </w:p>
        <w:p>
          <w:pPr>
            <w:pStyle w:val="Contents6"/>
            <w:tabs>
              <w:tab w:val="clear" w:pos="7609"/>
              <w:tab w:val="right" w:pos="9026" w:leader="dot"/>
            </w:tabs>
            <w:rPr/>
          </w:pPr>
          <w:hyperlink w:anchor="__RefHeading___Toc3600133_1067777946">
            <w:r>
              <w:rPr>
                <w:webHidden/>
                <w:rStyle w:val="IndexLink"/>
                <w:rtl w:val="true"/>
              </w:rPr>
              <w:t>عدم تحقق حرمت ابديّه در طفل و مجنون با عقد</w:t>
            </w:r>
            <w:r>
              <w:rPr>
                <w:rStyle w:val="IndexLink"/>
                <w:rtl w:val="true"/>
              </w:rPr>
              <w:tab/>
            </w:r>
            <w:r>
              <w:rPr>
                <w:rStyle w:val="IndexLink"/>
              </w:rPr>
              <w:t>603</w:t>
            </w:r>
          </w:hyperlink>
        </w:p>
        <w:p>
          <w:pPr>
            <w:pStyle w:val="Contents6"/>
            <w:tabs>
              <w:tab w:val="clear" w:pos="7609"/>
              <w:tab w:val="right" w:pos="9026" w:leader="dot"/>
            </w:tabs>
            <w:rPr/>
          </w:pPr>
          <w:hyperlink w:anchor="__RefHeading___Toc3600135_1067777946">
            <w:r>
              <w:rPr>
                <w:webHidden/>
                <w:rStyle w:val="IndexLink"/>
                <w:rtl w:val="true"/>
              </w:rPr>
              <w:t>عقد فضولى در عدّه</w:t>
            </w:r>
            <w:r>
              <w:rPr>
                <w:rStyle w:val="IndexLink"/>
                <w:rtl w:val="true"/>
              </w:rPr>
              <w:tab/>
            </w:r>
            <w:r>
              <w:rPr>
                <w:rStyle w:val="IndexLink"/>
              </w:rPr>
              <w:t>603</w:t>
            </w:r>
          </w:hyperlink>
        </w:p>
        <w:p>
          <w:pPr>
            <w:pStyle w:val="Contents6"/>
            <w:tabs>
              <w:tab w:val="clear" w:pos="7609"/>
              <w:tab w:val="right" w:pos="9026" w:leader="dot"/>
            </w:tabs>
            <w:rPr/>
          </w:pPr>
          <w:hyperlink w:anchor="__RefHeading___Toc3600137_1067777946">
            <w:r>
              <w:rPr>
                <w:webHidden/>
                <w:rStyle w:val="IndexLink"/>
                <w:rtl w:val="true"/>
              </w:rPr>
              <w:t>ازدواج با زانيه</w:t>
            </w:r>
            <w:r>
              <w:rPr>
                <w:rStyle w:val="IndexLink"/>
                <w:rtl w:val="true"/>
              </w:rPr>
              <w:tab/>
            </w:r>
            <w:r>
              <w:rPr>
                <w:rStyle w:val="IndexLink"/>
              </w:rPr>
              <w:t>603</w:t>
            </w:r>
          </w:hyperlink>
        </w:p>
        <w:p>
          <w:pPr>
            <w:pStyle w:val="Contents6"/>
            <w:tabs>
              <w:tab w:val="clear" w:pos="7609"/>
              <w:tab w:val="right" w:pos="9026" w:leader="dot"/>
            </w:tabs>
            <w:rPr/>
          </w:pPr>
          <w:hyperlink w:anchor="__RefHeading___Toc3600139_1067777946">
            <w:r>
              <w:rPr>
                <w:webHidden/>
                <w:rStyle w:val="IndexLink"/>
                <w:rtl w:val="true"/>
              </w:rPr>
              <w:t>جواز نگهدارى زوجۀ زانيه</w:t>
            </w:r>
            <w:r>
              <w:rPr>
                <w:rStyle w:val="IndexLink"/>
                <w:rtl w:val="true"/>
              </w:rPr>
              <w:tab/>
            </w:r>
            <w:r>
              <w:rPr>
                <w:rStyle w:val="IndexLink"/>
              </w:rPr>
              <w:t>604</w:t>
            </w:r>
          </w:hyperlink>
        </w:p>
        <w:p>
          <w:pPr>
            <w:pStyle w:val="Contents6"/>
            <w:tabs>
              <w:tab w:val="clear" w:pos="7609"/>
              <w:tab w:val="right" w:pos="9026" w:leader="dot"/>
            </w:tabs>
            <w:rPr/>
          </w:pPr>
          <w:hyperlink w:anchor="__RefHeading___Toc3600141_1067777946">
            <w:r>
              <w:rPr>
                <w:webHidden/>
                <w:rStyle w:val="IndexLink"/>
                <w:rtl w:val="true"/>
              </w:rPr>
              <w:t>حرمت ابديّه به زناى با زن صاحب شوهر يا در عدّۀ رجعيّه</w:t>
            </w:r>
            <w:r>
              <w:rPr>
                <w:rStyle w:val="IndexLink"/>
                <w:rtl w:val="true"/>
              </w:rPr>
              <w:tab/>
            </w:r>
            <w:r>
              <w:rPr>
                <w:rStyle w:val="IndexLink"/>
              </w:rPr>
              <w:t>604</w:t>
            </w:r>
          </w:hyperlink>
        </w:p>
        <w:p>
          <w:pPr>
            <w:pStyle w:val="Contents6"/>
            <w:tabs>
              <w:tab w:val="clear" w:pos="7609"/>
              <w:tab w:val="right" w:pos="9026" w:leader="dot"/>
            </w:tabs>
            <w:rPr/>
          </w:pPr>
          <w:hyperlink w:anchor="__RefHeading___Toc3600143_1067777946">
            <w:r>
              <w:rPr>
                <w:webHidden/>
                <w:rStyle w:val="IndexLink"/>
                <w:rtl w:val="true"/>
              </w:rPr>
              <w:t>حرمت ابديّه مادر و خواهر و دختر موطوءِ به وطى قبل از عقد</w:t>
            </w:r>
            <w:r>
              <w:rPr>
                <w:rStyle w:val="IndexLink"/>
                <w:rtl w:val="true"/>
              </w:rPr>
              <w:tab/>
            </w:r>
            <w:r>
              <w:rPr>
                <w:rStyle w:val="IndexLink"/>
              </w:rPr>
              <w:t>604</w:t>
            </w:r>
          </w:hyperlink>
        </w:p>
        <w:p>
          <w:pPr>
            <w:pStyle w:val="Contents6"/>
            <w:tabs>
              <w:tab w:val="clear" w:pos="7609"/>
              <w:tab w:val="right" w:pos="9026" w:leader="dot"/>
            </w:tabs>
            <w:rPr/>
          </w:pPr>
          <w:hyperlink w:anchor="__RefHeading___Toc3600145_1067777946">
            <w:r>
              <w:rPr>
                <w:webHidden/>
                <w:rStyle w:val="IndexLink"/>
                <w:rtl w:val="true"/>
              </w:rPr>
              <w:t>عدم حرمت مذكورات در صورت تحقق ايقاب، بعد از عقد</w:t>
            </w:r>
            <w:r>
              <w:rPr>
                <w:rStyle w:val="IndexLink"/>
                <w:rtl w:val="true"/>
              </w:rPr>
              <w:tab/>
            </w:r>
            <w:r>
              <w:rPr>
                <w:rStyle w:val="IndexLink"/>
              </w:rPr>
              <w:t>604</w:t>
            </w:r>
          </w:hyperlink>
        </w:p>
        <w:p>
          <w:pPr>
            <w:pStyle w:val="Contents6"/>
            <w:tabs>
              <w:tab w:val="clear" w:pos="7609"/>
              <w:tab w:val="right" w:pos="9026" w:leader="dot"/>
            </w:tabs>
            <w:rPr/>
          </w:pPr>
          <w:hyperlink w:anchor="__RefHeading___Toc3600147_1067777946">
            <w:r>
              <w:rPr>
                <w:webHidden/>
                <w:rStyle w:val="IndexLink"/>
                <w:rtl w:val="true"/>
              </w:rPr>
              <w:t>حصول حرمت ابديّه براى مُحرم و محرمه با علم به حرمت</w:t>
            </w:r>
            <w:r>
              <w:rPr>
                <w:rStyle w:val="IndexLink"/>
                <w:rtl w:val="true"/>
              </w:rPr>
              <w:tab/>
            </w:r>
            <w:r>
              <w:rPr>
                <w:rStyle w:val="IndexLink"/>
              </w:rPr>
              <w:t>605</w:t>
            </w:r>
          </w:hyperlink>
        </w:p>
        <w:p>
          <w:pPr>
            <w:pStyle w:val="Contents6"/>
            <w:tabs>
              <w:tab w:val="clear" w:pos="7609"/>
              <w:tab w:val="right" w:pos="9026" w:leader="dot"/>
            </w:tabs>
            <w:rPr/>
          </w:pPr>
          <w:hyperlink w:anchor="__RefHeading___Toc3600149_1067777946">
            <w:r>
              <w:rPr>
                <w:webHidden/>
                <w:rStyle w:val="IndexLink"/>
                <w:rtl w:val="true"/>
              </w:rPr>
              <w:t>حرمت ذات بعل</w:t>
            </w:r>
            <w:r>
              <w:rPr>
                <w:rStyle w:val="IndexLink"/>
                <w:rtl w:val="true"/>
              </w:rPr>
              <w:tab/>
            </w:r>
            <w:r>
              <w:rPr>
                <w:rStyle w:val="IndexLink"/>
              </w:rPr>
              <w:t>605</w:t>
            </w:r>
          </w:hyperlink>
        </w:p>
        <w:p>
          <w:pPr>
            <w:pStyle w:val="Contents4"/>
            <w:tabs>
              <w:tab w:val="clear" w:pos="8176"/>
              <w:tab w:val="right" w:pos="9026" w:leader="dot"/>
            </w:tabs>
            <w:rPr/>
          </w:pPr>
          <w:hyperlink w:anchor="__RefHeading___Toc3600151_1067777946">
            <w:r>
              <w:rPr>
                <w:webHidden/>
                <w:rStyle w:val="IndexLink"/>
              </w:rPr>
              <w:t>4</w:t>
            </w:r>
            <w:r>
              <w:rPr>
                <w:rStyle w:val="IndexLink"/>
                <w:rtl w:val="true"/>
              </w:rPr>
              <w:t xml:space="preserve">. </w:t>
            </w:r>
            <w:r>
              <w:rPr>
                <w:rStyle w:val="IndexLink"/>
                <w:rtl w:val="true"/>
              </w:rPr>
              <w:t>استيفاى عدد</w:t>
            </w:r>
            <w:r>
              <w:rPr>
                <w:rStyle w:val="IndexLink"/>
                <w:rtl w:val="true"/>
              </w:rPr>
              <w:tab/>
            </w:r>
            <w:r>
              <w:rPr>
                <w:rStyle w:val="IndexLink"/>
              </w:rPr>
              <w:t>606</w:t>
            </w:r>
          </w:hyperlink>
        </w:p>
        <w:p>
          <w:pPr>
            <w:pStyle w:val="Contents5"/>
            <w:tabs>
              <w:tab w:val="clear" w:pos="7892"/>
              <w:tab w:val="right" w:pos="9026" w:leader="dot"/>
            </w:tabs>
            <w:rPr/>
          </w:pPr>
          <w:hyperlink w:anchor="__RefHeading___Toc3600153_1067777946">
            <w:r>
              <w:rPr>
                <w:webHidden/>
                <w:rStyle w:val="IndexLink"/>
                <w:rtl w:val="true"/>
              </w:rPr>
              <w:t>اشاره</w:t>
            </w:r>
            <w:r>
              <w:rPr>
                <w:rStyle w:val="IndexLink"/>
                <w:rtl w:val="true"/>
              </w:rPr>
              <w:tab/>
            </w:r>
            <w:r>
              <w:rPr>
                <w:rStyle w:val="IndexLink"/>
              </w:rPr>
              <w:t>606</w:t>
            </w:r>
          </w:hyperlink>
        </w:p>
        <w:p>
          <w:pPr>
            <w:pStyle w:val="Contents5"/>
            <w:tabs>
              <w:tab w:val="clear" w:pos="7892"/>
              <w:tab w:val="right" w:pos="9026" w:leader="dot"/>
            </w:tabs>
            <w:rPr/>
          </w:pPr>
          <w:hyperlink w:anchor="__RefHeading___Toc3600155_1067777946">
            <w:r>
              <w:rPr>
                <w:webHidden/>
                <w:rStyle w:val="IndexLink"/>
                <w:rtl w:val="true"/>
              </w:rPr>
              <w:t>قسم اوّل حرمت اكثر از اربعۀ دائميّه</w:t>
            </w:r>
            <w:r>
              <w:rPr>
                <w:rStyle w:val="IndexLink"/>
                <w:rtl w:val="true"/>
              </w:rPr>
              <w:tab/>
            </w:r>
            <w:r>
              <w:rPr>
                <w:rStyle w:val="IndexLink"/>
              </w:rPr>
              <w:t>606</w:t>
            </w:r>
          </w:hyperlink>
        </w:p>
        <w:p>
          <w:pPr>
            <w:pStyle w:val="Contents6"/>
            <w:tabs>
              <w:tab w:val="clear" w:pos="7609"/>
              <w:tab w:val="right" w:pos="9026" w:leader="dot"/>
            </w:tabs>
            <w:rPr/>
          </w:pPr>
          <w:hyperlink w:anchor="__RefHeading___Toc3600157_1067777946">
            <w:r>
              <w:rPr>
                <w:webHidden/>
                <w:rStyle w:val="IndexLink"/>
                <w:rtl w:val="true"/>
              </w:rPr>
              <w:t>اشاره</w:t>
            </w:r>
            <w:r>
              <w:rPr>
                <w:rStyle w:val="IndexLink"/>
                <w:rtl w:val="true"/>
              </w:rPr>
              <w:tab/>
            </w:r>
            <w:r>
              <w:rPr>
                <w:rStyle w:val="IndexLink"/>
              </w:rPr>
              <w:t>606</w:t>
            </w:r>
          </w:hyperlink>
        </w:p>
        <w:p>
          <w:pPr>
            <w:pStyle w:val="Contents6"/>
            <w:tabs>
              <w:tab w:val="clear" w:pos="7609"/>
              <w:tab w:val="right" w:pos="9026" w:leader="dot"/>
            </w:tabs>
            <w:rPr/>
          </w:pPr>
          <w:hyperlink w:anchor="__RefHeading___Toc3600159_1067777946">
            <w:r>
              <w:rPr>
                <w:webHidden/>
                <w:rStyle w:val="IndexLink"/>
                <w:rtl w:val="true"/>
              </w:rPr>
              <w:t>چند مسأله</w:t>
            </w:r>
            <w:r>
              <w:rPr>
                <w:rStyle w:val="IndexLink"/>
                <w:rtl w:val="true"/>
              </w:rPr>
              <w:tab/>
            </w:r>
            <w:r>
              <w:rPr>
                <w:rStyle w:val="IndexLink"/>
              </w:rPr>
              <w:t>606</w:t>
            </w:r>
          </w:hyperlink>
        </w:p>
        <w:p>
          <w:pPr>
            <w:pStyle w:val="Contents6"/>
            <w:tabs>
              <w:tab w:val="clear" w:pos="7609"/>
              <w:tab w:val="right" w:pos="9026" w:leader="dot"/>
            </w:tabs>
            <w:rPr/>
          </w:pPr>
          <w:hyperlink w:anchor="__RefHeading___Toc3600161_1067777946">
            <w:r>
              <w:rPr>
                <w:webHidden/>
                <w:rStyle w:val="IndexLink"/>
                <w:rtl w:val="true"/>
              </w:rPr>
              <w:t>اناطۀ جواز عقد به انقضاى عدّۀ رجعيۀ مطلّقۀ از اربعه</w:t>
            </w:r>
            <w:r>
              <w:rPr>
                <w:rStyle w:val="IndexLink"/>
                <w:rtl w:val="true"/>
              </w:rPr>
              <w:tab/>
            </w:r>
            <w:r>
              <w:rPr>
                <w:rStyle w:val="IndexLink"/>
              </w:rPr>
              <w:t>606</w:t>
            </w:r>
          </w:hyperlink>
        </w:p>
        <w:p>
          <w:pPr>
            <w:pStyle w:val="Contents6"/>
            <w:tabs>
              <w:tab w:val="clear" w:pos="7609"/>
              <w:tab w:val="right" w:pos="9026" w:leader="dot"/>
            </w:tabs>
            <w:rPr/>
          </w:pPr>
          <w:hyperlink w:anchor="__RefHeading___Toc3600163_1067777946">
            <w:r>
              <w:rPr>
                <w:webHidden/>
                <w:rStyle w:val="IndexLink"/>
                <w:rtl w:val="true"/>
              </w:rPr>
              <w:t>حكم انقضاى عدّۀ بائن در ازدواج با خواهر زن</w:t>
            </w:r>
            <w:r>
              <w:rPr>
                <w:rStyle w:val="IndexLink"/>
                <w:rtl w:val="true"/>
              </w:rPr>
              <w:tab/>
            </w:r>
            <w:r>
              <w:rPr>
                <w:rStyle w:val="IndexLink"/>
              </w:rPr>
              <w:t>607</w:t>
            </w:r>
          </w:hyperlink>
        </w:p>
        <w:p>
          <w:pPr>
            <w:pStyle w:val="Contents6"/>
            <w:tabs>
              <w:tab w:val="clear" w:pos="7609"/>
              <w:tab w:val="right" w:pos="9026" w:leader="dot"/>
            </w:tabs>
            <w:rPr/>
          </w:pPr>
          <w:hyperlink w:anchor="__RefHeading___Toc3600165_1067777946">
            <w:r>
              <w:rPr>
                <w:webHidden/>
                <w:rStyle w:val="IndexLink"/>
                <w:rtl w:val="true"/>
              </w:rPr>
              <w:t>تعقّب دو عقد بر طلاق يكى از اربعه</w:t>
            </w:r>
            <w:r>
              <w:rPr>
                <w:rStyle w:val="IndexLink"/>
                <w:rtl w:val="true"/>
              </w:rPr>
              <w:tab/>
            </w:r>
            <w:r>
              <w:rPr>
                <w:rStyle w:val="IndexLink"/>
              </w:rPr>
              <w:t>607</w:t>
            </w:r>
          </w:hyperlink>
        </w:p>
        <w:p>
          <w:pPr>
            <w:pStyle w:val="Contents6"/>
            <w:tabs>
              <w:tab w:val="clear" w:pos="7609"/>
              <w:tab w:val="right" w:pos="9026" w:leader="dot"/>
            </w:tabs>
            <w:rPr/>
          </w:pPr>
          <w:hyperlink w:anchor="__RefHeading___Toc3600167_1067777946">
            <w:r>
              <w:rPr>
                <w:webHidden/>
                <w:rStyle w:val="IndexLink"/>
                <w:rtl w:val="true"/>
              </w:rPr>
              <w:t>عقد با يك حرّه و عقد با دو حرّه و سه حرّه و جهل به تاريخ</w:t>
            </w:r>
            <w:r>
              <w:rPr>
                <w:rStyle w:val="IndexLink"/>
                <w:rtl w:val="true"/>
              </w:rPr>
              <w:tab/>
            </w:r>
            <w:r>
              <w:rPr>
                <w:rStyle w:val="IndexLink"/>
              </w:rPr>
              <w:t>607</w:t>
            </w:r>
          </w:hyperlink>
        </w:p>
        <w:p>
          <w:pPr>
            <w:pStyle w:val="Contents5"/>
            <w:tabs>
              <w:tab w:val="clear" w:pos="7892"/>
              <w:tab w:val="right" w:pos="9026" w:leader="dot"/>
            </w:tabs>
            <w:rPr/>
          </w:pPr>
          <w:hyperlink w:anchor="__RefHeading___Toc3600169_1067777946">
            <w:r>
              <w:rPr>
                <w:webHidden/>
                <w:rStyle w:val="IndexLink"/>
                <w:rtl w:val="true"/>
              </w:rPr>
              <w:t>قسم دوّم طلاق سه مرتبه</w:t>
            </w:r>
            <w:r>
              <w:rPr>
                <w:rStyle w:val="IndexLink"/>
                <w:rtl w:val="true"/>
              </w:rPr>
              <w:tab/>
            </w:r>
            <w:r>
              <w:rPr>
                <w:rStyle w:val="IndexLink"/>
              </w:rPr>
              <w:t>607</w:t>
            </w:r>
          </w:hyperlink>
        </w:p>
        <w:p>
          <w:pPr>
            <w:pStyle w:val="Contents4"/>
            <w:tabs>
              <w:tab w:val="clear" w:pos="8176"/>
              <w:tab w:val="right" w:pos="9026" w:leader="dot"/>
            </w:tabs>
            <w:rPr/>
          </w:pPr>
          <w:hyperlink w:anchor="__RefHeading___Toc3600171_1067777946">
            <w:r>
              <w:rPr>
                <w:webHidden/>
                <w:rStyle w:val="IndexLink"/>
              </w:rPr>
              <w:t>5</w:t>
            </w:r>
            <w:r>
              <w:rPr>
                <w:rStyle w:val="IndexLink"/>
                <w:rtl w:val="true"/>
              </w:rPr>
              <w:t xml:space="preserve">. </w:t>
            </w:r>
            <w:r>
              <w:rPr>
                <w:rStyle w:val="IndexLink"/>
                <w:rtl w:val="true"/>
              </w:rPr>
              <w:t>لعان</w:t>
            </w:r>
            <w:r>
              <w:rPr>
                <w:rStyle w:val="IndexLink"/>
                <w:rtl w:val="true"/>
              </w:rPr>
              <w:tab/>
            </w:r>
            <w:r>
              <w:rPr>
                <w:rStyle w:val="IndexLink"/>
              </w:rPr>
              <w:t>608</w:t>
            </w:r>
          </w:hyperlink>
        </w:p>
        <w:p>
          <w:pPr>
            <w:pStyle w:val="Contents4"/>
            <w:tabs>
              <w:tab w:val="clear" w:pos="8176"/>
              <w:tab w:val="right" w:pos="9026" w:leader="dot"/>
            </w:tabs>
            <w:rPr/>
          </w:pPr>
          <w:hyperlink w:anchor="__RefHeading___Toc3600173_1067777946">
            <w:r>
              <w:rPr>
                <w:webHidden/>
                <w:rStyle w:val="IndexLink"/>
              </w:rPr>
              <w:t>6</w:t>
            </w:r>
            <w:r>
              <w:rPr>
                <w:rStyle w:val="IndexLink"/>
                <w:rtl w:val="true"/>
              </w:rPr>
              <w:t xml:space="preserve">. </w:t>
            </w:r>
            <w:r>
              <w:rPr>
                <w:rStyle w:val="IndexLink"/>
                <w:rtl w:val="true"/>
              </w:rPr>
              <w:t>كفر</w:t>
            </w:r>
            <w:r>
              <w:rPr>
                <w:rStyle w:val="IndexLink"/>
                <w:rtl w:val="true"/>
              </w:rPr>
              <w:tab/>
            </w:r>
            <w:r>
              <w:rPr>
                <w:rStyle w:val="IndexLink"/>
              </w:rPr>
              <w:t>609</w:t>
            </w:r>
          </w:hyperlink>
        </w:p>
        <w:p>
          <w:pPr>
            <w:pStyle w:val="Contents5"/>
            <w:tabs>
              <w:tab w:val="clear" w:pos="7892"/>
              <w:tab w:val="right" w:pos="9026" w:leader="dot"/>
            </w:tabs>
            <w:rPr/>
          </w:pPr>
          <w:hyperlink w:anchor="__RefHeading___Toc3600175_1067777946">
            <w:r>
              <w:rPr>
                <w:webHidden/>
                <w:rStyle w:val="IndexLink"/>
                <w:rtl w:val="true"/>
              </w:rPr>
              <w:t>اشاره</w:t>
            </w:r>
            <w:r>
              <w:rPr>
                <w:rStyle w:val="IndexLink"/>
                <w:rtl w:val="true"/>
              </w:rPr>
              <w:tab/>
            </w:r>
            <w:r>
              <w:rPr>
                <w:rStyle w:val="IndexLink"/>
              </w:rPr>
              <w:t>609</w:t>
            </w:r>
          </w:hyperlink>
        </w:p>
        <w:p>
          <w:pPr>
            <w:pStyle w:val="Contents5"/>
            <w:tabs>
              <w:tab w:val="clear" w:pos="7892"/>
              <w:tab w:val="right" w:pos="9026" w:leader="dot"/>
            </w:tabs>
            <w:rPr/>
          </w:pPr>
          <w:hyperlink w:anchor="__RefHeading___Toc3600177_1067777946">
            <w:r>
              <w:rPr>
                <w:webHidden/>
                <w:rStyle w:val="IndexLink"/>
                <w:rtl w:val="true"/>
              </w:rPr>
              <w:t>احكام ازدواج با كفّار</w:t>
            </w:r>
            <w:r>
              <w:rPr>
                <w:rStyle w:val="IndexLink"/>
                <w:rtl w:val="true"/>
              </w:rPr>
              <w:tab/>
            </w:r>
            <w:r>
              <w:rPr>
                <w:rStyle w:val="IndexLink"/>
              </w:rPr>
              <w:t>609</w:t>
            </w:r>
          </w:hyperlink>
        </w:p>
        <w:p>
          <w:pPr>
            <w:pStyle w:val="Contents6"/>
            <w:tabs>
              <w:tab w:val="clear" w:pos="7609"/>
              <w:tab w:val="right" w:pos="9026" w:leader="dot"/>
            </w:tabs>
            <w:rPr/>
          </w:pPr>
          <w:hyperlink w:anchor="__RefHeading___Toc3600179_1067777946">
            <w:r>
              <w:rPr>
                <w:webHidden/>
                <w:rStyle w:val="IndexLink"/>
                <w:rtl w:val="true"/>
              </w:rPr>
              <w:t>حكم نكاح با كتابيّه</w:t>
            </w:r>
            <w:r>
              <w:rPr>
                <w:rStyle w:val="IndexLink"/>
                <w:rtl w:val="true"/>
              </w:rPr>
              <w:tab/>
            </w:r>
            <w:r>
              <w:rPr>
                <w:rStyle w:val="IndexLink"/>
              </w:rPr>
              <w:t>609</w:t>
            </w:r>
          </w:hyperlink>
        </w:p>
        <w:p>
          <w:pPr>
            <w:pStyle w:val="Contents6"/>
            <w:tabs>
              <w:tab w:val="clear" w:pos="7609"/>
              <w:tab w:val="right" w:pos="9026" w:leader="dot"/>
            </w:tabs>
            <w:rPr/>
          </w:pPr>
          <w:hyperlink w:anchor="__RefHeading___Toc3600181_1067777946">
            <w:r>
              <w:rPr>
                <w:webHidden/>
                <w:rStyle w:val="IndexLink"/>
                <w:rtl w:val="true"/>
              </w:rPr>
              <w:t>حكم ارتداد زن و شوهر يا يكى از از آن دو</w:t>
            </w:r>
            <w:r>
              <w:rPr>
                <w:rStyle w:val="IndexLink"/>
                <w:rtl w:val="true"/>
              </w:rPr>
              <w:tab/>
            </w:r>
            <w:r>
              <w:rPr>
                <w:rStyle w:val="IndexLink"/>
              </w:rPr>
              <w:t>609</w:t>
            </w:r>
          </w:hyperlink>
        </w:p>
        <w:p>
          <w:pPr>
            <w:pStyle w:val="Contents6"/>
            <w:tabs>
              <w:tab w:val="clear" w:pos="7609"/>
              <w:tab w:val="right" w:pos="9026" w:leader="dot"/>
            </w:tabs>
            <w:rPr/>
          </w:pPr>
          <w:hyperlink w:anchor="__RefHeading___Toc3600183_1067777946">
            <w:r>
              <w:rPr>
                <w:webHidden/>
                <w:rStyle w:val="IndexLink"/>
                <w:rtl w:val="true"/>
              </w:rPr>
              <w:t>اسلام زوج كتابيّه و زوجۀ كتابى</w:t>
            </w:r>
            <w:r>
              <w:rPr>
                <w:rStyle w:val="IndexLink"/>
                <w:rtl w:val="true"/>
              </w:rPr>
              <w:tab/>
            </w:r>
            <w:r>
              <w:rPr>
                <w:rStyle w:val="IndexLink"/>
              </w:rPr>
              <w:t>610</w:t>
            </w:r>
          </w:hyperlink>
        </w:p>
        <w:p>
          <w:pPr>
            <w:pStyle w:val="Contents6"/>
            <w:tabs>
              <w:tab w:val="clear" w:pos="7609"/>
              <w:tab w:val="right" w:pos="9026" w:leader="dot"/>
            </w:tabs>
            <w:rPr/>
          </w:pPr>
          <w:hyperlink w:anchor="__RefHeading___Toc3600185_1067777946">
            <w:r>
              <w:rPr>
                <w:webHidden/>
                <w:rStyle w:val="IndexLink"/>
                <w:rtl w:val="true"/>
              </w:rPr>
              <w:t>حكم اسلام متعقّب بر شرك</w:t>
            </w:r>
            <w:r>
              <w:rPr>
                <w:rStyle w:val="IndexLink"/>
                <w:rtl w:val="true"/>
              </w:rPr>
              <w:tab/>
            </w:r>
            <w:r>
              <w:rPr>
                <w:rStyle w:val="IndexLink"/>
              </w:rPr>
              <w:t>611</w:t>
            </w:r>
          </w:hyperlink>
        </w:p>
        <w:p>
          <w:pPr>
            <w:pStyle w:val="Contents6"/>
            <w:tabs>
              <w:tab w:val="clear" w:pos="7609"/>
              <w:tab w:val="right" w:pos="9026" w:leader="dot"/>
            </w:tabs>
            <w:rPr/>
          </w:pPr>
          <w:hyperlink w:anchor="__RefHeading___Toc3600187_1067777946">
            <w:r>
              <w:rPr>
                <w:webHidden/>
                <w:rStyle w:val="IndexLink"/>
                <w:rtl w:val="true"/>
              </w:rPr>
              <w:t>انتقال زوجۀ ذمّى به دين ديگر</w:t>
            </w:r>
            <w:r>
              <w:rPr>
                <w:rStyle w:val="IndexLink"/>
                <w:rtl w:val="true"/>
              </w:rPr>
              <w:tab/>
            </w:r>
            <w:r>
              <w:rPr>
                <w:rStyle w:val="IndexLink"/>
              </w:rPr>
              <w:t>611</w:t>
            </w:r>
          </w:hyperlink>
        </w:p>
        <w:p>
          <w:pPr>
            <w:pStyle w:val="Contents5"/>
            <w:tabs>
              <w:tab w:val="clear" w:pos="7892"/>
              <w:tab w:val="right" w:pos="9026" w:leader="dot"/>
            </w:tabs>
            <w:rPr/>
          </w:pPr>
          <w:hyperlink w:anchor="__RefHeading___Toc3600189_1067777946">
            <w:r>
              <w:rPr>
                <w:webHidden/>
                <w:rStyle w:val="IndexLink"/>
                <w:rtl w:val="true"/>
              </w:rPr>
              <w:t>احكام اختيار زوجات</w:t>
            </w:r>
            <w:r>
              <w:rPr>
                <w:rStyle w:val="IndexLink"/>
                <w:rtl w:val="true"/>
              </w:rPr>
              <w:tab/>
            </w:r>
            <w:r>
              <w:rPr>
                <w:rStyle w:val="IndexLink"/>
              </w:rPr>
              <w:t>611</w:t>
            </w:r>
          </w:hyperlink>
        </w:p>
        <w:p>
          <w:pPr>
            <w:pStyle w:val="Contents6"/>
            <w:tabs>
              <w:tab w:val="clear" w:pos="7609"/>
              <w:tab w:val="right" w:pos="9026" w:leader="dot"/>
            </w:tabs>
            <w:rPr/>
          </w:pPr>
          <w:hyperlink w:anchor="__RefHeading___Toc3600191_1067777946">
            <w:r>
              <w:rPr>
                <w:webHidden/>
                <w:rStyle w:val="IndexLink"/>
                <w:rtl w:val="true"/>
              </w:rPr>
              <w:t>حكم اسلام آوردن كسى كه ازيد از مقدار جايز، زوجه دارد</w:t>
            </w:r>
            <w:r>
              <w:rPr>
                <w:rStyle w:val="IndexLink"/>
                <w:rtl w:val="true"/>
              </w:rPr>
              <w:tab/>
            </w:r>
            <w:r>
              <w:rPr>
                <w:rStyle w:val="IndexLink"/>
              </w:rPr>
              <w:t>611</w:t>
            </w:r>
          </w:hyperlink>
        </w:p>
        <w:p>
          <w:pPr>
            <w:pStyle w:val="Contents6"/>
            <w:tabs>
              <w:tab w:val="clear" w:pos="7609"/>
              <w:tab w:val="right" w:pos="9026" w:leader="dot"/>
            </w:tabs>
            <w:rPr/>
          </w:pPr>
          <w:hyperlink w:anchor="__RefHeading___Toc3600193_1067777946">
            <w:r>
              <w:rPr>
                <w:webHidden/>
                <w:rStyle w:val="IndexLink"/>
                <w:rtl w:val="true"/>
              </w:rPr>
              <w:t>حكم ازدواج فاسد در نزد مسلمين بعد از اسلام آوردن زوج</w:t>
            </w:r>
            <w:r>
              <w:rPr>
                <w:rStyle w:val="IndexLink"/>
                <w:rtl w:val="true"/>
              </w:rPr>
              <w:tab/>
            </w:r>
            <w:r>
              <w:rPr>
                <w:rStyle w:val="IndexLink"/>
              </w:rPr>
              <w:t>612</w:t>
            </w:r>
          </w:hyperlink>
        </w:p>
        <w:p>
          <w:pPr>
            <w:pStyle w:val="Contents6"/>
            <w:tabs>
              <w:tab w:val="clear" w:pos="7609"/>
              <w:tab w:val="right" w:pos="9026" w:leader="dot"/>
            </w:tabs>
            <w:rPr/>
          </w:pPr>
          <w:hyperlink w:anchor="__RefHeading___Toc3600195_1067777946">
            <w:r>
              <w:rPr>
                <w:webHidden/>
                <w:rStyle w:val="IndexLink"/>
                <w:rtl w:val="true"/>
              </w:rPr>
              <w:t>جواز و عدم جواز اجبار زوجۀ كتابيّه بر غسل و غير آن</w:t>
            </w:r>
            <w:r>
              <w:rPr>
                <w:rStyle w:val="IndexLink"/>
                <w:rtl w:val="true"/>
              </w:rPr>
              <w:tab/>
            </w:r>
            <w:r>
              <w:rPr>
                <w:rStyle w:val="IndexLink"/>
              </w:rPr>
              <w:t>612</w:t>
            </w:r>
          </w:hyperlink>
        </w:p>
        <w:p>
          <w:pPr>
            <w:pStyle w:val="Contents6"/>
            <w:tabs>
              <w:tab w:val="clear" w:pos="7609"/>
              <w:tab w:val="right" w:pos="9026" w:leader="dot"/>
            </w:tabs>
            <w:rPr/>
          </w:pPr>
          <w:hyperlink w:anchor="__RefHeading___Toc3600197_1067777946">
            <w:r>
              <w:rPr>
                <w:webHidden/>
                <w:rStyle w:val="IndexLink"/>
                <w:rtl w:val="true"/>
              </w:rPr>
              <w:t>كيفيّت اختيار</w:t>
            </w:r>
            <w:r>
              <w:rPr>
                <w:rStyle w:val="IndexLink"/>
                <w:rtl w:val="true"/>
              </w:rPr>
              <w:tab/>
            </w:r>
            <w:r>
              <w:rPr>
                <w:rStyle w:val="IndexLink"/>
              </w:rPr>
              <w:t>613</w:t>
            </w:r>
          </w:hyperlink>
        </w:p>
        <w:p>
          <w:pPr>
            <w:pStyle w:val="Contents6"/>
            <w:tabs>
              <w:tab w:val="clear" w:pos="7609"/>
              <w:tab w:val="right" w:pos="9026" w:leader="dot"/>
            </w:tabs>
            <w:rPr/>
          </w:pPr>
          <w:hyperlink w:anchor="__RefHeading___Toc3600199_1067777946">
            <w:r>
              <w:rPr>
                <w:webHidden/>
                <w:rStyle w:val="IndexLink"/>
                <w:rtl w:val="true"/>
              </w:rPr>
              <w:t>محدودۀ تأثير طلاق و</w:t>
            </w:r>
            <w:r>
              <w:rPr>
                <w:rStyle w:val="IndexLink"/>
                <w:rtl w:val="true"/>
              </w:rPr>
              <w:t>...</w:t>
              <w:tab/>
            </w:r>
            <w:r>
              <w:rPr>
                <w:rStyle w:val="IndexLink"/>
              </w:rPr>
              <w:t>613</w:t>
            </w:r>
          </w:hyperlink>
        </w:p>
        <w:p>
          <w:pPr>
            <w:pStyle w:val="Contents6"/>
            <w:tabs>
              <w:tab w:val="clear" w:pos="7609"/>
              <w:tab w:val="right" w:pos="9026" w:leader="dot"/>
            </w:tabs>
            <w:rPr/>
          </w:pPr>
          <w:hyperlink w:anchor="__RefHeading___Toc3600201_1067777946">
            <w:r>
              <w:rPr>
                <w:webHidden/>
                <w:rStyle w:val="IndexLink"/>
                <w:rtl w:val="true"/>
              </w:rPr>
              <w:t>الحاق فسخ به عيب، به طلاق</w:t>
            </w:r>
            <w:r>
              <w:rPr>
                <w:rStyle w:val="IndexLink"/>
                <w:rtl w:val="true"/>
              </w:rPr>
              <w:tab/>
            </w:r>
            <w:r>
              <w:rPr>
                <w:rStyle w:val="IndexLink"/>
              </w:rPr>
              <w:t>613</w:t>
            </w:r>
          </w:hyperlink>
        </w:p>
        <w:p>
          <w:pPr>
            <w:pStyle w:val="Contents6"/>
            <w:tabs>
              <w:tab w:val="clear" w:pos="7609"/>
              <w:tab w:val="right" w:pos="9026" w:leader="dot"/>
            </w:tabs>
            <w:rPr/>
          </w:pPr>
          <w:hyperlink w:anchor="__RefHeading___Toc3600203_1067777946">
            <w:r>
              <w:rPr>
                <w:webHidden/>
                <w:rStyle w:val="IndexLink"/>
                <w:rtl w:val="true"/>
              </w:rPr>
              <w:t>حكم ظهار و ايلاء در كاشفيّت از اختيار</w:t>
            </w:r>
            <w:r>
              <w:rPr>
                <w:rStyle w:val="IndexLink"/>
                <w:rtl w:val="true"/>
              </w:rPr>
              <w:tab/>
            </w:r>
            <w:r>
              <w:rPr>
                <w:rStyle w:val="IndexLink"/>
              </w:rPr>
              <w:t>614</w:t>
            </w:r>
          </w:hyperlink>
        </w:p>
        <w:p>
          <w:pPr>
            <w:pStyle w:val="Contents6"/>
            <w:tabs>
              <w:tab w:val="clear" w:pos="7609"/>
              <w:tab w:val="right" w:pos="9026" w:leader="dot"/>
            </w:tabs>
            <w:rPr/>
          </w:pPr>
          <w:hyperlink w:anchor="__RefHeading___Toc3600205_1067777946">
            <w:r>
              <w:rPr>
                <w:webHidden/>
                <w:rStyle w:val="IndexLink"/>
                <w:rtl w:val="true"/>
              </w:rPr>
              <w:t>طلاق يا ظهار يا ايلاء يا قذف در حال كفر زوجات</w:t>
            </w:r>
            <w:r>
              <w:rPr>
                <w:rStyle w:val="IndexLink"/>
                <w:rtl w:val="true"/>
              </w:rPr>
              <w:tab/>
            </w:r>
            <w:r>
              <w:rPr>
                <w:rStyle w:val="IndexLink"/>
              </w:rPr>
              <w:t>614</w:t>
            </w:r>
          </w:hyperlink>
        </w:p>
        <w:p>
          <w:pPr>
            <w:pStyle w:val="Contents6"/>
            <w:tabs>
              <w:tab w:val="clear" w:pos="7609"/>
              <w:tab w:val="right" w:pos="9026" w:leader="dot"/>
            </w:tabs>
            <w:rPr/>
          </w:pPr>
          <w:hyperlink w:anchor="__RefHeading___Toc3600207_1067777946">
            <w:r>
              <w:rPr>
                <w:webHidden/>
                <w:rStyle w:val="IndexLink"/>
                <w:rtl w:val="true"/>
              </w:rPr>
              <w:t>حكم مذكورات بعد از اختيار اسلام در عدّه</w:t>
            </w:r>
            <w:r>
              <w:rPr>
                <w:rStyle w:val="IndexLink"/>
                <w:rtl w:val="true"/>
              </w:rPr>
              <w:tab/>
            </w:r>
            <w:r>
              <w:rPr>
                <w:rStyle w:val="IndexLink"/>
              </w:rPr>
              <w:t>614</w:t>
            </w:r>
          </w:hyperlink>
        </w:p>
        <w:p>
          <w:pPr>
            <w:pStyle w:val="Contents6"/>
            <w:tabs>
              <w:tab w:val="clear" w:pos="7609"/>
              <w:tab w:val="right" w:pos="9026" w:leader="dot"/>
            </w:tabs>
            <w:rPr/>
          </w:pPr>
          <w:hyperlink w:anchor="__RefHeading___Toc3600209_1067777946">
            <w:r>
              <w:rPr>
                <w:webHidden/>
                <w:rStyle w:val="IndexLink"/>
                <w:rtl w:val="true"/>
              </w:rPr>
              <w:t>تعزير بر قذف</w:t>
            </w:r>
            <w:r>
              <w:rPr>
                <w:rStyle w:val="IndexLink"/>
                <w:rtl w:val="true"/>
              </w:rPr>
              <w:tab/>
            </w:r>
            <w:r>
              <w:rPr>
                <w:rStyle w:val="IndexLink"/>
              </w:rPr>
              <w:t>615</w:t>
            </w:r>
          </w:hyperlink>
        </w:p>
        <w:p>
          <w:pPr>
            <w:pStyle w:val="Contents6"/>
            <w:tabs>
              <w:tab w:val="clear" w:pos="7609"/>
              <w:tab w:val="right" w:pos="9026" w:leader="dot"/>
            </w:tabs>
            <w:rPr/>
          </w:pPr>
          <w:hyperlink w:anchor="__RefHeading___Toc3600211_1067777946">
            <w:r>
              <w:rPr>
                <w:webHidden/>
                <w:rStyle w:val="IndexLink"/>
                <w:rtl w:val="true"/>
              </w:rPr>
              <w:t>الفاظ و افعال دالّه بر اختيار</w:t>
            </w:r>
            <w:r>
              <w:rPr>
                <w:rStyle w:val="IndexLink"/>
                <w:rtl w:val="true"/>
              </w:rPr>
              <w:tab/>
            </w:r>
            <w:r>
              <w:rPr>
                <w:rStyle w:val="IndexLink"/>
              </w:rPr>
              <w:t>615</w:t>
            </w:r>
          </w:hyperlink>
        </w:p>
        <w:p>
          <w:pPr>
            <w:pStyle w:val="Contents6"/>
            <w:tabs>
              <w:tab w:val="clear" w:pos="7609"/>
              <w:tab w:val="right" w:pos="9026" w:leader="dot"/>
            </w:tabs>
            <w:rPr/>
          </w:pPr>
          <w:hyperlink w:anchor="__RefHeading___Toc3600213_1067777946">
            <w:r>
              <w:rPr>
                <w:webHidden/>
                <w:rStyle w:val="IndexLink"/>
                <w:rtl w:val="true"/>
              </w:rPr>
              <w:t>عقد خواهر در فرض مسأله</w:t>
            </w:r>
            <w:r>
              <w:rPr>
                <w:rStyle w:val="IndexLink"/>
                <w:rtl w:val="true"/>
              </w:rPr>
              <w:tab/>
            </w:r>
            <w:r>
              <w:rPr>
                <w:rStyle w:val="IndexLink"/>
              </w:rPr>
              <w:t>616</w:t>
            </w:r>
          </w:hyperlink>
        </w:p>
        <w:p>
          <w:pPr>
            <w:pStyle w:val="Contents6"/>
            <w:tabs>
              <w:tab w:val="clear" w:pos="7609"/>
              <w:tab w:val="right" w:pos="9026" w:leader="dot"/>
            </w:tabs>
            <w:rPr/>
          </w:pPr>
          <w:hyperlink w:anchor="__RefHeading___Toc3600215_1067777946">
            <w:r>
              <w:rPr>
                <w:webHidden/>
                <w:rStyle w:val="IndexLink"/>
                <w:rtl w:val="true"/>
              </w:rPr>
              <w:t>اسلام اربعه و عدم اسلام اربعه ديگر</w:t>
            </w:r>
            <w:r>
              <w:rPr>
                <w:rStyle w:val="IndexLink"/>
                <w:rtl w:val="true"/>
              </w:rPr>
              <w:tab/>
            </w:r>
            <w:r>
              <w:rPr>
                <w:rStyle w:val="IndexLink"/>
              </w:rPr>
              <w:t>616</w:t>
            </w:r>
          </w:hyperlink>
        </w:p>
        <w:p>
          <w:pPr>
            <w:pStyle w:val="Contents6"/>
            <w:tabs>
              <w:tab w:val="clear" w:pos="7609"/>
              <w:tab w:val="right" w:pos="9026" w:leader="dot"/>
            </w:tabs>
            <w:rPr/>
          </w:pPr>
          <w:hyperlink w:anchor="__RefHeading___Toc3600217_1067777946">
            <w:r>
              <w:rPr>
                <w:webHidden/>
                <w:rStyle w:val="IndexLink"/>
                <w:rtl w:val="true"/>
              </w:rPr>
              <w:t>فرض تعيين اوايل يا اواخر براى فسخ</w:t>
            </w:r>
            <w:r>
              <w:rPr>
                <w:rStyle w:val="IndexLink"/>
                <w:rtl w:val="true"/>
              </w:rPr>
              <w:tab/>
            </w:r>
            <w:r>
              <w:rPr>
                <w:rStyle w:val="IndexLink"/>
              </w:rPr>
              <w:t>616</w:t>
            </w:r>
          </w:hyperlink>
        </w:p>
        <w:p>
          <w:pPr>
            <w:pStyle w:val="Contents6"/>
            <w:tabs>
              <w:tab w:val="clear" w:pos="7609"/>
              <w:tab w:val="right" w:pos="9026" w:leader="dot"/>
            </w:tabs>
            <w:rPr/>
          </w:pPr>
          <w:hyperlink w:anchor="__RefHeading___Toc3600219_1067777946">
            <w:r>
              <w:rPr>
                <w:webHidden/>
                <w:rStyle w:val="IndexLink"/>
                <w:rtl w:val="true"/>
              </w:rPr>
              <w:t>فوريّت اختيار</w:t>
            </w:r>
            <w:r>
              <w:rPr>
                <w:rStyle w:val="IndexLink"/>
                <w:rtl w:val="true"/>
              </w:rPr>
              <w:tab/>
            </w:r>
            <w:r>
              <w:rPr>
                <w:rStyle w:val="IndexLink"/>
              </w:rPr>
              <w:t>616</w:t>
            </w:r>
          </w:hyperlink>
        </w:p>
        <w:p>
          <w:pPr>
            <w:pStyle w:val="Contents5"/>
            <w:tabs>
              <w:tab w:val="clear" w:pos="7892"/>
              <w:tab w:val="right" w:pos="9026" w:leader="dot"/>
            </w:tabs>
            <w:rPr/>
          </w:pPr>
          <w:hyperlink w:anchor="__RefHeading___Toc3600221_1067777946">
            <w:r>
              <w:rPr>
                <w:webHidden/>
                <w:rStyle w:val="IndexLink"/>
                <w:rtl w:val="true"/>
              </w:rPr>
              <w:t>مسائل اختلاف زوجين در دين</w:t>
            </w:r>
            <w:r>
              <w:rPr>
                <w:rStyle w:val="IndexLink"/>
                <w:rtl w:val="true"/>
              </w:rPr>
              <w:tab/>
            </w:r>
            <w:r>
              <w:rPr>
                <w:rStyle w:val="IndexLink"/>
              </w:rPr>
              <w:t>617</w:t>
            </w:r>
          </w:hyperlink>
        </w:p>
        <w:p>
          <w:pPr>
            <w:pStyle w:val="Contents6"/>
            <w:tabs>
              <w:tab w:val="clear" w:pos="7609"/>
              <w:tab w:val="right" w:pos="9026" w:leader="dot"/>
            </w:tabs>
            <w:rPr/>
          </w:pPr>
          <w:hyperlink w:anchor="__RefHeading___Toc3600223_1067777946">
            <w:r>
              <w:rPr>
                <w:webHidden/>
                <w:rStyle w:val="IndexLink"/>
                <w:rtl w:val="true"/>
              </w:rPr>
              <w:t>اسلامِ بعد از نكاح با ام و بنت</w:t>
            </w:r>
            <w:r>
              <w:rPr>
                <w:rStyle w:val="IndexLink"/>
                <w:rtl w:val="true"/>
              </w:rPr>
              <w:tab/>
            </w:r>
            <w:r>
              <w:rPr>
                <w:rStyle w:val="IndexLink"/>
              </w:rPr>
              <w:t>617</w:t>
            </w:r>
          </w:hyperlink>
        </w:p>
        <w:p>
          <w:pPr>
            <w:pStyle w:val="Contents6"/>
            <w:tabs>
              <w:tab w:val="clear" w:pos="7609"/>
              <w:tab w:val="right" w:pos="9026" w:leader="dot"/>
            </w:tabs>
            <w:rPr/>
          </w:pPr>
          <w:hyperlink w:anchor="__RefHeading___Toc3600225_1067777946">
            <w:r>
              <w:rPr>
                <w:webHidden/>
                <w:rStyle w:val="IndexLink"/>
                <w:rtl w:val="true"/>
              </w:rPr>
              <w:t>اسلامِ بعد از نكاح دو اخت</w:t>
            </w:r>
            <w:r>
              <w:rPr>
                <w:rStyle w:val="IndexLink"/>
                <w:rtl w:val="true"/>
              </w:rPr>
              <w:tab/>
            </w:r>
            <w:r>
              <w:rPr>
                <w:rStyle w:val="IndexLink"/>
              </w:rPr>
              <w:t>617</w:t>
            </w:r>
          </w:hyperlink>
        </w:p>
        <w:p>
          <w:pPr>
            <w:pStyle w:val="Contents6"/>
            <w:tabs>
              <w:tab w:val="clear" w:pos="7609"/>
              <w:tab w:val="right" w:pos="9026" w:leader="dot"/>
            </w:tabs>
            <w:rPr/>
          </w:pPr>
          <w:hyperlink w:anchor="__RefHeading___Toc3600227_1067777946">
            <w:r>
              <w:rPr>
                <w:webHidden/>
                <w:rStyle w:val="IndexLink"/>
                <w:rtl w:val="true"/>
              </w:rPr>
              <w:t>اسلامِ بعد از نكاح با زن و عمه يا خالۀ او</w:t>
            </w:r>
            <w:r>
              <w:rPr>
                <w:rStyle w:val="IndexLink"/>
                <w:rtl w:val="true"/>
              </w:rPr>
              <w:tab/>
            </w:r>
            <w:r>
              <w:rPr>
                <w:rStyle w:val="IndexLink"/>
              </w:rPr>
              <w:t>617</w:t>
            </w:r>
          </w:hyperlink>
        </w:p>
        <w:p>
          <w:pPr>
            <w:pStyle w:val="Contents6"/>
            <w:tabs>
              <w:tab w:val="clear" w:pos="7609"/>
              <w:tab w:val="right" w:pos="9026" w:leader="dot"/>
            </w:tabs>
            <w:rPr/>
          </w:pPr>
          <w:hyperlink w:anchor="__RefHeading___Toc3600229_1067777946">
            <w:r>
              <w:rPr>
                <w:webHidden/>
                <w:rStyle w:val="IndexLink"/>
                <w:rtl w:val="true"/>
              </w:rPr>
              <w:t>اسلامِ بعد از نكاح با حرّه و امه</w:t>
            </w:r>
            <w:r>
              <w:rPr>
                <w:rStyle w:val="IndexLink"/>
                <w:rtl w:val="true"/>
              </w:rPr>
              <w:tab/>
            </w:r>
            <w:r>
              <w:rPr>
                <w:rStyle w:val="IndexLink"/>
              </w:rPr>
              <w:t>618</w:t>
            </w:r>
          </w:hyperlink>
        </w:p>
        <w:p>
          <w:pPr>
            <w:pStyle w:val="Contents6"/>
            <w:tabs>
              <w:tab w:val="clear" w:pos="7609"/>
              <w:tab w:val="right" w:pos="9026" w:leader="dot"/>
            </w:tabs>
            <w:rPr/>
          </w:pPr>
          <w:hyperlink w:anchor="__RefHeading___Toc3600231_1067777946">
            <w:r>
              <w:rPr>
                <w:webHidden/>
                <w:rStyle w:val="IndexLink"/>
                <w:rtl w:val="true"/>
              </w:rPr>
              <w:t>اسلام مشركِ داراى زوجاتِ حرّه و كنيز</w:t>
            </w:r>
            <w:r>
              <w:rPr>
                <w:rStyle w:val="IndexLink"/>
                <w:rtl w:val="true"/>
              </w:rPr>
              <w:tab/>
            </w:r>
            <w:r>
              <w:rPr>
                <w:rStyle w:val="IndexLink"/>
              </w:rPr>
              <w:t>618</w:t>
            </w:r>
          </w:hyperlink>
        </w:p>
        <w:p>
          <w:pPr>
            <w:pStyle w:val="Contents6"/>
            <w:tabs>
              <w:tab w:val="clear" w:pos="7609"/>
              <w:tab w:val="right" w:pos="9026" w:leader="dot"/>
            </w:tabs>
            <w:rPr/>
          </w:pPr>
          <w:hyperlink w:anchor="__RefHeading___Toc3600233_1067777946">
            <w:r>
              <w:rPr>
                <w:webHidden/>
                <w:rStyle w:val="IndexLink"/>
                <w:rtl w:val="true"/>
              </w:rPr>
              <w:t>اسلام عبدِ داراى چهار حرّۀ وثنيّه</w:t>
            </w:r>
            <w:r>
              <w:rPr>
                <w:rStyle w:val="IndexLink"/>
                <w:rtl w:val="true"/>
              </w:rPr>
              <w:tab/>
            </w:r>
            <w:r>
              <w:rPr>
                <w:rStyle w:val="IndexLink"/>
              </w:rPr>
              <w:t>619</w:t>
            </w:r>
          </w:hyperlink>
        </w:p>
        <w:p>
          <w:pPr>
            <w:pStyle w:val="Contents6"/>
            <w:tabs>
              <w:tab w:val="clear" w:pos="7609"/>
              <w:tab w:val="right" w:pos="9026" w:leader="dot"/>
            </w:tabs>
            <w:rPr/>
          </w:pPr>
          <w:hyperlink w:anchor="__RefHeading___Toc3600235_1067777946">
            <w:r>
              <w:rPr>
                <w:webHidden/>
                <w:rStyle w:val="IndexLink"/>
                <w:rtl w:val="true"/>
              </w:rPr>
              <w:t>فسخ بودن اختلاف دينى و مسألۀ مهر</w:t>
            </w:r>
            <w:r>
              <w:rPr>
                <w:rStyle w:val="IndexLink"/>
                <w:rtl w:val="true"/>
              </w:rPr>
              <w:tab/>
            </w:r>
            <w:r>
              <w:rPr>
                <w:rStyle w:val="IndexLink"/>
              </w:rPr>
              <w:t>619</w:t>
            </w:r>
          </w:hyperlink>
        </w:p>
        <w:p>
          <w:pPr>
            <w:pStyle w:val="Contents6"/>
            <w:tabs>
              <w:tab w:val="clear" w:pos="7609"/>
              <w:tab w:val="right" w:pos="9026" w:leader="dot"/>
            </w:tabs>
            <w:rPr/>
          </w:pPr>
          <w:hyperlink w:anchor="__RefHeading___Toc3600237_1067777946">
            <w:r>
              <w:rPr>
                <w:webHidden/>
                <w:rStyle w:val="IndexLink"/>
                <w:rtl w:val="true"/>
              </w:rPr>
              <w:t>معيّت يا اختلاف در اختيار اسلام</w:t>
            </w:r>
            <w:r>
              <w:rPr>
                <w:rStyle w:val="IndexLink"/>
                <w:rtl w:val="true"/>
              </w:rPr>
              <w:tab/>
            </w:r>
            <w:r>
              <w:rPr>
                <w:rStyle w:val="IndexLink"/>
              </w:rPr>
              <w:t>619</w:t>
            </w:r>
          </w:hyperlink>
        </w:p>
        <w:p>
          <w:pPr>
            <w:pStyle w:val="Contents6"/>
            <w:tabs>
              <w:tab w:val="clear" w:pos="7609"/>
              <w:tab w:val="right" w:pos="9026" w:leader="dot"/>
            </w:tabs>
            <w:rPr/>
          </w:pPr>
          <w:hyperlink w:anchor="__RefHeading___Toc3600239_1067777946">
            <w:r>
              <w:rPr>
                <w:webHidden/>
                <w:rStyle w:val="IndexLink"/>
                <w:rtl w:val="true"/>
              </w:rPr>
              <w:t>اگر مهر زن ذمّى مسلمان شده خمر يا خنزير باشد</w:t>
            </w:r>
            <w:r>
              <w:rPr>
                <w:rStyle w:val="IndexLink"/>
                <w:rtl w:val="true"/>
              </w:rPr>
              <w:tab/>
            </w:r>
            <w:r>
              <w:rPr>
                <w:rStyle w:val="IndexLink"/>
              </w:rPr>
              <w:t>620</w:t>
            </w:r>
          </w:hyperlink>
        </w:p>
        <w:p>
          <w:pPr>
            <w:pStyle w:val="Contents6"/>
            <w:tabs>
              <w:tab w:val="clear" w:pos="7609"/>
              <w:tab w:val="right" w:pos="9026" w:leader="dot"/>
            </w:tabs>
            <w:rPr/>
          </w:pPr>
          <w:hyperlink w:anchor="__RefHeading___Toc3600241_1067777946">
            <w:r>
              <w:rPr>
                <w:webHidden/>
                <w:rStyle w:val="IndexLink"/>
                <w:rtl w:val="true"/>
              </w:rPr>
              <w:t>احكام حرمت وطى بعد از ارتداد زوج يا زوجه</w:t>
            </w:r>
            <w:r>
              <w:rPr>
                <w:rStyle w:val="IndexLink"/>
                <w:rtl w:val="true"/>
              </w:rPr>
              <w:tab/>
            </w:r>
            <w:r>
              <w:rPr>
                <w:rStyle w:val="IndexLink"/>
              </w:rPr>
              <w:t>620</w:t>
            </w:r>
          </w:hyperlink>
        </w:p>
        <w:p>
          <w:pPr>
            <w:pStyle w:val="Contents6"/>
            <w:tabs>
              <w:tab w:val="clear" w:pos="7609"/>
              <w:tab w:val="right" w:pos="9026" w:leader="dot"/>
            </w:tabs>
            <w:rPr/>
          </w:pPr>
          <w:hyperlink w:anchor="__RefHeading___Toc3600243_1067777946">
            <w:r>
              <w:rPr>
                <w:webHidden/>
                <w:rStyle w:val="IndexLink"/>
                <w:rtl w:val="true"/>
              </w:rPr>
              <w:t>اسلام شخص داراى اربعه</w:t>
            </w:r>
            <w:r>
              <w:rPr>
                <w:rStyle w:val="IndexLink"/>
                <w:rtl w:val="true"/>
              </w:rPr>
              <w:tab/>
            </w:r>
            <w:r>
              <w:rPr>
                <w:rStyle w:val="IndexLink"/>
              </w:rPr>
              <w:t>621</w:t>
            </w:r>
          </w:hyperlink>
        </w:p>
        <w:p>
          <w:pPr>
            <w:pStyle w:val="Contents6"/>
            <w:tabs>
              <w:tab w:val="clear" w:pos="7609"/>
              <w:tab w:val="right" w:pos="9026" w:leader="dot"/>
            </w:tabs>
            <w:rPr/>
          </w:pPr>
          <w:hyperlink w:anchor="__RefHeading___Toc3600245_1067777946">
            <w:r>
              <w:rPr>
                <w:webHidden/>
                <w:rStyle w:val="IndexLink"/>
                <w:rtl w:val="true"/>
              </w:rPr>
              <w:t>اسلام وثنيّه و نكاح زوج او با اخت وى</w:t>
            </w:r>
            <w:r>
              <w:rPr>
                <w:rStyle w:val="IndexLink"/>
                <w:rtl w:val="true"/>
              </w:rPr>
              <w:tab/>
            </w:r>
            <w:r>
              <w:rPr>
                <w:rStyle w:val="IndexLink"/>
              </w:rPr>
              <w:t>621</w:t>
            </w:r>
          </w:hyperlink>
        </w:p>
        <w:p>
          <w:pPr>
            <w:pStyle w:val="Contents6"/>
            <w:tabs>
              <w:tab w:val="clear" w:pos="7609"/>
              <w:tab w:val="right" w:pos="9026" w:leader="dot"/>
            </w:tabs>
            <w:rPr/>
          </w:pPr>
          <w:hyperlink w:anchor="__RefHeading___Toc3600247_1067777946">
            <w:r>
              <w:rPr>
                <w:webHidden/>
                <w:rStyle w:val="IndexLink"/>
                <w:rtl w:val="true"/>
              </w:rPr>
              <w:t>مورد ديگر تخيير</w:t>
            </w:r>
            <w:r>
              <w:rPr>
                <w:rStyle w:val="IndexLink"/>
                <w:rtl w:val="true"/>
              </w:rPr>
              <w:tab/>
            </w:r>
            <w:r>
              <w:rPr>
                <w:rStyle w:val="IndexLink"/>
              </w:rPr>
              <w:t>622</w:t>
            </w:r>
          </w:hyperlink>
        </w:p>
        <w:p>
          <w:pPr>
            <w:pStyle w:val="Contents6"/>
            <w:tabs>
              <w:tab w:val="clear" w:pos="7609"/>
              <w:tab w:val="right" w:pos="9026" w:leader="dot"/>
            </w:tabs>
            <w:rPr/>
          </w:pPr>
          <w:hyperlink w:anchor="__RefHeading___Toc3600249_1067777946">
            <w:r>
              <w:rPr>
                <w:webHidden/>
                <w:rStyle w:val="IndexLink"/>
                <w:rtl w:val="true"/>
              </w:rPr>
              <w:t>اسلام يكى از وثنيين و ارتداد وى</w:t>
            </w:r>
            <w:r>
              <w:rPr>
                <w:rStyle w:val="IndexLink"/>
                <w:rtl w:val="true"/>
              </w:rPr>
              <w:tab/>
            </w:r>
            <w:r>
              <w:rPr>
                <w:rStyle w:val="IndexLink"/>
              </w:rPr>
              <w:t>622</w:t>
            </w:r>
          </w:hyperlink>
        </w:p>
        <w:p>
          <w:pPr>
            <w:pStyle w:val="Contents6"/>
            <w:tabs>
              <w:tab w:val="clear" w:pos="7609"/>
              <w:tab w:val="right" w:pos="9026" w:leader="dot"/>
            </w:tabs>
            <w:rPr/>
          </w:pPr>
          <w:hyperlink w:anchor="__RefHeading___Toc3600251_1067777946">
            <w:r>
              <w:rPr>
                <w:webHidden/>
                <w:rStyle w:val="IndexLink"/>
                <w:rtl w:val="true"/>
              </w:rPr>
              <w:t>عدم ابطال اختيار، با موت زدن بعد از اسلام او</w:t>
            </w:r>
            <w:r>
              <w:rPr>
                <w:rStyle w:val="IndexLink"/>
                <w:rtl w:val="true"/>
              </w:rPr>
              <w:tab/>
            </w:r>
            <w:r>
              <w:rPr>
                <w:rStyle w:val="IndexLink"/>
              </w:rPr>
              <w:t>623</w:t>
            </w:r>
          </w:hyperlink>
        </w:p>
        <w:p>
          <w:pPr>
            <w:pStyle w:val="Contents6"/>
            <w:tabs>
              <w:tab w:val="clear" w:pos="7609"/>
              <w:tab w:val="right" w:pos="9026" w:leader="dot"/>
            </w:tabs>
            <w:rPr/>
          </w:pPr>
          <w:hyperlink w:anchor="__RefHeading___Toc3600253_1067777946">
            <w:r>
              <w:rPr>
                <w:webHidden/>
                <w:rStyle w:val="IndexLink"/>
                <w:rtl w:val="true"/>
              </w:rPr>
              <w:t>حكم ميراث و عدّه در صورت وفات زوج قبل از اختيار</w:t>
            </w:r>
            <w:r>
              <w:rPr>
                <w:rStyle w:val="IndexLink"/>
                <w:rtl w:val="true"/>
              </w:rPr>
              <w:tab/>
            </w:r>
            <w:r>
              <w:rPr>
                <w:rStyle w:val="IndexLink"/>
              </w:rPr>
              <w:t>623</w:t>
            </w:r>
          </w:hyperlink>
        </w:p>
        <w:p>
          <w:pPr>
            <w:pStyle w:val="Contents6"/>
            <w:tabs>
              <w:tab w:val="clear" w:pos="7609"/>
              <w:tab w:val="right" w:pos="9026" w:leader="dot"/>
            </w:tabs>
            <w:rPr/>
          </w:pPr>
          <w:hyperlink w:anchor="__RefHeading___Toc3600255_1067777946">
            <w:r>
              <w:rPr>
                <w:webHidden/>
                <w:rStyle w:val="IndexLink"/>
                <w:rtl w:val="true"/>
              </w:rPr>
              <w:t>وفات زوج قبل از اختيار</w:t>
            </w:r>
            <w:r>
              <w:rPr>
                <w:rStyle w:val="IndexLink"/>
                <w:rtl w:val="true"/>
              </w:rPr>
              <w:tab/>
            </w:r>
            <w:r>
              <w:rPr>
                <w:rStyle w:val="IndexLink"/>
              </w:rPr>
              <w:t>624</w:t>
            </w:r>
          </w:hyperlink>
        </w:p>
        <w:p>
          <w:pPr>
            <w:pStyle w:val="Contents6"/>
            <w:tabs>
              <w:tab w:val="clear" w:pos="7609"/>
              <w:tab w:val="right" w:pos="9026" w:leader="dot"/>
            </w:tabs>
            <w:rPr/>
          </w:pPr>
          <w:hyperlink w:anchor="__RefHeading___Toc3600257_1067777946">
            <w:r>
              <w:rPr>
                <w:webHidden/>
                <w:rStyle w:val="IndexLink"/>
                <w:rtl w:val="true"/>
              </w:rPr>
              <w:t>حكم نفقۀ زوجات قبل از اختيار</w:t>
            </w:r>
            <w:r>
              <w:rPr>
                <w:rStyle w:val="IndexLink"/>
                <w:rtl w:val="true"/>
              </w:rPr>
              <w:tab/>
            </w:r>
            <w:r>
              <w:rPr>
                <w:rStyle w:val="IndexLink"/>
              </w:rPr>
              <w:t>624</w:t>
            </w:r>
          </w:hyperlink>
        </w:p>
        <w:p>
          <w:pPr>
            <w:pStyle w:val="Contents6"/>
            <w:tabs>
              <w:tab w:val="clear" w:pos="7609"/>
              <w:tab w:val="right" w:pos="9026" w:leader="dot"/>
            </w:tabs>
            <w:rPr/>
          </w:pPr>
          <w:hyperlink w:anchor="__RefHeading___Toc3600259_1067777946">
            <w:r>
              <w:rPr>
                <w:webHidden/>
                <w:rStyle w:val="IndexLink"/>
                <w:rtl w:val="true"/>
              </w:rPr>
              <w:t>اختلاف در سابق به اسلام</w:t>
            </w:r>
            <w:r>
              <w:rPr>
                <w:rStyle w:val="IndexLink"/>
                <w:rtl w:val="true"/>
              </w:rPr>
              <w:tab/>
            </w:r>
            <w:r>
              <w:rPr>
                <w:rStyle w:val="IndexLink"/>
              </w:rPr>
              <w:t>624</w:t>
            </w:r>
          </w:hyperlink>
        </w:p>
        <w:p>
          <w:pPr>
            <w:pStyle w:val="Contents6"/>
            <w:tabs>
              <w:tab w:val="clear" w:pos="7609"/>
              <w:tab w:val="right" w:pos="9026" w:leader="dot"/>
            </w:tabs>
            <w:rPr/>
          </w:pPr>
          <w:hyperlink w:anchor="__RefHeading___Toc3600261_1067777946">
            <w:r>
              <w:rPr>
                <w:webHidden/>
                <w:rStyle w:val="IndexLink"/>
                <w:rtl w:val="true"/>
              </w:rPr>
              <w:t>اختلاف در تحقق اسلام ديگرى</w:t>
            </w:r>
            <w:r>
              <w:rPr>
                <w:rStyle w:val="IndexLink"/>
                <w:rtl w:val="true"/>
              </w:rPr>
              <w:tab/>
            </w:r>
            <w:r>
              <w:rPr>
                <w:rStyle w:val="IndexLink"/>
              </w:rPr>
              <w:t>625</w:t>
            </w:r>
          </w:hyperlink>
        </w:p>
        <w:p>
          <w:pPr>
            <w:pStyle w:val="Contents6"/>
            <w:tabs>
              <w:tab w:val="clear" w:pos="7609"/>
              <w:tab w:val="right" w:pos="9026" w:leader="dot"/>
            </w:tabs>
            <w:rPr/>
          </w:pPr>
          <w:hyperlink w:anchor="__RefHeading___Toc3600263_1067777946">
            <w:r>
              <w:rPr>
                <w:webHidden/>
                <w:rStyle w:val="IndexLink"/>
                <w:rtl w:val="true"/>
              </w:rPr>
              <w:t>حكم ميراث بعد از وفات زوج قبل از اختيار</w:t>
            </w:r>
            <w:r>
              <w:rPr>
                <w:rStyle w:val="IndexLink"/>
                <w:rtl w:val="true"/>
              </w:rPr>
              <w:tab/>
            </w:r>
            <w:r>
              <w:rPr>
                <w:rStyle w:val="IndexLink"/>
              </w:rPr>
              <w:t>625</w:t>
            </w:r>
          </w:hyperlink>
        </w:p>
        <w:p>
          <w:pPr>
            <w:pStyle w:val="Contents6"/>
            <w:tabs>
              <w:tab w:val="clear" w:pos="7609"/>
              <w:tab w:val="right" w:pos="9026" w:leader="dot"/>
            </w:tabs>
            <w:rPr/>
          </w:pPr>
          <w:hyperlink w:anchor="__RefHeading___Toc3600265_1067777946">
            <w:r>
              <w:rPr>
                <w:webHidden/>
                <w:rStyle w:val="IndexLink"/>
                <w:rtl w:val="true"/>
              </w:rPr>
              <w:t>اباق عبد بعد از ازدواج با اذن</w:t>
            </w:r>
            <w:r>
              <w:rPr>
                <w:rStyle w:val="IndexLink"/>
                <w:rtl w:val="true"/>
              </w:rPr>
              <w:tab/>
            </w:r>
            <w:r>
              <w:rPr>
                <w:rStyle w:val="IndexLink"/>
              </w:rPr>
              <w:t>626</w:t>
            </w:r>
          </w:hyperlink>
        </w:p>
        <w:p>
          <w:pPr>
            <w:pStyle w:val="Contents3"/>
            <w:tabs>
              <w:tab w:val="clear" w:pos="8459"/>
              <w:tab w:val="right" w:pos="9026" w:leader="dot"/>
            </w:tabs>
            <w:rPr/>
          </w:pPr>
          <w:hyperlink w:anchor="__RefHeading___Toc3600267_1067777946">
            <w:r>
              <w:rPr>
                <w:webHidden/>
                <w:rStyle w:val="IndexLink"/>
                <w:rtl w:val="true"/>
              </w:rPr>
              <w:t>فصل چهارم لواحق عقد</w:t>
            </w:r>
            <w:r>
              <w:rPr>
                <w:rStyle w:val="IndexLink"/>
                <w:rtl w:val="true"/>
              </w:rPr>
              <w:tab/>
            </w:r>
            <w:r>
              <w:rPr>
                <w:rStyle w:val="IndexLink"/>
              </w:rPr>
              <w:t>627</w:t>
            </w:r>
          </w:hyperlink>
        </w:p>
        <w:p>
          <w:pPr>
            <w:pStyle w:val="Contents4"/>
            <w:tabs>
              <w:tab w:val="clear" w:pos="8176"/>
              <w:tab w:val="right" w:pos="9026" w:leader="dot"/>
            </w:tabs>
            <w:rPr/>
          </w:pPr>
          <w:hyperlink w:anchor="__RefHeading___Toc3600269_1067777946">
            <w:r>
              <w:rPr>
                <w:webHidden/>
                <w:rStyle w:val="IndexLink"/>
              </w:rPr>
              <w:t>1</w:t>
            </w:r>
            <w:r>
              <w:rPr>
                <w:rStyle w:val="IndexLink"/>
                <w:rtl w:val="true"/>
              </w:rPr>
              <w:t xml:space="preserve">. </w:t>
            </w:r>
            <w:r>
              <w:rPr>
                <w:rStyle w:val="IndexLink"/>
                <w:rtl w:val="true"/>
              </w:rPr>
              <w:t>كفايت</w:t>
            </w:r>
            <w:r>
              <w:rPr>
                <w:rStyle w:val="IndexLink"/>
                <w:rtl w:val="true"/>
              </w:rPr>
              <w:tab/>
            </w:r>
            <w:r>
              <w:rPr>
                <w:rStyle w:val="IndexLink"/>
              </w:rPr>
              <w:t>627</w:t>
            </w:r>
          </w:hyperlink>
        </w:p>
        <w:p>
          <w:pPr>
            <w:pStyle w:val="Contents5"/>
            <w:tabs>
              <w:tab w:val="clear" w:pos="7892"/>
              <w:tab w:val="right" w:pos="9026" w:leader="dot"/>
            </w:tabs>
            <w:rPr/>
          </w:pPr>
          <w:hyperlink w:anchor="__RefHeading___Toc3600271_1067777946">
            <w:r>
              <w:rPr>
                <w:webHidden/>
                <w:rStyle w:val="IndexLink"/>
                <w:rtl w:val="true"/>
              </w:rPr>
              <w:t>اشاره</w:t>
            </w:r>
            <w:r>
              <w:rPr>
                <w:rStyle w:val="IndexLink"/>
                <w:rtl w:val="true"/>
              </w:rPr>
              <w:tab/>
            </w:r>
            <w:r>
              <w:rPr>
                <w:rStyle w:val="IndexLink"/>
              </w:rPr>
              <w:t>627</w:t>
            </w:r>
          </w:hyperlink>
        </w:p>
        <w:p>
          <w:pPr>
            <w:pStyle w:val="Contents5"/>
            <w:tabs>
              <w:tab w:val="clear" w:pos="7892"/>
              <w:tab w:val="right" w:pos="9026" w:leader="dot"/>
            </w:tabs>
            <w:rPr/>
          </w:pPr>
          <w:hyperlink w:anchor="__RefHeading___Toc3600273_1067777946">
            <w:r>
              <w:rPr>
                <w:webHidden/>
                <w:rStyle w:val="IndexLink"/>
                <w:rtl w:val="true"/>
              </w:rPr>
              <w:t>مراد از نصب و غلوّ</w:t>
            </w:r>
            <w:r>
              <w:rPr>
                <w:rStyle w:val="IndexLink"/>
                <w:rtl w:val="true"/>
              </w:rPr>
              <w:tab/>
            </w:r>
            <w:r>
              <w:rPr>
                <w:rStyle w:val="IndexLink"/>
              </w:rPr>
              <w:t>627</w:t>
            </w:r>
          </w:hyperlink>
        </w:p>
        <w:p>
          <w:pPr>
            <w:pStyle w:val="Contents5"/>
            <w:tabs>
              <w:tab w:val="clear" w:pos="7892"/>
              <w:tab w:val="right" w:pos="9026" w:leader="dot"/>
            </w:tabs>
            <w:rPr/>
          </w:pPr>
          <w:hyperlink w:anchor="__RefHeading___Toc3600275_1067777946">
            <w:r>
              <w:rPr>
                <w:webHidden/>
                <w:rStyle w:val="IndexLink"/>
                <w:rtl w:val="true"/>
              </w:rPr>
              <w:t>عدم شرطيّت تمكّن از نفقه در صحّت نكاح</w:t>
            </w:r>
            <w:r>
              <w:rPr>
                <w:rStyle w:val="IndexLink"/>
                <w:rtl w:val="true"/>
              </w:rPr>
              <w:tab/>
            </w:r>
            <w:r>
              <w:rPr>
                <w:rStyle w:val="IndexLink"/>
              </w:rPr>
              <w:t>627</w:t>
            </w:r>
          </w:hyperlink>
        </w:p>
        <w:p>
          <w:pPr>
            <w:pStyle w:val="Contents5"/>
            <w:tabs>
              <w:tab w:val="clear" w:pos="7892"/>
              <w:tab w:val="right" w:pos="9026" w:leader="dot"/>
            </w:tabs>
            <w:rPr/>
          </w:pPr>
          <w:hyperlink w:anchor="__RefHeading___Toc3600277_1067777946">
            <w:r>
              <w:rPr>
                <w:webHidden/>
                <w:rStyle w:val="IndexLink"/>
                <w:rtl w:val="true"/>
              </w:rPr>
              <w:t>موارد كراهت ازدواج</w:t>
            </w:r>
            <w:r>
              <w:rPr>
                <w:rStyle w:val="IndexLink"/>
                <w:rtl w:val="true"/>
              </w:rPr>
              <w:tab/>
            </w:r>
            <w:r>
              <w:rPr>
                <w:rStyle w:val="IndexLink"/>
              </w:rPr>
              <w:t>628</w:t>
            </w:r>
          </w:hyperlink>
        </w:p>
        <w:p>
          <w:pPr>
            <w:pStyle w:val="Contents4"/>
            <w:tabs>
              <w:tab w:val="clear" w:pos="8176"/>
              <w:tab w:val="right" w:pos="9026" w:leader="dot"/>
            </w:tabs>
            <w:rPr/>
          </w:pPr>
          <w:hyperlink w:anchor="__RefHeading___Toc3600279_1067777946">
            <w:r>
              <w:rPr>
                <w:webHidden/>
                <w:rStyle w:val="IndexLink"/>
              </w:rPr>
              <w:t>2</w:t>
            </w:r>
            <w:r>
              <w:rPr>
                <w:rStyle w:val="IndexLink"/>
                <w:rtl w:val="true"/>
              </w:rPr>
              <w:t xml:space="preserve">. </w:t>
            </w:r>
            <w:r>
              <w:rPr>
                <w:rStyle w:val="IndexLink"/>
                <w:rtl w:val="true"/>
              </w:rPr>
              <w:t>ظهور زنا</w:t>
            </w:r>
            <w:r>
              <w:rPr>
                <w:rStyle w:val="IndexLink"/>
                <w:rtl w:val="true"/>
              </w:rPr>
              <w:tab/>
            </w:r>
            <w:r>
              <w:rPr>
                <w:rStyle w:val="IndexLink"/>
              </w:rPr>
              <w:t>628</w:t>
            </w:r>
          </w:hyperlink>
        </w:p>
        <w:p>
          <w:pPr>
            <w:pStyle w:val="Contents4"/>
            <w:tabs>
              <w:tab w:val="clear" w:pos="8176"/>
              <w:tab w:val="right" w:pos="9026" w:leader="dot"/>
            </w:tabs>
            <w:rPr/>
          </w:pPr>
          <w:hyperlink w:anchor="__RefHeading___Toc3600281_1067777946">
            <w:r>
              <w:rPr>
                <w:webHidden/>
                <w:rStyle w:val="IndexLink"/>
              </w:rPr>
              <w:t>3</w:t>
            </w:r>
            <w:r>
              <w:rPr>
                <w:rStyle w:val="IndexLink"/>
                <w:rtl w:val="true"/>
              </w:rPr>
              <w:t xml:space="preserve">. </w:t>
            </w:r>
            <w:r>
              <w:rPr>
                <w:rStyle w:val="IndexLink"/>
                <w:rtl w:val="true"/>
              </w:rPr>
              <w:t>تعريض به خِطبه</w:t>
            </w:r>
            <w:r>
              <w:rPr>
                <w:rStyle w:val="IndexLink"/>
                <w:rtl w:val="true"/>
              </w:rPr>
              <w:tab/>
            </w:r>
            <w:r>
              <w:rPr>
                <w:rStyle w:val="IndexLink"/>
              </w:rPr>
              <w:t>628</w:t>
            </w:r>
          </w:hyperlink>
        </w:p>
        <w:p>
          <w:pPr>
            <w:pStyle w:val="Contents5"/>
            <w:tabs>
              <w:tab w:val="clear" w:pos="7892"/>
              <w:tab w:val="right" w:pos="9026" w:leader="dot"/>
            </w:tabs>
            <w:rPr/>
          </w:pPr>
          <w:hyperlink w:anchor="__RefHeading___Toc3600283_1067777946">
            <w:r>
              <w:rPr>
                <w:webHidden/>
                <w:rStyle w:val="IndexLink"/>
                <w:rtl w:val="true"/>
              </w:rPr>
              <w:t>اشاره</w:t>
            </w:r>
            <w:r>
              <w:rPr>
                <w:rStyle w:val="IndexLink"/>
                <w:rtl w:val="true"/>
              </w:rPr>
              <w:tab/>
            </w:r>
            <w:r>
              <w:rPr>
                <w:rStyle w:val="IndexLink"/>
              </w:rPr>
              <w:t>628</w:t>
            </w:r>
          </w:hyperlink>
        </w:p>
        <w:p>
          <w:pPr>
            <w:pStyle w:val="Contents5"/>
            <w:tabs>
              <w:tab w:val="clear" w:pos="7892"/>
              <w:tab w:val="right" w:pos="9026" w:leader="dot"/>
            </w:tabs>
            <w:rPr/>
          </w:pPr>
          <w:hyperlink w:anchor="__RefHeading___Toc3600285_1067777946">
            <w:r>
              <w:rPr>
                <w:webHidden/>
                <w:rStyle w:val="IndexLink"/>
                <w:rtl w:val="true"/>
              </w:rPr>
              <w:t>تعريض به مطلّقه سه طلاقه</w:t>
            </w:r>
            <w:r>
              <w:rPr>
                <w:rStyle w:val="IndexLink"/>
                <w:rtl w:val="true"/>
              </w:rPr>
              <w:tab/>
            </w:r>
            <w:r>
              <w:rPr>
                <w:rStyle w:val="IndexLink"/>
              </w:rPr>
              <w:t>628</w:t>
            </w:r>
          </w:hyperlink>
        </w:p>
        <w:p>
          <w:pPr>
            <w:pStyle w:val="Contents5"/>
            <w:tabs>
              <w:tab w:val="clear" w:pos="7892"/>
              <w:tab w:val="right" w:pos="9026" w:leader="dot"/>
            </w:tabs>
            <w:rPr/>
          </w:pPr>
          <w:hyperlink w:anchor="__RefHeading___Toc3600287_1067777946">
            <w:r>
              <w:rPr>
                <w:webHidden/>
                <w:rStyle w:val="IndexLink"/>
                <w:rtl w:val="true"/>
              </w:rPr>
              <w:t>تعريض به مطلّقۀ نُه طلاقه</w:t>
            </w:r>
            <w:r>
              <w:rPr>
                <w:rStyle w:val="IndexLink"/>
                <w:rtl w:val="true"/>
              </w:rPr>
              <w:tab/>
            </w:r>
            <w:r>
              <w:rPr>
                <w:rStyle w:val="IndexLink"/>
              </w:rPr>
              <w:t>629</w:t>
            </w:r>
          </w:hyperlink>
        </w:p>
        <w:p>
          <w:pPr>
            <w:pStyle w:val="Contents5"/>
            <w:tabs>
              <w:tab w:val="clear" w:pos="7892"/>
              <w:tab w:val="right" w:pos="9026" w:leader="dot"/>
            </w:tabs>
            <w:rPr/>
          </w:pPr>
          <w:hyperlink w:anchor="__RefHeading___Toc3600289_1067777946">
            <w:r>
              <w:rPr>
                <w:webHidden/>
                <w:rStyle w:val="IndexLink"/>
                <w:rtl w:val="true"/>
              </w:rPr>
              <w:t>جواز تعريض در عدۀ بائن</w:t>
            </w:r>
            <w:r>
              <w:rPr>
                <w:rStyle w:val="IndexLink"/>
                <w:rtl w:val="true"/>
              </w:rPr>
              <w:tab/>
            </w:r>
            <w:r>
              <w:rPr>
                <w:rStyle w:val="IndexLink"/>
              </w:rPr>
              <w:t>629</w:t>
            </w:r>
          </w:hyperlink>
        </w:p>
        <w:p>
          <w:pPr>
            <w:pStyle w:val="Contents5"/>
            <w:tabs>
              <w:tab w:val="clear" w:pos="7892"/>
              <w:tab w:val="right" w:pos="9026" w:leader="dot"/>
            </w:tabs>
            <w:rPr/>
          </w:pPr>
          <w:hyperlink w:anchor="__RefHeading___Toc3600291_1067777946">
            <w:r>
              <w:rPr>
                <w:webHidden/>
                <w:rStyle w:val="IndexLink"/>
                <w:rtl w:val="true"/>
              </w:rPr>
              <w:t>معناى تصريح و تعريض</w:t>
            </w:r>
            <w:r>
              <w:rPr>
                <w:rStyle w:val="IndexLink"/>
                <w:rtl w:val="true"/>
              </w:rPr>
              <w:tab/>
            </w:r>
            <w:r>
              <w:rPr>
                <w:rStyle w:val="IndexLink"/>
              </w:rPr>
              <w:t>629</w:t>
            </w:r>
          </w:hyperlink>
        </w:p>
        <w:p>
          <w:pPr>
            <w:pStyle w:val="Contents5"/>
            <w:tabs>
              <w:tab w:val="clear" w:pos="7892"/>
              <w:tab w:val="right" w:pos="9026" w:leader="dot"/>
            </w:tabs>
            <w:rPr/>
          </w:pPr>
          <w:hyperlink w:anchor="__RefHeading___Toc3600293_1067777946">
            <w:r>
              <w:rPr>
                <w:webHidden/>
                <w:rStyle w:val="IndexLink"/>
                <w:rtl w:val="true"/>
              </w:rPr>
              <w:t>حكم اجابت زن به خطبه مرد</w:t>
            </w:r>
            <w:r>
              <w:rPr>
                <w:rStyle w:val="IndexLink"/>
                <w:rtl w:val="true"/>
              </w:rPr>
              <w:tab/>
            </w:r>
            <w:r>
              <w:rPr>
                <w:rStyle w:val="IndexLink"/>
              </w:rPr>
              <w:t>630</w:t>
            </w:r>
          </w:hyperlink>
        </w:p>
        <w:p>
          <w:pPr>
            <w:pStyle w:val="Contents4"/>
            <w:tabs>
              <w:tab w:val="clear" w:pos="8176"/>
              <w:tab w:val="right" w:pos="9026" w:leader="dot"/>
            </w:tabs>
            <w:rPr/>
          </w:pPr>
          <w:hyperlink w:anchor="__RefHeading___Toc3600295_1067777946">
            <w:r>
              <w:rPr>
                <w:webHidden/>
                <w:rStyle w:val="IndexLink"/>
              </w:rPr>
              <w:t>4</w:t>
            </w:r>
            <w:r>
              <w:rPr>
                <w:rStyle w:val="IndexLink"/>
                <w:rtl w:val="true"/>
              </w:rPr>
              <w:t xml:space="preserve">. </w:t>
            </w:r>
            <w:r>
              <w:rPr>
                <w:rStyle w:val="IndexLink"/>
                <w:rtl w:val="true"/>
              </w:rPr>
              <w:t>خِطبه بر خِطبه</w:t>
            </w:r>
            <w:r>
              <w:rPr>
                <w:rStyle w:val="IndexLink"/>
                <w:rtl w:val="true"/>
              </w:rPr>
              <w:tab/>
            </w:r>
            <w:r>
              <w:rPr>
                <w:rStyle w:val="IndexLink"/>
              </w:rPr>
              <w:t>630</w:t>
            </w:r>
          </w:hyperlink>
        </w:p>
        <w:p>
          <w:pPr>
            <w:pStyle w:val="Contents4"/>
            <w:tabs>
              <w:tab w:val="clear" w:pos="8176"/>
              <w:tab w:val="right" w:pos="9026" w:leader="dot"/>
            </w:tabs>
            <w:rPr/>
          </w:pPr>
          <w:hyperlink w:anchor="__RefHeading___Toc3600297_1067777946">
            <w:r>
              <w:rPr>
                <w:webHidden/>
                <w:rStyle w:val="IndexLink"/>
              </w:rPr>
              <w:t>5</w:t>
            </w:r>
            <w:r>
              <w:rPr>
                <w:rStyle w:val="IndexLink"/>
                <w:rtl w:val="true"/>
              </w:rPr>
              <w:t xml:space="preserve">. </w:t>
            </w:r>
            <w:r>
              <w:rPr>
                <w:rStyle w:val="IndexLink"/>
                <w:rtl w:val="true"/>
              </w:rPr>
              <w:t>شرط طلاق بر محلّل</w:t>
            </w:r>
            <w:r>
              <w:rPr>
                <w:rStyle w:val="IndexLink"/>
                <w:rtl w:val="true"/>
              </w:rPr>
              <w:tab/>
            </w:r>
            <w:r>
              <w:rPr>
                <w:rStyle w:val="IndexLink"/>
              </w:rPr>
              <w:t>630</w:t>
            </w:r>
          </w:hyperlink>
        </w:p>
        <w:p>
          <w:pPr>
            <w:pStyle w:val="Contents4"/>
            <w:tabs>
              <w:tab w:val="clear" w:pos="8176"/>
              <w:tab w:val="right" w:pos="9026" w:leader="dot"/>
            </w:tabs>
            <w:rPr/>
          </w:pPr>
          <w:hyperlink w:anchor="__RefHeading___Toc3600299_1067777946">
            <w:r>
              <w:rPr>
                <w:webHidden/>
                <w:rStyle w:val="IndexLink"/>
              </w:rPr>
              <w:t>6</w:t>
            </w:r>
            <w:r>
              <w:rPr>
                <w:rStyle w:val="IndexLink"/>
                <w:rtl w:val="true"/>
              </w:rPr>
              <w:t xml:space="preserve">. </w:t>
            </w:r>
            <w:r>
              <w:rPr>
                <w:rStyle w:val="IndexLink"/>
                <w:rtl w:val="true"/>
              </w:rPr>
              <w:t>نكاح شِغار</w:t>
            </w:r>
            <w:r>
              <w:rPr>
                <w:rStyle w:val="IndexLink"/>
                <w:rtl w:val="true"/>
              </w:rPr>
              <w:tab/>
            </w:r>
            <w:r>
              <w:rPr>
                <w:rStyle w:val="IndexLink"/>
              </w:rPr>
              <w:t>631</w:t>
            </w:r>
          </w:hyperlink>
        </w:p>
        <w:p>
          <w:pPr>
            <w:pStyle w:val="Contents5"/>
            <w:tabs>
              <w:tab w:val="clear" w:pos="7892"/>
              <w:tab w:val="right" w:pos="9026" w:leader="dot"/>
            </w:tabs>
            <w:rPr/>
          </w:pPr>
          <w:hyperlink w:anchor="__RefHeading___Toc3600301_1067777946">
            <w:r>
              <w:rPr>
                <w:webHidden/>
                <w:rStyle w:val="IndexLink"/>
                <w:rtl w:val="true"/>
              </w:rPr>
              <w:t>تعريف نكاح شغار</w:t>
            </w:r>
            <w:r>
              <w:rPr>
                <w:rStyle w:val="IndexLink"/>
                <w:rtl w:val="true"/>
              </w:rPr>
              <w:tab/>
            </w:r>
            <w:r>
              <w:rPr>
                <w:rStyle w:val="IndexLink"/>
              </w:rPr>
              <w:t>631</w:t>
            </w:r>
          </w:hyperlink>
        </w:p>
        <w:p>
          <w:pPr>
            <w:pStyle w:val="Contents5"/>
            <w:tabs>
              <w:tab w:val="clear" w:pos="7892"/>
              <w:tab w:val="right" w:pos="9026" w:leader="dot"/>
            </w:tabs>
            <w:rPr/>
          </w:pPr>
          <w:hyperlink w:anchor="__RefHeading___Toc3600303_1067777946">
            <w:r>
              <w:rPr>
                <w:webHidden/>
                <w:rStyle w:val="IndexLink"/>
                <w:rtl w:val="true"/>
              </w:rPr>
              <w:t>حكم صور مختلف كه برخى نكاح شغار است و برخى نكاح شغار نيست</w:t>
            </w:r>
            <w:r>
              <w:rPr>
                <w:rStyle w:val="IndexLink"/>
                <w:rtl w:val="true"/>
              </w:rPr>
              <w:tab/>
            </w:r>
            <w:r>
              <w:rPr>
                <w:rStyle w:val="IndexLink"/>
              </w:rPr>
              <w:t>631</w:t>
            </w:r>
          </w:hyperlink>
        </w:p>
        <w:p>
          <w:pPr>
            <w:pStyle w:val="Contents5"/>
            <w:tabs>
              <w:tab w:val="clear" w:pos="7892"/>
              <w:tab w:val="right" w:pos="9026" w:leader="dot"/>
            </w:tabs>
            <w:rPr/>
          </w:pPr>
          <w:hyperlink w:anchor="__RefHeading___Toc3600305_1067777946">
            <w:r>
              <w:rPr>
                <w:webHidden/>
                <w:rStyle w:val="IndexLink"/>
                <w:rtl w:val="true"/>
              </w:rPr>
              <w:t>عدم صحّت نكاح شغار و عدم فرق بين نكاح دائم و منقطع</w:t>
            </w:r>
            <w:r>
              <w:rPr>
                <w:rStyle w:val="IndexLink"/>
                <w:rtl w:val="true"/>
              </w:rPr>
              <w:tab/>
            </w:r>
            <w:r>
              <w:rPr>
                <w:rStyle w:val="IndexLink"/>
              </w:rPr>
              <w:t>632</w:t>
            </w:r>
          </w:hyperlink>
        </w:p>
        <w:p>
          <w:pPr>
            <w:pStyle w:val="Contents4"/>
            <w:tabs>
              <w:tab w:val="clear" w:pos="8176"/>
              <w:tab w:val="right" w:pos="9026" w:leader="dot"/>
            </w:tabs>
            <w:rPr/>
          </w:pPr>
          <w:hyperlink w:anchor="__RefHeading___Toc3600307_1067777946">
            <w:r>
              <w:rPr>
                <w:webHidden/>
                <w:rStyle w:val="IndexLink"/>
              </w:rPr>
              <w:t>7</w:t>
            </w:r>
            <w:r>
              <w:rPr>
                <w:rStyle w:val="IndexLink"/>
                <w:rtl w:val="true"/>
              </w:rPr>
              <w:t xml:space="preserve">. </w:t>
            </w:r>
            <w:r>
              <w:rPr>
                <w:rStyle w:val="IndexLink"/>
                <w:rtl w:val="true"/>
              </w:rPr>
              <w:t>ازدواجهاى مكروه</w:t>
            </w:r>
            <w:r>
              <w:rPr>
                <w:rStyle w:val="IndexLink"/>
                <w:rtl w:val="true"/>
              </w:rPr>
              <w:tab/>
            </w:r>
            <w:r>
              <w:rPr>
                <w:rStyle w:val="IndexLink"/>
              </w:rPr>
              <w:t>632</w:t>
            </w:r>
          </w:hyperlink>
        </w:p>
        <w:p>
          <w:pPr>
            <w:pStyle w:val="Contents5"/>
            <w:tabs>
              <w:tab w:val="clear" w:pos="7892"/>
              <w:tab w:val="right" w:pos="9026" w:leader="dot"/>
            </w:tabs>
            <w:rPr/>
          </w:pPr>
          <w:hyperlink w:anchor="__RefHeading___Toc3600309_1067777946">
            <w:r>
              <w:rPr>
                <w:webHidden/>
                <w:rStyle w:val="IndexLink"/>
                <w:rtl w:val="true"/>
              </w:rPr>
              <w:t>ازدواج انسان با قابلۀ خود و يا دختر قابلۀ خود</w:t>
            </w:r>
            <w:r>
              <w:rPr>
                <w:rStyle w:val="IndexLink"/>
                <w:rtl w:val="true"/>
              </w:rPr>
              <w:tab/>
            </w:r>
            <w:r>
              <w:rPr>
                <w:rStyle w:val="IndexLink"/>
              </w:rPr>
              <w:t>632</w:t>
            </w:r>
          </w:hyperlink>
        </w:p>
        <w:p>
          <w:pPr>
            <w:pStyle w:val="Contents5"/>
            <w:tabs>
              <w:tab w:val="clear" w:pos="7892"/>
              <w:tab w:val="right" w:pos="9026" w:leader="dot"/>
            </w:tabs>
            <w:rPr/>
          </w:pPr>
          <w:hyperlink w:anchor="__RefHeading___Toc3600311_1067777946">
            <w:r>
              <w:rPr>
                <w:webHidden/>
                <w:rStyle w:val="IndexLink"/>
                <w:rtl w:val="true"/>
              </w:rPr>
              <w:t>كسان ديگرى كه ازدواج با آنها مكروه است</w:t>
            </w:r>
            <w:r>
              <w:rPr>
                <w:rStyle w:val="IndexLink"/>
                <w:rtl w:val="true"/>
              </w:rPr>
              <w:tab/>
            </w:r>
            <w:r>
              <w:rPr>
                <w:rStyle w:val="IndexLink"/>
              </w:rPr>
              <w:t>632</w:t>
            </w:r>
          </w:hyperlink>
        </w:p>
        <w:p>
          <w:pPr>
            <w:pStyle w:val="Contents5"/>
            <w:tabs>
              <w:tab w:val="clear" w:pos="7892"/>
              <w:tab w:val="right" w:pos="9026" w:leader="dot"/>
            </w:tabs>
            <w:rPr/>
          </w:pPr>
          <w:hyperlink w:anchor="__RefHeading___Toc3600313_1067777946">
            <w:r>
              <w:rPr>
                <w:webHidden/>
                <w:rStyle w:val="IndexLink"/>
                <w:rtl w:val="true"/>
              </w:rPr>
              <w:t>كراهت ازدواج با زانيه قبل از توبه</w:t>
            </w:r>
            <w:r>
              <w:rPr>
                <w:rStyle w:val="IndexLink"/>
                <w:rtl w:val="true"/>
              </w:rPr>
              <w:tab/>
            </w:r>
            <w:r>
              <w:rPr>
                <w:rStyle w:val="IndexLink"/>
              </w:rPr>
              <w:t>633</w:t>
            </w:r>
          </w:hyperlink>
        </w:p>
        <w:p>
          <w:pPr>
            <w:pStyle w:val="Contents2"/>
            <w:tabs>
              <w:tab w:val="clear" w:pos="8743"/>
              <w:tab w:val="right" w:pos="9026" w:leader="dot"/>
            </w:tabs>
            <w:rPr/>
          </w:pPr>
          <w:hyperlink w:anchor="__RefHeading___Toc3600315_1067777946">
            <w:r>
              <w:rPr>
                <w:webHidden/>
                <w:rStyle w:val="IndexLink"/>
                <w:rtl w:val="true"/>
              </w:rPr>
              <w:t>فهرست تفصيلى مطالب</w:t>
            </w:r>
            <w:r>
              <w:rPr>
                <w:rStyle w:val="IndexLink"/>
                <w:rtl w:val="true"/>
              </w:rPr>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6_89313"/>
      <w:bookmarkStart w:id="1" w:name="pg10256_89313"/>
      <w:bookmarkEnd w:id="1"/>
    </w:p>
    <w:p>
      <w:pPr>
        <w:pStyle w:val="Heading2"/>
        <w:numPr>
          <w:ilvl w:val="1"/>
          <w:numId w:val="1"/>
        </w:numPr>
        <w:rPr/>
      </w:pPr>
      <w:bookmarkStart w:id="2" w:name="pg10256_89313"/>
      <w:bookmarkStart w:id="3" w:name="__RefHeading___Toc359736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م‍ح‍م‍دت‍ق‍ی‌،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محقق شیخ محمدحسین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آن تا پایان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آیه‌الله‌العظمی محمدتقی بهجت‏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 ‏</w:t>
      </w:r>
      <w:r>
        <w:rPr>
          <w:rFonts w:eastAsia="IRNazanin" w:cs="IRNazanin"/>
          <w:color w:val="111111"/>
          <w:sz w:val="28"/>
          <w:szCs w:val="28"/>
          <w:lang w:bidi="fa-IR"/>
        </w:rPr>
        <w:t xml:space="preserve">‫‬‭964-90359-0-7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964-96942-0</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 الله العظمی محمد تقی بهجت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۹‭‬ </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غ۴ذ۳۲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۱‎۲‎۱‎۲‎۸‎۷‎۲</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7363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256_89315"/>
    </w:p>
    <w:p>
      <w:pPr>
        <w:pStyle w:val="Heading2"/>
        <w:numPr>
          <w:ilvl w:val="1"/>
          <w:numId w:val="1"/>
        </w:numPr>
        <w:rPr/>
      </w:pPr>
      <w:bookmarkStart w:id="8" w:name="__RefHeading___Toc3597365_1067777946"/>
      <w:bookmarkStart w:id="9" w:name="_Toc3"/>
      <w:bookmarkEnd w:id="7"/>
      <w:bookmarkEnd w:id="8"/>
      <w:r>
        <w:rPr>
          <w:rtl w:val="true"/>
        </w:rPr>
        <w:t>تذكر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حاضر جلد سوم از دورۀ فقه فتوايى تخصّصى حضرت آيت اللّٰه العظمى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از آغاز تا پايان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تعليقه، شرح و اضافات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علامۀ محقق شيخ محمد حسين غروى اصفهانى قدس سرّه و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فقه به صورت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معظّم له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فرعى كه با علامت مشخص شده است و نيز مواردى كه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سوى گروه تحقيق آثار معظّمٌ له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المسائل</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تأليف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محمد تقى بهجت </w:t>
      </w:r>
      <w:bookmarkStart w:id="10" w:name="pg10256_89317"/>
    </w:p>
    <w:p>
      <w:pPr>
        <w:pStyle w:val="Heading2"/>
        <w:numPr>
          <w:ilvl w:val="1"/>
          <w:numId w:val="1"/>
        </w:numPr>
        <w:rPr/>
      </w:pPr>
      <w:bookmarkStart w:id="11" w:name="__RefHeading___Toc3597367_1067777946"/>
      <w:bookmarkStart w:id="12" w:name="_Toc4"/>
      <w:bookmarkEnd w:id="10"/>
      <w:bookmarkEnd w:id="11"/>
      <w:r>
        <w:rPr>
          <w:rtl w:val="true"/>
        </w:rPr>
        <w:t>كتاب رهن</w:t>
      </w:r>
      <w:bookmarkEnd w:id="12"/>
    </w:p>
    <w:p>
      <w:pPr>
        <w:pStyle w:val="Heading3"/>
        <w:numPr>
          <w:ilvl w:val="2"/>
          <w:numId w:val="1"/>
        </w:numPr>
        <w:rPr/>
      </w:pPr>
      <w:bookmarkStart w:id="13" w:name="__RefHeading___Toc3597369_106777794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عقد رهن</w:t>
      </w:r>
    </w:p>
    <w:p>
      <w:pPr>
        <w:pStyle w:val="BookText"/>
        <w:rPr/>
      </w:pPr>
      <w:r>
        <w:rPr>
          <w:rFonts w:ascii="Amiri" w:hAnsi="Amiri" w:eastAsia="Amiri" w:cs="Amiri"/>
          <w:color w:val="111111"/>
          <w:sz w:val="28"/>
          <w:sz w:val="28"/>
          <w:szCs w:val="28"/>
          <w:rtl w:val="true"/>
          <w:lang w:bidi="ar-SA"/>
        </w:rPr>
        <w:t>شرايط رهن</w:t>
      </w:r>
    </w:p>
    <w:p>
      <w:pPr>
        <w:pStyle w:val="BookText"/>
        <w:rPr/>
      </w:pPr>
      <w:r>
        <w:rPr>
          <w:rFonts w:ascii="Amiri" w:hAnsi="Amiri" w:eastAsia="Amiri" w:cs="Amiri"/>
          <w:color w:val="111111"/>
          <w:sz w:val="28"/>
          <w:sz w:val="28"/>
          <w:szCs w:val="28"/>
          <w:rtl w:val="true"/>
          <w:lang w:bidi="ar-SA"/>
        </w:rPr>
        <w:t>حقى كه اخذ رهن براى آن</w:t>
      </w:r>
    </w:p>
    <w:p>
      <w:pPr>
        <w:pStyle w:val="BookText"/>
        <w:rPr/>
      </w:pPr>
      <w:r>
        <w:rPr>
          <w:rFonts w:ascii="Amiri" w:hAnsi="Amiri" w:eastAsia="Amiri" w:cs="Amiri"/>
          <w:color w:val="111111"/>
          <w:sz w:val="28"/>
          <w:sz w:val="28"/>
          <w:szCs w:val="28"/>
          <w:rtl w:val="true"/>
          <w:lang w:bidi="ar-SA"/>
        </w:rPr>
        <w:t>جايز است</w:t>
      </w:r>
    </w:p>
    <w:p>
      <w:pPr>
        <w:pStyle w:val="BookText"/>
        <w:rPr/>
      </w:pPr>
      <w:r>
        <w:rPr>
          <w:rFonts w:ascii="Amiri" w:hAnsi="Amiri" w:eastAsia="Amiri" w:cs="Amiri"/>
          <w:color w:val="111111"/>
          <w:sz w:val="28"/>
          <w:sz w:val="28"/>
          <w:szCs w:val="28"/>
          <w:rtl w:val="true"/>
          <w:lang w:bidi="ar-SA"/>
        </w:rPr>
        <w:t>شرايط راهن</w:t>
      </w:r>
    </w:p>
    <w:p>
      <w:pPr>
        <w:pStyle w:val="BookText"/>
        <w:rPr/>
      </w:pPr>
      <w:r>
        <w:rPr>
          <w:rFonts w:ascii="Amiri" w:hAnsi="Amiri" w:eastAsia="Amiri" w:cs="Amiri"/>
          <w:color w:val="111111"/>
          <w:sz w:val="28"/>
          <w:sz w:val="28"/>
          <w:szCs w:val="28"/>
          <w:rtl w:val="true"/>
          <w:lang w:bidi="ar-SA"/>
        </w:rPr>
        <w:t>شرايط مرتهن</w:t>
      </w:r>
    </w:p>
    <w:p>
      <w:pPr>
        <w:pStyle w:val="BookText"/>
        <w:rPr/>
      </w:pPr>
      <w:r>
        <w:rPr>
          <w:rFonts w:ascii="Amiri" w:hAnsi="Amiri" w:eastAsia="Amiri" w:cs="Amiri"/>
          <w:color w:val="111111"/>
          <w:sz w:val="28"/>
          <w:sz w:val="28"/>
          <w:szCs w:val="28"/>
          <w:rtl w:val="true"/>
          <w:lang w:bidi="ar-SA"/>
        </w:rPr>
        <w:t>احكام مربوط به راهن</w:t>
      </w:r>
    </w:p>
    <w:p>
      <w:pPr>
        <w:pStyle w:val="BookText"/>
        <w:rPr/>
      </w:pPr>
      <w:r>
        <w:rPr>
          <w:rFonts w:ascii="Amiri" w:hAnsi="Amiri" w:eastAsia="Amiri" w:cs="Amiri"/>
          <w:color w:val="111111"/>
          <w:sz w:val="28"/>
          <w:sz w:val="28"/>
          <w:szCs w:val="28"/>
          <w:rtl w:val="true"/>
          <w:lang w:bidi="ar-SA"/>
        </w:rPr>
        <w:t>احكام متعلّقه به رهن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تنازع واقع در رهن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56_89319"/>
      <w:bookmarkStart w:id="16" w:name="pg10256_89319"/>
      <w:bookmarkEnd w:id="16"/>
    </w:p>
    <w:p>
      <w:pPr>
        <w:pStyle w:val="BookText"/>
        <w:rPr/>
      </w:pPr>
      <w:bookmarkStart w:id="17" w:name="pg10256_89319"/>
      <w:bookmarkEnd w:id="17"/>
      <w:r>
        <w:rPr>
          <w:rFonts w:ascii="IRNazanin" w:hAnsi="IRNazanin" w:eastAsia="IRNazanin"/>
          <w:color w:val="111111"/>
          <w:sz w:val="28"/>
          <w:sz w:val="28"/>
          <w:szCs w:val="28"/>
          <w:rtl w:val="true"/>
          <w:lang w:bidi="fa-IR"/>
        </w:rPr>
        <w:t>عقد رهن</w:t>
      </w:r>
    </w:p>
    <w:p>
      <w:pPr>
        <w:pStyle w:val="Heading3"/>
        <w:numPr>
          <w:ilvl w:val="2"/>
          <w:numId w:val="1"/>
        </w:numPr>
        <w:rPr/>
      </w:pPr>
      <w:bookmarkStart w:id="18" w:name="__RefHeading___Toc3597371_1067777946"/>
      <w:bookmarkStart w:id="19" w:name="_Toc6"/>
      <w:bookmarkEnd w:id="18"/>
      <w:r>
        <w:rPr>
          <w:rtl w:val="true"/>
        </w:rPr>
        <w:t>فصل اول عقد رهن</w:t>
      </w:r>
      <w:bookmarkEnd w:id="19"/>
    </w:p>
    <w:p>
      <w:pPr>
        <w:pStyle w:val="Heading4"/>
        <w:numPr>
          <w:ilvl w:val="3"/>
          <w:numId w:val="1"/>
        </w:numPr>
        <w:rPr/>
      </w:pPr>
      <w:bookmarkStart w:id="20" w:name="__RefHeading___Toc3597373_1067777946"/>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الأنبياء محمّد و آله سادة الأوصياء الطاهرين، و اللعن الدائم علىٰ أعدائهم أجمعين</w:t>
      </w:r>
    </w:p>
    <w:p>
      <w:pPr>
        <w:pStyle w:val="Heading4"/>
        <w:numPr>
          <w:ilvl w:val="3"/>
          <w:numId w:val="1"/>
        </w:numPr>
        <w:rPr/>
      </w:pPr>
      <w:bookmarkStart w:id="22" w:name="__RefHeading___Toc3597375_1067777946"/>
      <w:bookmarkStart w:id="23" w:name="_Toc8"/>
      <w:bookmarkEnd w:id="22"/>
      <w:r>
        <w:rPr>
          <w:rtl w:val="true"/>
        </w:rPr>
        <w:t>تعريف رهن</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محبوس نمودن مال مدفوعِ به صاحب دين به عنوان وثيقه تا بتواند به آن استيفا نمايد در صورت لزوم و تعذّر اداى آن</w:t>
      </w:r>
      <w:r>
        <w:rPr>
          <w:rFonts w:eastAsia="IRNazanin" w:cs="IRNazanin"/>
          <w:color w:val="111111"/>
          <w:sz w:val="28"/>
          <w:szCs w:val="28"/>
          <w:rtl w:val="true"/>
          <w:lang w:bidi="fa-IR"/>
        </w:rPr>
        <w:t>.»</w:t>
      </w:r>
    </w:p>
    <w:p>
      <w:pPr>
        <w:pStyle w:val="Heading4"/>
        <w:numPr>
          <w:ilvl w:val="3"/>
          <w:numId w:val="1"/>
        </w:numPr>
        <w:rPr/>
      </w:pPr>
      <w:bookmarkStart w:id="24" w:name="__RefHeading___Toc3597377_1067777946"/>
      <w:bookmarkStart w:id="25" w:name="_Toc9"/>
      <w:bookmarkEnd w:id="24"/>
      <w:r>
        <w:rPr>
          <w:rtl w:val="true"/>
        </w:rPr>
        <w:t>نحوۀ ايجاب و قبول رهن</w:t>
      </w:r>
      <w:bookmarkEnd w:id="25"/>
    </w:p>
    <w:p>
      <w:pPr>
        <w:pStyle w:val="BookText"/>
        <w:rPr/>
      </w:pPr>
      <w:r>
        <w:rPr>
          <w:rFonts w:ascii="IRNazanin" w:hAnsi="IRNazanin" w:eastAsia="IRNazanin"/>
          <w:color w:val="111111"/>
          <w:sz w:val="28"/>
          <w:sz w:val="28"/>
          <w:szCs w:val="28"/>
          <w:rtl w:val="true"/>
          <w:lang w:bidi="fa-IR"/>
        </w:rPr>
        <w:t xml:space="preserve">و چون از عقود است، محتاج به ايجاب و قبول است، و اقرب كفايت دالّ بر مدلول مذكور است بدون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وثيقة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هر لفظى كه مفيد اين معنى باشد، كافى است در ايجاب؛ و هر لفظى كه دالّ بر مطاوعه و قبول ايجاب باشد، كافى است در قبول</w:t>
      </w:r>
      <w:r>
        <w:rPr>
          <w:rFonts w:eastAsia="IRNazanin" w:cs="IRNazanin"/>
          <w:color w:val="111111"/>
          <w:sz w:val="28"/>
          <w:szCs w:val="28"/>
          <w:rtl w:val="true"/>
          <w:lang w:bidi="fa-IR"/>
        </w:rPr>
        <w:t>.</w:t>
      </w:r>
    </w:p>
    <w:p>
      <w:pPr>
        <w:pStyle w:val="Heading4"/>
        <w:numPr>
          <w:ilvl w:val="3"/>
          <w:numId w:val="1"/>
        </w:numPr>
        <w:rPr/>
      </w:pPr>
      <w:bookmarkStart w:id="26" w:name="__RefHeading___Toc3597379_1067777946"/>
      <w:bookmarkStart w:id="27" w:name="_Toc10"/>
      <w:bookmarkEnd w:id="26"/>
      <w:r>
        <w:rPr>
          <w:rtl w:val="true"/>
        </w:rPr>
        <w:t>جريان معاطات در رهن</w:t>
      </w:r>
      <w:bookmarkEnd w:id="2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اقرب جريان معاطات است در آن، مانند بيع، به آن جهت كه از معاملات متعارفۀ بين اهل عرف است، نه به آن جهت كه لازم از طرف راهن است؛ پس كفايت اشاره و </w:t>
      </w:r>
      <w:bookmarkStart w:id="28" w:name="pg10256_89320"/>
    </w:p>
    <w:p>
      <w:pPr>
        <w:pStyle w:val="BookText"/>
        <w:rPr/>
      </w:pPr>
      <w:bookmarkEnd w:id="28"/>
      <w:r>
        <w:rPr>
          <w:rFonts w:ascii="Amiri" w:hAnsi="Amiri" w:eastAsia="Amiri" w:cs="Amiri"/>
          <w:color w:val="111111"/>
          <w:sz w:val="28"/>
          <w:sz w:val="28"/>
          <w:szCs w:val="28"/>
          <w:rtl w:val="true"/>
          <w:lang w:bidi="ar-SA"/>
        </w:rPr>
        <w:t xml:space="preserve">كتابت، مخصوص به عجز از نطق نيست؛ بلكه در حال اختيار، اكتفا به دالّ غير لفظى مى شود با معلوميّت مقصود كه انشاءِ ايجاب است از قراين ظاهر، بر خلاف مذكور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نمى شود معاملات، به مثل تلبيه به اشاره كه مخصوص به عاجز از نطق است، زيرا اصل ايجاب در آن مقام، تعبّدى است و واجب مأخوذ از شرع است، نه ممضىٰ در شرع</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597381_1067777946"/>
      <w:bookmarkStart w:id="30" w:name="_Toc11"/>
      <w:bookmarkEnd w:id="29"/>
      <w:r>
        <w:rPr>
          <w:rtl w:val="true"/>
        </w:rPr>
        <w:t>عدم اعتبار عربيّت در عقد رهن</w:t>
      </w:r>
      <w:bookmarkEnd w:id="30"/>
    </w:p>
    <w:p>
      <w:pPr>
        <w:pStyle w:val="BookText"/>
        <w:rPr/>
      </w:pPr>
      <w:r>
        <w:rPr>
          <w:rFonts w:ascii="IRNazanin" w:hAnsi="IRNazanin" w:eastAsia="IRNazanin"/>
          <w:color w:val="111111"/>
          <w:sz w:val="28"/>
          <w:sz w:val="28"/>
          <w:szCs w:val="28"/>
          <w:rtl w:val="true"/>
          <w:lang w:bidi="fa-IR"/>
        </w:rPr>
        <w:t>و اعتبار عربيّت در عقد لفظى، و ماضويّت و تقديم بر قبول در ايجاب، اظهر عدم آنها است، چنانكه اشاره شد به جريان سيرۀ عرف عقلاء بر اين عقدْ بدون اعتبار اين قيود؛ پس داخل در عمومات است با عدم اين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آن محتاج به دليل واضح است كه عدم وضوح آن در موارد عموم ابتلاء، دليل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ظهور دالّ در معاملات واقعۀ بين دو طرف، به حدّى بايد قوى باشد كه رفع منازعۀ مطلوب در معاملات، با آن بشود</w:t>
      </w:r>
      <w:r>
        <w:rPr>
          <w:rFonts w:eastAsia="IRNazanin" w:cs="IRNazanin"/>
          <w:color w:val="111111"/>
          <w:sz w:val="28"/>
          <w:szCs w:val="28"/>
          <w:rtl w:val="true"/>
          <w:lang w:bidi="fa-IR"/>
        </w:rPr>
        <w:t>.</w:t>
      </w:r>
    </w:p>
    <w:p>
      <w:pPr>
        <w:pStyle w:val="Heading4"/>
        <w:numPr>
          <w:ilvl w:val="3"/>
          <w:numId w:val="1"/>
        </w:numPr>
        <w:rPr/>
      </w:pPr>
      <w:bookmarkStart w:id="31" w:name="__RefHeading___Toc3597383_1067777946"/>
      <w:bookmarkStart w:id="32" w:name="_Toc12"/>
      <w:bookmarkEnd w:id="31"/>
      <w:r>
        <w:rPr>
          <w:rtl w:val="true"/>
        </w:rPr>
        <w:t>افتراق و عدم افتراق قبول از ايجاب</w:t>
      </w:r>
      <w:bookmarkEnd w:id="32"/>
    </w:p>
    <w:p>
      <w:pPr>
        <w:pStyle w:val="BookText"/>
        <w:rPr/>
      </w:pPr>
      <w:r>
        <w:rPr>
          <w:rFonts w:ascii="IRNazanin" w:hAnsi="IRNazanin" w:eastAsia="IRNazanin"/>
          <w:color w:val="111111"/>
          <w:sz w:val="28"/>
          <w:sz w:val="28"/>
          <w:szCs w:val="28"/>
          <w:rtl w:val="true"/>
          <w:lang w:bidi="fa-IR"/>
        </w:rPr>
        <w:t xml:space="preserve">و اما اكتفا در قبول به دالّ بر رضا، پس اعم از عدم اعتبار قول است، بلكه مقصود، عدم اختصاص در مدلول قبول است، و كافى است دالّ بر چيزى كه در همۀ معاملات متباينه در ايجاب بر نهج واحد، لازم و كافى است، بدون اختصاص در مفهوم آن به قبول رهن به صيغۀ ارتهان مثلاً؛ بلكه كافى است بعد از ايجاب رهن با خصوصيّت مطلوبۀ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اعتبار قول در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اعتبار آن در ايجاب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معاملات متعارفۀ عرفيّه، قابل منع است،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علل مذكوره در اين مقام قابل اعتماد نيست</w:t>
      </w:r>
      <w:r>
        <w:rPr>
          <w:rFonts w:eastAsia="IRNazanin" w:cs="IRNazanin"/>
          <w:color w:val="111111"/>
          <w:sz w:val="28"/>
          <w:szCs w:val="28"/>
          <w:rtl w:val="true"/>
          <w:lang w:bidi="fa-IR"/>
        </w:rPr>
        <w:t xml:space="preserve">. </w:t>
      </w:r>
      <w:bookmarkStart w:id="33" w:name="pg10256_89321"/>
    </w:p>
    <w:p>
      <w:pPr>
        <w:pStyle w:val="BookText"/>
        <w:rPr/>
      </w:pPr>
      <w:bookmarkEnd w:id="33"/>
      <w:r>
        <w:rPr>
          <w:rFonts w:ascii="IRNazanin" w:hAnsi="IRNazanin" w:eastAsia="IRNazanin"/>
          <w:color w:val="111111"/>
          <w:sz w:val="28"/>
          <w:sz w:val="28"/>
          <w:szCs w:val="28"/>
          <w:rtl w:val="true"/>
          <w:lang w:bidi="fa-IR"/>
        </w:rPr>
        <w:t xml:space="preserve">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توسعۀ قبول قولى، به شرط رهن در ضمن بيع است و اين اخصّ از اكتفا به مطلق كاشف از رضاى فعلى است؛ و انشايى بودن كاشف غير لفظى بودن آن است؛ و مقتضاى تبعيّت قبول براى ايجاب در تقديم عقد انشايى بودن آن است، مثل ايجاب؛ پس اكتفا به اخبار از رضاى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به رضاى باطنى در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انشا ايجاب و قبول از غير اهل بود و مقرون به رضاى باطنى اهل بود، اقرب عدم فضولى بودن عقد است به حسب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در صحّت رهن و تحقّق احكام آن، بين حضر و سفر نيست؛ و هم چنين بين وجود كاتب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در آيۀ شريفه، مبنى بر مناسبت صحيحه است، يعنى مقدميّت غالبيّۀ سفر براى عدم وجدان كاتب و استغنا به كاتب در مواردى از رهن</w:t>
      </w:r>
      <w:r>
        <w:rPr>
          <w:rFonts w:eastAsia="IRNazanin" w:cs="IRNazanin"/>
          <w:color w:val="111111"/>
          <w:sz w:val="28"/>
          <w:szCs w:val="28"/>
          <w:rtl w:val="true"/>
          <w:lang w:bidi="fa-IR"/>
        </w:rPr>
        <w:t>.</w:t>
      </w:r>
    </w:p>
    <w:p>
      <w:pPr>
        <w:pStyle w:val="Heading4"/>
        <w:numPr>
          <w:ilvl w:val="3"/>
          <w:numId w:val="1"/>
        </w:numPr>
        <w:rPr/>
      </w:pPr>
      <w:bookmarkStart w:id="34" w:name="__RefHeading___Toc3597385_1067777946"/>
      <w:bookmarkStart w:id="35" w:name="_Toc13"/>
      <w:bookmarkEnd w:id="34"/>
      <w:r>
        <w:rPr>
          <w:rtl w:val="true"/>
        </w:rPr>
        <w:t>اعتبار قبض در رهن</w:t>
      </w:r>
      <w:bookmarkEnd w:id="35"/>
    </w:p>
    <w:p>
      <w:pPr>
        <w:pStyle w:val="BookText"/>
        <w:rPr/>
      </w:pPr>
      <w:r>
        <w:rPr>
          <w:rFonts w:ascii="Amiri" w:hAnsi="Amiri" w:eastAsia="Amiri" w:cs="Amiri"/>
          <w:color w:val="111111"/>
          <w:sz w:val="28"/>
          <w:sz w:val="28"/>
          <w:szCs w:val="28"/>
          <w:rtl w:val="true"/>
          <w:lang w:bidi="ar-SA"/>
        </w:rPr>
        <w:t xml:space="preserve">و در اعتبار قبض به نحو شرطيّت در صحّت رهن و عدم آن، و بر تقدير عدم در لزوم رهن از طرف راهن، و عدم اعتبار آن، خلاف است؛ و اظهر اعتبار قبض در صحّت آن است؛ بلكه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عدم صدق رهن بدون اقباض است از طرف كسى كه اهليّت اقباض را دارد به كسى كه اهليّت قبض را دارد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597387_1067777946"/>
      <w:bookmarkStart w:id="37" w:name="_Toc14"/>
      <w:bookmarkEnd w:id="36"/>
      <w:r>
        <w:rPr>
          <w:rtl w:val="true"/>
        </w:rPr>
        <w:t>بعضى از موانع تحقّق رهن</w:t>
      </w:r>
      <w:bookmarkEnd w:id="3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محجوريّت به سفه و فلس و صغر و جنون، سبب عدم اهليّت راهن است؛ پس بى اثر است ايجاب او، كما اينكه بى اثر است فقدان قصد و اختيار در 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هم، از عاقلِ بالغِ قاصدِ مختار،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طفل و مجنون، راهن و مرتهن از جانب مولّىٰ عليه مى شود با وجود مصلحت و غبطه؛ و محتمل است كفايت عدم مفسده، مثل ساير تصرّفات معامليّۀ ولىّ‌</w:t>
      </w:r>
      <w:r>
        <w:rPr>
          <w:rFonts w:eastAsia="IRNazanin" w:cs="IRNazanin"/>
          <w:color w:val="111111"/>
          <w:sz w:val="28"/>
          <w:szCs w:val="28"/>
          <w:rtl w:val="true"/>
          <w:lang w:bidi="fa-IR"/>
        </w:rPr>
        <w:t xml:space="preserve">. </w:t>
      </w:r>
      <w:bookmarkStart w:id="38" w:name="pg10256_89322"/>
    </w:p>
    <w:p>
      <w:pPr>
        <w:pStyle w:val="Heading4"/>
        <w:numPr>
          <w:ilvl w:val="3"/>
          <w:numId w:val="1"/>
        </w:numPr>
        <w:rPr/>
      </w:pPr>
      <w:bookmarkStart w:id="39" w:name="__RefHeading___Toc3597389_1067777946"/>
      <w:bookmarkStart w:id="40" w:name="_Toc15"/>
      <w:bookmarkEnd w:id="38"/>
      <w:bookmarkEnd w:id="39"/>
      <w:r>
        <w:rPr>
          <w:rtl w:val="true"/>
        </w:rPr>
        <w:t>اشتراط قبض به اذن راهن</w:t>
      </w:r>
      <w:bookmarkEnd w:id="40"/>
    </w:p>
    <w:p>
      <w:pPr>
        <w:pStyle w:val="BookText"/>
        <w:rPr/>
      </w:pPr>
      <w:r>
        <w:rPr>
          <w:rFonts w:ascii="IRNazanin" w:hAnsi="IRNazanin" w:eastAsia="IRNazanin"/>
          <w:color w:val="111111"/>
          <w:sz w:val="28"/>
          <w:sz w:val="28"/>
          <w:szCs w:val="28"/>
          <w:rtl w:val="true"/>
          <w:lang w:bidi="fa-IR"/>
        </w:rPr>
        <w:t>و بايد قبض، به اذن راهن باشد؛ پس اثرى براى قبض مرتهن بدون اذن راهن نيست مگر بعد از تجدّد رضاى راهن به بقاى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يد مرتهن به هر عنوانى بود، پس بقاى آن مأذونٌ فيه و بعد از رهن بود، كافى است در تماميّت رهن با ادامه قبض با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قبض مأذونٌ فيه، راهن حق انتزاع از مرتهن ندارد مگر با اداى دين از غير مرهون، پس مرتهن حق استدامه قبض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قبض مأذونٌ فيه، اثرى در بطلان رهن ندارد خروج مال از يد مرتهن به نحو عدوان يا مثل آن؛ لكن بايد اذنِ راهن تا تحقّق قبضِ مرتهن، ادامه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اذن قبل از قبض، به حكم عدم حدوث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مرهونْ مشاع بود، اقباض آن منوط به رضاى شريك است؛ و بى اثر است اقباض بدون اذن شريك، و كافى است اذن شريك اگر چه در ادامۀ قبض مرتهن باشد با اذن راهن</w:t>
      </w:r>
      <w:r>
        <w:rPr>
          <w:rFonts w:eastAsia="IRNazanin" w:cs="IRNazanin"/>
          <w:color w:val="111111"/>
          <w:sz w:val="28"/>
          <w:szCs w:val="28"/>
          <w:rtl w:val="true"/>
          <w:lang w:bidi="fa-IR"/>
        </w:rPr>
        <w:t>.</w:t>
      </w:r>
    </w:p>
    <w:p>
      <w:pPr>
        <w:pStyle w:val="Heading4"/>
        <w:numPr>
          <w:ilvl w:val="3"/>
          <w:numId w:val="1"/>
        </w:numPr>
        <w:rPr/>
      </w:pPr>
      <w:bookmarkStart w:id="41" w:name="__RefHeading___Toc3597391_1067777946"/>
      <w:bookmarkStart w:id="42" w:name="_Toc16"/>
      <w:bookmarkEnd w:id="41"/>
      <w:r>
        <w:rPr>
          <w:rtl w:val="true"/>
        </w:rPr>
        <w:t>حصول موت و جنون و</w:t>
      </w:r>
      <w:r>
        <w:rPr>
          <w:rtl w:val="true"/>
        </w:rPr>
        <w:t xml:space="preserve">... </w:t>
      </w:r>
      <w:r>
        <w:rPr>
          <w:rtl w:val="true"/>
        </w:rPr>
        <w:t>بعد از عقد رهن و قبل از قبض</w:t>
      </w:r>
      <w:bookmarkEnd w:id="42"/>
    </w:p>
    <w:p>
      <w:pPr>
        <w:pStyle w:val="BookText"/>
        <w:rPr/>
      </w:pPr>
      <w:r>
        <w:rPr>
          <w:rFonts w:ascii="IRNazanin" w:hAnsi="IRNazanin" w:eastAsia="IRNazanin"/>
          <w:color w:val="111111"/>
          <w:sz w:val="28"/>
          <w:sz w:val="28"/>
          <w:szCs w:val="28"/>
          <w:rtl w:val="true"/>
          <w:lang w:bidi="fa-IR"/>
        </w:rPr>
        <w:t>اگر بعد از عقد رهن و قبل از قبض، جنون يا اغما يا موت، عارض شد براى راهن، تماميّت فعليّه قبل از قبض براى رهن نيست، و ولىّ در غير موت، و وارث در موت، مى تواند با اقباض، رهن را به صحّت فعليّه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جنون ادوارى و اغماى مختصر، ترقّب افاقه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عروض مذكورات به مرتهن، با قبض ولىّ او يا وارث او با اذن راهن، صحّت فعليّه براى رهن حاصل مى شود</w:t>
      </w:r>
      <w:r>
        <w:rPr>
          <w:rFonts w:eastAsia="IRNazanin" w:cs="IRNazanin"/>
          <w:color w:val="111111"/>
          <w:sz w:val="28"/>
          <w:szCs w:val="28"/>
          <w:rtl w:val="true"/>
          <w:lang w:bidi="fa-IR"/>
        </w:rPr>
        <w:t>.</w:t>
      </w:r>
    </w:p>
    <w:p>
      <w:pPr>
        <w:pStyle w:val="Heading4"/>
        <w:numPr>
          <w:ilvl w:val="3"/>
          <w:numId w:val="1"/>
        </w:numPr>
        <w:rPr/>
      </w:pPr>
      <w:bookmarkStart w:id="43" w:name="__RefHeading___Toc3597393_1067777946"/>
      <w:bookmarkStart w:id="44" w:name="_Toc17"/>
      <w:bookmarkEnd w:id="43"/>
      <w:r>
        <w:rPr>
          <w:rtl w:val="true"/>
        </w:rPr>
        <w:t>تعقّب اذن در يد عدوانى</w:t>
      </w:r>
      <w:bookmarkEnd w:id="4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يد مرتهن عدوانى بود، يا به نحو موجب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راهن بعد از رهن، اذن در بقاى يد داد، ضمان مرتفع مى شود به اذن لاحق، به جهت انقلاب موضوع يد </w:t>
      </w:r>
      <w:bookmarkStart w:id="45" w:name="pg10256_89323"/>
    </w:p>
    <w:p>
      <w:pPr>
        <w:pStyle w:val="BookText"/>
        <w:rPr/>
      </w:pPr>
      <w:bookmarkEnd w:id="45"/>
      <w:r>
        <w:rPr>
          <w:rFonts w:ascii="IRNazanin" w:hAnsi="IRNazanin" w:eastAsia="IRNazanin"/>
          <w:color w:val="111111"/>
          <w:sz w:val="28"/>
          <w:sz w:val="28"/>
          <w:szCs w:val="28"/>
          <w:rtl w:val="true"/>
          <w:lang w:bidi="fa-IR"/>
        </w:rPr>
        <w:t>غير مأذونه به يد مؤتمنه، نه به جهت حصول تأديه و نحو آن در موضوع يد مضمّنه؛ و قبض در بقاى آن، مؤثّر در تماميّت و صحّت رهن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رهن از ملتفتِ به حال، اذن در قبض است و خلاف آن، محتاجِ به تصريح است، مثل ارادۀ تأخير اقباض از اوّل زمان امكان اقباض؛ پس اذن محتاجِ به دالّ ديگرى نيست غير رهن از مطّلع از يد سابقه</w:t>
      </w:r>
      <w:r>
        <w:rPr>
          <w:rFonts w:eastAsia="IRNazanin" w:cs="IRNazanin"/>
          <w:color w:val="111111"/>
          <w:sz w:val="28"/>
          <w:szCs w:val="28"/>
          <w:rtl w:val="true"/>
          <w:lang w:bidi="fa-IR"/>
        </w:rPr>
        <w:t>.</w:t>
      </w:r>
    </w:p>
    <w:p>
      <w:pPr>
        <w:pStyle w:val="Heading4"/>
        <w:numPr>
          <w:ilvl w:val="3"/>
          <w:numId w:val="1"/>
        </w:numPr>
        <w:rPr/>
      </w:pPr>
      <w:bookmarkStart w:id="46" w:name="__RefHeading___Toc3597395_1067777946"/>
      <w:bookmarkStart w:id="47" w:name="_Toc18"/>
      <w:bookmarkEnd w:id="46"/>
      <w:r>
        <w:rPr>
          <w:rtl w:val="true"/>
        </w:rPr>
        <w:t>حكم حضور راهن و مرتهن در مجلس عقد و قبض</w:t>
      </w:r>
      <w:bookmarkEnd w:id="47"/>
    </w:p>
    <w:p>
      <w:pPr>
        <w:pStyle w:val="BookText"/>
        <w:rPr/>
      </w:pPr>
      <w:r>
        <w:rPr>
          <w:rFonts w:ascii="IRNazanin" w:hAnsi="IRNazanin" w:eastAsia="IRNazanin"/>
          <w:color w:val="111111"/>
          <w:sz w:val="28"/>
          <w:sz w:val="28"/>
          <w:szCs w:val="28"/>
          <w:rtl w:val="true"/>
          <w:lang w:bidi="fa-IR"/>
        </w:rPr>
        <w:t>و معتبر نيست بنا بر اظهر، حضور مرهون و مرتهن در مجلس عقد رهن و تحقّق قبض در آن، بلكه كافى است تحقّق قبض بعد از رهن و عقد آن، اگر چه به تخليه در غير منقول باشد، اگر چه قبض بقايى باشد، اگر چه اذن در قبض، مكشوف به ظاهر رهن باشد، چنانچه گذشت</w:t>
      </w:r>
      <w:r>
        <w:rPr>
          <w:rFonts w:eastAsia="IRNazanin" w:cs="IRNazanin"/>
          <w:color w:val="111111"/>
          <w:sz w:val="28"/>
          <w:szCs w:val="28"/>
          <w:rtl w:val="true"/>
          <w:lang w:bidi="fa-IR"/>
        </w:rPr>
        <w:t>.</w:t>
      </w:r>
    </w:p>
    <w:p>
      <w:pPr>
        <w:pStyle w:val="Heading4"/>
        <w:numPr>
          <w:ilvl w:val="3"/>
          <w:numId w:val="1"/>
        </w:numPr>
        <w:rPr/>
      </w:pPr>
      <w:bookmarkStart w:id="48" w:name="__RefHeading___Toc3597397_1067777946"/>
      <w:bookmarkStart w:id="49" w:name="_Toc19"/>
      <w:bookmarkEnd w:id="48"/>
      <w:r>
        <w:rPr>
          <w:rtl w:val="true"/>
        </w:rPr>
        <w:t>بعضى از فروض اقرار بر رهن و رجوع از آن</w:t>
      </w:r>
      <w:bookmarkEnd w:id="49"/>
    </w:p>
    <w:p>
      <w:pPr>
        <w:pStyle w:val="BookText"/>
        <w:rPr/>
      </w:pPr>
      <w:r>
        <w:rPr>
          <w:rFonts w:ascii="IRNazanin" w:hAnsi="IRNazanin" w:eastAsia="IRNazanin"/>
          <w:color w:val="111111"/>
          <w:sz w:val="28"/>
          <w:sz w:val="28"/>
          <w:szCs w:val="28"/>
          <w:rtl w:val="true"/>
          <w:lang w:bidi="fa-IR"/>
        </w:rPr>
        <w:t>اگر راهن اقرار به اقباض كرد، حكم مى شود بر او احكام رهن صحيح مگر در صورت علم به كذب او در اقرارش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تأثير رجوع او است از اقرار تا مفيد علم نباشد، و هم چنين دعواى غلط بعد از اقرار و دعواى مواطات بر شهادت بر اقرار بعد از آن، مثل اينكه شهادت اقباض باشد كه رجوع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قبول رجوع مثل صورت عدم اقرار و شهادت بر مرتهن كه منكر قبض است، متوجّه است يمين براى راهنِ مدعىِ اقباض؛ و هم چنين شهادت بر اقرار بعد از انكار در صورت قبول رجوع؛ اما در صورت عدم قبول، پس در جهت خاصّه، شهادت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مدّعى بود و بيّنه نداشت، بر مرتهن است در صورت انكار او، يمين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فروض متصوّرۀ در راهن و اقرار او و رجوع او، مسموع و غير مسموع آن، و شهادت بيّنه بر اقرار بعد از انكار و بر اقباض، جارى در مرتهن است با محافظت بر مدّعى بودن راهن نسبت به اقباض و مدّعىٰ عليه بودن 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آنجا معلوم </w:t>
      </w:r>
      <w:bookmarkStart w:id="50" w:name="pg10256_89324"/>
    </w:p>
    <w:p>
      <w:pPr>
        <w:pStyle w:val="BookText"/>
        <w:rPr/>
      </w:pPr>
      <w:bookmarkEnd w:id="50"/>
      <w:r>
        <w:rPr>
          <w:rFonts w:ascii="Amiri" w:hAnsi="Amiri" w:eastAsia="Amiri" w:cs="Amiri"/>
          <w:color w:val="111111"/>
          <w:sz w:val="28"/>
          <w:sz w:val="28"/>
          <w:szCs w:val="28"/>
          <w:rtl w:val="true"/>
          <w:lang w:bidi="ar-SA"/>
        </w:rPr>
        <w:t>مى شود حكم وجود عين در يد يكى از آنها يا ثالثى يا تلف آن بدون اذن يكى از آنها يا بدون اذن يكى مخصوص از آن دو، در حكم به ضمان يد غير مأذونه يا مأذونه از غير خاص</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597399_1067777946"/>
      <w:bookmarkStart w:id="52" w:name="_Toc20"/>
      <w:bookmarkEnd w:id="51"/>
      <w:r>
        <w:rPr>
          <w:rtl w:val="true"/>
        </w:rPr>
        <w:t>اذن و شريك در مال مشاع در رهن</w:t>
      </w:r>
      <w:bookmarkEnd w:id="52"/>
    </w:p>
    <w:p>
      <w:pPr>
        <w:pStyle w:val="BookText"/>
        <w:rPr/>
      </w:pPr>
      <w:r>
        <w:rPr>
          <w:rFonts w:ascii="IRNazanin" w:hAnsi="IRNazanin" w:eastAsia="IRNazanin"/>
          <w:color w:val="111111"/>
          <w:sz w:val="28"/>
          <w:sz w:val="28"/>
          <w:szCs w:val="28"/>
          <w:rtl w:val="true"/>
          <w:lang w:bidi="fa-IR"/>
        </w:rPr>
        <w:t>راهن نمى تواند تسليمِ مرهونِ مشاع نمايد به مرتهن مگر با اذن شريك در آنچه اقباض آن متوقّف بر تصرّف است، مثل 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كافى است در قبض آن تخليه، پس اظهر تحقّق آن است بدون تصرّف، و كافى است ثبوت يد مرتهن بر مال مرهون، مثل ثبوت يد راهن بر آن</w:t>
      </w:r>
      <w:r>
        <w:rPr>
          <w:rFonts w:eastAsia="IRNazanin" w:cs="IRNazanin"/>
          <w:color w:val="111111"/>
          <w:sz w:val="28"/>
          <w:szCs w:val="28"/>
          <w:rtl w:val="true"/>
          <w:lang w:bidi="fa-IR"/>
        </w:rPr>
        <w:t>.</w:t>
      </w:r>
    </w:p>
    <w:p>
      <w:pPr>
        <w:pStyle w:val="Heading4"/>
        <w:numPr>
          <w:ilvl w:val="3"/>
          <w:numId w:val="1"/>
        </w:numPr>
        <w:rPr/>
      </w:pPr>
      <w:bookmarkStart w:id="53" w:name="__RefHeading___Toc3597401_1067777946"/>
      <w:bookmarkStart w:id="54" w:name="_Toc21"/>
      <w:bookmarkEnd w:id="53"/>
      <w:r>
        <w:rPr>
          <w:rtl w:val="true"/>
        </w:rPr>
        <w:t>تصرّف عدوانى بدون اذن</w:t>
      </w:r>
      <w:bookmarkEnd w:id="54"/>
    </w:p>
    <w:p>
      <w:pPr>
        <w:pStyle w:val="BookText"/>
        <w:rPr/>
      </w:pPr>
      <w:r>
        <w:rPr>
          <w:rFonts w:ascii="IRNazanin" w:hAnsi="IRNazanin" w:eastAsia="IRNazanin"/>
          <w:color w:val="111111"/>
          <w:sz w:val="28"/>
          <w:sz w:val="28"/>
          <w:szCs w:val="28"/>
          <w:rtl w:val="true"/>
          <w:lang w:bidi="fa-IR"/>
        </w:rPr>
        <w:t xml:space="preserve">و اگر در منقول عدواناً تصرّفِ بدون اذن نمود و تسليم نمود، آيا كافى است در تحقّق قبض كه شرطِ رهن است يا نه‌؟ اظهر تحقّق شرط است اگر محتاج است انتزاع از مرتهن به اذن شريك، به جهت مساوات با حال سابقه بر تصرّف؛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آن است اگر واجب است اعاده به محل سابق و رعايت حق سابق شريك</w:t>
      </w:r>
      <w:r>
        <w:rPr>
          <w:rFonts w:eastAsia="IRNazanin" w:cs="IRNazanin"/>
          <w:color w:val="111111"/>
          <w:sz w:val="28"/>
          <w:szCs w:val="28"/>
          <w:rtl w:val="true"/>
          <w:lang w:bidi="fa-IR"/>
        </w:rPr>
        <w:t>.</w:t>
      </w:r>
    </w:p>
    <w:p>
      <w:pPr>
        <w:pStyle w:val="Heading4"/>
        <w:numPr>
          <w:ilvl w:val="3"/>
          <w:numId w:val="1"/>
        </w:numPr>
        <w:rPr/>
      </w:pPr>
      <w:bookmarkStart w:id="55" w:name="__RefHeading___Toc3597403_1067777946"/>
      <w:bookmarkStart w:id="56" w:name="_Toc22"/>
      <w:bookmarkEnd w:id="55"/>
      <w:r>
        <w:rPr>
          <w:rtl w:val="true"/>
        </w:rPr>
        <w:t>توكيل شريك در قبض</w:t>
      </w:r>
      <w:bookmarkEnd w:id="56"/>
    </w:p>
    <w:p>
      <w:pPr>
        <w:pStyle w:val="BookText"/>
        <w:rPr/>
      </w:pPr>
      <w:r>
        <w:rPr>
          <w:rFonts w:ascii="IRNazanin" w:hAnsi="IRNazanin" w:eastAsia="IRNazanin"/>
          <w:color w:val="111111"/>
          <w:sz w:val="28"/>
          <w:sz w:val="28"/>
          <w:szCs w:val="28"/>
          <w:rtl w:val="true"/>
          <w:lang w:bidi="fa-IR"/>
        </w:rPr>
        <w:t xml:space="preserve">و اگر مرتهن با اذن راهن، توكيل نمود شريك را در قبض، يا اذن داد در آن، كافى است تحقّق قبض شريك، براى تحقّق قبض مرتهن؛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 اذن داد براى مرتهن در قبض، بدون تخصيص به مباشرت، پس اذن داد مرتهن به شريك، در قبض از مرتهن، اگر چه راهنْ اذن به شريك نداده باشد</w:t>
      </w:r>
      <w:r>
        <w:rPr>
          <w:rFonts w:eastAsia="IRNazanin" w:cs="IRNazanin"/>
          <w:color w:val="111111"/>
          <w:sz w:val="28"/>
          <w:szCs w:val="28"/>
          <w:rtl w:val="true"/>
          <w:lang w:bidi="fa-IR"/>
        </w:rPr>
        <w:t>.</w:t>
      </w:r>
    </w:p>
    <w:p>
      <w:pPr>
        <w:pStyle w:val="Heading4"/>
        <w:numPr>
          <w:ilvl w:val="3"/>
          <w:numId w:val="1"/>
        </w:numPr>
        <w:rPr/>
      </w:pPr>
      <w:bookmarkStart w:id="57" w:name="__RefHeading___Toc3597405_1067777946"/>
      <w:bookmarkStart w:id="58" w:name="_Toc23"/>
      <w:bookmarkEnd w:id="57"/>
      <w:r>
        <w:rPr>
          <w:rtl w:val="true"/>
        </w:rPr>
        <w:t>منازعۀ مرتهن و شريك</w:t>
      </w:r>
      <w:bookmarkEnd w:id="5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اذن راهن به مرتهن، منازعه شد بين مرتهن و شريك، محتاج به مداخلۀ حاكم است در نصب ثالثى كه ديد او باشد براى مرتهن و شريك</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نزاع در استدامه بود و محتاج به اجارۀ آن شدند و مهايات در تقسيم زمانى نكردند، حاكم مى دهد به كسى كه اجاره بدهد و اجرت را تقسيم بين شريكين نمايد، و آنچه مربوط به راهن است، داخل در رهن مى شود، و اللّٰه العالم</w:t>
      </w:r>
      <w:r>
        <w:rPr>
          <w:rFonts w:eastAsia="IRNazanin" w:cs="IRNazanin"/>
          <w:color w:val="111111"/>
          <w:sz w:val="28"/>
          <w:szCs w:val="28"/>
          <w:rtl w:val="true"/>
          <w:lang w:bidi="fa-IR"/>
        </w:rPr>
        <w:t xml:space="preserve">. </w:t>
      </w:r>
      <w:bookmarkStart w:id="59" w:name="pg10256_89326"/>
    </w:p>
    <w:p>
      <w:pPr>
        <w:pStyle w:val="Heading3"/>
        <w:numPr>
          <w:ilvl w:val="2"/>
          <w:numId w:val="1"/>
        </w:numPr>
        <w:rPr/>
      </w:pPr>
      <w:bookmarkStart w:id="60" w:name="__RefHeading___Toc3597407_1067777946"/>
      <w:bookmarkStart w:id="61" w:name="_Toc24"/>
      <w:bookmarkEnd w:id="59"/>
      <w:bookmarkEnd w:id="60"/>
      <w:r>
        <w:rPr>
          <w:rtl w:val="true"/>
        </w:rPr>
        <w:t>فصل دوم شرايط رهن</w:t>
      </w:r>
      <w:bookmarkEnd w:id="61"/>
    </w:p>
    <w:p>
      <w:pPr>
        <w:pStyle w:val="Heading4"/>
        <w:numPr>
          <w:ilvl w:val="3"/>
          <w:numId w:val="1"/>
        </w:numPr>
        <w:rPr/>
      </w:pPr>
      <w:bookmarkStart w:id="62" w:name="__RefHeading___Toc3597409_1067777946"/>
      <w:bookmarkStart w:id="63" w:name="_Toc25"/>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متعلّق مى شود رهن، به عين شخصيّۀ مملوكه كه قابل قبض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تعلّق آن به منافع و دين، با وثوق به وصول به نتيجۀ حاصله از رهن عين، تأمّل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صحّت تعلّق است، خصوصاً در منافع قابلۀ تبديل به عين، و دين بر مرتهن و ثابت در ذمّۀ او</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597411_1067777946"/>
      <w:bookmarkStart w:id="65" w:name="_Toc26"/>
      <w:bookmarkEnd w:id="64"/>
      <w:r>
        <w:rPr>
          <w:rtl w:val="true"/>
        </w:rPr>
        <w:t>جواز رهن كلىّ فى المعيّن</w:t>
      </w:r>
      <w:bookmarkEnd w:id="65"/>
    </w:p>
    <w:p>
      <w:pPr>
        <w:pStyle w:val="BookText"/>
        <w:rPr/>
      </w:pPr>
      <w:r>
        <w:rPr>
          <w:rFonts w:ascii="IRNazanin" w:hAnsi="IRNazanin" w:eastAsia="IRNazanin"/>
          <w:color w:val="111111"/>
          <w:sz w:val="28"/>
          <w:sz w:val="28"/>
          <w:szCs w:val="28"/>
          <w:rtl w:val="true"/>
          <w:lang w:bidi="fa-IR"/>
        </w:rPr>
        <w:t>اظهر جواز رهن كلّى فى المعيّن است با تحقّق اقباض با تعيين 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رجوع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فى المعيّن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مجهول و مبهم يا مجهول مطلق،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صندوق مقفّل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با آنچه 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 در نفس صندوق، نه در آنچه در آن است، و نسبت، ملاحظه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علم به جنس نه نوع يا به نوع نه صنف، اقرب عدم صحّت رهن است مثل صبره از حنطۀ مختلف الاصناف با اختلاف قدر ماليّت آنها، مگر با علم مرتهن و رضاى او به اقلّ مراتب ماليّت افراد صاع در آن صبره در مقابل همۀ دين مرتهن</w:t>
      </w:r>
      <w:r>
        <w:rPr>
          <w:rFonts w:eastAsia="IRNazanin" w:cs="IRNazanin"/>
          <w:color w:val="111111"/>
          <w:sz w:val="28"/>
          <w:szCs w:val="28"/>
          <w:rtl w:val="true"/>
          <w:lang w:bidi="fa-IR"/>
        </w:rPr>
        <w:t>.</w:t>
      </w:r>
    </w:p>
    <w:p>
      <w:pPr>
        <w:pStyle w:val="Heading4"/>
        <w:numPr>
          <w:ilvl w:val="3"/>
          <w:numId w:val="1"/>
        </w:numPr>
        <w:rPr/>
      </w:pPr>
      <w:bookmarkStart w:id="66" w:name="__RefHeading___Toc3597413_1067777946"/>
      <w:bookmarkStart w:id="67" w:name="_Toc27"/>
      <w:bookmarkEnd w:id="66"/>
      <w:r>
        <w:rPr>
          <w:rtl w:val="true"/>
        </w:rPr>
        <w:t>رهن عبد مدبّر</w:t>
      </w:r>
      <w:bookmarkEnd w:id="6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رهن مدبَّر خلاف است، اقرب در فروض غالبه با جواز رجوع در تدبير و التفات به آن و قصد رجوع، صحّت رهن و ابطال تدبير است؛ و بدون التفات و قصد رجوع، </w:t>
      </w:r>
      <w:bookmarkStart w:id="68" w:name="pg10256_89327"/>
    </w:p>
    <w:p>
      <w:pPr>
        <w:pStyle w:val="BookText"/>
        <w:rPr/>
      </w:pPr>
      <w:bookmarkEnd w:id="68"/>
      <w:r>
        <w:rPr>
          <w:rFonts w:ascii="Amiri" w:hAnsi="Amiri" w:eastAsia="Amiri" w:cs="Amiri"/>
          <w:color w:val="111111"/>
          <w:sz w:val="28"/>
          <w:sz w:val="28"/>
          <w:szCs w:val="28"/>
          <w:rtl w:val="true"/>
          <w:lang w:bidi="ar-SA"/>
        </w:rPr>
        <w:t xml:space="preserve">در حكم بيع مرهون از غافل از رهن است؛ و در صورت عدم جواز رجوع به مثل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رهن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تصريح به رهن خدمت به ابقاى تدبير، اقرب عدم جواز رهن است به جهت ابتناى آن بر بقاى عين تا زمان استيفاى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حفظ اين جهت و فرض جواز رهن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صحّت رهن و تدبير نيست مگر جهالت زمان حرّيّت و احتمال انقضاى رهن قبل از حلول و امكان استيفاى دين از بدل منفعت، و آن خلاف استيثاق مطلوب از رهن است و صافى از شائبۀ اشكال نيست</w:t>
      </w:r>
      <w:r>
        <w:rPr>
          <w:rFonts w:eastAsia="IRNazanin" w:cs="IRNazanin"/>
          <w:color w:val="111111"/>
          <w:sz w:val="28"/>
          <w:szCs w:val="28"/>
          <w:rtl w:val="true"/>
          <w:lang w:bidi="fa-IR"/>
        </w:rPr>
        <w:t>.</w:t>
      </w:r>
    </w:p>
    <w:p>
      <w:pPr>
        <w:pStyle w:val="Heading4"/>
        <w:numPr>
          <w:ilvl w:val="3"/>
          <w:numId w:val="1"/>
        </w:numPr>
        <w:rPr/>
      </w:pPr>
      <w:bookmarkStart w:id="69" w:name="__RefHeading___Toc3597415_1067777946"/>
      <w:bookmarkStart w:id="70" w:name="_Toc28"/>
      <w:bookmarkEnd w:id="69"/>
      <w:r>
        <w:rPr>
          <w:rtl w:val="true"/>
        </w:rPr>
        <w:t>اشتراط قابليّت تملّك در رهن</w:t>
      </w:r>
      <w:bookmarkEnd w:id="70"/>
    </w:p>
    <w:p>
      <w:pPr>
        <w:pStyle w:val="BookText"/>
        <w:rPr/>
      </w:pPr>
      <w:r>
        <w:rPr>
          <w:rFonts w:ascii="IRNazanin" w:hAnsi="IRNazanin" w:eastAsia="IRNazanin"/>
          <w:color w:val="111111"/>
          <w:sz w:val="28"/>
          <w:sz w:val="28"/>
          <w:szCs w:val="28"/>
          <w:rtl w:val="true"/>
          <w:lang w:bidi="fa-IR"/>
        </w:rPr>
        <w:t>بايد مرهونْ متملَّك باشد؛ پس جايز و نافذ نيست رهن حشرات، و خمر و خنزير، بين دو مسلمان، و حرّ، و ارض خراج، مشتركات، و موقوفات عامّه و خاصّه، و مرهون سابق بر دين ديگر تا آنكه استيفاى دين خاص از آن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صحيح نيست رهن مسلمان نزد ذمّى، خمر و خنزير را، يا رهن ذمّى نزد مسلمان آنها را، اگر چه در يد ذمّى بگذارد تا ايفاى دين به بيع آنها نمايد؛ بلكه در هر صورتى كه منتهي به مطالبه يا بيع آنها از مسلم باشد تسليط بر بيع غير مملوك مسلم نمايد؛ و در هر صورت بر تقدير بيع و وفاء، تصرّف مى نمايد در ثمن آن</w:t>
      </w:r>
      <w:r>
        <w:rPr>
          <w:rFonts w:eastAsia="IRNazanin" w:cs="IRNazanin"/>
          <w:color w:val="111111"/>
          <w:sz w:val="28"/>
          <w:szCs w:val="28"/>
          <w:rtl w:val="true"/>
          <w:lang w:bidi="fa-IR"/>
        </w:rPr>
        <w:t>.</w:t>
      </w:r>
    </w:p>
    <w:p>
      <w:pPr>
        <w:pStyle w:val="Heading4"/>
        <w:numPr>
          <w:ilvl w:val="3"/>
          <w:numId w:val="1"/>
        </w:numPr>
        <w:rPr/>
      </w:pPr>
      <w:bookmarkStart w:id="71" w:name="__RefHeading___Toc3597417_1067777946"/>
      <w:bookmarkStart w:id="72" w:name="_Toc29"/>
      <w:bookmarkEnd w:id="71"/>
      <w:r>
        <w:rPr>
          <w:rtl w:val="true"/>
        </w:rPr>
        <w:t>اشتراط ملكيّت در رهن</w:t>
      </w:r>
      <w:bookmarkEnd w:id="7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راهن يا اذن دهنده به راهن باشد؛ پس رهن فضولى، موقوف به اجازۀ مالك است در صحّت، چه آنكه رهن غير، بر دين مالك باشد و فقط فضوليّت در اجراى صيغه از غير مالك باشد و متعقّب به اجازۀ مالك باشد، يا رهن بر دينِ راهن، متعلّق به مملوك غير باشد كه اگر اذن مى داد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عبدى عنك 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اجازه كرد، استيفاى دين از ملك راهن به سبب اجازه لاحقه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اذن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bookmarkStart w:id="73" w:name="pg10256_89328"/>
    </w:p>
    <w:p>
      <w:pPr>
        <w:pStyle w:val="Heading4"/>
        <w:numPr>
          <w:ilvl w:val="3"/>
          <w:numId w:val="1"/>
        </w:numPr>
        <w:rPr/>
      </w:pPr>
      <w:bookmarkStart w:id="74" w:name="__RefHeading___Toc3597419_1067777946"/>
      <w:bookmarkStart w:id="75" w:name="_Toc30"/>
      <w:bookmarkEnd w:id="73"/>
      <w:bookmarkEnd w:id="74"/>
      <w:r>
        <w:rPr>
          <w:rtl w:val="true"/>
        </w:rPr>
        <w:t>تبرّع در رهن</w:t>
      </w:r>
      <w:bookmarkEnd w:id="75"/>
    </w:p>
    <w:p>
      <w:pPr>
        <w:pStyle w:val="BookText"/>
        <w:rPr/>
      </w:pPr>
      <w:r>
        <w:rPr>
          <w:rFonts w:ascii="IRNazanin" w:hAnsi="IRNazanin" w:eastAsia="IRNazanin"/>
          <w:color w:val="111111"/>
          <w:sz w:val="28"/>
          <w:sz w:val="28"/>
          <w:szCs w:val="28"/>
          <w:rtl w:val="true"/>
          <w:lang w:bidi="fa-IR"/>
        </w:rPr>
        <w:t>و جايز و نافذ است بنا بر اظهر، تبرّع به رهن از مال خود براى دين غير بدون اذن مديون، مثل تبرّع به وفاى دين غير، اگر قصد رجوع به مديون در تقدير استيفاى دائن نداشته باشد؛ و اگر داشته باشد، نمى تواند رجوع به مديون نمايد، مثل وفاء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مرتهن در عقد رهن، لازم است، و لكن الزام آور براى مديون نيست اگر رهن غير بدون اذن مديون بوده، و نمى تواند رجوع به مديون نمايد؛ و هم چنين در وفاى دين غير بدون اذن مديون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عنوان وكالتْ رهن نمود، محتاج به اذن مديون است اگر چه از مال راهن باشد، وگرنه اثرى ندارد</w:t>
      </w:r>
      <w:r>
        <w:rPr>
          <w:rFonts w:eastAsia="IRNazanin" w:cs="IRNazanin"/>
          <w:color w:val="111111"/>
          <w:sz w:val="28"/>
          <w:szCs w:val="28"/>
          <w:rtl w:val="true"/>
          <w:lang w:bidi="fa-IR"/>
        </w:rPr>
        <w:t>.</w:t>
      </w:r>
    </w:p>
    <w:p>
      <w:pPr>
        <w:pStyle w:val="Heading4"/>
        <w:numPr>
          <w:ilvl w:val="3"/>
          <w:numId w:val="1"/>
        </w:numPr>
        <w:rPr/>
      </w:pPr>
      <w:bookmarkStart w:id="76" w:name="__RefHeading___Toc3597421_1067777946"/>
      <w:bookmarkStart w:id="77" w:name="_Toc31"/>
      <w:bookmarkEnd w:id="76"/>
      <w:r>
        <w:rPr>
          <w:rtl w:val="true"/>
        </w:rPr>
        <w:t>جواز استعاره براى رهن</w:t>
      </w:r>
      <w:bookmarkEnd w:id="77"/>
    </w:p>
    <w:p>
      <w:pPr>
        <w:pStyle w:val="BookText"/>
        <w:rPr/>
      </w:pPr>
      <w:r>
        <w:rPr>
          <w:rFonts w:ascii="IRNazanin" w:hAnsi="IRNazanin" w:eastAsia="IRNazanin"/>
          <w:color w:val="111111"/>
          <w:sz w:val="28"/>
          <w:sz w:val="28"/>
          <w:szCs w:val="28"/>
          <w:rtl w:val="true"/>
          <w:lang w:bidi="fa-IR"/>
        </w:rPr>
        <w:t>و مى تواند استعاره براى رهن نمايد و بعد از تحقّق رهنِ عاريه و قبض مرتهن و لزوم رهن، مالك نمى تواند رجوع نمايد در رهن، و مرتهن بيع مى نمايد براى استيفا، مثل بيع غير مستعار؛ و بعد از بيع، مالك مى تواند مطالبۀ بدل واقعى از مستعير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مستعير تعيين رهن در دين خاص يا نزد شخص خاص نمود، تخلف مستعير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نيست رهن ارض خراج و نحو آن مگر به تبع رهن آلات و ابنيه و اشجار مملوكۀ راهن، پس داير است مدار بيع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باشد عدم بقاى متبوع در زمان حلول اجل و استحقاق بيع براى استيفا، صحيح نيست رهن</w:t>
      </w:r>
      <w:r>
        <w:rPr>
          <w:rFonts w:eastAsia="IRNazanin" w:cs="IRNazanin"/>
          <w:color w:val="111111"/>
          <w:sz w:val="28"/>
          <w:szCs w:val="28"/>
          <w:rtl w:val="true"/>
          <w:lang w:bidi="fa-IR"/>
        </w:rPr>
        <w:t>.</w:t>
      </w:r>
    </w:p>
    <w:p>
      <w:pPr>
        <w:pStyle w:val="Heading4"/>
        <w:numPr>
          <w:ilvl w:val="3"/>
          <w:numId w:val="1"/>
        </w:numPr>
        <w:rPr/>
      </w:pPr>
      <w:bookmarkStart w:id="78" w:name="__RefHeading___Toc3597423_1067777946"/>
      <w:bookmarkStart w:id="79" w:name="_Toc32"/>
      <w:bookmarkEnd w:id="78"/>
      <w:r>
        <w:rPr>
          <w:rtl w:val="true"/>
        </w:rPr>
        <w:t>اشتراط استيثاق به بقاى رهن</w:t>
      </w:r>
      <w:bookmarkEnd w:id="7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صحيح نيست رهن طير در هوا با عدم اعتياد عود، و ماهى در آب با عدم محصوريّت، به جهت فقدان استيثاق معتبر در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عقد رهن اگر استيثاق نمود بلكه مجرّد احتمال، باعث بر انشاى عقد بود و بعد ممكن شد و اقباض شد، </w:t>
      </w:r>
      <w:bookmarkStart w:id="80" w:name="pg10256_89329"/>
    </w:p>
    <w:p>
      <w:pPr>
        <w:pStyle w:val="BookText"/>
        <w:rPr/>
      </w:pPr>
      <w:bookmarkEnd w:id="80"/>
      <w:r>
        <w:rPr>
          <w:rFonts w:ascii="IRNazanin" w:hAnsi="IRNazanin" w:eastAsia="IRNazanin"/>
          <w:color w:val="111111"/>
          <w:sz w:val="28"/>
          <w:sz w:val="28"/>
          <w:szCs w:val="28"/>
          <w:rtl w:val="true"/>
          <w:lang w:bidi="fa-IR"/>
        </w:rPr>
        <w:t>اقرب تماميّت رهن است، و عكس آن است در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حال عقد و زمان اقباض به امكان در حال عقد و عدم آن در زمان لزوم اقباض بنا بر اعتبار اقباض به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w:t>
      </w:r>
    </w:p>
    <w:p>
      <w:pPr>
        <w:pStyle w:val="Heading4"/>
        <w:numPr>
          <w:ilvl w:val="3"/>
          <w:numId w:val="1"/>
        </w:numPr>
        <w:rPr/>
      </w:pPr>
      <w:bookmarkStart w:id="81" w:name="__RefHeading___Toc3597425_1067777946"/>
      <w:bookmarkStart w:id="82" w:name="_Toc33"/>
      <w:bookmarkEnd w:id="81"/>
      <w:r>
        <w:rPr>
          <w:rtl w:val="true"/>
        </w:rPr>
        <w:t>رهن مملوك همراه با غير مملوك</w:t>
      </w:r>
      <w:bookmarkEnd w:id="82"/>
    </w:p>
    <w:p>
      <w:pPr>
        <w:pStyle w:val="BookText"/>
        <w:rPr/>
      </w:pPr>
      <w:r>
        <w:rPr>
          <w:rFonts w:ascii="IRNazanin" w:hAnsi="IRNazanin" w:eastAsia="IRNazanin"/>
          <w:color w:val="111111"/>
          <w:sz w:val="28"/>
          <w:sz w:val="28"/>
          <w:szCs w:val="28"/>
          <w:rtl w:val="true"/>
          <w:lang w:bidi="fa-IR"/>
        </w:rPr>
        <w:t>و اگر جمع نمود در رهن، بين مملوك راهن و مملوك غير راهن، نافذ است در مملوك با قبول مرتهن؛ و موقوف است در حصّۀ مملوك غير راهن، با ملاحظۀ نسبت مملوك با مناسب آن از دين، در صورت ردِّ غير يا عدم اجازۀ او تا آخر زمان امكان، چه آنكه ملكِ هر دو به نحو اشاعه باشد يا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ذهاب عين مرهون بر مرتهن به سبب قسمت و وقوع آن در حصّۀ شريك، مندفع به اناطه قسمت به اذن مرتهن است</w:t>
      </w:r>
      <w:r>
        <w:rPr>
          <w:rFonts w:eastAsia="IRNazanin" w:cs="IRNazanin"/>
          <w:color w:val="111111"/>
          <w:sz w:val="28"/>
          <w:szCs w:val="28"/>
          <w:rtl w:val="true"/>
          <w:lang w:bidi="fa-IR"/>
        </w:rPr>
        <w:t>.</w:t>
      </w:r>
    </w:p>
    <w:p>
      <w:pPr>
        <w:pStyle w:val="Heading4"/>
        <w:numPr>
          <w:ilvl w:val="3"/>
          <w:numId w:val="1"/>
        </w:numPr>
        <w:rPr/>
      </w:pPr>
      <w:bookmarkStart w:id="83" w:name="__RefHeading___Toc3597427_1067777946"/>
      <w:bookmarkStart w:id="84" w:name="_Toc34"/>
      <w:bookmarkEnd w:id="83"/>
      <w:r>
        <w:rPr>
          <w:rtl w:val="true"/>
        </w:rPr>
        <w:t>رهن غرس يا بناى مشروع در ارض فراجيه</w:t>
      </w:r>
      <w:bookmarkEnd w:id="84"/>
    </w:p>
    <w:p>
      <w:pPr>
        <w:pStyle w:val="BookText"/>
        <w:rPr/>
      </w:pPr>
      <w:r>
        <w:rPr>
          <w:rFonts w:ascii="IRNazanin" w:hAnsi="IRNazanin" w:eastAsia="IRNazanin"/>
          <w:color w:val="111111"/>
          <w:sz w:val="28"/>
          <w:sz w:val="28"/>
          <w:szCs w:val="28"/>
          <w:rtl w:val="true"/>
          <w:lang w:bidi="fa-IR"/>
        </w:rPr>
        <w:t>اگر غرسى يا بنايى مشروع در ارض خراجيّه داشت و رهن نمود آنها را مستقلاً يا با تبعيّت ارض، مانعى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ارض پس اگر به اعتبار آنكه مستحَق الانتفاع به عوض براى مستأجر است، يا به اعتبار نفس منفعت مستأجره، پس گذشت آنچه مربوط به آن است؛ و به اعتبار استقلال ارض كه فروخته شود مستقلةً براى استيفاى دين، پس جايز نيست، چنانچه ذكر شد</w:t>
      </w:r>
      <w:r>
        <w:rPr>
          <w:rFonts w:eastAsia="IRNazanin" w:cs="IRNazanin"/>
          <w:color w:val="111111"/>
          <w:sz w:val="28"/>
          <w:szCs w:val="28"/>
          <w:rtl w:val="true"/>
          <w:lang w:bidi="fa-IR"/>
        </w:rPr>
        <w:t>.</w:t>
      </w:r>
    </w:p>
    <w:p>
      <w:pPr>
        <w:pStyle w:val="Heading4"/>
        <w:numPr>
          <w:ilvl w:val="3"/>
          <w:numId w:val="1"/>
        </w:numPr>
        <w:rPr/>
      </w:pPr>
      <w:bookmarkStart w:id="85" w:name="__RefHeading___Toc3597429_1067777946"/>
      <w:bookmarkStart w:id="86" w:name="_Toc35"/>
      <w:bookmarkEnd w:id="85"/>
      <w:r>
        <w:rPr>
          <w:rtl w:val="true"/>
        </w:rPr>
        <w:t>بعضى از فروض غير قابل رهن</w:t>
      </w:r>
      <w:bookmarkEnd w:id="86"/>
    </w:p>
    <w:p>
      <w:pPr>
        <w:pStyle w:val="BookText"/>
        <w:rPr/>
      </w:pPr>
      <w:r>
        <w:rPr>
          <w:rFonts w:ascii="IRNazanin" w:hAnsi="IRNazanin" w:eastAsia="IRNazanin"/>
          <w:color w:val="111111"/>
          <w:sz w:val="28"/>
          <w:sz w:val="28"/>
          <w:szCs w:val="28"/>
          <w:rtl w:val="true"/>
          <w:lang w:bidi="fa-IR"/>
        </w:rPr>
        <w:t>در رهن عبد مسلمان يا مصحف نزد كافر، خلاف است؛ احوط و موافق با ارتكاز دينى، عدم صحّت آن است حتى اگر در يد مسلمانى گذاشته شود تا در موقع حلول دين و مطالبه بيع نمايد و ايفاى دين از آنها نمايد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نيست رهن موقوفٌ عليه، وقف را، در غير تقدير جواز بيع آن براى او براى حاجت، بنا بر آن و آنكه در صورت موت راهن، منتقل به طبقۀ متأخّره بشود متعلّقاً بحق المرتهن براى بيع براى دين محتاج به رهن كه مفروض، جواز بيع او </w:t>
      </w:r>
      <w:bookmarkStart w:id="87" w:name="pg10256_89330"/>
    </w:p>
    <w:p>
      <w:pPr>
        <w:pStyle w:val="BookText"/>
        <w:rPr/>
      </w:pPr>
      <w:bookmarkEnd w:id="87"/>
      <w:r>
        <w:rPr>
          <w:rFonts w:ascii="Amiri" w:hAnsi="Amiri" w:eastAsia="Amiri" w:cs="Amiri"/>
          <w:color w:val="111111"/>
          <w:sz w:val="28"/>
          <w:sz w:val="28"/>
          <w:szCs w:val="28"/>
          <w:rtl w:val="true"/>
          <w:lang w:bidi="ar-SA"/>
        </w:rPr>
        <w:t>وقف را در صورت مذكوره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جايز نيست رهن عبد منذور العتق، چه مطلق باشد، يا مقيّد به تعجيل باشد، يا به وصفى،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شرطى،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مريضى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جميع اينها چون بيعْ جايز نيست و غررى است، رهن هم جايز نيست و موثوقٌ 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در معلّق به وقتى اگر سابق بر حلول دين باشد رهن معتَق است؛ و اگر لاحق باشد، اتلاف امروزى است آنچه را كه فردا واجب العتق است مثلاً و آن در حكم بيع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معلَّق به وصف، لكن اگر از غفلت، انشاى رهن كرد و وصف حاصل نشد، اظهر صحّت رهن است، به جهت انتفاى حقوق غير مرتهن در واقع</w:t>
      </w:r>
      <w:r>
        <w:rPr>
          <w:rFonts w:eastAsia="IRNazanin" w:cs="IRNazanin"/>
          <w:color w:val="111111"/>
          <w:sz w:val="28"/>
          <w:szCs w:val="28"/>
          <w:rtl w:val="true"/>
          <w:lang w:bidi="fa-IR"/>
        </w:rPr>
        <w:t>.</w:t>
      </w:r>
    </w:p>
    <w:p>
      <w:pPr>
        <w:pStyle w:val="Heading4"/>
        <w:numPr>
          <w:ilvl w:val="3"/>
          <w:numId w:val="1"/>
        </w:numPr>
        <w:rPr/>
      </w:pPr>
      <w:bookmarkStart w:id="88" w:name="__RefHeading___Toc3597431_1067777946"/>
      <w:bookmarkStart w:id="89" w:name="_Toc36"/>
      <w:bookmarkEnd w:id="88"/>
      <w:r>
        <w:rPr>
          <w:rtl w:val="true"/>
        </w:rPr>
        <w:t>بيع با احتمال مانع از تسليم و يا قلع به تسليم</w:t>
      </w:r>
      <w:bookmarkEnd w:id="89"/>
    </w:p>
    <w:p>
      <w:pPr>
        <w:pStyle w:val="BookText"/>
        <w:rPr/>
      </w:pPr>
      <w:r>
        <w:rPr>
          <w:rFonts w:ascii="Amiri" w:hAnsi="Amiri" w:eastAsia="Amiri" w:cs="Amiri"/>
          <w:color w:val="111111"/>
          <w:sz w:val="28"/>
          <w:sz w:val="28"/>
          <w:szCs w:val="28"/>
          <w:rtl w:val="true"/>
          <w:lang w:bidi="ar-SA"/>
        </w:rPr>
        <w:t xml:space="preserve">و جواز بيع با احتمال مانع از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 عبد به جنايت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قطع به تسليم به وصف تعلّق حق جنايت با علم طرفين، مستلزم صحّت رهن در فرض نيست، به جهت لزوم وثوق به استيفاى دين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بيع كه صحّت آن معتبر در صحّت رهن است، مطلق نقل است اگر چه با صلح باشد؛ و كافى است جواز صلح مثلاً در جواز رهن، و عدم جواز نقل مكاتب مثلاً به صلح در عدم صحّت رهن</w:t>
      </w:r>
      <w:r>
        <w:rPr>
          <w:rFonts w:eastAsia="IRNazanin" w:cs="IRNazanin"/>
          <w:color w:val="111111"/>
          <w:sz w:val="28"/>
          <w:szCs w:val="28"/>
          <w:rtl w:val="true"/>
          <w:lang w:bidi="fa-IR"/>
        </w:rPr>
        <w:t>.</w:t>
      </w:r>
    </w:p>
    <w:p>
      <w:pPr>
        <w:pStyle w:val="Heading4"/>
        <w:numPr>
          <w:ilvl w:val="3"/>
          <w:numId w:val="1"/>
        </w:numPr>
        <w:rPr/>
      </w:pPr>
      <w:bookmarkStart w:id="90" w:name="__RefHeading___Toc3597433_1067777946"/>
      <w:bookmarkStart w:id="91" w:name="_Toc37"/>
      <w:bookmarkEnd w:id="90"/>
      <w:r>
        <w:rPr>
          <w:rtl w:val="true"/>
        </w:rPr>
        <w:t>نحوۀ ملكيّت معتبر در رهن، و جواز رهن با وجود خيار</w:t>
      </w:r>
      <w:bookmarkEnd w:id="9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مفيد ملكيّت براى طرفين، بيع است، نه بيع با مضىّ زمان خيار؛ پس رهن ذو الخيار يا در بيع خيارى صحيح است؛ اگر خيار براى بايع بود و او رهن كرد مبيع را، رهن او فسخ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براى مشترى باشد و اعمال به فسخ، يا امضا بنمايد،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فسخ مشترى با خيار او، پس رهن بايع اگر چه صحيح است لكن بعد از فسخِ‌ </w:t>
      </w:r>
      <w:bookmarkStart w:id="92" w:name="pg10256_89331"/>
    </w:p>
    <w:p>
      <w:pPr>
        <w:pStyle w:val="BookText"/>
        <w:rPr/>
      </w:pPr>
      <w:bookmarkEnd w:id="92"/>
      <w:r>
        <w:rPr>
          <w:rFonts w:ascii="IRNazanin" w:hAnsi="IRNazanin" w:eastAsia="IRNazanin"/>
          <w:color w:val="111111"/>
          <w:sz w:val="28"/>
          <w:sz w:val="28"/>
          <w:szCs w:val="28"/>
          <w:rtl w:val="true"/>
          <w:lang w:bidi="fa-IR"/>
        </w:rPr>
        <w:t>مشترى است و رهنْ فسخ نيست؛ و اگر رهن كرد ثمن را، امضاى بيع نموده است و با آن هم اسقاط خيار خودش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مشترى رهن داد با خيار بايع، محتمل است صحّت رهن متزلزلاً، مثل بيع او؛ پس اگر فسخ كرد بايع، رهن بى اثر است؛ و اگر امضا كرد، رهن تامّ است؛ پس در حكم رهن فضولى است، به جهت تعلّق حق بايع كه ذو الخيار است؛ و اين احتمال، اقرب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ثمن را رهن داد، صحّت آن موقوف بر فسخ بايع و ردِّ ثمن است اگر اخذ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خيار براى مشترى باشد و راهنِ مبيع، بايع باشد، پس صحّت رهن، موقوف به فسخ مشترى و ردِّ مبيع است اگر اخذ نموده با امضاى بيع و رهن؛ و بطلان او موقوف به امضاى مشترى است بيع را با عدم امضاى رهن يا اسقاط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راهن مبيع، مشترى باشد با خيار او پس رهنْ امضاءِ بيع است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مشترى ثمن را به رهن داد، امضاى بيع نموده است و رهن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رهن واهب، موهوب را، در صورت جواز رجوع، فسخ هبه و صحيح است مثل رهن بايع ذى الخيار مبيع را، و مثل رهن غريم مفلَّس عين خود را با جواز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رهن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صداق غير مدخولٌ بها را در صورت جواز رجوع در زوجيّت، و اللّٰه العالم</w:t>
      </w:r>
      <w:r>
        <w:rPr>
          <w:rFonts w:eastAsia="IRNazanin" w:cs="IRNazanin"/>
          <w:color w:val="111111"/>
          <w:sz w:val="28"/>
          <w:szCs w:val="28"/>
          <w:rtl w:val="true"/>
          <w:lang w:bidi="fa-IR"/>
        </w:rPr>
        <w:t>.</w:t>
      </w:r>
    </w:p>
    <w:p>
      <w:pPr>
        <w:pStyle w:val="Heading4"/>
        <w:numPr>
          <w:ilvl w:val="3"/>
          <w:numId w:val="1"/>
        </w:numPr>
        <w:rPr/>
      </w:pPr>
      <w:bookmarkStart w:id="93" w:name="__RefHeading___Toc3597435_1067777946"/>
      <w:bookmarkStart w:id="94" w:name="_Toc38"/>
      <w:bookmarkEnd w:id="93"/>
      <w:r>
        <w:rPr>
          <w:rtl w:val="true"/>
        </w:rPr>
        <w:t>صحّت رهن مرتدّ</w:t>
      </w:r>
      <w:bookmarkEnd w:id="9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رهن مرتدّ، اگر چه فطرى باشد صحيح است با وثوق به عدم قتل او تا زمان استيفاى دين كه معتبر است در رهن يقيناً، و جايز نيست بدون وثوق مذكور؛ بلكه بيع او هم با غرريّت و خطر احتمال قتل كه در غايت اختلاف است به حسب ازمنۀ قدرت شرعيّه و عدم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 با عدم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و خنثى، به منزلۀ غير فطرى است در حكم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كلمات مجوّزين در رهن، منزَّل بر تفصيل متقدّم است</w:t>
      </w:r>
      <w:r>
        <w:rPr>
          <w:rFonts w:eastAsia="IRNazanin" w:cs="IRNazanin"/>
          <w:color w:val="111111"/>
          <w:sz w:val="28"/>
          <w:szCs w:val="28"/>
          <w:rtl w:val="true"/>
          <w:lang w:bidi="fa-IR"/>
        </w:rPr>
        <w:t xml:space="preserve">. </w:t>
      </w:r>
      <w:bookmarkStart w:id="95" w:name="pg10256_89332"/>
    </w:p>
    <w:p>
      <w:pPr>
        <w:pStyle w:val="Heading4"/>
        <w:numPr>
          <w:ilvl w:val="3"/>
          <w:numId w:val="1"/>
        </w:numPr>
        <w:rPr/>
      </w:pPr>
      <w:bookmarkStart w:id="96" w:name="__RefHeading___Toc3597437_1067777946"/>
      <w:bookmarkStart w:id="97" w:name="_Toc39"/>
      <w:bookmarkEnd w:id="95"/>
      <w:bookmarkEnd w:id="96"/>
      <w:r>
        <w:rPr>
          <w:rtl w:val="true"/>
        </w:rPr>
        <w:t>رهن جانى خطأً يا عمداً</w:t>
      </w:r>
      <w:bookmarkEnd w:id="97"/>
    </w:p>
    <w:p>
      <w:pPr>
        <w:pStyle w:val="BookText"/>
        <w:rPr/>
      </w:pPr>
      <w:r>
        <w:rPr>
          <w:rFonts w:ascii="IRNazanin" w:hAnsi="IRNazanin" w:eastAsia="IRNazanin"/>
          <w:color w:val="111111"/>
          <w:sz w:val="28"/>
          <w:sz w:val="28"/>
          <w:szCs w:val="28"/>
          <w:rtl w:val="true"/>
          <w:lang w:bidi="fa-IR"/>
        </w:rPr>
        <w:t>و از اينجا معلوم مى شود حكم در رهن جانى به خطا يا عمد، كه صحّت رهن داير مدار استيثاق تكوينى به استيفاى دين در وقت حلول، از مرهون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شرعى به استرقاق ولىّ مجنىٌ عليه مملوك را يا قتل او، ملازم با عدم استيثاق به بقا تا زمان مخصوص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رهن مولى با علم به جنايت خطائيّه و اختيار خودش بين فكّ و تسليم مملوك، اختيار اوّل است و استيثاق با اين فرض مطّرد است؛ به خلاف عمديّه كه او مختار نيست و استيثاق گاهى موجود نيست؛ و در صورت فكّ حق جنايت، ثابت است رهانت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عدم فكّ و عدم استيعاب بقيّه باقى است به رهنيّت با حفظ نسبت بقيّه به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عدم فكّ با 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استيثاق، صحيح است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استرقاق مبطل رهن به واسطۀ تقدّم حق جنايت شرعاً بر حق رهانت؛ و هم چنين قصاص ولىّ در عمد</w:t>
      </w:r>
      <w:r>
        <w:rPr>
          <w:rFonts w:eastAsia="IRNazanin" w:cs="IRNazanin"/>
          <w:color w:val="111111"/>
          <w:sz w:val="28"/>
          <w:szCs w:val="28"/>
          <w:rtl w:val="true"/>
          <w:lang w:bidi="fa-IR"/>
        </w:rPr>
        <w:t>.</w:t>
      </w:r>
    </w:p>
    <w:p>
      <w:pPr>
        <w:pStyle w:val="Heading4"/>
        <w:numPr>
          <w:ilvl w:val="3"/>
          <w:numId w:val="1"/>
        </w:numPr>
        <w:rPr/>
      </w:pPr>
      <w:bookmarkStart w:id="98" w:name="__RefHeading___Toc3597439_1067777946"/>
      <w:bookmarkStart w:id="99" w:name="_Toc40"/>
      <w:bookmarkEnd w:id="98"/>
      <w:r>
        <w:rPr>
          <w:rtl w:val="true"/>
        </w:rPr>
        <w:t>بعضى از صور اقرار راهن يا مرتهن</w:t>
      </w:r>
      <w:bookmarkEnd w:id="99"/>
    </w:p>
    <w:p>
      <w:pPr>
        <w:pStyle w:val="BookText"/>
        <w:rPr/>
      </w:pPr>
      <w:r>
        <w:rPr>
          <w:rFonts w:ascii="IRNazanin" w:hAnsi="IRNazanin" w:eastAsia="IRNazanin"/>
          <w:color w:val="111111"/>
          <w:sz w:val="28"/>
          <w:sz w:val="28"/>
          <w:szCs w:val="28"/>
          <w:rtl w:val="true"/>
          <w:lang w:bidi="fa-IR"/>
        </w:rPr>
        <w:t>اگر مملوك مرهون، اقرار به جنايت نمود و راهن و مرتهن تصديق كردند او را، پس در حكم جنايت مرهون كه ثابت به علم يا بيّنه است، مى باشد؛ به خلاف صورت تصديق خصوص راهن كه با صحّت رهن و تعلّق حق مرتهن در ظاهر، مفيد نخواهد بود و تصديق او نافذ بر مرتهن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اظهر رجوع مجنىٌ عليه به راهنِ مقرّ است در صورت تكذيب مرتهن و بيع او و اخذ ثمن او در دين راهن مصدّق به حسب اقرار و تصديق او مجنىٌ عليه را در صورت تفويت كه خواهد آمد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خصوص مرتهن، پس تصديق او مبطل رهن است، چنانكه مثبت جنايت نيست؛ و با عدم تصديق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مفروض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جنايت و رهن مؤثّر نخواهد بود؛ لكن اشبه صحّت رهن است با حلف راهن، چنانچه مختار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اقرار راهن و تكذيب مرتهن و حلف او و بيع او، راهن ضامن نيست براى مجنىٌ عليه مگر اقرار به تفويت حق مجنىٌ عليه به جنايت سابقۀ بر رهن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بر او است بدل فائت از مجنىٌ عليه به سبب رهنِ مصادف با تكذيب مرتهن به عنوان مقاصّه اگر فكّ رهن نكرد و عين مرهونه را تأديه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راهن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كرده ام عين مرهونه را قبل از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كرده بوده 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نمى شود بر كسى يكى از اينها؛ بلكه با حلف مرتهن بر نفى علم، تصحيح رهن در ظاهر مى شود و خود راهن غرامت آن را براى مقرّ له مى پردازد براى حيلوله به سبب رهنِ محكومِ به صحّت، و اگر مرتهن از حلف نكول كرد، مقرّ له حلف ايقاع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حلف او اثبات مال او مى شود، پس اگر در جنايت بود، به مقدار جنايت بيع مى شود و بقيه رهن مى شود و ثمن به ولىّ مجنىٌ عليه تأديه مى شود اگر جنايت مستوعب ثمن نباشد، لكن بنا بر عدم كفايت اقرار راهن به جنايت مملوك در اثبات جنايت چون مثبت جنايتْ محقّق نيست، پس فعليّت بيع در جنايت خطايى يا استرقاق،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 حلف بر عدم ايقاع كرد، محكوم به حريّت مى شود، به جهت انسداد باب در احتمال استرقاق، يا بيع براى جنايت، يا مملوكيّت براى راهن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بطلان رهن با اقرار خصوص 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حلف راهن در صورت اقرار خصوص راهن و حلف راهن در اقرار خصوص مرتهن، اقرب است؛ و مخالفت بين حكم در ظاهر و واقع، ضرر به صحّت حكم ظاهرى ندارد، بلكه رهنى صحيح و ممنوع از بيع است واقعاً، و صحّت رهن موافق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اخيراً در كلام او</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محتمل است ضمان مقِرّ و راهن به واسطۀ حيلولت، در صورت عدم فكّ رهنِ‌ </w:t>
      </w:r>
    </w:p>
    <w:p>
      <w:pPr>
        <w:pStyle w:val="BookText"/>
        <w:rPr/>
      </w:pPr>
      <w:r>
        <w:rPr>
          <w:rFonts w:ascii="Amiri" w:hAnsi="Amiri" w:eastAsia="Amiri" w:cs="Amiri"/>
          <w:color w:val="111111"/>
          <w:sz w:val="28"/>
          <w:sz w:val="28"/>
          <w:szCs w:val="28"/>
          <w:rtl w:val="true"/>
          <w:lang w:bidi="ar-SA"/>
        </w:rPr>
        <w:t>محكوم به صحّت و عدم ضمان به واسطۀ نكول مذكور كه تقويت به اقرار يا نكول اختيارى مقرّ له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بر ضمان، بايد فكّ نمايد رهن را؛ و اگر بيع شده است؛ فكّ از مشترى نمايد به چيزى كه در آن، ضرر مجحف نباشد؛ و هم چنين منافع فائته به استيفاى مرتهن يا مشترى از او يا خود مقر و راهن قبل از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جنايت مملوكِ مرهون، بر مولى بود، پس در عمد مى تواند قصاص نمايد و موضوع رهن با آن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ارادۀ قصاص، نمى تواند اخذ مال از مرتهن نمايد مگر براى اينكه قصاص ننمايد تا موضوع رهن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خطايى باشد، بر مرتهن مالى نيست براى مولى يا ولىّ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جنايت كرد مرهون بعد از رهن پس مرتهن فكّ نمود آن را از حق جنايت براى آنكه رهن بر هر دو مال باشد، يعنى عوض جنايت و دين سابق، پس با رضايت راهن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جنايت كرد مرهون بر مورّث مولاى خود، ثابت است براى مولى يد و داشت آنچه ثابت بوده براى مورث او از قصاص در عمد يا افتكاك به عوض براى بقاى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جنايت بر عبد مولاى خود كرد، مولى مى تواند در عمد قصاص نمايد از غير اَب مقتول و نمى تواند عفو قاتل از قصاص نمايد به شرط مالى، مگر براى ابقاى رهن جانى نزد مرتهن كه غير مرتهن مجنىٌ عليه است يا همان است براى دو دين كه اين مال بدل مجنىٌ عليه باشد و رهن براى دين دوّمى هم باشد، يعنى رهنى كه به قتل منتفى شد در بدل جنايت باقى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مرتهنْ عالم به ارتداد يا جنايتِ عبدِ مرهون نبود و رهن شرط در ضمن عقد لازمى بود، بعد عالم شد، مخيّر است در فسخِ عقد مشروط به رهن سليم؛ به خلاف صورت علم مرتهن به عيب مذكور، يا آنكه فداء يا توبۀ مقبوله محقّق شد پس از آن </w:t>
      </w:r>
      <w:bookmarkStart w:id="100" w:name="pg10256_89335"/>
    </w:p>
    <w:p>
      <w:pPr>
        <w:pStyle w:val="BookText"/>
        <w:rPr/>
      </w:pPr>
      <w:bookmarkEnd w:id="100"/>
      <w:r>
        <w:rPr>
          <w:rFonts w:ascii="IRNazanin" w:hAnsi="IRNazanin" w:eastAsia="IRNazanin"/>
          <w:color w:val="111111"/>
          <w:sz w:val="28"/>
          <w:sz w:val="28"/>
          <w:szCs w:val="28"/>
          <w:rtl w:val="true"/>
          <w:lang w:bidi="fa-IR"/>
        </w:rPr>
        <w:t>عالم به عيب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اختيار امساك در صورت خيار كرد، نمى تواند مطالبۀ بدلى كه رهن باشد نمايد، كما اينكه اگر مقتول به جنايت شد پس از آن عالم به جنايت و قتل شد</w:t>
      </w:r>
      <w:r>
        <w:rPr>
          <w:rFonts w:eastAsia="IRNazanin" w:cs="IRNazanin"/>
          <w:color w:val="111111"/>
          <w:sz w:val="28"/>
          <w:szCs w:val="28"/>
          <w:rtl w:val="true"/>
          <w:lang w:bidi="fa-IR"/>
        </w:rPr>
        <w:t>.</w:t>
      </w:r>
    </w:p>
    <w:p>
      <w:pPr>
        <w:pStyle w:val="Heading4"/>
        <w:numPr>
          <w:ilvl w:val="3"/>
          <w:numId w:val="1"/>
        </w:numPr>
        <w:rPr/>
      </w:pPr>
      <w:bookmarkStart w:id="101" w:name="__RefHeading___Toc3597441_1067777946"/>
      <w:bookmarkStart w:id="102" w:name="_Toc41"/>
      <w:bookmarkEnd w:id="101"/>
      <w:r>
        <w:rPr>
          <w:rtl w:val="true"/>
        </w:rPr>
        <w:t>رهن چيزهاى فاسد شدنى</w:t>
      </w:r>
      <w:bookmarkEnd w:id="102"/>
    </w:p>
    <w:p>
      <w:pPr>
        <w:pStyle w:val="BookText"/>
        <w:rPr/>
      </w:pPr>
      <w:r>
        <w:rPr>
          <w:rFonts w:ascii="IRNazanin" w:hAnsi="IRNazanin" w:eastAsia="IRNazanin"/>
          <w:color w:val="111111"/>
          <w:sz w:val="28"/>
          <w:sz w:val="28"/>
          <w:szCs w:val="28"/>
          <w:rtl w:val="true"/>
          <w:lang w:bidi="fa-IR"/>
        </w:rPr>
        <w:t>اگر رهن نمود آنچه را كه فاسد مى شود قبل از حلول اجل، پس اگر ممكن الاصلاح است، بايد علاج و اصلاح بشود، مثل نفقۀ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بيع كرد، قبل از فساد، جايز است و بدل كه ثمن است رهن مى شود؛ و اگر راهن از بيع امتناع كرد، اجبار مى شود؛ و اگر ممكن نشد، مرتهن بيع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بيع با شرط آن براى تبديل رهن به ثمن، جايز است اگر چه از آنهايى باشد كه بعد از حلول اجل، فاسد مى شود، يا آنكه دينْ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عدم بيع كرد حتى در آنچه قبل از حلول فاسد مى شود، يا در وقت فساد به تأخير در حالّ‌، پس شرط فاسد است و اظهر عدم صحّت رهن است، به جهت منافات با استيثاق معتبر در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نكرد بيع يا عدم را، پس ممكن است، بلكه ظاهر چنين است استظهار ارادۀ بيع قبل از فساد، از اعتبار استيثاق در رهن و بودن مرهون از آنچه كه فاسد مى شود قبل از حلول يا قبل از ادا؛ و اظهر لزوم مراجعه به مالك و استيذان او است براى بيع مثل بيع بعد از حلول در آنچه باقى است بعد از آن، بنا بر آنچه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امتناع نمود راهن از بيع و اذن در آن، حاكم اجبارش مى نمايد؛ و اگر متعذّر شد، مرتهن بيع مى نمايد با اشهاد بنا بر احوط</w:t>
      </w:r>
      <w:r>
        <w:rPr>
          <w:rFonts w:eastAsia="IRNazanin" w:cs="IRNazanin"/>
          <w:color w:val="111111"/>
          <w:sz w:val="28"/>
          <w:szCs w:val="28"/>
          <w:rtl w:val="true"/>
          <w:lang w:bidi="fa-IR"/>
        </w:rPr>
        <w:t>.</w:t>
      </w:r>
    </w:p>
    <w:p>
      <w:pPr>
        <w:pStyle w:val="Heading4"/>
        <w:numPr>
          <w:ilvl w:val="3"/>
          <w:numId w:val="1"/>
        </w:numPr>
        <w:rPr/>
      </w:pPr>
      <w:bookmarkStart w:id="103" w:name="__RefHeading___Toc3597443_1067777946"/>
      <w:bookmarkStart w:id="104" w:name="_Toc42"/>
      <w:bookmarkEnd w:id="103"/>
      <w:r>
        <w:rPr>
          <w:rtl w:val="true"/>
        </w:rPr>
        <w:t>فساد طارى اتّفاقى</w:t>
      </w:r>
      <w:bookmarkEnd w:id="10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فسادْ قبل از ادا، معلوم يا ظاهر نبود، بلكه اتفاقِ فساد افتاد، ظاهرْ بقاى صحّت </w:t>
      </w:r>
      <w:bookmarkStart w:id="105" w:name="pg10256_89336"/>
    </w:p>
    <w:p>
      <w:pPr>
        <w:pStyle w:val="BookText"/>
        <w:rPr/>
      </w:pPr>
      <w:bookmarkEnd w:id="105"/>
      <w:r>
        <w:rPr>
          <w:rFonts w:ascii="IRNazanin" w:hAnsi="IRNazanin" w:eastAsia="IRNazanin"/>
          <w:color w:val="111111"/>
          <w:sz w:val="28"/>
          <w:sz w:val="28"/>
          <w:szCs w:val="28"/>
          <w:rtl w:val="true"/>
          <w:lang w:bidi="fa-IR"/>
        </w:rPr>
        <w:t>رهن است و لزوم بيع و تبديل رهن به ثمن به نحو مذكور در آنچه ظاهر است فساد او قبل از اداى در حال 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در فرض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فساد طارى اتفاقى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ندارد شرط عدم بيع قبل از حلول در رهن ابتداءً و بايد بيع شود و ثمن رهن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 اين خصوصيّات، رهن متعلّق است به اعمّ از شخص و ماليّت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ظنّ اطمينانىِ موجب وثوق، معتبر در صحّت رهن است و با عدم آن صحّت ندارد؛ پس ظن به فساد در حال رهن با شرط عدم بيع براى تبديل رهن به ثمن، مبطل رهن است</w:t>
      </w:r>
      <w:r>
        <w:rPr>
          <w:rFonts w:eastAsia="IRNazanin" w:cs="IRNazanin"/>
          <w:color w:val="111111"/>
          <w:sz w:val="28"/>
          <w:szCs w:val="28"/>
          <w:rtl w:val="true"/>
          <w:lang w:bidi="fa-IR"/>
        </w:rPr>
        <w:t>.</w:t>
      </w:r>
    </w:p>
    <w:p>
      <w:pPr>
        <w:pStyle w:val="Heading4"/>
        <w:numPr>
          <w:ilvl w:val="3"/>
          <w:numId w:val="1"/>
        </w:numPr>
        <w:rPr/>
      </w:pPr>
      <w:bookmarkStart w:id="106" w:name="__RefHeading___Toc3597445_1067777946"/>
      <w:bookmarkStart w:id="107" w:name="_Toc43"/>
      <w:bookmarkEnd w:id="106"/>
      <w:r>
        <w:rPr>
          <w:rtl w:val="true"/>
        </w:rPr>
        <w:t>رهن امّ ولد</w:t>
      </w:r>
      <w:bookmarkEnd w:id="107"/>
    </w:p>
    <w:p>
      <w:pPr>
        <w:pStyle w:val="BookText"/>
        <w:rPr/>
      </w:pPr>
      <w:r>
        <w:rPr>
          <w:rFonts w:ascii="IRNazanin" w:hAnsi="IRNazanin" w:eastAsia="IRNazanin"/>
          <w:color w:val="111111"/>
          <w:sz w:val="28"/>
          <w:sz w:val="28"/>
          <w:szCs w:val="28"/>
          <w:rtl w:val="true"/>
          <w:lang w:bidi="fa-IR"/>
        </w:rPr>
        <w:t>و رهن اُمّ ولد با شرط جواز بيع او جايز و صحيح و بدون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يسار در ثمن رقبه اش ظاهر شد بعد از رهن در حال اعسار، پس انفساخ رهنِ مبنى بر استيثاق، و عدم كفايت احتمال تجدّد اعسار در حال حلول دين،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جايز است رهن در ساير مستثنيات جواز بيع اُمّ ولد در فروض صحيحۀ آن كه رهن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زيادتى قيمت اُمّ به ضمّ ولد دور نيست محسوب براى مرتهن باشد،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قيمت به سبب ضميمه، محسوب بر مرتهن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عدم رهن جاريه است بدون ولد صغير او كه در بيعْ محتاج به ضميمۀ ولد است تا تفرقه بين آن دو نشود، نه آنكه رهنْ جايز باشد و ضمّ ولد در بيع از قبَل راهن يا حاكم در صورت اختيار راهن يا اجبار حاكم بر بيع، لازم باشد</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597447_1067777946"/>
      <w:bookmarkStart w:id="109" w:name="_Toc44"/>
      <w:bookmarkEnd w:id="108"/>
      <w:r>
        <w:rPr>
          <w:rtl w:val="true"/>
        </w:rPr>
        <w:t>اعتبار استيثاق در رهن</w:t>
      </w:r>
      <w:bookmarkEnd w:id="10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اعتبار استيثاق در رهن، ظاهر است كه صحيح نيست رهن در موارد عدم صحّت بيع در آنها، پس رهن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بيع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نيست رهن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 رهن ظرف در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معلوم الجنس و النوع و الصنف و مجهول المقدار است و مشتمل است يقيناً بر مقدار تأديۀ دين به بيع آن، پس صحّت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صحّت در رهن احد العبدين اگر منتهى مى شود به مثل صاع از صبره</w:t>
      </w:r>
      <w:r>
        <w:rPr>
          <w:rFonts w:eastAsia="IRNazanin" w:cs="IRNazanin"/>
          <w:color w:val="111111"/>
          <w:sz w:val="28"/>
          <w:szCs w:val="28"/>
          <w:rtl w:val="true"/>
          <w:lang w:bidi="fa-IR"/>
        </w:rPr>
        <w:t xml:space="preserve">. </w:t>
      </w:r>
      <w:bookmarkStart w:id="110" w:name="pg10256_89338"/>
    </w:p>
    <w:p>
      <w:pPr>
        <w:pStyle w:val="Heading3"/>
        <w:numPr>
          <w:ilvl w:val="2"/>
          <w:numId w:val="1"/>
        </w:numPr>
        <w:rPr/>
      </w:pPr>
      <w:bookmarkStart w:id="111" w:name="__RefHeading___Toc3597449_1067777946"/>
      <w:bookmarkStart w:id="112" w:name="_Toc45"/>
      <w:bookmarkEnd w:id="110"/>
      <w:bookmarkEnd w:id="111"/>
      <w:r>
        <w:rPr>
          <w:rtl w:val="true"/>
        </w:rPr>
        <w:t>فصل سوم حقى كه اخذ رهن براى آن جايز است</w:t>
      </w:r>
      <w:bookmarkEnd w:id="112"/>
    </w:p>
    <w:p>
      <w:pPr>
        <w:pStyle w:val="Heading4"/>
        <w:numPr>
          <w:ilvl w:val="3"/>
          <w:numId w:val="1"/>
        </w:numPr>
        <w:rPr/>
      </w:pPr>
      <w:bookmarkStart w:id="113" w:name="__RefHeading___Toc3597451_1067777946"/>
      <w:bookmarkStart w:id="114" w:name="_Toc46"/>
      <w:bookmarkEnd w:id="113"/>
      <w:r>
        <w:rPr>
          <w:rtl w:val="true"/>
        </w:rPr>
        <w:t>دينى كه رهن براى آن جايز است</w:t>
      </w:r>
      <w:bookmarkEnd w:id="114"/>
    </w:p>
    <w:p>
      <w:pPr>
        <w:pStyle w:val="BookText"/>
        <w:rPr/>
      </w:pPr>
      <w:r>
        <w:rPr>
          <w:rFonts w:ascii="IRNazanin" w:hAnsi="IRNazanin" w:eastAsia="IRNazanin"/>
          <w:color w:val="111111"/>
          <w:sz w:val="28"/>
          <w:sz w:val="28"/>
          <w:szCs w:val="28"/>
          <w:rtl w:val="true"/>
          <w:lang w:bidi="fa-IR"/>
        </w:rPr>
        <w:t xml:space="preserve">و آن هر دين ثابت در ذمّه، سابق بر رهن يا مقارن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قرض و ثمن مبيع و اجرت عمل يا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سبب ثبوت در ذمّه و وجوب تأديه، محقّق شده باشد؛ پس رهن صحيح نيست براى دَينى كه سبب ثبوت و وجوب در آن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رهن محقّق شد و رهن واقع براى آنچه بعداً خواهد دين ثابت در ذمّه واقع شد، يا به سبب قرض متأخّر يا بيع متأخّر از عقد رهن، و طرفين باقى بر رهن و ارتهان بعد از قبض بودند، پس مبنى بر صحّت معاطات در رهن است</w:t>
      </w:r>
      <w:r>
        <w:rPr>
          <w:rFonts w:eastAsia="IRNazanin" w:cs="IRNazanin"/>
          <w:color w:val="111111"/>
          <w:sz w:val="28"/>
          <w:szCs w:val="28"/>
          <w:rtl w:val="true"/>
          <w:lang w:bidi="fa-IR"/>
        </w:rPr>
        <w:t>.</w:t>
      </w:r>
    </w:p>
    <w:p>
      <w:pPr>
        <w:pStyle w:val="Heading4"/>
        <w:numPr>
          <w:ilvl w:val="3"/>
          <w:numId w:val="1"/>
        </w:numPr>
        <w:rPr/>
      </w:pPr>
      <w:bookmarkStart w:id="115" w:name="__RefHeading___Toc3597453_1067777946"/>
      <w:bookmarkStart w:id="116" w:name="_Toc47"/>
      <w:bookmarkEnd w:id="115"/>
      <w:r>
        <w:rPr>
          <w:rtl w:val="true"/>
        </w:rPr>
        <w:t>رهن در اعيان</w:t>
      </w:r>
      <w:bookmarkEnd w:id="116"/>
    </w:p>
    <w:p>
      <w:pPr>
        <w:pStyle w:val="BookText"/>
        <w:rPr/>
      </w:pPr>
      <w:r>
        <w:rPr>
          <w:rFonts w:ascii="IRNazanin" w:hAnsi="IRNazanin" w:eastAsia="IRNazanin"/>
          <w:color w:val="111111"/>
          <w:sz w:val="28"/>
          <w:sz w:val="28"/>
          <w:szCs w:val="28"/>
          <w:rtl w:val="true"/>
          <w:lang w:bidi="fa-IR"/>
        </w:rPr>
        <w:t>و اما رهن بر اعيان، پس بر غير مضمون از آنها صحّت ندارد و بر مضمونه، مثل مغصوبه و عاريۀ مضمونه و مقبوض به سَوْم، پس صحّت در آنها با ثبوت غرض عقلايى خالى از وجه نيست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است رهن بر عين مبيع و عين ثمن و درك مبيع يا ثمن كه در وقت ظهور استحقاقِ غير، بتواند استفاده از ماليّت عين مرهونه نمايد با عقلاييّت آن به وقوع در مخاطرۀ عدم حصول حق و متعلّق آن، چه به ترك تسليم مبيع يا ثمن باشد به سببى از اسباب، يا به مستحق للغير بودن آنها يا مضبوط بودن زمان مخاطره و زمان رفع آن تا حدّى كه ضرر در انتظار زايد بر احد طرفين باشد به ضرر نوعى</w:t>
      </w:r>
      <w:r>
        <w:rPr>
          <w:rFonts w:eastAsia="IRNazanin" w:cs="IRNazanin"/>
          <w:color w:val="111111"/>
          <w:sz w:val="28"/>
          <w:szCs w:val="28"/>
          <w:rtl w:val="true"/>
          <w:lang w:bidi="fa-IR"/>
        </w:rPr>
        <w:t xml:space="preserve">. </w:t>
      </w:r>
      <w:bookmarkStart w:id="117" w:name="pg10256_89339"/>
    </w:p>
    <w:p>
      <w:pPr>
        <w:pStyle w:val="BookText"/>
        <w:rPr/>
      </w:pPr>
      <w:bookmarkEnd w:id="117"/>
      <w:r>
        <w:rPr>
          <w:rFonts w:ascii="Amiri" w:hAnsi="Amiri" w:eastAsia="Amiri" w:cs="Amiri"/>
          <w:color w:val="111111"/>
          <w:sz w:val="28"/>
          <w:sz w:val="28"/>
          <w:szCs w:val="28"/>
          <w:rtl w:val="true"/>
          <w:lang w:bidi="ar-SA"/>
        </w:rPr>
        <w:t>و سبق حق لازم نيست، بلكه بايد رهن بر غير حق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مقارنت با تمام ايجاب و قبول در بيع و رهن، كافى است بنا بر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دوران رهن در صحّت و فساد، مدار استيثاق و عدم آن، كافى است در تعيين موارد صحّت و فساد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597455_1067777946"/>
      <w:bookmarkStart w:id="119" w:name="_Toc48"/>
      <w:bookmarkEnd w:id="118"/>
      <w:r>
        <w:rPr>
          <w:rtl w:val="true"/>
        </w:rPr>
        <w:t>عدم لزوم لازم بودن دين</w:t>
      </w:r>
      <w:bookmarkEnd w:id="119"/>
    </w:p>
    <w:p>
      <w:pPr>
        <w:pStyle w:val="BookText"/>
        <w:rPr/>
      </w:pPr>
      <w:r>
        <w:rPr>
          <w:rFonts w:ascii="IRNazanin" w:hAnsi="IRNazanin" w:eastAsia="IRNazanin"/>
          <w:color w:val="111111"/>
          <w:sz w:val="28"/>
          <w:sz w:val="28"/>
          <w:szCs w:val="28"/>
          <w:rtl w:val="true"/>
          <w:lang w:bidi="fa-IR"/>
        </w:rPr>
        <w:t>و دينِ ثابت، اعم از لازم است؛ پس در زمان خيار با ساير شروط، رهن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سبب حاصل شده است، نه ثابت و مستقر، مثل ديۀ اعضا با احتمال سرايت، پس در صورت اتّحاد، اظهر جواز رهن است با عدم استقرار به موت يا عدم آن اگر اجماع بر خلاف نباشد؛ و كاشفيّت اجماع هم در اين گونه مسائل تفريعيّۀ محتمل المدرك، محل اشكال، بلكه منع است؛ و هم چنين در صورت اختلاف در صورت رهن بر مقدار متيقّن جامعِ بين مستقر، يا متعقّب به موت به سبب سرايت كه تمام ديه مستحق مى شود اگر خلاف آن اتفاقى نباشد</w:t>
      </w:r>
      <w:r>
        <w:rPr>
          <w:rFonts w:eastAsia="IRNazanin" w:cs="IRNazanin"/>
          <w:color w:val="111111"/>
          <w:sz w:val="28"/>
          <w:szCs w:val="28"/>
          <w:rtl w:val="true"/>
          <w:lang w:bidi="fa-IR"/>
        </w:rPr>
        <w:t>.</w:t>
      </w:r>
    </w:p>
    <w:p>
      <w:pPr>
        <w:pStyle w:val="Heading4"/>
        <w:numPr>
          <w:ilvl w:val="3"/>
          <w:numId w:val="1"/>
        </w:numPr>
        <w:rPr/>
      </w:pPr>
      <w:bookmarkStart w:id="120" w:name="__RefHeading___Toc3597457_1067777946"/>
      <w:bookmarkStart w:id="121" w:name="_Toc49"/>
      <w:bookmarkEnd w:id="120"/>
      <w:r>
        <w:rPr>
          <w:rtl w:val="true"/>
        </w:rPr>
        <w:t>ديه اى كه تعلّق رهن به آن جايز است</w:t>
      </w:r>
      <w:bookmarkEnd w:id="121"/>
    </w:p>
    <w:p>
      <w:pPr>
        <w:pStyle w:val="BookText"/>
        <w:rPr/>
      </w:pPr>
      <w:r>
        <w:rPr>
          <w:rFonts w:ascii="IRNazanin" w:hAnsi="IRNazanin" w:eastAsia="IRNazanin"/>
          <w:color w:val="111111"/>
          <w:sz w:val="28"/>
          <w:sz w:val="28"/>
          <w:szCs w:val="28"/>
          <w:rtl w:val="true"/>
          <w:lang w:bidi="fa-IR"/>
        </w:rPr>
        <w:t>و ديۀ خطا بر عاقله به ترتيب مذكور در كتاب ديات، و رهن بر ديۀ خطاى محض كه بر عاقله است، جايز نيست قبل از حلول حول نسبت به قسط همان حول، به جهت احتمال اختلاف مستحقّ عليه كه واجد اوصاف عقل ديۀ خطا است؛ به خلاف ديۀ شبه عمد كه بر جانى است در ذمّۀ او كه رهن، مثل دين مؤجّل قبل از اجل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در فعليّت خطاب تكليفى است، نه وضعى، مگر آنكه در شبه عمد مطلقاً، ثابت در ذمّه نباشد و به مثل اعسار از ذمّۀ معسر ساقط بشود، نه آنكه فقط تكليف به ادا منتفى باشد كه بر اين تقدير، مثل ديۀ خطاى محض مى شود و رهن صحيح نيست</w:t>
      </w:r>
      <w:r>
        <w:rPr>
          <w:rFonts w:eastAsia="IRNazanin" w:cs="IRNazanin"/>
          <w:color w:val="111111"/>
          <w:sz w:val="28"/>
          <w:szCs w:val="28"/>
          <w:rtl w:val="true"/>
          <w:lang w:bidi="fa-IR"/>
        </w:rPr>
        <w:t>.</w:t>
      </w:r>
    </w:p>
    <w:p>
      <w:pPr>
        <w:pStyle w:val="Heading4"/>
        <w:numPr>
          <w:ilvl w:val="3"/>
          <w:numId w:val="1"/>
        </w:numPr>
        <w:rPr/>
      </w:pPr>
      <w:bookmarkStart w:id="122" w:name="__RefHeading___Toc3597459_1067777946"/>
      <w:bookmarkStart w:id="123" w:name="_Toc50"/>
      <w:bookmarkEnd w:id="122"/>
      <w:r>
        <w:rPr>
          <w:rtl w:val="true"/>
        </w:rPr>
        <w:t>رهن بر مال الجعاله</w:t>
      </w:r>
      <w:bookmarkEnd w:id="12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و صحيح نيست رهن چيزى بر مال الجعاله به اين عنوان قبل از تمام عمل و حصول نتيجۀ آن كه رد است، و جايز است بعد از اتمام عمل و تحقّق رد به جاعل</w:t>
      </w:r>
      <w:r>
        <w:rPr>
          <w:rFonts w:eastAsia="IRNazanin" w:cs="IRNazanin"/>
          <w:color w:val="111111"/>
          <w:sz w:val="28"/>
          <w:szCs w:val="28"/>
          <w:rtl w:val="true"/>
          <w:lang w:bidi="fa-IR"/>
        </w:rPr>
        <w:t xml:space="preserve">. </w:t>
      </w:r>
      <w:bookmarkStart w:id="124" w:name="pg10256_89340"/>
    </w:p>
    <w:p>
      <w:pPr>
        <w:pStyle w:val="Heading4"/>
        <w:numPr>
          <w:ilvl w:val="3"/>
          <w:numId w:val="1"/>
        </w:numPr>
        <w:rPr/>
      </w:pPr>
      <w:bookmarkStart w:id="125" w:name="__RefHeading___Toc3597461_1067777946"/>
      <w:bookmarkStart w:id="126" w:name="_Toc51"/>
      <w:bookmarkEnd w:id="124"/>
      <w:bookmarkEnd w:id="125"/>
      <w:r>
        <w:rPr>
          <w:rtl w:val="true"/>
        </w:rPr>
        <w:t>رهن بر مال الكتابة</w:t>
      </w:r>
      <w:bookmarkEnd w:id="126"/>
    </w:p>
    <w:p>
      <w:pPr>
        <w:pStyle w:val="BookText"/>
        <w:rPr/>
      </w:pPr>
      <w:r>
        <w:rPr>
          <w:rFonts w:ascii="IRNazanin" w:hAnsi="IRNazanin" w:eastAsia="IRNazanin"/>
          <w:color w:val="111111"/>
          <w:sz w:val="28"/>
          <w:sz w:val="28"/>
          <w:szCs w:val="28"/>
          <w:rtl w:val="true"/>
          <w:lang w:bidi="fa-IR"/>
        </w:rPr>
        <w:t>و صحيح است رهن چيزى بر مال الكتابه در مطلقه، نه در مشروطه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به هم خوردن مكاتبه در مشروطه، رهن باطل مى شود در تقدير انعقاد و صحّت حدوثيّه</w:t>
      </w:r>
      <w:r>
        <w:rPr>
          <w:rFonts w:eastAsia="IRNazanin" w:cs="IRNazanin"/>
          <w:color w:val="111111"/>
          <w:sz w:val="28"/>
          <w:szCs w:val="28"/>
          <w:rtl w:val="true"/>
          <w:lang w:bidi="fa-IR"/>
        </w:rPr>
        <w:t>.</w:t>
      </w:r>
    </w:p>
    <w:p>
      <w:pPr>
        <w:pStyle w:val="Heading4"/>
        <w:numPr>
          <w:ilvl w:val="3"/>
          <w:numId w:val="1"/>
        </w:numPr>
        <w:rPr/>
      </w:pPr>
      <w:bookmarkStart w:id="127" w:name="__RefHeading___Toc3597463_1067777946"/>
      <w:bookmarkStart w:id="128" w:name="_Toc52"/>
      <w:bookmarkEnd w:id="127"/>
      <w:r>
        <w:rPr>
          <w:rtl w:val="true"/>
        </w:rPr>
        <w:t>رهن بر منفعت معين</w:t>
      </w:r>
      <w:bookmarkEnd w:id="128"/>
    </w:p>
    <w:p>
      <w:pPr>
        <w:pStyle w:val="BookText"/>
        <w:rPr/>
      </w:pPr>
      <w:r>
        <w:rPr>
          <w:rFonts w:ascii="IRNazanin" w:hAnsi="IRNazanin" w:eastAsia="IRNazanin"/>
          <w:color w:val="111111"/>
          <w:sz w:val="28"/>
          <w:sz w:val="28"/>
          <w:szCs w:val="28"/>
          <w:rtl w:val="true"/>
          <w:lang w:bidi="fa-IR"/>
        </w:rPr>
        <w:t xml:space="preserve">و رهن بر معيّن از منفعت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خدمت 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بنا بر اظهر با بقاى صحّت اجاره و امكان استيفاى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بدل باشد از عين مرهونه در تقدير عدم تحقّق اجماع، چنانچه گذشت در نظير مقام؛ چنانكه با بطلان اجاره، رهن هم محكوم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ثابت در ذمّه است مثل عمل مطلق كه قيد مباشرت در آن نباشد و باطل نمى شود استحقاق و سبب آن به مثل موت و تعذّر، رهنِ بر آنها، صحيح است و در محلش بيع مى شود عين مرهونه و ماليّت عملِ مستأجرٌ عليه از آن استيفا مى شود</w:t>
      </w:r>
      <w:r>
        <w:rPr>
          <w:rFonts w:eastAsia="IRNazanin" w:cs="IRNazanin"/>
          <w:color w:val="111111"/>
          <w:sz w:val="28"/>
          <w:szCs w:val="28"/>
          <w:rtl w:val="true"/>
          <w:lang w:bidi="fa-IR"/>
        </w:rPr>
        <w:t>.</w:t>
      </w:r>
    </w:p>
    <w:p>
      <w:pPr>
        <w:pStyle w:val="Heading4"/>
        <w:numPr>
          <w:ilvl w:val="3"/>
          <w:numId w:val="1"/>
        </w:numPr>
        <w:rPr/>
      </w:pPr>
      <w:bookmarkStart w:id="129" w:name="__RefHeading___Toc3597465_1067777946"/>
      <w:bookmarkStart w:id="130" w:name="_Toc53"/>
      <w:bookmarkEnd w:id="129"/>
      <w:r>
        <w:rPr>
          <w:rtl w:val="true"/>
        </w:rPr>
        <w:t>تقارن دو رهن يا تعدّد دين</w:t>
      </w:r>
      <w:bookmarkEnd w:id="130"/>
    </w:p>
    <w:p>
      <w:pPr>
        <w:pStyle w:val="BookText"/>
        <w:rPr/>
      </w:pPr>
      <w:r>
        <w:rPr>
          <w:rFonts w:ascii="IRNazanin" w:hAnsi="IRNazanin" w:eastAsia="IRNazanin"/>
          <w:color w:val="111111"/>
          <w:sz w:val="28"/>
          <w:sz w:val="28"/>
          <w:szCs w:val="28"/>
          <w:rtl w:val="true"/>
          <w:lang w:bidi="fa-IR"/>
        </w:rPr>
        <w:t>اگر دو رهنِ مقارن صورت گرفت به مثل توكيل، يا با دو مرتهن، هر دو صحيح است اگر چه در حكم منتهى به توزيع بر دو دين بشود، در صورت وجود شرط هر دو حتى قبض</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مالى رهن داد پس از آن دين ديگرى بر او براى مرتهن ثابت شد، پس عين مرهونه به رهن اوّل را رهن قرار داد براى دين ثانى از مرتهن اوّل با اطلاع هر دو بخصوصيّات دين ثانى و صحّت رهن دوّم فى نفسه يا با وفاى عين براى هر دو دين اگر چه مطّلع نباشند، يا در خصوص مقدار زايد به حسب ماليّت از قدر دين اوّل با ساير شروط صحّت رهن، مانعى از صحّت هر دو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لازم نيست مغايرت مرهون در دو رهن؛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دوّم و رهن دوّم </w:t>
      </w:r>
    </w:p>
    <w:p>
      <w:pPr>
        <w:pStyle w:val="BookText"/>
        <w:rPr/>
      </w:pPr>
      <w:r>
        <w:rPr>
          <w:rFonts w:ascii="IRNazanin" w:hAnsi="IRNazanin" w:eastAsia="IRNazanin"/>
          <w:color w:val="111111"/>
          <w:sz w:val="28"/>
          <w:sz w:val="28"/>
          <w:szCs w:val="28"/>
          <w:rtl w:val="true"/>
          <w:lang w:bidi="fa-IR"/>
        </w:rPr>
        <w:t>از غير مرتهن و دائن اوّل باشد با حصول قبض براى هر دو مرتهن اگر چه با استنابه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زيادتى از يك دين نباشد، بلكه بايد صرف در اداى يكى از آنها بشود، پس با اطلاع طرفين به خصوصيّات عين و ماليّت آن، امر داير است بين فسخ اوّل راساً يا توزيع رهن بر دو دين بنا بر صحّت رهن براى بعض دين، با توافق طرفين در قصد احد امرين يا قيام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موافقت واقعيّه، حكم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موافقت مرتهن در دوّمى در فسخ اوّل و لو در بعض، نافذ نيست رهن دوّم، به جهت عدم قبول مرتهن مقصود راهن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مرتهن به رهن دوّم، اسقاط حق خودش نمود، يا ابراى ذمّه از دين دوّم نمود، يا آنكه دين دوّم فكّ شد، رهن اوّل اگر فسخ بر او و لو در بعض طارى نشده باشد، باقى بر صحّت خودش است در آن قدرى كه باقى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مرتهن اوّل رهن دوّم را در صورت تعدّد مرتهن، لازم است در صحّت رهن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نكرد مرتهن اوّل رهن دوّم را در موقع صحّت با اجازه، پس فكّ دين اوّل شد، ظاهر صحّت رهن دوّم است با قصد رهنِ مجموع براى مجموع دين دوّم و بقاى راهن به رهن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فروخته شد مرهون براى دين اوّل با صحّت فروختن و بقيه از آن ماند بعينه، پس صحّت رهن در آن باقى مانده با عدم محذور ديگرى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در رهن دوّم به نحوى باشد كه ظاهر باشد تناول آن ثمن را و به اعم از ثمن در رهن دوّم متعلّق باشد به حسب خصوصيّات موارد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كيفيّت مقابله در رهن، متبوعْ قصد راهن و مرتهن است، و مقتضاى داعى، مقابلۀ اجزاى مرهون با اجزاى دين است و لازمۀ آن انفكاك رهن در هر جزئى به تأديۀ جزئى مماثل آن است؛ و اين مطلب در صورت اعتقاد آنها، وفاى رهن به هر دو دين را، واضح است</w:t>
      </w:r>
      <w:r>
        <w:rPr>
          <w:rFonts w:eastAsia="Amiri" w:cs="Amiri" w:ascii="Amiri" w:hAnsi="Amiri"/>
          <w:color w:val="111111"/>
          <w:sz w:val="28"/>
          <w:szCs w:val="28"/>
          <w:rtl w:val="true"/>
          <w:lang w:bidi="ar-SA"/>
        </w:rPr>
        <w:t xml:space="preserve">. </w:t>
      </w:r>
      <w:bookmarkStart w:id="131" w:name="pg10256_89342"/>
    </w:p>
    <w:p>
      <w:pPr>
        <w:pStyle w:val="Heading4"/>
        <w:numPr>
          <w:ilvl w:val="3"/>
          <w:numId w:val="1"/>
        </w:numPr>
        <w:rPr/>
      </w:pPr>
      <w:bookmarkStart w:id="132" w:name="__RefHeading___Toc3597467_1067777946"/>
      <w:bookmarkStart w:id="133" w:name="_Toc54"/>
      <w:bookmarkEnd w:id="131"/>
      <w:bookmarkEnd w:id="132"/>
      <w:r>
        <w:rPr>
          <w:rtl w:val="true"/>
        </w:rPr>
        <w:t>تعدّد مرتهن يا راهن</w:t>
      </w:r>
      <w:bookmarkEnd w:id="133"/>
    </w:p>
    <w:p>
      <w:pPr>
        <w:pStyle w:val="BookText"/>
        <w:rPr/>
      </w:pPr>
      <w:r>
        <w:rPr>
          <w:rFonts w:ascii="IRNazanin" w:hAnsi="IRNazanin" w:eastAsia="IRNazanin"/>
          <w:color w:val="111111"/>
          <w:sz w:val="28"/>
          <w:sz w:val="28"/>
          <w:szCs w:val="28"/>
          <w:rtl w:val="true"/>
          <w:lang w:bidi="fa-IR"/>
        </w:rPr>
        <w:t xml:space="preserve">اگر 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بود و راهن و مديونْ واحد و عقدْ واحد بود، پس با تساوى، هر كدام ارتهان نصف نموده اند؛ و اگر مختلف المقدار بودند، پس مرتهن، نصف دين خاص در هر كدام است، اگر چه نصف دينى با نصفِ نصف آن مثلاً مختلف المقدار مى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تعدّد در مرتهن يا راهن طارى شد، مثل وارثِ مرتهنِ واحد و وارثِ راهنِ واحد، پس با اداى احد الولدين نصيب خود را از رهن به مرتهن يا اداى به يكى از دو ولد مرتهن نصيب او را از رهن، تبعيض در انفكاك حاصل مى شود يا نه‌؟ پس دور نيست مالك نصف مشاع، خارج از حق به طور مشاع باشد مملوك او، چنانچه مالك دين به طور مشاع، و مستحق مرهون به طور مشاع خارج بشود ملك به طور اشاعه از حق او به تأديۀ نصف مجموع دينين، و لازم نيست مجتمعاً تأديه نمايند تا نصف مشاع از حق خارج شود، چنانچه متيقّن از فكّ مبعّض همين است</w:t>
      </w:r>
      <w:r>
        <w:rPr>
          <w:rFonts w:eastAsia="IRNazanin" w:cs="IRNazanin"/>
          <w:color w:val="111111"/>
          <w:sz w:val="28"/>
          <w:szCs w:val="28"/>
          <w:rtl w:val="true"/>
          <w:lang w:bidi="fa-IR"/>
        </w:rPr>
        <w:t xml:space="preserve">. </w:t>
      </w:r>
      <w:bookmarkStart w:id="134" w:name="pg10256_89343"/>
    </w:p>
    <w:p>
      <w:pPr>
        <w:pStyle w:val="Heading3"/>
        <w:numPr>
          <w:ilvl w:val="2"/>
          <w:numId w:val="1"/>
        </w:numPr>
        <w:rPr/>
      </w:pPr>
      <w:bookmarkStart w:id="135" w:name="__RefHeading___Toc3597469_1067777946"/>
      <w:bookmarkStart w:id="136" w:name="_Toc55"/>
      <w:bookmarkEnd w:id="134"/>
      <w:bookmarkEnd w:id="135"/>
      <w:r>
        <w:rPr>
          <w:rtl w:val="true"/>
        </w:rPr>
        <w:t>فصل چهارم شرايط راهن</w:t>
      </w:r>
      <w:bookmarkEnd w:id="136"/>
    </w:p>
    <w:p>
      <w:pPr>
        <w:pStyle w:val="Heading4"/>
        <w:numPr>
          <w:ilvl w:val="3"/>
          <w:numId w:val="1"/>
        </w:numPr>
        <w:rPr/>
      </w:pPr>
      <w:bookmarkStart w:id="137" w:name="__RefHeading___Toc3597471_1067777946"/>
      <w:bookmarkStart w:id="138" w:name="_Toc56"/>
      <w:bookmarkEnd w:id="137"/>
      <w:r>
        <w:rPr>
          <w:rtl w:val="true"/>
        </w:rPr>
        <w:t>كمال راهن</w:t>
      </w:r>
      <w:bookmarkEnd w:id="138"/>
    </w:p>
    <w:p>
      <w:pPr>
        <w:pStyle w:val="BookText"/>
        <w:rPr/>
      </w:pPr>
      <w:r>
        <w:rPr>
          <w:rFonts w:ascii="IRNazanin" w:hAnsi="IRNazanin" w:eastAsia="IRNazanin"/>
          <w:color w:val="111111"/>
          <w:sz w:val="28"/>
          <w:sz w:val="28"/>
          <w:szCs w:val="28"/>
          <w:rtl w:val="true"/>
          <w:lang w:bidi="fa-IR"/>
        </w:rPr>
        <w:t>فصل چهارم شرايط راهن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معتبر است در صحّت رهن از راهن، كمال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صحيح نمى شود از طفل و مجنون اگر چه با اجازۀ ولىّ باشد بنا بر سلب عبارت آنها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ادوارى در حال افاقه در حكم غير مجنون است</w:t>
      </w:r>
      <w:r>
        <w:rPr>
          <w:rFonts w:eastAsia="IRNazanin" w:cs="IRNazanin"/>
          <w:color w:val="111111"/>
          <w:sz w:val="28"/>
          <w:szCs w:val="28"/>
          <w:rtl w:val="true"/>
          <w:lang w:bidi="fa-IR"/>
        </w:rPr>
        <w:t>.</w:t>
      </w:r>
    </w:p>
    <w:p>
      <w:pPr>
        <w:pStyle w:val="Heading4"/>
        <w:numPr>
          <w:ilvl w:val="3"/>
          <w:numId w:val="1"/>
        </w:numPr>
        <w:rPr/>
      </w:pPr>
      <w:bookmarkStart w:id="139" w:name="__RefHeading___Toc3597473_1067777946"/>
      <w:bookmarkStart w:id="140" w:name="_Toc57"/>
      <w:bookmarkEnd w:id="139"/>
      <w:r>
        <w:rPr>
          <w:rtl w:val="true"/>
        </w:rPr>
        <w:t>نفوذ تصرّف</w:t>
      </w:r>
      <w:bookmarkEnd w:id="140"/>
    </w:p>
    <w:p>
      <w:pPr>
        <w:pStyle w:val="BookText"/>
        <w:rPr/>
      </w:pPr>
      <w:r>
        <w:rPr>
          <w:rFonts w:ascii="IRNazanin" w:hAnsi="IRNazanin" w:eastAsia="IRNazanin"/>
          <w:color w:val="111111"/>
          <w:sz w:val="28"/>
          <w:sz w:val="28"/>
          <w:szCs w:val="28"/>
          <w:rtl w:val="true"/>
          <w:lang w:bidi="fa-IR"/>
        </w:rPr>
        <w:t xml:space="preserve">و بايد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آنچه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التصرف باشد؛ پس صحيح نيست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ايشان مگر با اجازۀ ولىّ يا اذن او؛ به خلاف رهن به وكالت از كامل در مال موكِّل، يا با تعقّب رهن فضولى به اجازۀ مالك، كه مانعى ندارد</w:t>
      </w:r>
      <w:r>
        <w:rPr>
          <w:rFonts w:eastAsia="IRNazanin" w:cs="IRNazanin"/>
          <w:color w:val="111111"/>
          <w:sz w:val="28"/>
          <w:szCs w:val="28"/>
          <w:rtl w:val="true"/>
          <w:lang w:bidi="fa-IR"/>
        </w:rPr>
        <w:t>.</w:t>
      </w:r>
    </w:p>
    <w:p>
      <w:pPr>
        <w:pStyle w:val="Heading4"/>
        <w:numPr>
          <w:ilvl w:val="3"/>
          <w:numId w:val="1"/>
        </w:numPr>
        <w:rPr/>
      </w:pPr>
      <w:bookmarkStart w:id="141" w:name="__RefHeading___Toc3597475_1067777946"/>
      <w:bookmarkStart w:id="142" w:name="_Toc58"/>
      <w:bookmarkEnd w:id="141"/>
      <w:r>
        <w:rPr>
          <w:rtl w:val="true"/>
        </w:rPr>
        <w:t>عدم اكراه</w:t>
      </w:r>
      <w:bookmarkEnd w:id="142"/>
    </w:p>
    <w:p>
      <w:pPr>
        <w:pStyle w:val="BookText"/>
        <w:rPr/>
      </w:pP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عقد اكراهى اثر ندارد مگر با تعقّب به رضاى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p>
    <w:p>
      <w:pPr>
        <w:pStyle w:val="Heading4"/>
        <w:numPr>
          <w:ilvl w:val="3"/>
          <w:numId w:val="1"/>
        </w:numPr>
        <w:rPr/>
      </w:pPr>
      <w:bookmarkStart w:id="143" w:name="__RefHeading___Toc3597477_1067777946"/>
      <w:bookmarkStart w:id="144" w:name="_Toc59"/>
      <w:bookmarkEnd w:id="143"/>
      <w:r>
        <w:rPr>
          <w:rtl w:val="true"/>
        </w:rPr>
        <w:t>مملوك بودن مرهون</w:t>
      </w:r>
      <w:bookmarkEnd w:id="1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رهن براى راهن، لازم است كه مرهونْ مملوك او باشد، يا آنكه رهن با اذن مالك باشد، مثل مستعير</w:t>
      </w:r>
      <w:r>
        <w:rPr>
          <w:rFonts w:eastAsia="Amiri" w:cs="Amiri" w:ascii="Amiri" w:hAnsi="Amiri"/>
          <w:color w:val="111111"/>
          <w:sz w:val="28"/>
          <w:szCs w:val="28"/>
          <w:rtl w:val="true"/>
          <w:lang w:bidi="ar-SA"/>
        </w:rPr>
        <w:t xml:space="preserve">. </w:t>
      </w:r>
      <w:bookmarkStart w:id="145" w:name="pg10256_89344"/>
    </w:p>
    <w:p>
      <w:pPr>
        <w:pStyle w:val="Heading4"/>
        <w:numPr>
          <w:ilvl w:val="3"/>
          <w:numId w:val="1"/>
        </w:numPr>
        <w:rPr/>
      </w:pPr>
      <w:bookmarkStart w:id="146" w:name="__RefHeading___Toc3597479_1067777946"/>
      <w:bookmarkStart w:id="147" w:name="_Toc60"/>
      <w:bookmarkEnd w:id="145"/>
      <w:bookmarkEnd w:id="146"/>
      <w:r>
        <w:rPr>
          <w:rtl w:val="true"/>
        </w:rPr>
        <w:t>رهن دادن ولىّ طفل مال طفل را</w:t>
      </w:r>
      <w:bookmarkEnd w:id="1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طفل مى تواند به رهن بدهد مال طفل را براى استدانۀ مال براى مصالح طفل در خودش، يا اموال او كه محافظت بر آنها متوقّف بر استدانه باشد، و راهى ديگر نداشته باشد و موافق مصلحت و غبطه براى طفل باشد؛ مثل اينكه اگر استدانه براى اصلاح مال او ننمايد، منهدم مى شود، يا آنكه تلف مى شود، در جايى كه استبقاى انفع باشد، با رعايت وضع مرهون در يد امين محافظه كار بر عين، و از مصالح مولّىٰ عليه خارج نشود</w:t>
      </w:r>
      <w:r>
        <w:rPr>
          <w:rFonts w:eastAsia="IRNazanin" w:cs="IRNazanin"/>
          <w:color w:val="111111"/>
          <w:sz w:val="28"/>
          <w:szCs w:val="28"/>
          <w:rtl w:val="true"/>
          <w:lang w:bidi="fa-IR"/>
        </w:rPr>
        <w:t xml:space="preserve">. </w:t>
      </w:r>
      <w:bookmarkStart w:id="148" w:name="pg10256_89345"/>
    </w:p>
    <w:p>
      <w:pPr>
        <w:pStyle w:val="Heading3"/>
        <w:numPr>
          <w:ilvl w:val="2"/>
          <w:numId w:val="1"/>
        </w:numPr>
        <w:rPr/>
      </w:pPr>
      <w:bookmarkStart w:id="149" w:name="__RefHeading___Toc3597481_1067777946"/>
      <w:bookmarkStart w:id="150" w:name="_Toc61"/>
      <w:bookmarkEnd w:id="148"/>
      <w:bookmarkEnd w:id="149"/>
      <w:r>
        <w:rPr>
          <w:rtl w:val="true"/>
        </w:rPr>
        <w:t>فصل پنجم شرايط مرتهن</w:t>
      </w:r>
      <w:bookmarkEnd w:id="150"/>
    </w:p>
    <w:p>
      <w:pPr>
        <w:pStyle w:val="Heading4"/>
        <w:numPr>
          <w:ilvl w:val="3"/>
          <w:numId w:val="1"/>
        </w:numPr>
        <w:rPr/>
      </w:pPr>
      <w:bookmarkStart w:id="151" w:name="__RefHeading___Toc3597483_1067777946"/>
      <w:bookmarkStart w:id="152" w:name="_Toc62"/>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معتبر است در 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نحوى كه در راهن گذشت؛ لكن سفيه و مفلّس مى توانند ارتهان نمايند به جهت خروج آن از تصرّفات 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حجر و منع آنها است</w:t>
      </w:r>
      <w:r>
        <w:rPr>
          <w:rFonts w:eastAsia="IRNazanin" w:cs="IRNazanin"/>
          <w:color w:val="111111"/>
          <w:sz w:val="28"/>
          <w:szCs w:val="28"/>
          <w:rtl w:val="true"/>
          <w:lang w:bidi="fa-IR"/>
        </w:rPr>
        <w:t>.</w:t>
      </w:r>
    </w:p>
    <w:p>
      <w:pPr>
        <w:pStyle w:val="Heading4"/>
        <w:numPr>
          <w:ilvl w:val="3"/>
          <w:numId w:val="1"/>
        </w:numPr>
        <w:rPr/>
      </w:pPr>
      <w:bookmarkStart w:id="153" w:name="__RefHeading___Toc3597485_1067777946"/>
      <w:bookmarkStart w:id="154" w:name="_Toc63"/>
      <w:bookmarkEnd w:id="153"/>
      <w:r>
        <w:rPr>
          <w:rtl w:val="true"/>
        </w:rPr>
        <w:t>شرايط قبول رهن براى طفل</w:t>
      </w:r>
      <w:bookmarkEnd w:id="154"/>
    </w:p>
    <w:p>
      <w:pPr>
        <w:pStyle w:val="BookText"/>
        <w:rPr/>
      </w:pPr>
      <w:r>
        <w:rPr>
          <w:rFonts w:ascii="IRNazanin" w:hAnsi="IRNazanin" w:eastAsia="IRNazanin"/>
          <w:color w:val="111111"/>
          <w:sz w:val="28"/>
          <w:sz w:val="28"/>
          <w:szCs w:val="28"/>
          <w:rtl w:val="true"/>
          <w:lang w:bidi="fa-IR"/>
        </w:rPr>
        <w:t>جايز است براى ولىّ يتيم، قبول رهن براى او، مثل قبول هبه و وقف؛ ممكن است گاهى واجب بشود، مثل اينكه بفروشد مال يتيم را به غير ملىء و مأمون؛ به خلاف صورت ظن اطمينانى به ملائت و امانت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وثاقت در مشترى باشد و ملائت نباشد، معلوم نيست خلوّ تصرّف بيعىِ مذكور بدون ارتهان از مفسده؛ و بايد تصرّفْ خالى از مفسده باشد، يا آنكه اقلّ مفسدتاً از خلاف آن باشد اگر چه لازم نيست از او اصلح تصرّفى نباشد كه مستلزم تعطيل مال يتيم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تصرّف متساوى باشند در خصوصيّات با ملاحظۀ احسن بودن مبادرت در بعضى و انتظار در بعض ديگر احياناً و مع ذلك يكى احسن از ديگرى بود و هر دو ميسور فعلى بودند، پس احتياط در اختيار احسن بالفعل است و ترك انتظار براى احتمال احسن بودن تصرّف ديگر فيما بعد</w:t>
      </w:r>
      <w:r>
        <w:rPr>
          <w:rFonts w:eastAsia="IRNazanin" w:cs="IRNazanin"/>
          <w:color w:val="111111"/>
          <w:sz w:val="28"/>
          <w:szCs w:val="28"/>
          <w:rtl w:val="true"/>
          <w:lang w:bidi="fa-IR"/>
        </w:rPr>
        <w:t>.</w:t>
      </w:r>
    </w:p>
    <w:p>
      <w:pPr>
        <w:pStyle w:val="Heading4"/>
        <w:numPr>
          <w:ilvl w:val="3"/>
          <w:numId w:val="1"/>
        </w:numPr>
        <w:rPr/>
      </w:pPr>
      <w:bookmarkStart w:id="155" w:name="__RefHeading___Toc3597487_1067777946"/>
      <w:bookmarkStart w:id="156" w:name="_Toc64"/>
      <w:bookmarkEnd w:id="155"/>
      <w:r>
        <w:rPr>
          <w:rtl w:val="true"/>
        </w:rPr>
        <w:t>شرايط رهن دادن و يا اقراض مال طفل</w:t>
      </w:r>
      <w:bookmarkEnd w:id="1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است براى ولىّ طفل، رهن دادن مال او در صورت غبطه و مصلحت، مثل بيع </w:t>
      </w:r>
      <w:bookmarkStart w:id="157" w:name="pg10256_89346"/>
    </w:p>
    <w:p>
      <w:pPr>
        <w:pStyle w:val="BookText"/>
        <w:rPr/>
      </w:pPr>
      <w:bookmarkEnd w:id="157"/>
      <w:r>
        <w:rPr>
          <w:rFonts w:ascii="Amiri" w:hAnsi="Amiri" w:eastAsia="Amiri" w:cs="Amiri"/>
          <w:color w:val="111111"/>
          <w:sz w:val="28"/>
          <w:sz w:val="28"/>
          <w:szCs w:val="28"/>
          <w:rtl w:val="true"/>
          <w:lang w:bidi="ar-SA"/>
        </w:rPr>
        <w:t>سلف با زيادتى از ثمن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اقراض مال طفل براى ولىّ جايز نيست مگر با غبطه و مصلحت او، مثل خوف غرق و تلف؛ پس قرض مى دهد و رهن قبول مى نمايد چيزى را كه قابل وفاى دين باشد در موقع بيع، و رعايت مى نمايد ملائت مقترض و وثاقت را براى تحفّظ بر مال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رهن ممكن نشد و خوف در بقاى مال از تلف يا فساد بود، جايز است اقراض آن به ثقه و ملىء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تحقّق رهن صحيح، عدم اعتبار وثاقت و ملائت در معامله ولىّ با مديون راهن، خالى از وجه نيست با تحقّق احسنيّت در تصرّف خاص به مثل احتياج به آن تصرّف در مال يتيم و محفوظيّت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مرهون، زيادتى بر حدّ وفاى دين مانعى ندارد با وثاقت مرتهن يا وضع رهن در يد 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امور معتبره در معامله ولىّ با غير در مال يتيم، در معامله با خود ولىّ با توقّف احسنيّت بر آن، لازم است؛ پس معامله با خودش در آن مال، مثل معامله با غير است، اگر متوقّف باشد بر رهن مال يتيم يا ارتهان براى او، لازم است در هر دو صورت بنا بر اظهر موافق با اطلاق آيۀ شريفه؛ و اگر متوقّف نباشد، لازم نيست در هر دو مقام</w:t>
      </w:r>
      <w:r>
        <w:rPr>
          <w:rFonts w:eastAsia="IRNazanin" w:cs="IRNazanin"/>
          <w:color w:val="111111"/>
          <w:sz w:val="28"/>
          <w:szCs w:val="28"/>
          <w:rtl w:val="true"/>
          <w:lang w:bidi="fa-IR"/>
        </w:rPr>
        <w:t>.</w:t>
      </w:r>
    </w:p>
    <w:p>
      <w:pPr>
        <w:pStyle w:val="Heading4"/>
        <w:numPr>
          <w:ilvl w:val="3"/>
          <w:numId w:val="1"/>
        </w:numPr>
        <w:rPr/>
      </w:pPr>
      <w:bookmarkStart w:id="158" w:name="__RefHeading___Toc3597489_1067777946"/>
      <w:bookmarkStart w:id="159" w:name="_Toc65"/>
      <w:bookmarkEnd w:id="158"/>
      <w:r>
        <w:rPr>
          <w:rtl w:val="true"/>
        </w:rPr>
        <w:t>شرط در ضمن عقد رهن</w:t>
      </w:r>
      <w:bookmarkEnd w:id="159"/>
    </w:p>
    <w:p>
      <w:pPr>
        <w:pStyle w:val="BookText"/>
        <w:rPr/>
      </w:pPr>
      <w:r>
        <w:rPr>
          <w:rFonts w:ascii="IRNazanin" w:hAnsi="IRNazanin" w:eastAsia="IRNazanin"/>
          <w:color w:val="111111"/>
          <w:sz w:val="28"/>
          <w:sz w:val="28"/>
          <w:szCs w:val="28"/>
          <w:rtl w:val="true"/>
          <w:lang w:bidi="fa-IR"/>
        </w:rPr>
        <w:t>اگر مرتهن در عقد رهن، شرط كرد وضع عين مرهونه در يد عادلِ معيّن، يا وكالت خود يا غير را در عقد بيع عين، لازم مى شود به شرط اوّلى، و محقّق مى شود وكالت در دوّمى، و راهن حق فسخ رهن و عزل وكيل ندارد بنا بر صحّت شرط نتيجه در عدم استحقاق عزل، چنانچه منسوب به اطلاق كلام اصحاب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وكالت مشروطه، به موت راهن و وكيل باطل مى شود و با بطلان آن، رهانت باطل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وكالت با شرط آن، از ميّت كه مرتهن است به وارث او منتقل نمى شود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شرط كرد وكالت را براى مرتهن، يا غير، يا وارث يكى از اموات كه وكيل به </w:t>
      </w:r>
      <w:bookmarkStart w:id="160" w:name="pg10256_89347"/>
    </w:p>
    <w:p>
      <w:pPr>
        <w:pStyle w:val="BookText"/>
        <w:rPr/>
      </w:pPr>
      <w:bookmarkEnd w:id="160"/>
      <w:r>
        <w:rPr>
          <w:rFonts w:ascii="IRNazanin" w:hAnsi="IRNazanin" w:eastAsia="IRNazanin"/>
          <w:color w:val="111111"/>
          <w:sz w:val="28"/>
          <w:sz w:val="28"/>
          <w:szCs w:val="28"/>
          <w:rtl w:val="true"/>
          <w:lang w:bidi="fa-IR"/>
        </w:rPr>
        <w:t xml:space="preserve">اين شرط بوده،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شرط نتيجه و عدم اضرار تعليق و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تحقّق آن وكالت به نفس اين شرط در ضمن عقد رهن به نحو مراعات به تحقّق معلّقٌ عليه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شرط بيع عن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شرط اينكه بيع مرتهن از قِبَل راهن باشد كه مستلزم اذن يا توكيل فعلى است در مقابل توكيل صدقى كه مصداق توكيل به حمل اولى باشد و رجوع از چنين اذن، رجوع از شرط است و مشروطٌ عليه حق رجوع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مآل آن، به شرط نتيجه به نحو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بيع عن الراهن به توكيل بعد از رهن، پس لزوم آوردن آن، خالى از شبهه نيست، زيرا با توكيل، بيع عن الراهن است و بدون آن نيست، پس دو شرط نيست، بلكه شرط توكيل است و مقتضاى آن جواز 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مشروطْ توكيلِ غير متعقّب به عزل باشد، پس در عدم توكيل، يا در عزل بعد از توكيل، غير اثم، مخالفت شرط نيست، زيرا رهن از مرتهن جايز است نه لازم</w:t>
      </w:r>
      <w:r>
        <w:rPr>
          <w:rFonts w:eastAsia="IRNazanin" w:cs="IRNazanin"/>
          <w:color w:val="111111"/>
          <w:sz w:val="28"/>
          <w:szCs w:val="28"/>
          <w:rtl w:val="true"/>
          <w:lang w:bidi="fa-IR"/>
        </w:rPr>
        <w:t>.</w:t>
      </w:r>
    </w:p>
    <w:p>
      <w:pPr>
        <w:pStyle w:val="Heading4"/>
        <w:numPr>
          <w:ilvl w:val="3"/>
          <w:numId w:val="1"/>
        </w:numPr>
        <w:rPr/>
      </w:pPr>
      <w:bookmarkStart w:id="161" w:name="__RefHeading___Toc3597491_1067777946"/>
      <w:bookmarkStart w:id="162" w:name="_Toc66"/>
      <w:bookmarkEnd w:id="161"/>
      <w:r>
        <w:rPr>
          <w:rtl w:val="true"/>
        </w:rPr>
        <w:t>مجهول شدن عين مرهونه بعد از وفات مرتهن</w:t>
      </w:r>
      <w:bookmarkEnd w:id="162"/>
    </w:p>
    <w:p>
      <w:pPr>
        <w:pStyle w:val="BookText"/>
        <w:rPr/>
      </w:pPr>
      <w:r>
        <w:rPr>
          <w:rFonts w:ascii="IRNazanin" w:hAnsi="IRNazanin" w:eastAsia="IRNazanin"/>
          <w:color w:val="111111"/>
          <w:sz w:val="28"/>
          <w:sz w:val="28"/>
          <w:szCs w:val="28"/>
          <w:rtl w:val="true"/>
          <w:lang w:bidi="fa-IR"/>
        </w:rPr>
        <w:t>اگر مرتهن وفات كرد و رهن به عينه، در تركۀ او معلوم نبود؛ پس اگر معلوم بود در ضمن تركه و مشخص نبود، ظاهراً مقدّم است بر حق غرما در مصالحٌ عليه با راهن و تأديه به او، مثل صورت معلوميّت خصوصيّت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عالم بودند كه در نزد ميّت بوده و لكن در متروكات نبوده قطعاً يا احتمالاً، پس با احتمال عمل ميّت به وظيفۀ خودش در آن، چنانچه ظاهرِ تركِ اعلام و اشهاد است، اظهر محكوميّت متروكات به مملوكيّت براى 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داند تلف در يد مرتهن بوده و لكن محتمل است كه بدون تفريط بوده به حسب ظهور حال مسلم در ترك اعلام به عدم اشتغال ذمّۀ او براى راهن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داند بوده قبل از وفات، و بعد از وفات در متروكات نبوده، پس با احتمال </w:t>
      </w:r>
      <w:bookmarkStart w:id="163" w:name="pg10256_89348"/>
    </w:p>
    <w:p>
      <w:pPr>
        <w:pStyle w:val="BookText"/>
        <w:rPr/>
      </w:pPr>
      <w:bookmarkEnd w:id="163"/>
      <w:r>
        <w:rPr>
          <w:rFonts w:ascii="Amiri" w:hAnsi="Amiri" w:eastAsia="Amiri" w:cs="Amiri"/>
          <w:color w:val="111111"/>
          <w:sz w:val="28"/>
          <w:sz w:val="28"/>
          <w:szCs w:val="28"/>
          <w:rtl w:val="true"/>
          <w:lang w:bidi="ar-SA"/>
        </w:rPr>
        <w:t>عمل به وظيفه، مثل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احتمال تلف بعد از وفات دادند، پس با عدم تفريطِ وارث اگر چه به محافظه كارى و ترك تسامح و تأخير تأديه در وقت لزوم باشد، حكم به ضمان آنها نمى شود، و غير صور مذكوره، مورد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نداند كه رهن بوده و در متروكات چيزى مرهون بوده، پس حكم به ملكيّت براى ميّت و وارث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صندوقى با مرهونها بوده بدون علم به رهنيّت آنچه با مرهون است، محكوم به مالكيّت ميّت، مثل ساير آنچه در يد او است مى شود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اين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رهن بوده شخصِ مالى و فكّ آن معلوم نبود، مقتضاى استصحابِ عدم مالكيّت ذى اليد و عدم انفكاك رهن خاص، بقاى رهن است؛ و خروج آن يد معلوم از عموم و بقاى خروج مستصحب است</w:t>
      </w:r>
      <w:r>
        <w:rPr>
          <w:rFonts w:eastAsia="IRNazanin" w:cs="IRNazanin"/>
          <w:color w:val="111111"/>
          <w:sz w:val="28"/>
          <w:szCs w:val="28"/>
          <w:rtl w:val="true"/>
          <w:lang w:bidi="fa-IR"/>
        </w:rPr>
        <w:t>.</w:t>
      </w:r>
    </w:p>
    <w:p>
      <w:pPr>
        <w:pStyle w:val="Heading4"/>
        <w:numPr>
          <w:ilvl w:val="3"/>
          <w:numId w:val="1"/>
        </w:numPr>
        <w:rPr/>
      </w:pPr>
      <w:bookmarkStart w:id="164" w:name="__RefHeading___Toc3597493_1067777946"/>
      <w:bookmarkStart w:id="165" w:name="_Toc67"/>
      <w:bookmarkEnd w:id="164"/>
      <w:r>
        <w:rPr>
          <w:rtl w:val="true"/>
        </w:rPr>
        <w:t>خريدن مرتهن، عين مرهونه را</w:t>
      </w:r>
      <w:bookmarkEnd w:id="165"/>
    </w:p>
    <w:p>
      <w:pPr>
        <w:pStyle w:val="BookText"/>
        <w:rPr/>
      </w:pPr>
      <w:r>
        <w:rPr>
          <w:rFonts w:ascii="Amiri" w:hAnsi="Amiri" w:eastAsia="Amiri" w:cs="Amiri"/>
          <w:color w:val="111111"/>
          <w:sz w:val="28"/>
          <w:sz w:val="28"/>
          <w:szCs w:val="28"/>
          <w:rtl w:val="true"/>
          <w:lang w:bidi="ar-SA"/>
        </w:rPr>
        <w:t xml:space="preserve">جايز است براى مرتهن ابتياع رهن از راهن، يا آن كه قائم مقام او است، يا از خودش در صورت وكالت مطلقه،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دلالتى بر خصوصيّت غير در وكالت نباشد، و اَوْلى براى مرتهن، اشهاد است در نظاير اين امر براى سدّ باب نزاع محتمل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597495_1067777946"/>
      <w:bookmarkStart w:id="167" w:name="_Toc68"/>
      <w:bookmarkEnd w:id="166"/>
      <w:r>
        <w:rPr>
          <w:rtl w:val="true"/>
        </w:rPr>
        <w:t>اولويّت مرتهن از ساير غرما</w:t>
      </w:r>
      <w:bookmarkEnd w:id="1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مرتهن احق است از ساير غرماى راهن به استيفاى دين خودش از عين مرهونه، چه آنكه راهن حىّ باشد و محجور براى فلس باشد، يا آنكه ميّت و مديون باشد با عدم كفايت متروكات به تمام ديون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احقّيّت، سبق تعلّق حق مرتهن به عين خاصّه است و وارد مى شود حق ديّان بر متعلّق حق راهن، پس سابق، مانع از لحوق است، نه عكس؛ بلكه با فرض عدم سبق، استحقاق ديّان، به جهت مشتركه است؛ و استحقاق راهن با اشتراك با آنها، به جهت مختصّه است؛ پس مختصّ‌ </w:t>
      </w:r>
      <w:bookmarkStart w:id="168" w:name="pg10256_89349"/>
    </w:p>
    <w:p>
      <w:pPr>
        <w:pStyle w:val="BookText"/>
        <w:rPr/>
      </w:pPr>
      <w:bookmarkEnd w:id="168"/>
      <w:r>
        <w:rPr>
          <w:rFonts w:ascii="IRNazanin" w:hAnsi="IRNazanin" w:eastAsia="IRNazanin"/>
          <w:color w:val="111111"/>
          <w:sz w:val="28"/>
          <w:sz w:val="28"/>
          <w:szCs w:val="28"/>
          <w:rtl w:val="true"/>
          <w:lang w:bidi="fa-IR"/>
        </w:rPr>
        <w:t>است به تأثير در چيزى كه مزاحم مكافئ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زيادتى در قيمت عين مرهونه از دين راهن به مرتهن بود، مربوط به ساير غرما مى شود؛ و اگر كمى از دين خاصِ مرتهن داشت، شريكِ با ساير غرما در ساير متروكات نسبت به نقصان رهن از دين مى شود</w:t>
      </w:r>
      <w:r>
        <w:rPr>
          <w:rFonts w:eastAsia="IRNazanin" w:cs="IRNazanin"/>
          <w:color w:val="111111"/>
          <w:sz w:val="28"/>
          <w:szCs w:val="28"/>
          <w:rtl w:val="true"/>
          <w:lang w:bidi="fa-IR"/>
        </w:rPr>
        <w:t>.</w:t>
      </w:r>
    </w:p>
    <w:p>
      <w:pPr>
        <w:pStyle w:val="Heading4"/>
        <w:numPr>
          <w:ilvl w:val="3"/>
          <w:numId w:val="1"/>
        </w:numPr>
        <w:rPr/>
      </w:pPr>
      <w:bookmarkStart w:id="169" w:name="__RefHeading___Toc3597497_1067777946"/>
      <w:bookmarkStart w:id="170" w:name="_Toc69"/>
      <w:bookmarkEnd w:id="169"/>
      <w:r>
        <w:rPr>
          <w:rtl w:val="true"/>
        </w:rPr>
        <w:t>تلف شدن عين مرهونه در دست مرتهن</w:t>
      </w:r>
      <w:bookmarkEnd w:id="170"/>
    </w:p>
    <w:p>
      <w:pPr>
        <w:pStyle w:val="BookText"/>
        <w:rPr/>
      </w:pPr>
      <w:r>
        <w:rPr>
          <w:rFonts w:ascii="IRNazanin" w:hAnsi="IRNazanin" w:eastAsia="IRNazanin"/>
          <w:color w:val="111111"/>
          <w:sz w:val="28"/>
          <w:sz w:val="28"/>
          <w:szCs w:val="28"/>
          <w:rtl w:val="true"/>
          <w:lang w:bidi="fa-IR"/>
        </w:rPr>
        <w:t xml:space="preserve">رهن كه در يد مرتهن با اذن راهن بوده،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نمى شود بر مرتهن مگر با تعدّى و تضييعِ ثابتِ با بيّنه و نحو آن، چنانچه مقتضاى قاعده در ائتمان مالكى است و مورد حكايت اجماع در اين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امانت، تصديق دعواى امين است در تلف و در عدم تعدّى و تفريط و مسامحۀ در حفظ مناسب مرهون مگر آنكه متّهم باشد اگر چه به مثل ادّعاى تلف مرهون در بين نظاير آن از مال 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تصديق بدون يمين، خالى از وجه نيست؛ چنانچه ضمان با تفريط اگر چه به مسامحه در حفظ مناسب مرهون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محتاج به نشر جامه و تحريك باشد و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ضمان، چيزى از حق مرتهن به سبب دين ساقط نمى شود با تلف مرهون، يا تعيّب آن به موجب نقصان قيمت آن؛ چنانكه در صورت ضمان به تفريط، مديون راهن مى شود در عين و دائن او است در دين و با مساوات عين تالفه با دين در قيمت، تهاتر بين حقّين مى شود؛ چنانكه در صورت اختلاف قيمت، تهاتر در مقدار تساوى و اختصاص مديونيّت مرتهن به زيادتى قيمت عين و مديونيّت راهن به مقدار نقص قيمت عين از دين، متّجه است</w:t>
      </w:r>
      <w:r>
        <w:rPr>
          <w:rFonts w:eastAsia="IRNazanin" w:cs="IRNazanin"/>
          <w:color w:val="111111"/>
          <w:sz w:val="28"/>
          <w:szCs w:val="28"/>
          <w:rtl w:val="true"/>
          <w:lang w:bidi="fa-IR"/>
        </w:rPr>
        <w:t>.</w:t>
      </w:r>
    </w:p>
    <w:p>
      <w:pPr>
        <w:pStyle w:val="Heading4"/>
        <w:numPr>
          <w:ilvl w:val="3"/>
          <w:numId w:val="1"/>
        </w:numPr>
        <w:rPr/>
      </w:pPr>
      <w:bookmarkStart w:id="171" w:name="__RefHeading___Toc3597499_1067777946"/>
      <w:bookmarkStart w:id="172" w:name="_Toc70"/>
      <w:bookmarkEnd w:id="171"/>
      <w:r>
        <w:rPr>
          <w:rtl w:val="true"/>
        </w:rPr>
        <w:t>تصرّف مرتهن در عين مرهونه</w:t>
      </w:r>
      <w:bookmarkEnd w:id="1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نيست تصرّف مرتهن در عين مرهونه بدون اذن راهن؛ و اگر تصرّف نمود به مثل ركوب يا سكنىٰ‌، ضامن است عين را، و بر او است اجرت المثل منفعت آن را تا </w:t>
      </w:r>
      <w:bookmarkStart w:id="173" w:name="pg10256_89350"/>
    </w:p>
    <w:p>
      <w:pPr>
        <w:pStyle w:val="BookText"/>
        <w:rPr/>
      </w:pPr>
      <w:bookmarkEnd w:id="173"/>
      <w:r>
        <w:rPr>
          <w:rFonts w:ascii="IRNazanin" w:hAnsi="IRNazanin" w:eastAsia="IRNazanin"/>
          <w:color w:val="111111"/>
          <w:sz w:val="28"/>
          <w:sz w:val="28"/>
          <w:szCs w:val="28"/>
          <w:rtl w:val="true"/>
          <w:lang w:bidi="fa-IR"/>
        </w:rPr>
        <w:t>زمان تحقّق تلف، يا اتلاف به آن تصرّف؛ لكن ضمان عين بدون ارتباط تلف محقّق به آن تصرّف به واسطۀ عدوانى بودن يد، خالى از شبهه نيست، زيرا اذن در استيلاء با منع از تصرّف به غير امساك، منافات ندارد، پس بقاى رهن و اذن در قبض بى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آنكه گفته شود اذن در قبض عين، بشرط لا است از اقتران به تصرّفات غير مرضيّۀ مالك، چه آنكه ممكن باشد انتهاى آنها به تلف، يا آنكه محل اختلاف در اجرت و مقدار آن باشند يا نه؛ بلكه مجرّد بقاى بر حالت خود در وقت قبض، مطلوب مالك است و اذن در استيلاء بر عين، مقيّد به عدم مطلق تصرّفات است، و احتمال آن مانع از تحصيل اذن مطلق و ائتمان مطلق است؛ پس عين با هر تصرّفى، در ضمان است؛ و با تحقّق تلف يا تعيّب، موجب مثل يا قيمت يا ارش خواهد بود</w:t>
      </w:r>
      <w:r>
        <w:rPr>
          <w:rFonts w:eastAsia="IRNazanin" w:cs="IRNazanin"/>
          <w:color w:val="111111"/>
          <w:sz w:val="28"/>
          <w:szCs w:val="28"/>
          <w:rtl w:val="true"/>
          <w:lang w:bidi="fa-IR"/>
        </w:rPr>
        <w:t>.</w:t>
      </w:r>
    </w:p>
    <w:p>
      <w:pPr>
        <w:pStyle w:val="Heading4"/>
        <w:numPr>
          <w:ilvl w:val="3"/>
          <w:numId w:val="1"/>
        </w:numPr>
        <w:rPr/>
      </w:pPr>
      <w:bookmarkStart w:id="174" w:name="__RefHeading___Toc3597501_1067777946"/>
      <w:bookmarkStart w:id="175" w:name="_Toc71"/>
      <w:bookmarkEnd w:id="174"/>
      <w:r>
        <w:rPr>
          <w:rtl w:val="true"/>
        </w:rPr>
        <w:t>ميزان ضمان</w:t>
      </w:r>
      <w:bookmarkEnd w:id="175"/>
    </w:p>
    <w:p>
      <w:pPr>
        <w:pStyle w:val="BookText"/>
        <w:rPr/>
      </w:pPr>
      <w:r>
        <w:rPr>
          <w:rFonts w:ascii="Amiri" w:hAnsi="Amiri" w:eastAsia="Amiri" w:cs="Amiri"/>
          <w:color w:val="111111"/>
          <w:sz w:val="28"/>
          <w:sz w:val="28"/>
          <w:szCs w:val="28"/>
          <w:rtl w:val="true"/>
          <w:lang w:bidi="ar-SA"/>
        </w:rPr>
        <w:t>و در مضمون در مقام و نظايرش، اظهر اعتبار بقاى ماليّت در مثل است؛ و در قيمى، اظهر اعتبار به قيمت يوم التلف و روز تعيّب است در مقابل روز تعدّى، يا روز مطالبه، يا روز ادا، يا اعلىٰ القيم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597503_1067777946"/>
      <w:bookmarkStart w:id="177" w:name="_Toc72"/>
      <w:bookmarkEnd w:id="176"/>
      <w:r>
        <w:rPr>
          <w:rtl w:val="true"/>
        </w:rPr>
        <w:t>عقد فضولى بر رهن</w:t>
      </w:r>
      <w:bookmarkEnd w:id="177"/>
    </w:p>
    <w:p>
      <w:pPr>
        <w:pStyle w:val="BookText"/>
        <w:rPr/>
      </w:pPr>
      <w:r>
        <w:rPr>
          <w:rFonts w:ascii="IRNazanin" w:hAnsi="IRNazanin" w:eastAsia="IRNazanin"/>
          <w:color w:val="111111"/>
          <w:sz w:val="28"/>
          <w:sz w:val="28"/>
          <w:szCs w:val="28"/>
          <w:rtl w:val="true"/>
          <w:lang w:bidi="fa-IR"/>
        </w:rPr>
        <w:t>و اگر تصرّف مرتهن، بدون اذن راهن به اجاره دادن عين بوده، پس راهنْ مستحق اجرت مسمات در اجاره است در صورت اجازۀ عقد 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 را اجازه كرد و قبض را اجازه نكرد، رجوع مى نمايد به اجرت مسمّات بر مستأجر در صورت ثبوت آن در ذمّۀ او؛ وگرنه رجوع مى نمايد به كسى كه عين مال الاجاره نزد او است از مرتهن يا مستأجر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اجازه نكرد عقد را، پس قرار ضمان اجرت المثل، بر مستوفى است؛ و مى تواند رجوع نمايد به مرتهن كه اقباض بعد از عقد كرده است و يد او بر عين و منفعت، عدوانى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استيفا نشده است، پس در ضمان منفعت فايته در </w:t>
      </w:r>
      <w:bookmarkStart w:id="178" w:name="pg10256_89351"/>
    </w:p>
    <w:p>
      <w:pPr>
        <w:pStyle w:val="BookText"/>
        <w:rPr/>
      </w:pPr>
      <w:bookmarkEnd w:id="178"/>
      <w:r>
        <w:rPr>
          <w:rFonts w:ascii="IRNazanin" w:hAnsi="IRNazanin" w:eastAsia="IRNazanin"/>
          <w:color w:val="111111"/>
          <w:sz w:val="28"/>
          <w:sz w:val="28"/>
          <w:szCs w:val="28"/>
          <w:rtl w:val="true"/>
          <w:lang w:bidi="fa-IR"/>
        </w:rPr>
        <w:t>تحت يد غير مالك و مأذون با عدم ضمان منفعت فايته در صورت عدم تعدّى، اشكال است؛ اگر چه ضمان، به الغاى خصوصيّت اتلاف در تفويت و فوات در يد غير مؤتمنه،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جمع بين ضمان عين و ضمان منفعت، ممكن است ملاحظه شود در ضمان عين، عين مسلوب المنفعه تا زمان خاص و منفعت مستوفات در آن زمان؛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تفويت، يا فوات منفعت مضمونه به غير استيفا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فرقى نيست در عدم جواز تصرّفات بدون اذن راهن، بين انفاق بر رهن و عدم آن؛ بلكه در صورت انفاقِ جايز يا لازم، مقاصه مى نمايند و تهاتر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تصرّف غير جايز باشد و مضمون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زيادتى انفاق بر انتفاع، مال مرتهنِ منفق است كه رجوع به راهن مى نمايد؛ و زيادتى اجرت انتفاع بدون اذن، مال راهن است كه رجوع به مرتهن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 شود كه مرتهنْ قاطع مى شود به رضاى راهن به تصرّفى كه در ماليّت، زيادتى بر قدر انفاق نداشته باشد و اين قطع، مطرد نيست</w:t>
      </w:r>
      <w:r>
        <w:rPr>
          <w:rFonts w:eastAsia="IRNazanin" w:cs="IRNazanin"/>
          <w:color w:val="111111"/>
          <w:sz w:val="28"/>
          <w:szCs w:val="28"/>
          <w:rtl w:val="true"/>
          <w:lang w:bidi="fa-IR"/>
        </w:rPr>
        <w:t>.</w:t>
      </w:r>
    </w:p>
    <w:p>
      <w:pPr>
        <w:pStyle w:val="Heading4"/>
        <w:numPr>
          <w:ilvl w:val="3"/>
          <w:numId w:val="1"/>
        </w:numPr>
        <w:rPr/>
      </w:pPr>
      <w:bookmarkStart w:id="179" w:name="__RefHeading___Toc3597505_1067777946"/>
      <w:bookmarkStart w:id="180" w:name="_Toc73"/>
      <w:bookmarkEnd w:id="179"/>
      <w:r>
        <w:rPr>
          <w:rtl w:val="true"/>
        </w:rPr>
        <w:t>نفقۀ مرهون</w:t>
      </w:r>
      <w:bookmarkEnd w:id="180"/>
    </w:p>
    <w:p>
      <w:pPr>
        <w:pStyle w:val="BookText"/>
        <w:rPr/>
      </w:pPr>
      <w:r>
        <w:rPr>
          <w:rFonts w:ascii="IRNazanin" w:hAnsi="IRNazanin" w:eastAsia="IRNazanin"/>
          <w:color w:val="111111"/>
          <w:sz w:val="28"/>
          <w:sz w:val="28"/>
          <w:szCs w:val="28"/>
          <w:rtl w:val="true"/>
          <w:lang w:bidi="fa-IR"/>
        </w:rPr>
        <w:t>نفقۀ مرهون، بر راهن است و مرتهن رجوع مى نمايد در نفقۀ مرهون به راهن؛ پس اگر خودش انفاق نكرد، استيذان در انفاق مى نمايد و در صورت اذن او رجوع به نفقه بر مالك و راهن مى نمايد؛ و اگر ممتنع يا غايب بود و انفاق او و اذن او حاصل نشد، مراجعه به حاكم شرع مى نمايد؛ و در صورت اذن او آنچه از مالك مطالبه مى شود از حاكم يا به واسطۀ او، مى شود؛ و اگر متعسّر بود، خود مرتهن انفاق مى نمايد به نيّت رجوع بر مالك با اشهاد براى استحقاق و قدر آن بنا بر احوط</w:t>
      </w:r>
      <w:r>
        <w:rPr>
          <w:rFonts w:eastAsia="IRNazanin" w:cs="IRNazanin"/>
          <w:color w:val="111111"/>
          <w:sz w:val="28"/>
          <w:szCs w:val="28"/>
          <w:rtl w:val="true"/>
          <w:lang w:bidi="fa-IR"/>
        </w:rPr>
        <w:t>.</w:t>
      </w:r>
    </w:p>
    <w:p>
      <w:pPr>
        <w:pStyle w:val="Heading4"/>
        <w:numPr>
          <w:ilvl w:val="3"/>
          <w:numId w:val="1"/>
        </w:numPr>
        <w:rPr/>
      </w:pPr>
      <w:bookmarkStart w:id="181" w:name="__RefHeading___Toc3597507_1067777946"/>
      <w:bookmarkStart w:id="182" w:name="_Toc74"/>
      <w:bookmarkEnd w:id="181"/>
      <w:r>
        <w:rPr>
          <w:rtl w:val="true"/>
        </w:rPr>
        <w:t>استيفاى دين از عين مرهونه</w:t>
      </w:r>
      <w:bookmarkEnd w:id="1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جايز است براى 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استيفاى دين خودش از عين مرهونه نمايد با فوت </w:t>
      </w:r>
      <w:bookmarkStart w:id="183" w:name="pg10256_89352"/>
    </w:p>
    <w:p>
      <w:pPr>
        <w:pStyle w:val="BookText"/>
        <w:rPr/>
      </w:pPr>
      <w:bookmarkEnd w:id="183"/>
      <w:r>
        <w:rPr>
          <w:rFonts w:ascii="IRNazanin" w:hAnsi="IRNazanin" w:eastAsia="IRNazanin"/>
          <w:color w:val="111111"/>
          <w:sz w:val="28"/>
          <w:sz w:val="28"/>
          <w:szCs w:val="28"/>
          <w:rtl w:val="true"/>
          <w:lang w:bidi="fa-IR"/>
        </w:rPr>
        <w:t xml:space="preserve">راهن و خوف انكار ورثه و عدم بيّنه بر دين در تقدير اعتراف به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زيادتى در مرهون بود، ردِّ به ورثه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اعتراف به رهن نمود و ادّعاى دين كرد، حكم به دين نمى شود مگر با بيّنه؛ و در صورت عدم آن، مى تواند احلاف نمايد ورثه را بر عدم علم به مديونيّت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در جواز استيفا، در صورت خوفِ جحودِ راهن در حال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در صورت خوف عدم قبول بيّنه، يا عدم حكم براى او، يا محقّ بودن او به سببى از اسباب غير مؤثّره در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وطى اكراهى مرتهن أمۀ مرهونه را كه عُشر قيمت يا نصف عشر با مهر المثل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بيان مختار در بيع حيوان و ارش بكارت در بكر و عدم ثبوت چيزى در صورت مطاوعه گذشت</w:t>
      </w:r>
      <w:r>
        <w:rPr>
          <w:rFonts w:eastAsia="IRNazanin" w:cs="IRNazanin"/>
          <w:color w:val="111111"/>
          <w:sz w:val="28"/>
          <w:szCs w:val="28"/>
          <w:rtl w:val="true"/>
          <w:lang w:bidi="fa-IR"/>
        </w:rPr>
        <w:t>.</w:t>
      </w:r>
    </w:p>
    <w:p>
      <w:pPr>
        <w:pStyle w:val="Heading4"/>
        <w:numPr>
          <w:ilvl w:val="3"/>
          <w:numId w:val="1"/>
        </w:numPr>
        <w:rPr/>
      </w:pPr>
      <w:bookmarkStart w:id="184" w:name="__RefHeading___Toc3597509_1067777946"/>
      <w:bookmarkStart w:id="185" w:name="_Toc75"/>
      <w:bookmarkEnd w:id="184"/>
      <w:r>
        <w:rPr>
          <w:rtl w:val="true"/>
        </w:rPr>
        <w:t>جواز اشتراطِ گذاشتنِ رهن در نزد شخص ثالث</w:t>
      </w:r>
      <w:bookmarkEnd w:id="185"/>
    </w:p>
    <w:p>
      <w:pPr>
        <w:pStyle w:val="BookText"/>
        <w:rPr/>
      </w:pPr>
      <w:r>
        <w:rPr>
          <w:rFonts w:ascii="IRNazanin" w:hAnsi="IRNazanin" w:eastAsia="IRNazanin"/>
          <w:color w:val="111111"/>
          <w:sz w:val="28"/>
          <w:sz w:val="28"/>
          <w:szCs w:val="28"/>
          <w:rtl w:val="true"/>
          <w:lang w:bidi="fa-IR"/>
        </w:rPr>
        <w:t>جايز است اشتراط وضع رهن در يد ثالث كه متّصف به وصفى باشد به نحو كلىّ يا معيّن متّحد يا متعدّد؛ و لازم مى شود وفاء اگر چه فاسق باشد، يا صبىّ مميّز با رشد و امانت باشد، يا مكاتب با جُعل باشد مگر با اذن مولىٰ و رضاى مكاتب، يا عبدْ مأذون از مولىٰ باشد</w:t>
      </w:r>
      <w:r>
        <w:rPr>
          <w:rFonts w:eastAsia="IRNazanin" w:cs="IRNazanin"/>
          <w:color w:val="111111"/>
          <w:sz w:val="28"/>
          <w:szCs w:val="28"/>
          <w:rtl w:val="true"/>
          <w:lang w:bidi="fa-IR"/>
        </w:rPr>
        <w:t>.</w:t>
      </w:r>
    </w:p>
    <w:p>
      <w:pPr>
        <w:pStyle w:val="Heading4"/>
        <w:numPr>
          <w:ilvl w:val="3"/>
          <w:numId w:val="1"/>
        </w:numPr>
        <w:rPr/>
      </w:pPr>
      <w:bookmarkStart w:id="186" w:name="__RefHeading___Toc3597511_1067777946"/>
      <w:bookmarkStart w:id="187" w:name="_Toc76"/>
      <w:bookmarkEnd w:id="186"/>
      <w:r>
        <w:rPr>
          <w:rtl w:val="true"/>
        </w:rPr>
        <w:t>حكم معيّن بودن و عدم تعيين شخص ثالث</w:t>
      </w:r>
      <w:bookmarkEnd w:id="187"/>
    </w:p>
    <w:p>
      <w:pPr>
        <w:pStyle w:val="BookText"/>
        <w:rPr/>
      </w:pPr>
      <w:r>
        <w:rPr>
          <w:rFonts w:ascii="IRNazanin" w:hAnsi="IRNazanin" w:eastAsia="IRNazanin"/>
          <w:color w:val="111111"/>
          <w:sz w:val="28"/>
          <w:sz w:val="28"/>
          <w:szCs w:val="28"/>
          <w:rtl w:val="true"/>
          <w:lang w:bidi="fa-IR"/>
        </w:rPr>
        <w:t xml:space="preserve">و در صورت عدم تعيين در شخصى، پس با اتفاق متراهنين تعيين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نشد، حاكم تعيين مى نمايد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عقد تعيين شد، نمى توانند عزل نمايند بدون اتفاق؛ و اگر تعيين در عقد نبود، بلكه بعد از عقد با شرط كلّى تعيين كردند، پس اين تطبيقْ لزوم آور نيست و مى توانند رجوع كنند؛ و در اين صورت اگر توافق بر غير آن معيّن ننمودند، حاكم تعيين مى نمايد</w:t>
      </w:r>
      <w:r>
        <w:rPr>
          <w:rFonts w:eastAsia="IRNazanin" w:cs="IRNazanin"/>
          <w:color w:val="111111"/>
          <w:sz w:val="28"/>
          <w:szCs w:val="28"/>
          <w:rtl w:val="true"/>
          <w:lang w:bidi="fa-IR"/>
        </w:rPr>
        <w:t xml:space="preserve">. </w:t>
      </w:r>
      <w:bookmarkStart w:id="188" w:name="pg10256_89353"/>
    </w:p>
    <w:p>
      <w:pPr>
        <w:pStyle w:val="Heading4"/>
        <w:numPr>
          <w:ilvl w:val="3"/>
          <w:numId w:val="1"/>
        </w:numPr>
        <w:rPr/>
      </w:pPr>
      <w:bookmarkStart w:id="189" w:name="__RefHeading___Toc3597513_1067777946"/>
      <w:bookmarkStart w:id="190" w:name="_Toc77"/>
      <w:bookmarkEnd w:id="188"/>
      <w:bookmarkEnd w:id="189"/>
      <w:r>
        <w:rPr>
          <w:rtl w:val="true"/>
        </w:rPr>
        <w:t>شرط عدالت قابض و يا قابض بودن عادل</w:t>
      </w:r>
      <w:bookmarkEnd w:id="190"/>
    </w:p>
    <w:p>
      <w:pPr>
        <w:pStyle w:val="BookText"/>
        <w:rPr/>
      </w:pPr>
      <w:r>
        <w:rPr>
          <w:rFonts w:ascii="IRNazanin" w:hAnsi="IRNazanin" w:eastAsia="IRNazanin"/>
          <w:color w:val="111111"/>
          <w:sz w:val="28"/>
          <w:sz w:val="28"/>
          <w:szCs w:val="28"/>
          <w:rtl w:val="true"/>
          <w:lang w:bidi="fa-IR"/>
        </w:rPr>
        <w:t xml:space="preserve">و اگر شرطِ عدالتِ قابض يا قابض بودنِ عدل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وضع، خارج از عدالت شد، مى تواند مشروطٌ عليه رجوع نمايد؛ و در صورت عدم اتفاق بر غير، حاكم تعيين مى نمايد غير را كه ثقه در نزد حاكم باشد؛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 ساير صفات كه مدخليّت در حفظ مال و قدرت بر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عدوانى با يكى حادث شد بين يك طرف رهن و قابض، با شرط مى تواند رجوع نمايد؛ و با عدم توافق با تعيينِ حاكم، اقباض به غير مى شود؛ و با اتفاق، هرگونه عزل در هر صورت جايز است</w:t>
      </w:r>
      <w:r>
        <w:rPr>
          <w:rFonts w:eastAsia="IRNazanin" w:cs="IRNazanin"/>
          <w:color w:val="111111"/>
          <w:sz w:val="28"/>
          <w:szCs w:val="28"/>
          <w:rtl w:val="true"/>
          <w:lang w:bidi="fa-IR"/>
        </w:rPr>
        <w:t>.</w:t>
      </w:r>
    </w:p>
    <w:p>
      <w:pPr>
        <w:pStyle w:val="Heading4"/>
        <w:numPr>
          <w:ilvl w:val="3"/>
          <w:numId w:val="1"/>
        </w:numPr>
        <w:rPr/>
      </w:pPr>
      <w:bookmarkStart w:id="191" w:name="__RefHeading___Toc3597515_1067777946"/>
      <w:bookmarkStart w:id="192" w:name="_Toc78"/>
      <w:bookmarkEnd w:id="191"/>
      <w:r>
        <w:rPr>
          <w:rtl w:val="true"/>
        </w:rPr>
        <w:t>اختلاف در تغيّر صفات شخص ثالث</w:t>
      </w:r>
      <w:bookmarkEnd w:id="192"/>
    </w:p>
    <w:p>
      <w:pPr>
        <w:pStyle w:val="BookText"/>
        <w:rPr/>
      </w:pPr>
      <w:r>
        <w:rPr>
          <w:rFonts w:ascii="IRNazanin" w:hAnsi="IRNazanin" w:eastAsia="IRNazanin"/>
          <w:color w:val="111111"/>
          <w:sz w:val="28"/>
          <w:sz w:val="28"/>
          <w:szCs w:val="28"/>
          <w:rtl w:val="true"/>
          <w:lang w:bidi="fa-IR"/>
        </w:rPr>
        <w:t>و اگر در تغيّر صفات اختلاف كردند، مراجعۀ به حاكم مى شود و او بعد از تحقيق، حكم به تغيير يا عدم آن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قابض وفات كرد و اتفاق بر غير نكردند، حاكمْ تعيينِ قابض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قابض عدل بود بدون شرط تعيين يا عدالت، مى تواند هر كدام عزل نمايد؛ و با اختلاف در قابض ديگر، حاكم تعيين قابضِ ديگر مى نمايد، يا همان شخص اوّل را اگر غير او را صالح نديد اگر چه توافق در او نباشد</w:t>
      </w:r>
      <w:r>
        <w:rPr>
          <w:rFonts w:eastAsia="IRNazanin" w:cs="IRNazanin"/>
          <w:color w:val="111111"/>
          <w:sz w:val="28"/>
          <w:szCs w:val="28"/>
          <w:rtl w:val="true"/>
          <w:lang w:bidi="fa-IR"/>
        </w:rPr>
        <w:t>.</w:t>
      </w:r>
    </w:p>
    <w:p>
      <w:pPr>
        <w:pStyle w:val="Heading4"/>
        <w:numPr>
          <w:ilvl w:val="3"/>
          <w:numId w:val="1"/>
        </w:numPr>
        <w:rPr/>
      </w:pPr>
      <w:bookmarkStart w:id="193" w:name="__RefHeading___Toc3597517_1067777946"/>
      <w:bookmarkStart w:id="194" w:name="_Toc79"/>
      <w:bookmarkEnd w:id="193"/>
      <w:r>
        <w:rPr>
          <w:rtl w:val="true"/>
        </w:rPr>
        <w:t>سپردن به حاكم بدون اذن از مجموع متراهنين</w:t>
      </w:r>
      <w:bookmarkEnd w:id="194"/>
    </w:p>
    <w:p>
      <w:pPr>
        <w:pStyle w:val="BookText"/>
        <w:rPr/>
      </w:pPr>
      <w:r>
        <w:rPr>
          <w:rFonts w:ascii="IRNazanin" w:hAnsi="IRNazanin" w:eastAsia="IRNazanin"/>
          <w:color w:val="111111"/>
          <w:sz w:val="28"/>
          <w:sz w:val="28"/>
          <w:szCs w:val="28"/>
          <w:rtl w:val="true"/>
          <w:lang w:bidi="fa-IR"/>
        </w:rPr>
        <w:t xml:space="preserve">و در صورت امكان و احتمال توافق، نمى تواند كسى تسليم به حاكم نمايد و با اذن او فقط قبض بدهد، وگرنه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مجموع متراهنين به محلّى اقباض نمايد؛ و اين اقباض اگر چه به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ولايت در اين صورت ندارد، دفع يا رفع ضمان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وضع كردند نزد عدلى، مى تواند آن عدلْ رد نمايد به ايشان يا به مرضىّ ايشان كما اينكه مى توانست قبول اين ائتمان نكند تا ملزم شرعى محقّق بشود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ضامن است هر كه بدون اذن متراهنين تسلم كرده اگر چه تسليم به عدل </w:t>
      </w:r>
      <w:bookmarkStart w:id="195" w:name="pg10256_89354"/>
    </w:p>
    <w:p>
      <w:pPr>
        <w:pStyle w:val="BookText"/>
        <w:rPr/>
      </w:pPr>
      <w:bookmarkEnd w:id="195"/>
      <w:r>
        <w:rPr>
          <w:rFonts w:ascii="IRNazanin" w:hAnsi="IRNazanin" w:eastAsia="IRNazanin"/>
          <w:color w:val="111111"/>
          <w:sz w:val="28"/>
          <w:sz w:val="28"/>
          <w:szCs w:val="28"/>
          <w:rtl w:val="true"/>
          <w:lang w:bidi="fa-IR"/>
        </w:rPr>
        <w:t xml:space="preserve">نموده؛ پس دهندۀ بدون اذن و گيرندۀ بدون اذن، ضامن است، و مغرورْ رجوع به غارّ مى نمايد؛ و اگر با امتناع يا غيبت متراهنين، تسليم به حاكم نمود، از ضمان خارج مى شود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به شخصى با اذن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راهن و مرتهنْ مساوى هستند در صورت اشتراط وضع به يد ثالث، در اينكه دهنده و گيرنده بدون اذن مجموع يا موافقت شرط، ضامن است؛ و ضمان راهن مقتضى رهن بودن مثل يا قيمت است بعد از تطبيق به شخص فردى</w:t>
      </w:r>
      <w:r>
        <w:rPr>
          <w:rFonts w:eastAsia="IRNazanin" w:cs="IRNazanin"/>
          <w:color w:val="111111"/>
          <w:sz w:val="28"/>
          <w:szCs w:val="28"/>
          <w:rtl w:val="true"/>
          <w:lang w:bidi="fa-IR"/>
        </w:rPr>
        <w:t>.</w:t>
      </w:r>
    </w:p>
    <w:p>
      <w:pPr>
        <w:pStyle w:val="Heading4"/>
        <w:numPr>
          <w:ilvl w:val="3"/>
          <w:numId w:val="1"/>
        </w:numPr>
        <w:rPr/>
      </w:pPr>
      <w:bookmarkStart w:id="196" w:name="__RefHeading___Toc3597519_1067777946"/>
      <w:bookmarkStart w:id="197" w:name="_Toc80"/>
      <w:bookmarkEnd w:id="196"/>
      <w:r>
        <w:rPr>
          <w:rtl w:val="true"/>
        </w:rPr>
        <w:t>امتناع از عمل به شرط</w:t>
      </w:r>
      <w:bookmarkEnd w:id="197"/>
    </w:p>
    <w:p>
      <w:pPr>
        <w:pStyle w:val="BookText"/>
        <w:rPr/>
      </w:pPr>
      <w:r>
        <w:rPr>
          <w:rFonts w:ascii="IRNazanin" w:hAnsi="IRNazanin" w:eastAsia="IRNazanin"/>
          <w:color w:val="111111"/>
          <w:sz w:val="28"/>
          <w:sz w:val="28"/>
          <w:szCs w:val="28"/>
          <w:rtl w:val="true"/>
          <w:lang w:bidi="fa-IR"/>
        </w:rPr>
        <w:t>اگر متراهنين امتناع كردند از عمل به شرط در قبض مرهون، حاكم اقباض مى نمايد، و هم چنين اگر غايب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غيبت ايشان اگر ضرورت اقتضا نكرد تسليم به غير را، تسليم نمى نمايد حتى به حاكم، به خلاف صورت عذر و ضرورت، مثل سفر و مرض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عدم ولايت حاكم، تسليم به او يا به اذن او به ديگرى موجب ضمانِ دهنده و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حاكم اگر متعمد باشد؛ و در صورت ولايت حاكم، تسليم به غير و غيرِ مأذون حاكم، موجب ضمان است مگر با تعذّر حاكم كه تسليم به ثقه با اشهاد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تعذّر حاكم، دفع به ثقه مى نمايد با اشهاد اگر چه يكى از متراهنين باشد در صورت امتناع ديگرى؛ و اگر ثقه نباشد چون بدون اجتماع متراهنين است، بايد به حاكم يا مأذون او دفع نمايد، و با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98" w:name="__RefHeading___Toc3597521_1067777946"/>
      <w:bookmarkStart w:id="199" w:name="_Toc81"/>
      <w:bookmarkEnd w:id="198"/>
      <w:r>
        <w:rPr>
          <w:rtl w:val="true"/>
        </w:rPr>
        <w:t>تسليم به عدلين</w:t>
      </w:r>
      <w:bookmarkEnd w:id="1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متراهنين با رضايت ايشان تسليم نمودند به عدلين، پس مى توانند منفرد در حفظ باشند با اذن ديگرى مگر با تصريح متراهنين به اجتماع در حفظ؛ و مى تواند در هر </w:t>
      </w:r>
      <w:bookmarkStart w:id="200" w:name="pg10256_89355"/>
    </w:p>
    <w:p>
      <w:pPr>
        <w:pStyle w:val="BookText"/>
        <w:rPr/>
      </w:pPr>
      <w:bookmarkEnd w:id="200"/>
      <w:r>
        <w:rPr>
          <w:rFonts w:ascii="IRNazanin" w:hAnsi="IRNazanin" w:eastAsia="IRNazanin"/>
          <w:color w:val="111111"/>
          <w:sz w:val="28"/>
          <w:sz w:val="28"/>
          <w:szCs w:val="28"/>
          <w:rtl w:val="true"/>
          <w:lang w:bidi="fa-IR"/>
        </w:rPr>
        <w:t>حال هر كدام تسليم به دو متراهنين نمايند اگر چه بدون اذن ديگرى از عدلين باشد، و نمى توانند تسليم به يكى از دو متراهنين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اشتراط اجتماع در حفظ، يا انصراف اطلاق به آن اگر گفته شود، يا عدم اذن يكى به انفراد ديگرى به حفظ، بنا بر كفايت اذن، چنانچه گذشت، پس تسليم يكى از عدلين به ديگرى موجب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رجوع مالك به دهنده و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قرار ضمان است بر كسى كه مال نزد او تلف شده است اگر مغرور از ديگرى نباشد</w:t>
      </w:r>
      <w:r>
        <w:rPr>
          <w:rFonts w:eastAsia="IRNazanin" w:cs="IRNazanin"/>
          <w:color w:val="111111"/>
          <w:sz w:val="28"/>
          <w:szCs w:val="28"/>
          <w:rtl w:val="true"/>
          <w:lang w:bidi="fa-IR"/>
        </w:rPr>
        <w:t>.</w:t>
      </w:r>
    </w:p>
    <w:p>
      <w:pPr>
        <w:pStyle w:val="Heading4"/>
        <w:numPr>
          <w:ilvl w:val="3"/>
          <w:numId w:val="1"/>
        </w:numPr>
        <w:rPr/>
      </w:pPr>
      <w:bookmarkStart w:id="201" w:name="__RefHeading___Toc3597523_1067777946"/>
      <w:bookmarkStart w:id="202" w:name="_Toc82"/>
      <w:bookmarkEnd w:id="201"/>
      <w:r>
        <w:rPr>
          <w:rtl w:val="true"/>
        </w:rPr>
        <w:t>ظهور عيب در عين مرهونه</w:t>
      </w:r>
      <w:bookmarkEnd w:id="202"/>
    </w:p>
    <w:p>
      <w:pPr>
        <w:pStyle w:val="BookText"/>
        <w:rPr/>
      </w:pPr>
      <w:r>
        <w:rPr>
          <w:rFonts w:ascii="IRNazanin" w:hAnsi="IRNazanin" w:eastAsia="IRNazanin"/>
          <w:color w:val="111111"/>
          <w:sz w:val="28"/>
          <w:sz w:val="28"/>
          <w:szCs w:val="28"/>
          <w:rtl w:val="true"/>
          <w:lang w:bidi="fa-IR"/>
        </w:rPr>
        <w:t>اگر مرتهن بيع كرد مرهون را در صورت جواز آن، يا عدلى كه مرهون نزد او بود بيع نمود، پس از آن عيبى در مبيع ظاهر شد، رجوع نمى نمايد مشترى به مرتهن، بلكه به راهن به عوض ثمن، به جهت تعلّق حق رهانت به ثمن؛ پس يا وفاء است به مرتهن يا وثيقه است در يد او يا عدل، و احكام رهن و بيع تا زمان فسخْ محقّق است، و فسخ من الحين واقع مى شود نه من الاصل؛ به خلاف ظهور استحقاق مبيع براى غير كه مشترى رجوع به عين ثمن در يد هر كه باشد مى نمايد، چه مرتهن باشد يا عدل يا راهن، چون كه همه ايدى ضمان بود و جهل در غير تكليفْ اثر ندارد و تخيّلِ صحّت وكالت، تسويغ ظاهرىِ اخذ و دفع مى نمايد، نه رفع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غرورى باشد، مغرور رجوع به غار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ضمان، بر راهن است كه سبب و منوبٌ عنه است؛ مگر آنكه احسان در بعض موارد مثل اخذ و دفع عدل و عسر در تضمين وسايط با جهل به استحقاق و لزوم سد باب ائتمان، موجب اشكال در ضمان باشد و اولويّت تضمين سابق</w:t>
      </w:r>
      <w:r>
        <w:rPr>
          <w:rFonts w:eastAsia="IRNazanin" w:cs="IRNazanin"/>
          <w:color w:val="111111"/>
          <w:sz w:val="28"/>
          <w:szCs w:val="28"/>
          <w:rtl w:val="true"/>
          <w:lang w:bidi="fa-IR"/>
        </w:rPr>
        <w:t>.</w:t>
      </w:r>
    </w:p>
    <w:p>
      <w:pPr>
        <w:pStyle w:val="Heading4"/>
        <w:numPr>
          <w:ilvl w:val="3"/>
          <w:numId w:val="1"/>
        </w:numPr>
        <w:rPr/>
      </w:pPr>
      <w:bookmarkStart w:id="203" w:name="__RefHeading___Toc3597525_1067777946"/>
      <w:bookmarkStart w:id="204" w:name="_Toc83"/>
      <w:bookmarkEnd w:id="203"/>
      <w:r>
        <w:rPr>
          <w:rtl w:val="true"/>
        </w:rPr>
        <w:t>حكم صورتى كه بيع از سوى عدل صورت گرفته باشد</w:t>
      </w:r>
      <w:bookmarkEnd w:id="2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رد به عيب اگر بيع جايز از عدل بوده كه نزد او مرهون بوده است، نمى تواند </w:t>
      </w:r>
      <w:bookmarkStart w:id="205" w:name="pg10256_89356"/>
    </w:p>
    <w:p>
      <w:pPr>
        <w:pStyle w:val="BookText"/>
        <w:rPr/>
      </w:pPr>
      <w:bookmarkEnd w:id="205"/>
      <w:r>
        <w:rPr>
          <w:rFonts w:ascii="IRNazanin" w:hAnsi="IRNazanin" w:eastAsia="IRNazanin"/>
          <w:color w:val="111111"/>
          <w:sz w:val="28"/>
          <w:sz w:val="28"/>
          <w:szCs w:val="28"/>
          <w:rtl w:val="true"/>
          <w:lang w:bidi="fa-IR"/>
        </w:rPr>
        <w:t>مشترى رجوع به عدل نمايد با اعتراف به وكالت او در بيع در حال رجوع؛ و اگر انكار كرد علم به وكالت او را و بيّنه بر وكالت نبوده، مى تواند رجوع به عدل نمايد و از او بدل ثمن را كه رهن شده است اخذ نمايد، در صورت اعتراف عدل به عيب يا قيام بيّنه بر آن در زمانى كه تعيّب در آن زمان، موجب خيار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رجوع به عدل، رجوع مى نمايد عدل به راهن، عوض آنچه را كه به مشترى در عوضِ ثمنِ مرهون داده است اگر اعتراف به عيب در مبيع داشته است، يا ثابت به بيّنه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انكار كرد و بيّنه نبود و فقط عدل اعتراف كرده بوده، پس در مرافعه قول راهن مقدّم است؛ و اگر عدل انكار عيب بر مشترى كه اعتراف به وكالت نكرده و لذا رجوع به عدل مى نمايد، پس قول عدل، مقدّم است با يمين او؛ و اگر نكول كرد و مشترى حلف را ايقاع كرد، رجوع به عدل مى نمايد و عدل رجوع به راهن نمى نمايد، چون مدّعى ظلم، مشترى است و عالم و هركه تلف در يد او بوده عرفيّت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قرار ضمان است بر راهن كه ديگران مغترّ به دفع او شده اند اگر چه او عالم به استحقاق نبوده، مگر با تصريح او به جهل به استحقاق، يا علم به استحقاق كه در قوۀ عدم تغرير است، و عدل و مرتهنْ يد آنها تابع است اگر چه تلف در يد آنها باشد؛ پس مالكْ بدل تالف را رجوع به يد صاحب تلف مى نمايد يا به ساير ايادى ضامنه، و مشترى بدل ثمن را از بايع اخذ مى نمايد، و قرار ضمان تالف بر 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رجوع مشترى به مرتهن يا عدل در ثمن يا بدل آن، رجوع آنها به راهن براى بطلان رهن است</w:t>
      </w:r>
      <w:r>
        <w:rPr>
          <w:rFonts w:eastAsia="IRNazanin" w:cs="IRNazanin"/>
          <w:color w:val="111111"/>
          <w:sz w:val="28"/>
          <w:szCs w:val="28"/>
          <w:rtl w:val="true"/>
          <w:lang w:bidi="fa-IR"/>
        </w:rPr>
        <w:t>.</w:t>
      </w:r>
    </w:p>
    <w:p>
      <w:pPr>
        <w:pStyle w:val="Heading4"/>
        <w:numPr>
          <w:ilvl w:val="3"/>
          <w:numId w:val="1"/>
        </w:numPr>
        <w:rPr/>
      </w:pPr>
      <w:bookmarkStart w:id="206" w:name="__RefHeading___Toc3597527_1067777946"/>
      <w:bookmarkStart w:id="207" w:name="_Toc84"/>
      <w:bookmarkEnd w:id="206"/>
      <w:r>
        <w:rPr>
          <w:rtl w:val="true"/>
        </w:rPr>
        <w:t>وفات راهن يا مرتهن</w:t>
      </w:r>
      <w:bookmarkEnd w:id="20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مرتهن وفات كرد،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موروثيّت حق الارتهان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وارث، حال 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مى تواند امتناع از وضع در يد شخصى مخصوص نمايد، بلكه بايد استيثاق در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باشد؛ پس اگر با وارث اتفاق كردند، </w:t>
      </w:r>
      <w:bookmarkStart w:id="208" w:name="pg10256_89357"/>
    </w:p>
    <w:p>
      <w:pPr>
        <w:pStyle w:val="BookText"/>
        <w:rPr/>
      </w:pPr>
      <w:bookmarkEnd w:id="208"/>
      <w:r>
        <w:rPr>
          <w:rFonts w:ascii="IRNazanin" w:hAnsi="IRNazanin" w:eastAsia="IRNazanin"/>
          <w:color w:val="111111"/>
          <w:sz w:val="28"/>
          <w:sz w:val="28"/>
          <w:szCs w:val="28"/>
          <w:rtl w:val="true"/>
          <w:lang w:bidi="fa-IR"/>
        </w:rPr>
        <w:t>واضح است؛ وگرنه حاكم، قطع نزاع به وضع در يد عدلى كه استيثاق را با آن باقى مى داند،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وارث راهن، حكم راهن را دارد در اين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رهن متقوّم است به استيثاق در حدوث و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كمتر از آن تحقّق پيدا نمى كند و بيش از آن لازم نيست؛ و در تنازع در خصوصيّاتى كه اصل آن لازم است، حاكم شرع مداخله مى نمايد و قطع نزاع مى نمايد</w:t>
      </w:r>
      <w:r>
        <w:rPr>
          <w:rFonts w:eastAsia="IRNazanin" w:cs="IRNazanin"/>
          <w:color w:val="111111"/>
          <w:sz w:val="28"/>
          <w:szCs w:val="28"/>
          <w:rtl w:val="true"/>
          <w:lang w:bidi="fa-IR"/>
        </w:rPr>
        <w:t>.</w:t>
      </w:r>
    </w:p>
    <w:p>
      <w:pPr>
        <w:pStyle w:val="Heading4"/>
        <w:numPr>
          <w:ilvl w:val="3"/>
          <w:numId w:val="1"/>
        </w:numPr>
        <w:rPr/>
      </w:pPr>
      <w:bookmarkStart w:id="209" w:name="__RefHeading___Toc3597529_1067777946"/>
      <w:bookmarkStart w:id="210" w:name="_Toc85"/>
      <w:bookmarkEnd w:id="209"/>
      <w:r>
        <w:rPr>
          <w:rtl w:val="true"/>
        </w:rPr>
        <w:t>خيانت عدل</w:t>
      </w:r>
      <w:bookmarkEnd w:id="210"/>
    </w:p>
    <w:p>
      <w:pPr>
        <w:pStyle w:val="BookText"/>
        <w:rPr/>
      </w:pPr>
      <w:r>
        <w:rPr>
          <w:rFonts w:ascii="IRNazanin" w:hAnsi="IRNazanin" w:eastAsia="IRNazanin"/>
          <w:color w:val="111111"/>
          <w:sz w:val="28"/>
          <w:sz w:val="28"/>
          <w:szCs w:val="28"/>
          <w:rtl w:val="true"/>
          <w:lang w:bidi="fa-IR"/>
        </w:rPr>
        <w:t>و اگر عدلى كه حاكم در نزد او وضع كرده بود، خيانت كرد و نزاع بين مالك و مرتهن يا وارث او باقى بود، نقل مى نمايد حاكم، عين را به عَدلى ديگر كه امين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باقى نبود و راضى شدند، ابقا مى نمايد نزد عدل سابق، مثل اينكه حدوثاً مى توانستند تراضى بر وضع نزد غير عدلى مخصوص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مرتهن دو نفر بودند و هر كدام مأذون در ارتهان نبودند و يكى وفات كرد، حاكم ضميمه مى نمايد عدلى را به آنكه زنده است؛ مگر آنكه راهن و وارث متوفّى، راضى باشند به بقاى در يد آنكه زنده است به تنهايى، يا با ضميمۀ وارث خاص</w:t>
      </w:r>
      <w:r>
        <w:rPr>
          <w:rFonts w:eastAsia="IRNazanin" w:cs="IRNazanin"/>
          <w:color w:val="111111"/>
          <w:sz w:val="28"/>
          <w:szCs w:val="28"/>
          <w:rtl w:val="true"/>
          <w:lang w:bidi="fa-IR"/>
        </w:rPr>
        <w:t>.</w:t>
      </w:r>
    </w:p>
    <w:p>
      <w:pPr>
        <w:pStyle w:val="Heading4"/>
        <w:numPr>
          <w:ilvl w:val="3"/>
          <w:numId w:val="1"/>
        </w:numPr>
        <w:rPr/>
      </w:pPr>
      <w:bookmarkStart w:id="211" w:name="__RefHeading___Toc3597531_1067777946"/>
      <w:bookmarkStart w:id="212" w:name="_Toc86"/>
      <w:bookmarkEnd w:id="211"/>
      <w:r>
        <w:rPr>
          <w:rtl w:val="true"/>
        </w:rPr>
        <w:t>ظهور غصبيّت رهن بعد از تلف</w:t>
      </w:r>
      <w:bookmarkEnd w:id="2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تلف شد مرهون در يد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تلف، ظاهر شد مستحَق بودن آن، رجوع مى نمايد مالك آن به هر كدام از غاصب و عدل و مرتهن كه قابض بوده اند و مشترى؛ و قرار ضمان، بر عالم به استحقاق است در وقت وضع يد؛ و با تعدّد، بر كسى كه تلف در يد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فرضْ مشترى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در صورت جهلِ مشترى كه در يد او تلف واقع شده است، قرار ضمان بر اوّل كسى كه وضع يد با علم به استحقاق غير كرده است مى باشد؛ و در صورت جهل همه، در ترجيح آنكه تلف در يد او بوده بر آنكه قبل از همه وضع يد كرده است و دفع به غير كرده است، تأمّل است اگر چه راجح است</w:t>
      </w:r>
      <w:r>
        <w:rPr>
          <w:rFonts w:eastAsia="IRNazanin" w:cs="IRNazanin"/>
          <w:color w:val="111111"/>
          <w:sz w:val="28"/>
          <w:szCs w:val="28"/>
          <w:rtl w:val="true"/>
          <w:lang w:bidi="fa-IR"/>
        </w:rPr>
        <w:t xml:space="preserve">. </w:t>
      </w:r>
      <w:bookmarkStart w:id="213" w:name="pg10256_89358"/>
    </w:p>
    <w:p>
      <w:pPr>
        <w:pStyle w:val="Heading4"/>
        <w:numPr>
          <w:ilvl w:val="3"/>
          <w:numId w:val="1"/>
        </w:numPr>
        <w:rPr/>
      </w:pPr>
      <w:bookmarkStart w:id="214" w:name="__RefHeading___Toc3597533_1067777946"/>
      <w:bookmarkStart w:id="215" w:name="_Toc87"/>
      <w:bookmarkEnd w:id="213"/>
      <w:bookmarkEnd w:id="214"/>
      <w:r>
        <w:rPr>
          <w:rtl w:val="true"/>
        </w:rPr>
        <w:t>ادّعاى دفع ثمن مرهون، به مرتهن</w:t>
      </w:r>
      <w:bookmarkEnd w:id="215"/>
    </w:p>
    <w:p>
      <w:pPr>
        <w:pStyle w:val="BookText"/>
        <w:rPr/>
      </w:pPr>
      <w:r>
        <w:rPr>
          <w:rFonts w:ascii="IRNazanin" w:hAnsi="IRNazanin" w:eastAsia="IRNazanin"/>
          <w:color w:val="111111"/>
          <w:sz w:val="28"/>
          <w:sz w:val="28"/>
          <w:szCs w:val="28"/>
          <w:rtl w:val="true"/>
          <w:lang w:bidi="fa-IR"/>
        </w:rPr>
        <w:t>اگر عدلى كه مرهون نزد او گذاشته شده بود ادّعا كرده دفع ثمن را بعد از بيعِ جايز به مرتهن، قول او مسموع است در حق راهن، و راهن حق مطالبۀ او ندارد در صورت وكالت در آن از جانب راهن، بنا بر مسموعيّت قول وكيل در عمل به مقتضاى وكالت؛ و مسموع نيست در حق مرتهن كه وكالت در غير حفظ محل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وضع و بيع و وكالت و اذن در آنها و در دفع ثمن به مرتهن، از جانب حاكم بود، پس نزاع در دفع ثمن، مربوط به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عدل در حق راهن، مثل قول او است در حق مرتهن؛ و دفع ثمن به مرتهن به اذن هر كه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راهن يا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دهنده نمى تواند تضمين نمايد در ظاهر وكيل مأذون خود را، در مورد مسموعيّت ادّعاى وكيل نسبت به موكل؛ و قبض مرتهن منكر، ثابت نمى شود به حلف عدل؛ بلكه مرتهن با حلف خودش، رجوع به هر كه ضامن است مى نمايد از راهن، و رجوع نمى نمايد راهن به عدل با فرض اثبات بر او، و از عدل در فرض عدم مسموعيّت قول او نسبت به مرتهن، پس عدلْ رجوع نمى نمايد به راهن به سبب اعتراف او</w:t>
      </w:r>
      <w:r>
        <w:rPr>
          <w:rFonts w:eastAsia="IRNazanin" w:cs="IRNazanin"/>
          <w:color w:val="111111"/>
          <w:sz w:val="28"/>
          <w:szCs w:val="28"/>
          <w:rtl w:val="true"/>
          <w:lang w:bidi="fa-IR"/>
        </w:rPr>
        <w:t xml:space="preserve">. </w:t>
      </w:r>
      <w:bookmarkStart w:id="216" w:name="pg10256_89359"/>
    </w:p>
    <w:p>
      <w:pPr>
        <w:pStyle w:val="Heading3"/>
        <w:numPr>
          <w:ilvl w:val="2"/>
          <w:numId w:val="1"/>
        </w:numPr>
        <w:rPr/>
      </w:pPr>
      <w:bookmarkStart w:id="217" w:name="__RefHeading___Toc3597535_1067777946"/>
      <w:bookmarkStart w:id="218" w:name="_Toc88"/>
      <w:bookmarkEnd w:id="216"/>
      <w:bookmarkEnd w:id="217"/>
      <w:r>
        <w:rPr>
          <w:rtl w:val="true"/>
        </w:rPr>
        <w:t>فصل ششم احكام مربوط به راهن</w:t>
      </w:r>
      <w:bookmarkEnd w:id="218"/>
    </w:p>
    <w:p>
      <w:pPr>
        <w:pStyle w:val="Heading4"/>
        <w:numPr>
          <w:ilvl w:val="3"/>
          <w:numId w:val="1"/>
        </w:numPr>
        <w:rPr/>
      </w:pPr>
      <w:bookmarkStart w:id="219" w:name="__RefHeading___Toc3597537_1067777946"/>
      <w:bookmarkStart w:id="220" w:name="_Toc89"/>
      <w:bookmarkEnd w:id="219"/>
      <w:r>
        <w:rPr>
          <w:rtl w:val="true"/>
        </w:rPr>
        <w:t>تصرّفات جايزه و غير جايزه در مرهون</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 براى راهن، تصرّف در مرهون به استخدام و سكنىٰ و اجاره و هر تصرّفى كه منافى با استيثاق باشد و مغيّر عين يا موجب نقص قيمت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تصرّفاتى كه با اذن يا اجازه مرتهن باشد؛ چنانچه جايز است براى مرتهن تصرّفى كه با اذن يا اجازه راهن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جايز است تصرّفى كه هيچ گونه تغييرى يا نقص در قيمت را سبب نباشد، مثل تقبيل جاريه و لمس او و نحو اينها و تصرّفى كه از ضروريّات حفظ مال باشد، يا از مكمّلات باشد از قِبَل راهن، مثل علف دابّه و سقى آن، و سقى اشجار، و تأبير و اصلاح نخل و شجر، و ختان و خفض در غلام و جاريه، و رعى دابّه و فصد محتاجٌ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ضرب تأديبى با امن ظاهر از خلاف سلامت، و تزويج مرهون از راهن بدون تسليم به زوج قبل از فكّ رهن با اعلام زوج قبل از تزويج، و تصرّفاتى كه واقعاً جايز است و معرضيّت نزاع در موضوع و مرافعه دارد و مخالف استيثاق به حسب اعتقاد مى شود، احتياط در ترك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موضوعيّت اعتقاد در استيثاق مقوّم رهن</w:t>
      </w:r>
      <w:r>
        <w:rPr>
          <w:rFonts w:eastAsia="IRNazanin" w:cs="IRNazanin"/>
          <w:color w:val="111111"/>
          <w:sz w:val="28"/>
          <w:szCs w:val="28"/>
          <w:rtl w:val="true"/>
          <w:lang w:bidi="fa-IR"/>
        </w:rPr>
        <w:t>.</w:t>
      </w:r>
    </w:p>
    <w:p>
      <w:pPr>
        <w:pStyle w:val="Heading4"/>
        <w:numPr>
          <w:ilvl w:val="3"/>
          <w:numId w:val="1"/>
        </w:numPr>
        <w:rPr/>
      </w:pPr>
      <w:bookmarkStart w:id="221" w:name="__RefHeading___Toc3597539_1067777946"/>
      <w:bookmarkStart w:id="222" w:name="_Toc90"/>
      <w:bookmarkEnd w:id="221"/>
      <w:r>
        <w:rPr>
          <w:rtl w:val="true"/>
        </w:rPr>
        <w:t>تصرّفات قبل از اجازه و لحوق اجازه</w:t>
      </w:r>
      <w:bookmarkEnd w:id="2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تصرّفات راهن قبل از اجازه مرتهن، با اجازۀ او نافذ است، و اجازه كاشف از</w:t>
      </w:r>
      <w:bookmarkStart w:id="223" w:name="pg10256_89360"/>
    </w:p>
    <w:p>
      <w:pPr>
        <w:pStyle w:val="BookText"/>
        <w:rPr/>
      </w:pPr>
      <w:bookmarkEnd w:id="223"/>
      <w:r>
        <w:rPr>
          <w:rFonts w:ascii="Amiri" w:hAnsi="Amiri" w:eastAsia="Amiri" w:cs="Amiri"/>
          <w:color w:val="111111"/>
          <w:sz w:val="28"/>
          <w:sz w:val="28"/>
          <w:szCs w:val="28"/>
          <w:rtl w:val="true"/>
          <w:lang w:bidi="ar-SA"/>
        </w:rPr>
        <w:t>صحّت آنها در زمان وقوع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فكّ رهن بعد از تصرّفات معامليّه، اشكال جارى در مالكيّت فضولى بعد از بيع فضولى،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اجازه مطلقاً بايد در حين تحقّق، واجد شروط باشد كه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اهليّت مجيز براى اجازه 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اذن مرتهن در مسقط حق، اسقاط حق او مى نمايد به وقوع تصرّف مسقط، نه به مجرّد اذن؛ پس براى او است رجوع قبل از تصرّف لازم، بلكه بعد از اجراى صيغه و عدم قبض در هبه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اناطه سقوط به استقرار تصرّف است؛ پس موقوف به انقضاى خيار و عدم فسخ است؛ و اشكال مبنى بر فسخ از حين، مندفع به تملّك به سبب قبل از فسخ بعد از فسخ است؛ و ظاهر اذن، قرار مأذونٌ فيه و عدم عود سبب سابق بر تصرّف است؛ پس در اين جهت فرقى بين فسخ به خيار و موارد انفساخ از 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اعلام راهن، شرط نيست؛ پس با اذن واقعىْ نافذ، و با رجوع از اذن، واقعاً عود مى نمايد حق مرتهن اگر چه راهن نداند رجوع را؛ لكن اگر اذن و رجوع در تصرّفِ مرتهن، از جانب راهن باشد، احتمال لزوم وضعى علم متصرّف كه به منزلۀ وكيل است، قائم است</w:t>
      </w:r>
      <w:r>
        <w:rPr>
          <w:rFonts w:eastAsia="IRNazanin" w:cs="IRNazanin"/>
          <w:color w:val="111111"/>
          <w:sz w:val="28"/>
          <w:szCs w:val="28"/>
          <w:rtl w:val="true"/>
          <w:lang w:bidi="fa-IR"/>
        </w:rPr>
        <w:t>.</w:t>
      </w:r>
    </w:p>
    <w:p>
      <w:pPr>
        <w:pStyle w:val="Heading4"/>
        <w:numPr>
          <w:ilvl w:val="3"/>
          <w:numId w:val="1"/>
        </w:numPr>
        <w:rPr/>
      </w:pPr>
      <w:bookmarkStart w:id="224" w:name="__RefHeading___Toc3597541_1067777946"/>
      <w:bookmarkStart w:id="225" w:name="_Toc91"/>
      <w:bookmarkEnd w:id="224"/>
      <w:r>
        <w:rPr>
          <w:rtl w:val="true"/>
        </w:rPr>
        <w:t>طلب شفعه از سوى مرتهن</w:t>
      </w:r>
      <w:bookmarkEnd w:id="2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راهن بيع كرد عين مرهونه را و پس مرتهن طلب شفعه نمود در مورد ثبوت حق، پس مجرّد طلب، اجازۀ بيع مى شود و حق شفعه وجهى براى سقوط آن نيست</w:t>
      </w:r>
      <w:r>
        <w:rPr>
          <w:rFonts w:eastAsia="IRNazanin" w:cs="IRNazanin"/>
          <w:color w:val="111111"/>
          <w:sz w:val="28"/>
          <w:szCs w:val="28"/>
          <w:rtl w:val="true"/>
          <w:lang w:bidi="fa-IR"/>
        </w:rPr>
        <w:t>.</w:t>
      </w:r>
    </w:p>
    <w:p>
      <w:pPr>
        <w:pStyle w:val="Heading4"/>
        <w:numPr>
          <w:ilvl w:val="3"/>
          <w:numId w:val="1"/>
        </w:numPr>
        <w:rPr/>
      </w:pPr>
      <w:bookmarkStart w:id="226" w:name="__RefHeading___Toc3597543_1067777946"/>
      <w:bookmarkStart w:id="227" w:name="_Toc92"/>
      <w:bookmarkEnd w:id="226"/>
      <w:r>
        <w:rPr>
          <w:rtl w:val="true"/>
        </w:rPr>
        <w:t>صحّت عتق راهن با تعقّب به اجازه</w:t>
      </w:r>
      <w:bookmarkEnd w:id="2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صحّت عتق راهن با تعقّب به اجازۀ مرتهن، خالى از وجه نيست در صورت تمشّى قصد قربت؛ و با افتكاك متأخّر، صافى نيست از شبهه، به خلاف انكشاف افتكاك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عتق مرتهن از جانب راهن با تعقّب به اجازه، بر طبق قاعده فضولى است با تمشّى قربت؛ و از جانب خودش به رجاى لحوق اجازه، ايضاً خالى</w:t>
      </w:r>
      <w:bookmarkStart w:id="228" w:name="pg10256_89361"/>
    </w:p>
    <w:p>
      <w:pPr>
        <w:pStyle w:val="BookText"/>
        <w:rPr/>
      </w:pPr>
      <w:bookmarkEnd w:id="228"/>
      <w:r>
        <w:rPr>
          <w:rFonts w:ascii="Amiri" w:hAnsi="Amiri" w:eastAsia="Amiri" w:cs="Amiri"/>
          <w:color w:val="111111"/>
          <w:sz w:val="28"/>
          <w:sz w:val="28"/>
          <w:szCs w:val="28"/>
          <w:rtl w:val="true"/>
          <w:lang w:bidi="ar-SA"/>
        </w:rPr>
        <w:t>از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اوضح است حكم در صورت هبه مرتهن به نفس فضولاً و تعقّب آن به عتق از خودش و تعقّب آن به اجازۀ راهن هبۀ مذكوره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كاشفيّت اجازه از مقدّمات صحّت عتق مجاز، اقتضاى تملّك مرتهن قبل از تماميّت عتق آناً ما مى نمايد</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597545_1067777946"/>
      <w:bookmarkStart w:id="230" w:name="_Toc93"/>
      <w:bookmarkEnd w:id="229"/>
      <w:r>
        <w:rPr>
          <w:rtl w:val="true"/>
        </w:rPr>
        <w:t>عدم مانعيّت استيلاد كنيز از رهن</w:t>
      </w:r>
      <w:bookmarkEnd w:id="2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راهن وطى نمود كنيز مرهونه را پس استيلاد نمود، به مجرّد اين عمل كنيز امّ ولد مى شود، و رهن باطل نمى شود؛ لكن اگر وطى به اذن مرتهن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قيد بود و به نحوى بود كه اذنِ در احبال از قِبَل مرتهن بود، پس انفساخ رهن بى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آن، حكم استيلاد بى مزاحم است و ابدال واجب نيست با يسار 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اذنِ مخصوص بود، پس جواز بيع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با يسار، اقامۀ بدل است و تراضى طرفين به رهنيّت بدل است براى ترك بيع ام ولد اگر چه متعلّق حق مرتهن بوده قبل از استيلاد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مالك راهن به سبب وطى غير مأذون از جانب مرتهن، حدّ ثابت نيست بلكه در صورت حرمت و بنا بر حرمت، تعزير مى شود، و ولد حرّ است و قيمت ولد، رهن نمى شود و مالك تغريم به آن نمى شود؛ بلى تفاوت بكارت، بلكه وطى، اگر موجب نقص قيمت بشود به سبب احبال و ولادت يا غير آن، دور نيست بر او ارش باشد و تفاوت جزء رهن بشود در صورت عدم اذن مرتهن در وطى راهن مثل صورت اتلاف راهن بعض عين مرهونه را مثل صورت حصول موت موطوئه در حال ولادت كه قيمت رهن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موطوئۀ به شبهه اگر موت به سبب ولادت حاصل بشود، بر واطى است ديۀ خطا با جواز شرعى آن؛ به خلاف زوجه كه مانع شرعى از وطى آن از ناحيۀ اضرار نبوده كه ظاهراً ضامن ديۀ تلف و اتلاف به سبب ولادت و طلق نباشد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حرۀ مزنىٌ بها به اختيار و رضاى زن، و با احتمال اضرار و وقوع آن مستقلاً ضامن است</w:t>
      </w:r>
      <w:r>
        <w:rPr>
          <w:rFonts w:eastAsia="IRNazanin" w:cs="IRNazanin"/>
          <w:color w:val="111111"/>
          <w:sz w:val="28"/>
          <w:szCs w:val="28"/>
          <w:rtl w:val="true"/>
          <w:lang w:bidi="fa-IR"/>
        </w:rPr>
        <w:t xml:space="preserve">. </w:t>
      </w:r>
      <w:bookmarkStart w:id="231" w:name="pg10256_89362"/>
    </w:p>
    <w:p>
      <w:pPr>
        <w:pStyle w:val="BookText"/>
        <w:rPr/>
      </w:pPr>
      <w:bookmarkEnd w:id="231"/>
      <w:r>
        <w:rPr>
          <w:rFonts w:ascii="Amiri" w:hAnsi="Amiri" w:eastAsia="Amiri" w:cs="Amiri"/>
          <w:color w:val="111111"/>
          <w:sz w:val="28"/>
          <w:sz w:val="28"/>
          <w:szCs w:val="28"/>
          <w:rtl w:val="true"/>
          <w:lang w:bidi="ar-SA"/>
        </w:rPr>
        <w:t>و در صورت اكراه كه زن ناراضى باشد با احتمال اضرار و وقوع آن، عدم ضمان به اتلاف، خالى از شبهه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ضمان، مضمون قيمتِ وقتِ تلف است، نه اوقات سابقه بنا 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وطى كنندۀ امۀ مرهونه، مرتهن بود، پس به حكم زنا است، مثل وطى اجنبى اگر چه با اذن راهن باشد بدون صيغۀ تحليل، لكن در صورت اذن، نقص مالى يا مهر بر مرتهن نيست و ولد رق است و قيمت او رهن نمى شود</w:t>
      </w:r>
      <w:r>
        <w:rPr>
          <w:rFonts w:eastAsia="IRNazanin" w:cs="IRNazanin"/>
          <w:color w:val="111111"/>
          <w:sz w:val="28"/>
          <w:szCs w:val="28"/>
          <w:rtl w:val="true"/>
          <w:lang w:bidi="fa-IR"/>
        </w:rPr>
        <w:t>.</w:t>
      </w:r>
    </w:p>
    <w:p>
      <w:pPr>
        <w:pStyle w:val="Heading4"/>
        <w:numPr>
          <w:ilvl w:val="3"/>
          <w:numId w:val="1"/>
        </w:numPr>
        <w:rPr/>
      </w:pPr>
      <w:bookmarkStart w:id="232" w:name="__RefHeading___Toc3597547_1067777946"/>
      <w:bookmarkStart w:id="233" w:name="_Toc94"/>
      <w:bookmarkEnd w:id="232"/>
      <w:r>
        <w:rPr>
          <w:rtl w:val="true"/>
        </w:rPr>
        <w:t>اذن مرتهن به بيع</w:t>
      </w:r>
      <w:bookmarkEnd w:id="2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اذن داد مرتهن در بيعِ راهن پس بيع نمود و اذنْ بدون شرط بود و اذن و بيع قبل از حلول دين بود، اظهر بطلان رهن است از زمان بيع بدون بدل يا بدليّت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مرتهنْ اجازۀ بيع كرد قبل از حلول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مجرّد اذن سابق، رهن باطل نمى شود، پس مى تواند قبل از بيع رجوع از اذن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رجوع معلوم راهن نمود، بر راهن است حلف بر نفى علم به رجوع قبل از 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توافق در اصلِ رجوع و اختلاف در زمان آن بود، پس اگر اختلاف در وقت يكىِ معيّن از رجوع و بيع بود، حلف بر مدّعى تأخير از آن وقت است كه منكرِ تحقّق معلوم در آن وقت است، يعنى منكر تحقّق غير معلوم در وقت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كه وقت يكى معلوم و وقت ديگرى مختلفٌ فيه باشد، پس بعد از تساقط دو دعوىٰ‌، بيعْ محكومِ به بطلان و رهنْ محكومِ به صحّت است در مرحلۀ بقا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اذن و بيع، بعد از حلول دين بود، يا آنكه دين اصلاً حالّ بود، پس در صورت عدم قرينه بر خلاف، اظهر محكوميّت است به حكم صورت سابقه كه قبل از حلول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اذن مقيّد شد به رهنيّت ثمن يا وفاى رهن به آن، پس با مخالفت منكشف مى شود بطلان بيع به جهت عدم خصوصيّت اذن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حكم در اجازۀ لاحقه به بيع بعد از حلول دين</w:t>
      </w:r>
      <w:r>
        <w:rPr>
          <w:rFonts w:eastAsia="IRNazanin" w:cs="IRNazanin"/>
          <w:color w:val="111111"/>
          <w:sz w:val="28"/>
          <w:szCs w:val="28"/>
          <w:rtl w:val="true"/>
          <w:lang w:bidi="fa-IR"/>
        </w:rPr>
        <w:t xml:space="preserve">. </w:t>
      </w:r>
      <w:bookmarkStart w:id="234" w:name="pg10256_89363"/>
    </w:p>
    <w:p>
      <w:pPr>
        <w:pStyle w:val="BookText"/>
        <w:rPr/>
      </w:pPr>
      <w:bookmarkEnd w:id="234"/>
      <w:r>
        <w:rPr>
          <w:rFonts w:ascii="IRNazanin" w:hAnsi="IRNazanin" w:eastAsia="IRNazanin"/>
          <w:color w:val="111111"/>
          <w:sz w:val="28"/>
          <w:sz w:val="28"/>
          <w:szCs w:val="28"/>
          <w:rtl w:val="true"/>
          <w:lang w:bidi="fa-IR"/>
        </w:rPr>
        <w:t xml:space="preserve">و در صورت اختلاف راهن و مرتهن در تخصيص اذن و اشتراط به رهنيّت ثمن يا بدل ديگر، حلف بر منكر اذن است به غير خاص و او مرتهن است در صورت ادّعاى او سبق قرينه اشتراط را بر دالّ به اذن؛ و بر راهن است در صورت ادّعاى مرتهن تخصيص و اشتراط را بعد از اذن كه اذن متفقٌ عليه و تعقيبش به شرط مختلفٌ فيه است؛ نه آنكه بر راهن است حلف مطلقاً،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يا آنكه بر مرتهن است مطلقاً، چنانچه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تفصيل اظهر است</w:t>
      </w:r>
      <w:r>
        <w:rPr>
          <w:rFonts w:eastAsia="IRNazanin" w:cs="IRNazanin"/>
          <w:color w:val="111111"/>
          <w:sz w:val="28"/>
          <w:szCs w:val="28"/>
          <w:rtl w:val="true"/>
          <w:lang w:bidi="fa-IR"/>
        </w:rPr>
        <w:t>.</w:t>
      </w:r>
    </w:p>
    <w:p>
      <w:pPr>
        <w:pStyle w:val="Heading4"/>
        <w:numPr>
          <w:ilvl w:val="3"/>
          <w:numId w:val="1"/>
        </w:numPr>
        <w:rPr/>
      </w:pPr>
      <w:bookmarkStart w:id="235" w:name="__RefHeading___Toc3597549_1067777946"/>
      <w:bookmarkStart w:id="236" w:name="_Toc95"/>
      <w:bookmarkEnd w:id="235"/>
      <w:r>
        <w:rPr>
          <w:rtl w:val="true"/>
        </w:rPr>
        <w:t>اذن راهن به بيع</w:t>
      </w:r>
      <w:bookmarkEnd w:id="2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راهن، اذن در بيع مرتهن داد قبل از حلول، پس بيع نمود، پس اظهر بقاى حق رهانت است در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عدم خلاف در حكم متعاكس در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بيع مرتهن به اذن راهن و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مبناى فرق اين است كه اختيار بقاى رهن به يد مرتهن، نه راهن است؛ پس فرق است بين اذن مرتهن و بين بيع او به اذن راهن كه تأثير در ابطال رهن ندارد، به خلاف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ممكن است گفته شود در اختلاف در تقدّم هر يك از رجوع و بيع و تأخّر آن كه شكّ در بقاى رهن، مسبّب از شكّ در صحّت بيع است و شكّ در آن مسبّب از شكّ در تقدّم رجوع است؛ و بعد از تعارضِ استصحابها در رجوع و بيع، رجوع مى شود به استصحاب در شكّ مسبّب از آن كه بقاى اذن است تا حال بيع، اگر چه گفته شود كه اصالة الصحه با آنكه اماره است، اثبات شرط كه اذن مرتهن است، نمى نمايد به واسطۀ شكّ در زوال اهليّت، چون اصالة الصحه موافق با استصحاب بقاى اهليّت است، پس مانعى از اين نتيجه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مقتضاى رهن بودن ثمن، مساوات حكم ثمن است با عوض تالف يا متلَف در عدم جواز تصرّف در بدل مثل اصل است و در جواز تصرّف بعد از حلول دين به ترتيبى كه در اصل جايز است</w:t>
      </w:r>
      <w:r>
        <w:rPr>
          <w:rFonts w:eastAsia="Amiri" w:cs="Amiri" w:ascii="Amiri" w:hAnsi="Amiri"/>
          <w:color w:val="111111"/>
          <w:sz w:val="28"/>
          <w:szCs w:val="28"/>
          <w:rtl w:val="true"/>
          <w:lang w:bidi="ar-SA"/>
        </w:rPr>
        <w:t xml:space="preserve">. </w:t>
      </w:r>
      <w:bookmarkStart w:id="237" w:name="pg10256_89364"/>
    </w:p>
    <w:p>
      <w:pPr>
        <w:pStyle w:val="Heading4"/>
        <w:numPr>
          <w:ilvl w:val="3"/>
          <w:numId w:val="1"/>
        </w:numPr>
        <w:rPr/>
      </w:pPr>
      <w:bookmarkStart w:id="238" w:name="__RefHeading___Toc3597551_1067777946"/>
      <w:bookmarkStart w:id="239" w:name="_Toc96"/>
      <w:bookmarkEnd w:id="237"/>
      <w:bookmarkEnd w:id="238"/>
      <w:r>
        <w:rPr>
          <w:rtl w:val="true"/>
        </w:rPr>
        <w:t>حلول دين و مطالبۀ دين توسط مرتهن</w:t>
      </w:r>
      <w:bookmarkEnd w:id="23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اجل و مدّت دينْ حلول نمود و مطالبه نمود مرتهن دين خود را، براى راهن است از هر محلى تأديه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متعذّر شد اداى دين از غير عين مرهونه، پس اگر وكيل باشد مرتهن در بيع و استيفا، عمل به وكالت و وصول دين مى نمايد؛ و اگر وكيل نباشد و مراجعۀ به مالك عين نمود و عملى براى تأديه انجام نداد، پس مراجعه به حاكم شرع مى نمايد و او عمل به وظيفۀ خودش در موضوع و حكم براى ايصال حق به مستحق مى نمايد از قبيل اجبار و حبس و بيع بر مالك بعد از آنها يا بعد از بعض آنها يا ابتداءً بدون آنها بر حسب آنچه تشخيص داد وظيفۀ خود را در اين معروف، اين مقدّمۀ واجبه را عملى مى نمايد و زايد بر واجب مقدّمى، چيزى به جا نمى آورد، مثل ايصال ساير حقوق لازمه با رعايت اخفّ و اسهل بر مالك و مراتب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عدم امكان وصول به حاكم يا به حكم او اگر چه به جهت ضررى بودن مقدّمات يا حرجى بودن آنها يا عدم امكان اثبات دين و رهن با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استيذان از عدل مؤمن در مباشرت بيع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جواز مباشرت بيع، اقتصار بر مقدار ضرورت استيفاى دين مى نمايد؛ پس اگر بيعِ بعضْ ممكن و كافى و غير ضررى بر مالك باشد، بيع مجموع نمى نمايد؛ و اگر متوقّف است وصول، بر بيع مجموع و مجموعْ زايد است به حسب قيمت از مقدار دين، زايد را بر سبيل امانت نزد خودش نگاهدارى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مرضىّ مالك نباشد، به حاكم مراجعه در وظيفۀ آن مى نمايد در صورت امكان، يا عدل مؤمن در صورت عدم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ناقص از مقدار دين است در زمان فروختن، ما بقى از دين را بر راهن استحقاق دارد</w:t>
      </w:r>
      <w:r>
        <w:rPr>
          <w:rFonts w:eastAsia="IRNazanin" w:cs="IRNazanin"/>
          <w:color w:val="111111"/>
          <w:sz w:val="28"/>
          <w:szCs w:val="28"/>
          <w:rtl w:val="true"/>
          <w:lang w:bidi="fa-IR"/>
        </w:rPr>
        <w:t>.</w:t>
      </w:r>
    </w:p>
    <w:p>
      <w:pPr>
        <w:pStyle w:val="Heading4"/>
        <w:numPr>
          <w:ilvl w:val="3"/>
          <w:numId w:val="1"/>
        </w:numPr>
        <w:rPr/>
      </w:pPr>
      <w:bookmarkStart w:id="240" w:name="__RefHeading___Toc3597553_1067777946"/>
      <w:bookmarkStart w:id="241" w:name="_Toc97"/>
      <w:bookmarkEnd w:id="240"/>
      <w:r>
        <w:rPr>
          <w:rtl w:val="true"/>
        </w:rPr>
        <w:t>لزوم استيذان از مرتهن براى بيع</w:t>
      </w:r>
      <w:bookmarkEnd w:id="24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راهن ارادۀ بيع و ايفاى دين كرد، استيذان مى نمايد از مرتهن؛ و در صورت عدم اذن مرتهن، مراجعه به حاكم مى نمايد و حاكم الزام مى نمايد مرتهن را بر بيع و</w:t>
      </w:r>
      <w:bookmarkStart w:id="242" w:name="pg10256_89365"/>
    </w:p>
    <w:p>
      <w:pPr>
        <w:pStyle w:val="BookText"/>
        <w:rPr/>
      </w:pPr>
      <w:bookmarkEnd w:id="242"/>
      <w:r>
        <w:rPr>
          <w:rFonts w:ascii="IRNazanin" w:hAnsi="IRNazanin" w:eastAsia="IRNazanin"/>
          <w:color w:val="111111"/>
          <w:sz w:val="28"/>
          <w:sz w:val="28"/>
          <w:szCs w:val="28"/>
          <w:rtl w:val="true"/>
          <w:lang w:bidi="fa-IR"/>
        </w:rPr>
        <w:t>استيفاى دين يا اذن دادن به راهن يا ابراى راهن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را انجام نداد، حاكم خودش مباشرت بر بيع و ايفاى دين از ثمن مى نمايد، مگر آنكه راهن بخواهد ايفاى دين را از غير ثمن، اگر چه بعد از بيع چنين خواهش نمايد</w:t>
      </w:r>
      <w:r>
        <w:rPr>
          <w:rFonts w:eastAsia="IRNazanin" w:cs="IRNazanin"/>
          <w:color w:val="111111"/>
          <w:sz w:val="28"/>
          <w:szCs w:val="28"/>
          <w:rtl w:val="true"/>
          <w:lang w:bidi="fa-IR"/>
        </w:rPr>
        <w:t>.</w:t>
      </w:r>
    </w:p>
    <w:p>
      <w:pPr>
        <w:pStyle w:val="Heading4"/>
        <w:numPr>
          <w:ilvl w:val="3"/>
          <w:numId w:val="1"/>
        </w:numPr>
        <w:rPr/>
      </w:pPr>
      <w:bookmarkStart w:id="243" w:name="__RefHeading___Toc3597555_1067777946"/>
      <w:bookmarkStart w:id="244" w:name="_Toc98"/>
      <w:bookmarkEnd w:id="243"/>
      <w:r>
        <w:rPr>
          <w:rtl w:val="true"/>
        </w:rPr>
        <w:t>لزوم تحقّق اذن راهن در موارد بيع مرتهن و</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موارد بيع مرتهن با اذن راهن، بايد اذن او در استيفاى دين از ثمن، محقّق باشد، و در مقام استيفاى مأذونٌ فيه، ادامۀ استيلاء خارجى، كافى است و فعل جديدى در نقل ملك به مرتهن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راهن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لنفسى و استوف من ثمنه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ثمن به قبض، مملوك مرتهن بايع مى شود، چه ثمنْ كلّى ذمّى باشد، يا عين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لنفسك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نيست تملّك مرتهن مقدار مساوى دين را از عين و اينكه قبض او تملّك باشد، يا آنكه اذن در تمليك نفس به بيع و تملّك ثمن با آن قبل از آن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در هر دو تقدير ملك بايع مى شود اگر چه كلّى باشد؛ به خلاف صورت اذن در بيع للرّاهن، پس كلّىِ ثمن از ملك راهن خارج نمى شود مگر بعد از قبض للرّاهن و استيفاى دين از آن</w:t>
      </w:r>
      <w:r>
        <w:rPr>
          <w:rFonts w:eastAsia="IRNazanin" w:cs="IRNazanin"/>
          <w:color w:val="111111"/>
          <w:sz w:val="28"/>
          <w:szCs w:val="28"/>
          <w:rtl w:val="true"/>
          <w:lang w:bidi="fa-IR"/>
        </w:rPr>
        <w:t xml:space="preserve">. </w:t>
      </w:r>
      <w:bookmarkStart w:id="245" w:name="pg10256_89366"/>
    </w:p>
    <w:p>
      <w:pPr>
        <w:pStyle w:val="Heading3"/>
        <w:numPr>
          <w:ilvl w:val="2"/>
          <w:numId w:val="1"/>
        </w:numPr>
        <w:rPr/>
      </w:pPr>
      <w:bookmarkStart w:id="246" w:name="__RefHeading___Toc3597557_1067777946"/>
      <w:bookmarkStart w:id="247" w:name="_Toc99"/>
      <w:bookmarkEnd w:id="245"/>
      <w:bookmarkEnd w:id="246"/>
      <w:r>
        <w:rPr>
          <w:rtl w:val="true"/>
        </w:rPr>
        <w:t>فصل هفتم احكام متعلّقه به رهن</w:t>
      </w:r>
      <w:bookmarkEnd w:id="247"/>
    </w:p>
    <w:p>
      <w:pPr>
        <w:pStyle w:val="Heading4"/>
        <w:numPr>
          <w:ilvl w:val="3"/>
          <w:numId w:val="1"/>
        </w:numPr>
        <w:rPr/>
      </w:pPr>
      <w:bookmarkStart w:id="248" w:name="__RefHeading___Toc3597559_1067777946"/>
      <w:bookmarkStart w:id="249" w:name="_Toc100"/>
      <w:bookmarkEnd w:id="248"/>
      <w:r>
        <w:rPr>
          <w:rtl w:val="true"/>
        </w:rPr>
        <w:t>لزوم رهن از طرف راهن و جواز از طرف مرتهن</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لازم است از جهت راهن كه بر او است استحقاق، و جايز است از جهت مرتهن كه صاحب حق است، و نمى تواند راهن بگيرد از مرتهن عين مرهونه را مگر با سقوط ارتهان يا اسقاط حق ارتهان از مرتهن، يا تأديۀ دين يا ابراى ذمّۀ مديون و نحو اينها</w:t>
      </w:r>
      <w:r>
        <w:rPr>
          <w:rFonts w:eastAsia="IRNazanin" w:cs="IRNazanin"/>
          <w:color w:val="111111"/>
          <w:sz w:val="28"/>
          <w:szCs w:val="28"/>
          <w:rtl w:val="true"/>
          <w:lang w:bidi="fa-IR"/>
        </w:rPr>
        <w:t>.</w:t>
      </w:r>
    </w:p>
    <w:p>
      <w:pPr>
        <w:pStyle w:val="Heading4"/>
        <w:numPr>
          <w:ilvl w:val="3"/>
          <w:numId w:val="1"/>
        </w:numPr>
        <w:rPr/>
      </w:pPr>
      <w:bookmarkStart w:id="250" w:name="__RefHeading___Toc3597561_1067777946"/>
      <w:bookmarkStart w:id="251" w:name="_Toc101"/>
      <w:bookmarkEnd w:id="250"/>
      <w:r>
        <w:rPr>
          <w:rtl w:val="true"/>
        </w:rPr>
        <w:t>انفكاك و تبعّض در رهن</w:t>
      </w:r>
      <w:bookmarkEnd w:id="2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ابراى ذمّه از بعض دين كرد يا تأديۀ بعض شد، اظهر سقوط ارتهان در مقابل بعض است در صورت محفوظيّت استيثاق در نصف دين مثلاً به نصف عين مرهون، نه آنكه تمام عين باقى بر ارتهان است اگر چه به قليلى از دين باشد، يا آنكه ساقط باشد ارتهان راساً، چون بر مجموع دين بوده كه منتفى شده به انتفاى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انفكاك بعض رهن به اداى بعضِ دين، غير انتفاى رهن است در بقاى به زوال و تلف بعض عين يا تمام آن بدون ضمان كه موجب بطلان رهن است در خصوصيّت عين يا نصف آن مثلاً كه حكم عرفى و شرعى آن مناسب رفع تضرّر از مرتهن است بر حسب قواعد عامّه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اشتراط شد توزيع، يا رهن بر مجموع كه رهن منتفى به اداى بعض مى شود، يا رهنيّت بر هر جزء، پس متبع است شرط نافذ عقلايى، يا آنكه با فساد شرط، رهن </w:t>
      </w:r>
      <w:bookmarkStart w:id="252" w:name="pg10256_89367"/>
    </w:p>
    <w:p>
      <w:pPr>
        <w:pStyle w:val="BookText"/>
        <w:rPr/>
      </w:pPr>
      <w:bookmarkEnd w:id="252"/>
      <w:r>
        <w:rPr>
          <w:rFonts w:ascii="Amiri" w:hAnsi="Amiri" w:eastAsia="Amiri" w:cs="Amiri"/>
          <w:color w:val="111111"/>
          <w:sz w:val="28"/>
          <w:sz w:val="28"/>
          <w:szCs w:val="28"/>
          <w:rtl w:val="true"/>
          <w:lang w:bidi="ar-SA"/>
        </w:rPr>
        <w:t>مشروط سالم و باقى باشد و بر قاعده عمل شود؛ كه توزيع مذكور مختار است و عقلايى بودن شرط رهن بر مجموع يا بر هر جزء، قابل منع است</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597563_1067777946"/>
      <w:bookmarkStart w:id="254" w:name="_Toc102"/>
      <w:bookmarkEnd w:id="253"/>
      <w:r>
        <w:rPr>
          <w:rtl w:val="true"/>
        </w:rPr>
        <w:t>وجوب رد عين بعد از اداى دين</w:t>
      </w:r>
      <w:bookmarkEnd w:id="2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تحقّق اداى دين يا ابراى آن از قِبَل مرتهن مثلاً، رهن منتفى مى شود و اظهر زوال اذن مالكى در بقاى عين در يد مرتهن است؛ پس واجب است رد عين به مالك اگر چه مطالبه ننمايد، مگر آنكه از خصوصيّاتى كشف شود رضاى مالك به بقاى آن در يد مرتهن كه تا مطالبه نشود، واجب نيست رد آن</w:t>
      </w:r>
      <w:r>
        <w:rPr>
          <w:rFonts w:eastAsia="IRNazanin" w:cs="IRNazanin"/>
          <w:color w:val="111111"/>
          <w:sz w:val="28"/>
          <w:szCs w:val="28"/>
          <w:rtl w:val="true"/>
          <w:lang w:bidi="fa-IR"/>
        </w:rPr>
        <w:t>.</w:t>
      </w:r>
    </w:p>
    <w:p>
      <w:pPr>
        <w:pStyle w:val="Heading4"/>
        <w:numPr>
          <w:ilvl w:val="3"/>
          <w:numId w:val="1"/>
        </w:numPr>
        <w:rPr/>
      </w:pPr>
      <w:bookmarkStart w:id="255" w:name="__RefHeading___Toc3597565_1067777946"/>
      <w:bookmarkStart w:id="256" w:name="_Toc103"/>
      <w:bookmarkEnd w:id="255"/>
      <w:r>
        <w:rPr>
          <w:rtl w:val="true"/>
        </w:rPr>
        <w:t>شرط تملّك رهن در صورت عدم اداى دين</w:t>
      </w:r>
      <w:bookmarkEnd w:id="25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كرد مرتهن بر راهن كه اگر اداى دين بعد از حلول نكرد، مالك بشود عين مرهونه را به عوض مقدر به مقدار دين به نحو شرط نتيجه و به نحو تعليق بر عدم اداى واجب، ممكن است صحّت عقد و شرط اگر اجماع كاشف بر خلاف نباشد؛ چنانچه اظهر صحّت رهن است بر تقدير فساد شرط مذكور و اينكه كالعدم مى شود شرط نه عقد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واسطۀ نقل اجماع بر فساد عقد و شرط، احتياط مناسب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تقدير صحّت عقد و شرط، ضمانِ غرامتى از مرتهن منتفى است در مدّت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فساد، محتمل است ضمان مرتهن اگر عالم به فساد باشد با جهل دافع به فساد و تخيّل او صحّت را</w:t>
      </w:r>
      <w:r>
        <w:rPr>
          <w:rFonts w:eastAsia="IRNazanin" w:cs="IRNazanin"/>
          <w:color w:val="111111"/>
          <w:sz w:val="28"/>
          <w:szCs w:val="28"/>
          <w:rtl w:val="true"/>
          <w:lang w:bidi="fa-IR"/>
        </w:rPr>
        <w:t>.</w:t>
      </w:r>
    </w:p>
    <w:p>
      <w:pPr>
        <w:pStyle w:val="Heading4"/>
        <w:numPr>
          <w:ilvl w:val="3"/>
          <w:numId w:val="1"/>
        </w:numPr>
        <w:rPr/>
      </w:pPr>
      <w:bookmarkStart w:id="257" w:name="__RefHeading___Toc3597567_1067777946"/>
      <w:bookmarkStart w:id="258" w:name="_Toc104"/>
      <w:bookmarkEnd w:id="257"/>
      <w:r>
        <w:rPr>
          <w:rtl w:val="true"/>
        </w:rPr>
        <w:t>رهن مغصوب</w:t>
      </w:r>
      <w:bookmarkEnd w:id="2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مغصوب، نزد غاصب مانعى ندارد با تحقّق رضا به قبض بقاءً كه ضد غصب است و با آن رضا، ضمان سابق زايل مى شود و محلى براى اسقاط نمى ماند؛ و اگر بود، اشكالِ ضمانِ ما لم يجب و اينكه ضمان حكم است نه حق، قابل دفع است</w:t>
      </w:r>
      <w:r>
        <w:rPr>
          <w:rFonts w:eastAsia="IRNazanin" w:cs="IRNazanin"/>
          <w:color w:val="111111"/>
          <w:sz w:val="28"/>
          <w:szCs w:val="28"/>
          <w:rtl w:val="true"/>
          <w:lang w:bidi="fa-IR"/>
        </w:rPr>
        <w:t>.</w:t>
      </w:r>
    </w:p>
    <w:p>
      <w:pPr>
        <w:pStyle w:val="Heading4"/>
        <w:numPr>
          <w:ilvl w:val="3"/>
          <w:numId w:val="1"/>
        </w:numPr>
        <w:rPr/>
      </w:pPr>
      <w:bookmarkStart w:id="259" w:name="__RefHeading___Toc3597569_1067777946"/>
      <w:bookmarkStart w:id="260" w:name="_Toc105"/>
      <w:bookmarkEnd w:id="259"/>
      <w:r>
        <w:rPr>
          <w:rtl w:val="true"/>
        </w:rPr>
        <w:t>فوايد عين مرهونه</w:t>
      </w:r>
      <w:bookmarkEnd w:id="26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فوايد متجدّدۀ عين مرهونه، داخل در ملك راهن مى باشند، مانند 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w:t>
      </w:r>
      <w:bookmarkStart w:id="261" w:name="pg10256_89368"/>
    </w:p>
    <w:p>
      <w:pPr>
        <w:pStyle w:val="BookText"/>
        <w:rPr/>
      </w:pPr>
      <w:bookmarkEnd w:id="261"/>
      <w:r>
        <w:rPr>
          <w:rFonts w:ascii="IRNazanin" w:hAnsi="IRNazanin" w:eastAsia="IRNazanin"/>
          <w:color w:val="111111"/>
          <w:sz w:val="28"/>
          <w:sz w:val="28"/>
          <w:szCs w:val="28"/>
          <w:rtl w:val="true"/>
          <w:lang w:bidi="fa-IR"/>
        </w:rPr>
        <w:t>داخل در رهن مى شوند يا نه‌؟ اشكالى در دخول در فايدۀ متّصله مثل سمن و طول و عرض و در عدم دخول در فايدۀ منفصلۀ اختياريّه مثل اكتساب مملوك و حاصل آن نيست؛ پس مورد خلاف و اشكال، مثل حمل شجر يا دابّه يا مملوك است، و اظهر عدم دخول در رهن است نسبت به آنها، اگر چه منسوب به اكثر، دخول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رهن براى دو دين بود پس تأديۀ دين در يكى مخصوص از آن دو شد، امساك عين مخصوصه به آن دين مؤدّىٰ براى مرتهن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دو دين و يك رهن براى يكى خاص بود پس تأديه خاص شد، امساك آن براى تأديۀ دينِ بى رهن جايز نيست</w:t>
      </w:r>
      <w:r>
        <w:rPr>
          <w:rFonts w:eastAsia="IRNazanin" w:cs="IRNazanin"/>
          <w:color w:val="111111"/>
          <w:sz w:val="28"/>
          <w:szCs w:val="28"/>
          <w:rtl w:val="true"/>
          <w:lang w:bidi="fa-IR"/>
        </w:rPr>
        <w:t>.</w:t>
      </w:r>
    </w:p>
    <w:p>
      <w:pPr>
        <w:pStyle w:val="Heading4"/>
        <w:numPr>
          <w:ilvl w:val="3"/>
          <w:numId w:val="1"/>
        </w:numPr>
        <w:rPr/>
      </w:pPr>
      <w:bookmarkStart w:id="262" w:name="__RefHeading___Toc3597571_1067777946"/>
      <w:bookmarkStart w:id="263" w:name="_Toc106"/>
      <w:bookmarkEnd w:id="262"/>
      <w:r>
        <w:rPr>
          <w:rtl w:val="true"/>
        </w:rPr>
        <w:t>رهن مال غير با اذن او</w:t>
      </w:r>
      <w:bookmarkEnd w:id="26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 دادن مال غير با اذن مالك صحيح است به عنوان رهن اگر چه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و اشتراك آن با ضمان و عاريه در بعض آثار، موجب اندراج حقيقى در يكى از آنها بدون قصد موضوع و تحقّق شرايط نمى شود، اگر چه قول به اندراج در ضمان، نزد علماى مذهبْ محقّق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ساقط است تفريع اعتبار ذكر خصوصيّات بر تقدير ضمان نه عاريه با وجود قول به اعتبار با قول به عاريه بودن؛ و اظهر عدم اعتبار ازيد از شروط صحّت 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اجبار راهن بر فكّ در ضمان قبل از حلول، به خلاف عاريه غير لازمه، زيرا عدم لزوم منافات با عارض موجب لزوم نيست، زيرا مطالبۀ قبل از حلول، نقض غرض از عاريه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تقدير، خلافى نيست در جواز مطالبۀ فكّ بعد از حلول دين، پس مطالبه مى نمايد مالك از راهن فكّ رهن را؛ و اگر نكرد و مرتهن آن را در دين فروخت، رجوع مى نمايد به راهن كه مأذون از جانب مالك در رهن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مالكْ تعيين مقدار دين يا مرتهن يا اجل دين در مقام اذن در رهن نمود، تعدّى از معيّن جايز نيست، پس اگر تعيين اقلّ نمود پس رهن بر اكثر داد، فضولى است، </w:t>
      </w:r>
      <w:bookmarkStart w:id="264" w:name="pg10256_89369"/>
    </w:p>
    <w:p>
      <w:pPr>
        <w:pStyle w:val="BookText"/>
        <w:rPr/>
      </w:pPr>
      <w:bookmarkEnd w:id="264"/>
      <w:r>
        <w:rPr>
          <w:rFonts w:ascii="IRNazanin" w:hAnsi="IRNazanin" w:eastAsia="IRNazanin"/>
          <w:color w:val="111111"/>
          <w:sz w:val="28"/>
          <w:sz w:val="28"/>
          <w:szCs w:val="28"/>
          <w:rtl w:val="true"/>
          <w:lang w:bidi="fa-IR"/>
        </w:rPr>
        <w:t>زيرا مقتضاى اذن، رهن مجموع به مقدار مأذون است؛ پس رهن به اكثر كه مستلزم رهن بعض به مقدار مأذون است، تعدّى از اذن است و مخالف با اذن است و اذن نسبت به چنين رهنى، كالعدم است در غير مورد ثبوت اولويّت؛ بلى با اجازه، صحيح خواهد بود بعد از اطلاع به كيفيّت رهن، نه با اذن سابق</w:t>
      </w:r>
      <w:r>
        <w:rPr>
          <w:rFonts w:eastAsia="IRNazanin" w:cs="IRNazanin"/>
          <w:color w:val="111111"/>
          <w:sz w:val="28"/>
          <w:szCs w:val="28"/>
          <w:rtl w:val="true"/>
          <w:lang w:bidi="fa-IR"/>
        </w:rPr>
        <w:t>.</w:t>
      </w:r>
    </w:p>
    <w:p>
      <w:pPr>
        <w:pStyle w:val="Heading4"/>
        <w:numPr>
          <w:ilvl w:val="3"/>
          <w:numId w:val="1"/>
        </w:numPr>
        <w:rPr/>
      </w:pPr>
      <w:bookmarkStart w:id="265" w:name="__RefHeading___Toc3597573_1067777946"/>
      <w:bookmarkStart w:id="266" w:name="_Toc107"/>
      <w:bookmarkEnd w:id="265"/>
      <w:r>
        <w:rPr>
          <w:rtl w:val="true"/>
        </w:rPr>
        <w:t>حكم تلف بعد از اذن مالك</w:t>
      </w:r>
      <w:bookmarkEnd w:id="266"/>
    </w:p>
    <w:p>
      <w:pPr>
        <w:pStyle w:val="BookText"/>
        <w:rPr/>
      </w:pPr>
      <w:r>
        <w:rPr>
          <w:rFonts w:ascii="IRNazanin" w:hAnsi="IRNazanin" w:eastAsia="IRNazanin"/>
          <w:color w:val="111111"/>
          <w:sz w:val="28"/>
          <w:sz w:val="28"/>
          <w:szCs w:val="28"/>
          <w:rtl w:val="true"/>
          <w:lang w:bidi="fa-IR"/>
        </w:rPr>
        <w:t>و بعد از رهن با اذن مالك، پس در ضمان راهن قبل از رهن اگر تلف شد در يد او بدون تعدّى و تفريط، خلاف است؛ و اقرب عدم ضمان است، مثل ساير عاريۀ حقيقيّۀ غير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مرتهنْ ضامن نيست به ضمان يد بدون تفريط، و در آن خلافى نقل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موارد ضمان به يد غير غاصبه، اقرب ضمان قيمى به قيمت يوم التلف است، و كيفيّت ضمان غاصب، در كتاب غصب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جهت مذكوره فرقى بين تلف بعض و كلّ نيست، پس تفاوت قيمت به نقصان عين در يد ضمان ملحوظ و به اعلىٰ تضمين مى شود</w:t>
      </w:r>
      <w:r>
        <w:rPr>
          <w:rFonts w:eastAsia="IRNazanin" w:cs="IRNazanin"/>
          <w:color w:val="111111"/>
          <w:sz w:val="28"/>
          <w:szCs w:val="28"/>
          <w:rtl w:val="true"/>
          <w:lang w:bidi="fa-IR"/>
        </w:rPr>
        <w:t>.</w:t>
      </w:r>
    </w:p>
    <w:p>
      <w:pPr>
        <w:pStyle w:val="Heading4"/>
        <w:numPr>
          <w:ilvl w:val="3"/>
          <w:numId w:val="1"/>
        </w:numPr>
        <w:rPr/>
      </w:pPr>
      <w:bookmarkStart w:id="267" w:name="__RefHeading___Toc3597575_1067777946"/>
      <w:bookmarkStart w:id="268" w:name="_Toc108"/>
      <w:bookmarkEnd w:id="267"/>
      <w:r>
        <w:rPr>
          <w:rtl w:val="true"/>
        </w:rPr>
        <w:t>جنايت عبد مرهونِ با اذن مالك</w:t>
      </w:r>
      <w:bookmarkEnd w:id="268"/>
    </w:p>
    <w:p>
      <w:pPr>
        <w:pStyle w:val="BookText"/>
        <w:rPr/>
      </w:pPr>
      <w:r>
        <w:rPr>
          <w:rFonts w:ascii="IRNazanin" w:hAnsi="IRNazanin" w:eastAsia="IRNazanin"/>
          <w:color w:val="111111"/>
          <w:sz w:val="28"/>
          <w:sz w:val="28"/>
          <w:szCs w:val="28"/>
          <w:rtl w:val="true"/>
          <w:lang w:bidi="fa-IR"/>
        </w:rPr>
        <w:t>و اگر عبدِ مرهونِ با اذن مالك، جنايتى كرد و بيع شد در جنايت، موضوع رهن منتفى مى شود و چنانچه ذكر شد راهن، ضامن براى مالك نيست مثل تلف سماوى، با استرقاق در محل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ملزم به تخصيص مجنىٌ عليه به بيع به مشترى خاص، مالك مى تواند به تأديۀ مقدار ثمن، ابقاى در ملك نمايد و با اين اختيار، زوال رهن مستصحب العدم است</w:t>
      </w:r>
      <w:r>
        <w:rPr>
          <w:rFonts w:eastAsia="IRNazanin" w:cs="IRNazanin"/>
          <w:color w:val="111111"/>
          <w:sz w:val="28"/>
          <w:szCs w:val="28"/>
          <w:rtl w:val="true"/>
          <w:lang w:bidi="fa-IR"/>
        </w:rPr>
        <w:t>.</w:t>
      </w:r>
    </w:p>
    <w:p>
      <w:pPr>
        <w:pStyle w:val="Heading4"/>
        <w:numPr>
          <w:ilvl w:val="3"/>
          <w:numId w:val="1"/>
        </w:numPr>
        <w:rPr/>
      </w:pPr>
      <w:bookmarkStart w:id="269" w:name="__RefHeading___Toc3597577_1067777946"/>
      <w:bookmarkStart w:id="270" w:name="_Toc109"/>
      <w:bookmarkEnd w:id="269"/>
      <w:r>
        <w:rPr>
          <w:rtl w:val="true"/>
        </w:rPr>
        <w:t>حكم رجوع مالك در صورت بيع مرهون</w:t>
      </w:r>
      <w:bookmarkEnd w:id="2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بيع مرهون به سبب رهن بود در صورت وصول نوبت به آن، رجوع مى نمايد مالك به مستعير راهن به قيمت 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بيع با نقص از قيمت بود و جايز بود و </w:t>
      </w:r>
      <w:bookmarkStart w:id="271" w:name="pg10256_89370"/>
    </w:p>
    <w:p>
      <w:pPr>
        <w:pStyle w:val="BookText"/>
        <w:rPr/>
      </w:pPr>
      <w:bookmarkEnd w:id="271"/>
      <w:r>
        <w:rPr>
          <w:rFonts w:ascii="IRNazanin" w:hAnsi="IRNazanin" w:eastAsia="IRNazanin"/>
          <w:color w:val="111111"/>
          <w:sz w:val="28"/>
          <w:sz w:val="28"/>
          <w:szCs w:val="28"/>
          <w:rtl w:val="true"/>
          <w:lang w:bidi="fa-IR"/>
        </w:rPr>
        <w:t xml:space="preserve">انتظار لازم نبود، تمام قيمت واقعيّه را مطالبه از راهن مى نمايد، لكن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براى مالك است، چه آنكه نقيصه، ممّا يتغابن به باشد، يا نه بعد از فرض صحّت بيع كه رهن براى آن مأذون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بيع به ازيد شد و جايز شد بيع تمام و مقصود حاصل نشد به بيع بعض مشاع، يا آنكه لازم نشد، زايد مربوط به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فروخته شد و اتفاقاً كافى براى تأديۀ دين بود باقى ملك مالك و معير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بيع مرتهن به سبب اذن مالك بود در بيع و وفا، بدون استيذان از راهن نمى تواند رجوع به راهن نمايد در قيمت عين مبيعه، مثل صورت تبرّع اجنبى به اداى دين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بيع صحيح نيست اگر اقتصار بر اذن مستعير نمود كه مالك نيست در فرض، بلكه بايد استيذان نمايد، و اگر امتناع نمود بعد از حلول مراجعه به حاكم شرع نمايد</w:t>
      </w:r>
      <w:r>
        <w:rPr>
          <w:rFonts w:eastAsia="IRNazanin" w:cs="IRNazanin"/>
          <w:color w:val="111111"/>
          <w:sz w:val="28"/>
          <w:szCs w:val="28"/>
          <w:rtl w:val="true"/>
          <w:lang w:bidi="fa-IR"/>
        </w:rPr>
        <w:t>.</w:t>
      </w:r>
    </w:p>
    <w:p>
      <w:pPr>
        <w:pStyle w:val="Heading4"/>
        <w:numPr>
          <w:ilvl w:val="3"/>
          <w:numId w:val="1"/>
        </w:numPr>
        <w:rPr/>
      </w:pPr>
      <w:bookmarkStart w:id="272" w:name="__RefHeading___Toc3597579_1067777946"/>
      <w:bookmarkStart w:id="273" w:name="_Toc110"/>
      <w:bookmarkEnd w:id="272"/>
      <w:r>
        <w:rPr>
          <w:rtl w:val="true"/>
        </w:rPr>
        <w:t>ميزان داخل بودن عين در عقد رهن</w:t>
      </w:r>
      <w:bookmarkEnd w:id="27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داخل در مسماى لفظ عين مرهونه است، داخل است در عقد رهن مگر با قرينه بر خروج، و آنچه خارج است فقط با قرينه داخل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 خارج است اگر چه قبل از تأبير و اصلاح به تأبير به رهن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رهن زمين، داخل نمى شود زرع موجود در آن، و درختها از نخل و غير آن، اگر 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حقوق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زمين مشتمل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ساير قراين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پشم و نحو آن اگر معرضيّت قطع در آنها نيست، داخل است، و هم چنين در صورت معرضيّت قبل از فعليّت قطع در حال عقد بنا بر اظهر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اساس ديوار، داخل در رهن ديوار و مشتمل بر آن است، به خلاف محل قرار اساس از زمين و نحو آن</w:t>
      </w:r>
      <w:r>
        <w:rPr>
          <w:rFonts w:eastAsia="Amiri" w:cs="Amiri" w:ascii="Amiri" w:hAnsi="Amiri"/>
          <w:color w:val="111111"/>
          <w:sz w:val="28"/>
          <w:szCs w:val="28"/>
          <w:rtl w:val="true"/>
          <w:lang w:bidi="ar-SA"/>
        </w:rPr>
        <w:t xml:space="preserve">. </w:t>
      </w:r>
      <w:bookmarkStart w:id="274" w:name="pg10256_89371"/>
    </w:p>
    <w:p>
      <w:pPr>
        <w:pStyle w:val="BookText"/>
        <w:rPr/>
      </w:pPr>
      <w:bookmarkEnd w:id="274"/>
      <w:r>
        <w:rPr>
          <w:rFonts w:ascii="IRNazanin" w:hAnsi="IRNazanin" w:eastAsia="IRNazanin"/>
          <w:color w:val="111111"/>
          <w:sz w:val="28"/>
          <w:sz w:val="28"/>
          <w:szCs w:val="28"/>
          <w:rtl w:val="true"/>
          <w:lang w:bidi="fa-IR"/>
        </w:rPr>
        <w:t>و استحقاق بقا در آنچه غرس شده است، اقتضاى دخول مغرس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رهن سقف، ديوارها داخل نمى شود اگر چه سقف مستحق البقاء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لَبَن، مثل حمل است در خروج مگر با قرينۀ موجبۀ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آنچه بعد از رهن روييده شود در زمين اگر چه از راهن يا از اجنبى باشد انبات آن، مگر آنكه از ريشۀ درخت مرهون روييده بشود؛ مگر آنكه عرفاً مستقل نباشد و تابع زمين باشد، مانند حشيش و نحو آن، لكن تبعيّت نماى زمين در ملك زمين غير تبعيّت در رهن بودن زمين است؛ به خلاف زيادات متّصله، مثل صوف؛ و آنچه از درختِ مرهون قطع شود، داخل در رهن است لكن اگر بخواهد غرس كند آن را، محتاج به اذن مرتهن است اگر احتمال اضرار به اين تصرّف داده شود، و اگر نه ممتاز است از غرس اجنبى در زمين 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ضررى بودن هر يك از غرس و ترك، بر راهن و مرتهن، احوط صلح است</w:t>
      </w:r>
      <w:r>
        <w:rPr>
          <w:rFonts w:eastAsia="IRNazanin" w:cs="IRNazanin"/>
          <w:color w:val="111111"/>
          <w:sz w:val="28"/>
          <w:szCs w:val="28"/>
          <w:rtl w:val="true"/>
          <w:lang w:bidi="fa-IR"/>
        </w:rPr>
        <w:t>.</w:t>
      </w:r>
    </w:p>
    <w:p>
      <w:pPr>
        <w:pStyle w:val="Heading4"/>
        <w:numPr>
          <w:ilvl w:val="3"/>
          <w:numId w:val="1"/>
        </w:numPr>
        <w:rPr/>
      </w:pPr>
      <w:bookmarkStart w:id="275" w:name="__RefHeading___Toc3597581_1067777946"/>
      <w:bookmarkStart w:id="276" w:name="_Toc111"/>
      <w:bookmarkEnd w:id="275"/>
      <w:r>
        <w:rPr>
          <w:rtl w:val="true"/>
        </w:rPr>
        <w:t>فروع مختلف ترتّب ضرر بر غرس</w:t>
      </w:r>
      <w:bookmarkEnd w:id="276"/>
    </w:p>
    <w:p>
      <w:pPr>
        <w:pStyle w:val="BookText"/>
        <w:rPr/>
      </w:pPr>
      <w:r>
        <w:rPr>
          <w:rFonts w:ascii="IRNazanin" w:hAnsi="IRNazanin" w:eastAsia="IRNazanin"/>
          <w:color w:val="111111"/>
          <w:sz w:val="28"/>
          <w:sz w:val="28"/>
          <w:szCs w:val="28"/>
          <w:rtl w:val="true"/>
          <w:lang w:bidi="fa-IR"/>
        </w:rPr>
        <w:t>و اگر غرس جايز نبود و موجب نقص قيمت و ضرر بود بر مرتهن، اظهر وجوب ازاله است بر غارس در صورت مطالبۀ مرتهن اگر چه غارس راهن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در ضررِ نقصِ قيمت، به زمان فروختن زمين مرهون بعد از حلول دين يا قبل از آن در صورت جواز بيع به سبب عارضى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بقاى مغروس تا آن زمان ملحوظ مى شود و ضرر دفع مى شود به ازالۀ مغروس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ازاله و بيع زمين مرهون و آنچه مغروس در آن است، آنچه مخصوص به زمين مى شود از ثمن، حكم رهن بر آن جارى و استيفاى دين از آن مى شود؛ و مغروس، ثمن مخصوص آن مملوك مالك غرس يا زرع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واسطۀ غرس، نقص قيمت در زمين مرهون باشد و مقدار قيمت زمين به تنهايى وافى به دين نباشد، مى تواند مرتهن قلع نمايد با اذن راهن، و بعد از او حاكم </w:t>
      </w:r>
      <w:bookmarkStart w:id="277" w:name="pg10256_89372"/>
    </w:p>
    <w:p>
      <w:pPr>
        <w:pStyle w:val="BookText"/>
        <w:rPr/>
      </w:pPr>
      <w:bookmarkEnd w:id="277"/>
      <w:r>
        <w:rPr>
          <w:rFonts w:ascii="IRNazanin" w:hAnsi="IRNazanin" w:eastAsia="IRNazanin"/>
          <w:color w:val="111111"/>
          <w:sz w:val="28"/>
          <w:sz w:val="28"/>
          <w:szCs w:val="28"/>
          <w:rtl w:val="true"/>
          <w:lang w:bidi="fa-IR"/>
        </w:rPr>
        <w:t>در صورتى كه قلعْ مستلزم نقص نباشد، مگر آنكه راهن راضى به بقا و بيع هر دو با هم باشد و قيمت زمين در اين تقدير وافى به دين باشد، به خلاف آنكه به تنهايى زمين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سبب حَجر مفلّس، غرس يا زرع متعلّق حق غرما بود و تصرّف در آنها به قلع، ضرر به غرما مى رساند، قلع جايز نيست، بلكه زمين يا غرس در زمان حلول دين بيع مى شود و توزيع ثمن مى شود؛ و اگر وفاى دين مرتهن نشد، نقصانْ محسوبِ بر غرما مى شود به سبب سبق حق مرتهن اگر اين ضرر اشد از ضرر قلع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هر تقدير ضرر بر مرتهن واقع مى شود و اداى دين او نمى شود، ممكن است تجويز قلع اگر چه قبل از حلول دين باشد با علم به عدم تغيّر حال، و احوط انتظار حلول است</w:t>
      </w:r>
      <w:r>
        <w:rPr>
          <w:rFonts w:eastAsia="IRNazanin" w:cs="IRNazanin"/>
          <w:color w:val="111111"/>
          <w:sz w:val="28"/>
          <w:szCs w:val="28"/>
          <w:rtl w:val="true"/>
          <w:lang w:bidi="fa-IR"/>
        </w:rPr>
        <w:t>.</w:t>
      </w:r>
    </w:p>
    <w:p>
      <w:pPr>
        <w:pStyle w:val="Heading4"/>
        <w:numPr>
          <w:ilvl w:val="3"/>
          <w:numId w:val="1"/>
        </w:numPr>
        <w:rPr/>
      </w:pPr>
      <w:bookmarkStart w:id="278" w:name="__RefHeading___Toc3597583_1067777946"/>
      <w:bookmarkStart w:id="279" w:name="_Toc112"/>
      <w:bookmarkEnd w:id="278"/>
      <w:r>
        <w:rPr>
          <w:rtl w:val="true"/>
        </w:rPr>
        <w:t>رهن ثمرۀ متعاقبه</w:t>
      </w:r>
      <w:bookmarkEnd w:id="27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رهن نمود ثمره اى را كه تعاقب دارد به حسب لقطه يا جزّه يا خرطه و نحو اينها، پس اشكالى در صحّت رهن در صورت حلول دين قبل از تجدّد بطن دوّم نيست؛ و اما اگر بعد از تجدّد و اختلاط مرهون به غير باشد، پس با ظهور استيثاق و عدم انتهاى امر به تضرّر مرتهن يا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مداخلۀ شرط قطع در وقت تجدّد بطن دوّم در وقت رسيدن زمان قطع اگر چه قبل از حلول دين باشد يا شرط صلح قريب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تخلّف بعد از صحّت حدوث آن، صلح مى شود بين آنها در وقت تنازع، مرتهن بعد از آن استيفاى دين به آنچه حاصل مى شود بعد از تقسيم مرضىّ يا صلح دو صاحب حق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بقا تا حلول دين بعد از قطع موجب نقص قيمت است، مى توانند بيع نمايند و ثمن را رهن قرار دهند تا حلول دين به تراضى خودشان يا مباشرت حاكم بعد از مراجعه به او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يكى از آنها قصد قطع مغروس و نحو آن نمايد بعد از رسيدن وقت قطع و </w:t>
      </w:r>
      <w:bookmarkStart w:id="280" w:name="pg10256_89373"/>
    </w:p>
    <w:p>
      <w:pPr>
        <w:pStyle w:val="BookText"/>
        <w:rPr/>
      </w:pPr>
      <w:bookmarkEnd w:id="280"/>
      <w:r>
        <w:rPr>
          <w:rFonts w:ascii="IRNazanin" w:hAnsi="IRNazanin" w:eastAsia="IRNazanin"/>
          <w:color w:val="111111"/>
          <w:sz w:val="28"/>
          <w:sz w:val="28"/>
          <w:szCs w:val="28"/>
          <w:rtl w:val="true"/>
          <w:lang w:bidi="fa-IR"/>
        </w:rPr>
        <w:t>قبل از حلول دين، ممكن است گفته شود كه ممتنع اجبار بر آن مى شود تا دفع ضرر از غير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اصلاح و تخفيف و دفع فساد از بقيۀ ثمره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چنين نباشد، اجبار نمى شود تا وقت حلول و وقت بيع با شروط آن و خصوصيّات مختلفه در بيع هر دو يا به نحو انفراد؛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در جمع بين توجيه صحّت مطلقاً و استظهار صحّت يا اشتراط قطع، خالى از اجمال نيست بعد از حمل صحّت در كلام او به رهن لقطۀ اولىٰ مثلاً</w:t>
      </w:r>
      <w:r>
        <w:rPr>
          <w:rFonts w:eastAsia="IRNazanin" w:cs="IRNazanin"/>
          <w:color w:val="111111"/>
          <w:sz w:val="28"/>
          <w:szCs w:val="28"/>
          <w:rtl w:val="true"/>
          <w:lang w:bidi="fa-IR"/>
        </w:rPr>
        <w:t>.</w:t>
      </w:r>
    </w:p>
    <w:p>
      <w:pPr>
        <w:pStyle w:val="Heading4"/>
        <w:numPr>
          <w:ilvl w:val="3"/>
          <w:numId w:val="1"/>
        </w:numPr>
        <w:rPr/>
      </w:pPr>
      <w:bookmarkStart w:id="281" w:name="__RefHeading___Toc3597585_1067777946"/>
      <w:bookmarkStart w:id="282" w:name="_Toc113"/>
      <w:bookmarkEnd w:id="281"/>
      <w:r>
        <w:rPr>
          <w:rtl w:val="true"/>
        </w:rPr>
        <w:t>فروع متعدّد جنايت عبد مرهون</w:t>
      </w:r>
      <w:bookmarkEnd w:id="28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عبد مرهون، جنايت عمديّه را مرتكب شد، حق مجنىٌ عليه مقدّم است بر حق مرتهن، پس با اقتصاص رهن باطل مى شود، و امكان استرقاق يا بيع تمام يا مساوى مقدار جنايت، مشترك است در جنايات عمديّه مملوك كه قصاص نداشته يا نخواهند و مالك مى تواند عوض بيع فداء نمايد به ارش جنايت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جنايت خطائيّه اگر مالك فكّ نمود، رهن باقى است؛ و اگر تسليم نمود و فكّ نشد، براى مجنىٌ عليه مقدار ارش جنايت از آن مملوك جانى است و باقى رهن است؛ و اگر جنايت مستوعب قيمت باشد، مجنىٌ عليه به او، اولى از مرتهن است، پس با استرقاق يا بيع، رهن باطل مى شود؛ مگر آنكه راغبى اتفاقاً به ازيد از قيمت او آن را بخرد كه مقدار زايد باقى به رهنيّت خواهد بود، و در اين صورت دور نيست مرتهن بتواند الزام نمايد مجنىٌ عليه را به بيع تا ابقا كند بعضى از مملوك را به رهنيّت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به جنايت، كمتر از قيمت عبد مملوك بود، لكن تبعيض در بيع ممكن نبود، همه را مى فروشند براى حق مجنىٌ عليه، و باقى مانده از ثمن مرهون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فرقى نيست در آنچه ذكر شد بين جنايت ابتدائيّه عبد مملوك، يا آنكه به امر غير و اكراه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مالك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تقيّه در دماء نيست</w:t>
      </w:r>
      <w:r>
        <w:rPr>
          <w:rFonts w:eastAsia="IRNazanin" w:cs="IRNazanin"/>
          <w:color w:val="111111"/>
          <w:sz w:val="28"/>
          <w:szCs w:val="28"/>
          <w:rtl w:val="true"/>
          <w:lang w:bidi="fa-IR"/>
        </w:rPr>
        <w:t>.</w:t>
      </w:r>
      <w:bookmarkStart w:id="283" w:name="pg10256_89374"/>
    </w:p>
    <w:p>
      <w:pPr>
        <w:pStyle w:val="BookText"/>
        <w:rPr/>
      </w:pPr>
      <w:bookmarkEnd w:id="283"/>
      <w:r>
        <w:rPr>
          <w:rFonts w:ascii="IRNazanin" w:hAnsi="IRNazanin" w:eastAsia="IRNazanin"/>
          <w:color w:val="111111"/>
          <w:sz w:val="28"/>
          <w:sz w:val="28"/>
          <w:szCs w:val="28"/>
          <w:rtl w:val="true"/>
          <w:lang w:bidi="fa-IR"/>
        </w:rPr>
        <w:t xml:space="preserve">و اگر مملوكْ صغير يا غير مميّز باشد، يا آنكه جديد الاسلام و معتقد جواز ائتمار به امر مالك در قتل نفس محترمه كه موجب قصاص است باشد، قصاص بر عبد و مملوك نيست و رهن باقى است؛ پس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 ضمان مالك است و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قود بر مالك است؛ و در محلش از كتاب قصاص تعيين يكى از دو شده است</w:t>
      </w:r>
      <w:r>
        <w:rPr>
          <w:rFonts w:eastAsia="IRNazanin" w:cs="IRNazanin"/>
          <w:color w:val="111111"/>
          <w:sz w:val="28"/>
          <w:szCs w:val="28"/>
          <w:rtl w:val="true"/>
          <w:lang w:bidi="fa-IR"/>
        </w:rPr>
        <w:t>.</w:t>
      </w:r>
    </w:p>
    <w:p>
      <w:pPr>
        <w:pStyle w:val="Heading4"/>
        <w:numPr>
          <w:ilvl w:val="3"/>
          <w:numId w:val="1"/>
        </w:numPr>
        <w:rPr/>
      </w:pPr>
      <w:bookmarkStart w:id="284" w:name="__RefHeading___Toc3597587_1067777946"/>
      <w:bookmarkStart w:id="285" w:name="_Toc114"/>
      <w:bookmarkEnd w:id="284"/>
      <w:r>
        <w:rPr>
          <w:rtl w:val="true"/>
        </w:rPr>
        <w:t>جنايت عمدى عبد بر مولا</w:t>
      </w:r>
      <w:bookmarkEnd w:id="28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جنايت كرد بر مولاى خودش عمداً در طرف، قصاص مى نمايد و از رهنيّت خارج نمى شود؛ و اگر در نفس بود، مى تواند وارثْ او را به قتل برساند و مى تواند عفو نمايد، پس رهنيّت او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جنايت بر مولى خطايى بود و موجب مال بود نه قصاص، چيزى بر مملوك نيست و باقى است به رهنيّت سابقه</w:t>
      </w:r>
      <w:r>
        <w:rPr>
          <w:rFonts w:eastAsia="IRNazanin" w:cs="IRNazanin"/>
          <w:color w:val="111111"/>
          <w:sz w:val="28"/>
          <w:szCs w:val="28"/>
          <w:rtl w:val="true"/>
          <w:lang w:bidi="fa-IR"/>
        </w:rPr>
        <w:t>.</w:t>
      </w:r>
    </w:p>
    <w:p>
      <w:pPr>
        <w:pStyle w:val="Heading4"/>
        <w:numPr>
          <w:ilvl w:val="3"/>
          <w:numId w:val="1"/>
        </w:numPr>
        <w:rPr/>
      </w:pPr>
      <w:bookmarkStart w:id="286" w:name="__RefHeading___Toc3597589_1067777946"/>
      <w:bookmarkStart w:id="287" w:name="_Toc115"/>
      <w:bookmarkEnd w:id="286"/>
      <w:r>
        <w:rPr>
          <w:rtl w:val="true"/>
        </w:rPr>
        <w:t>جنايت بر مورِّث مالك</w:t>
      </w:r>
      <w:bookmarkEnd w:id="28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جنايت بر مورِّث مالك بود، براى مالك ثابت است آنچه براى موروثْ ثابت بود، يا ولىّ موروث كه اجنبى بود، چه قصاص در نفس يا طرف باشد، يا انتزاع از رهانت در خطا يا عمد باشد در صورت استيعاب، يا رهايى آنچه مقابل قيمت او است در صورت عدم استيعاب، و به رهنيّت سابقه باقى خواهد بود، چه آنكه مولىٰ وارث منحصر باشد، يا آنكه ورثه توافق داشته باشند</w:t>
      </w:r>
      <w:r>
        <w:rPr>
          <w:rFonts w:eastAsia="IRNazanin" w:cs="IRNazanin"/>
          <w:color w:val="111111"/>
          <w:sz w:val="28"/>
          <w:szCs w:val="28"/>
          <w:rtl w:val="true"/>
          <w:lang w:bidi="fa-IR"/>
        </w:rPr>
        <w:t>.</w:t>
      </w:r>
    </w:p>
    <w:p>
      <w:pPr>
        <w:pStyle w:val="Heading4"/>
        <w:numPr>
          <w:ilvl w:val="3"/>
          <w:numId w:val="1"/>
        </w:numPr>
        <w:rPr/>
      </w:pPr>
      <w:bookmarkStart w:id="288" w:name="__RefHeading___Toc3597591_1067777946"/>
      <w:bookmarkStart w:id="289" w:name="_Toc116"/>
      <w:bookmarkEnd w:id="288"/>
      <w:r>
        <w:rPr>
          <w:rtl w:val="true"/>
        </w:rPr>
        <w:t>جنايت بر عبد مولا</w:t>
      </w:r>
      <w:bookmarkEnd w:id="28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جنايت كرد عبد مرهون بر عبد مولاى خودش، پس مثل جنايت بر مولى است در عمد و خطا در صورتى كه مجنىٌ عليه مرهون نزد غير مرتهن جانى نباشد؛ وگرنه مى تواند مولىٰ عفو بر مال در عمد نمايد به اينكه تسليم جانى به مرتهن مجنىٌ عليه نمايد؛ و اين مربوط به حق جنايت كه مقدّم بر حق مرتهن است، مى باشد، نه اينكه ارتهانى بر ارتهانى مقدّم است</w:t>
      </w:r>
      <w:r>
        <w:rPr>
          <w:rFonts w:eastAsia="IRNazanin" w:cs="IRNazanin"/>
          <w:color w:val="111111"/>
          <w:sz w:val="28"/>
          <w:szCs w:val="28"/>
          <w:rtl w:val="true"/>
          <w:lang w:bidi="fa-IR"/>
        </w:rPr>
        <w:t>.</w:t>
      </w:r>
      <w:bookmarkStart w:id="290" w:name="pg10256_89375"/>
    </w:p>
    <w:p>
      <w:pPr>
        <w:pStyle w:val="Heading4"/>
        <w:numPr>
          <w:ilvl w:val="3"/>
          <w:numId w:val="1"/>
        </w:numPr>
        <w:rPr/>
      </w:pPr>
      <w:bookmarkStart w:id="291" w:name="__RefHeading___Toc3597593_1067777946"/>
      <w:bookmarkStart w:id="292" w:name="_Toc117"/>
      <w:bookmarkEnd w:id="290"/>
      <w:bookmarkEnd w:id="291"/>
      <w:r>
        <w:rPr>
          <w:rtl w:val="true"/>
        </w:rPr>
        <w:t>تحقيق در ثبوت عفو يا قصاص در مقام</w:t>
      </w:r>
      <w:bookmarkEnd w:id="292"/>
    </w:p>
    <w:p>
      <w:pPr>
        <w:pStyle w:val="BookText"/>
        <w:rPr/>
      </w:pPr>
      <w:r>
        <w:rPr>
          <w:rFonts w:ascii="IRNazanin" w:hAnsi="IRNazanin" w:eastAsia="IRNazanin"/>
          <w:color w:val="111111"/>
          <w:sz w:val="28"/>
          <w:sz w:val="28"/>
          <w:szCs w:val="28"/>
          <w:rtl w:val="true"/>
          <w:lang w:bidi="fa-IR"/>
        </w:rPr>
        <w:t>و آنچه ذكر شد كه مى تواند عفو بر مال نمايد، متعيّن است در خطا و در موارد عدم ثبوت قصاص از عمد؛ بلكه ممكن است گفته شود كه متعيّن در مورد ثبوت قصاص از عمد، عفو بر مال است، نه آنكه به قصاص منتفى باشد هر دو رهن يا آنكه اگر اختيار قصاص كرد بر او باشد اقامۀ بدل در رهن مجنىٌ عليه، يا آنكه بتواند عفو بر غير مال نمايد كه خارج از طرفين استحقاق و تفويت حق مرتهن مجنىٌ عليه است و حق مرتهن مجنىٌ عليه مانع از آن است، و مذكور خواهد شد ثبوت حق قصاص و حكم عفو بر غير مال، زيرا منسوب به اتفاق، تخيير است اگر قاتل عبد باشد، در مقابل اينكه قاتل، حر باشد كه در موجَب قتل عمدى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به اينكه ثابت در عمد قصاص است و ديه بر سبيل صلح است نه آنكه مخيّر باشد ولىّ مجنىٌ عليه، پس در جنايت عمديّه عبد به حر، مسلّم نيست؛ بلكه نقل اجماع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تخيير مجنىٌ عليه و ولىّ او بين قصاص و استرقاق شده است از بعضى؛ و اگر مدرك ثبوت قصاص على التعيين اجماع است، پس منتفى در فرض كه مظنۀ اجماع بر خلاف است مى باشد</w:t>
      </w:r>
      <w:r>
        <w:rPr>
          <w:rFonts w:eastAsia="IRNazanin" w:cs="IRNazanin"/>
          <w:color w:val="111111"/>
          <w:sz w:val="28"/>
          <w:szCs w:val="28"/>
          <w:rtl w:val="true"/>
          <w:lang w:bidi="fa-IR"/>
        </w:rPr>
        <w:t>.</w:t>
      </w:r>
    </w:p>
    <w:p>
      <w:pPr>
        <w:pStyle w:val="Heading4"/>
        <w:numPr>
          <w:ilvl w:val="3"/>
          <w:numId w:val="1"/>
        </w:numPr>
        <w:rPr/>
      </w:pPr>
      <w:bookmarkStart w:id="293" w:name="__RefHeading___Toc3597595_1067777946"/>
      <w:bookmarkStart w:id="294" w:name="_Toc118"/>
      <w:bookmarkEnd w:id="293"/>
      <w:r>
        <w:rPr>
          <w:rtl w:val="true"/>
        </w:rPr>
        <w:t>عفو بدون مال</w:t>
      </w:r>
      <w:bookmarkEnd w:id="2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تخيير در مقام، حكايت اجماع بر آن است پس عفو بدون مال، تفويت حق مرتهن مجنىٌ عليه است، و مثل عفوِ در مورد تعلّق حق غير است و نافذ نيست جز عفو بر مال به نحو متقدّم اگر چه در جنايت حر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قصاص است نه تخيير؛ پس جايز است عفو بدون مال، چون عفو بر مال، اكتساب غير واجب براى حق مرتهن است بر راهن، اگر چه عفو بر مال از قبيل اكتساب غير اجبارى بودنش، محل تأمّل است، چون به سبب صلح اختيار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گفته شود در فرض كه حق قصاص ايضاً ثابت است و معنى تخيير، جواز تنزّل به بدل كه عفو بر مال است، نه مساوات عِدلين؛ پس منافى با تقدّم حق نفس بر حق مالى مرتهن مجنىٌ عليه </w:t>
      </w:r>
      <w:bookmarkStart w:id="295" w:name="pg10256_89376"/>
    </w:p>
    <w:p>
      <w:pPr>
        <w:pStyle w:val="BookText"/>
        <w:rPr/>
      </w:pPr>
      <w:bookmarkEnd w:id="295"/>
      <w:r>
        <w:rPr>
          <w:rFonts w:ascii="Amiri" w:hAnsi="Amiri" w:eastAsia="Amiri" w:cs="Amiri"/>
          <w:color w:val="111111"/>
          <w:sz w:val="28"/>
          <w:sz w:val="28"/>
          <w:szCs w:val="28"/>
          <w:rtl w:val="true"/>
          <w:lang w:bidi="ar-SA"/>
        </w:rPr>
        <w:t>نيست، به خلاف صورت عدم اختيار قصاص كه مذكور مى شود حكم عفو بدون مال در آن صورت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جنايت در طرف در حكم متقدّم ملحق به جنايت در نفس است</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597597_1067777946"/>
      <w:bookmarkStart w:id="297" w:name="_Toc119"/>
      <w:bookmarkEnd w:id="296"/>
      <w:r>
        <w:rPr>
          <w:rtl w:val="true"/>
        </w:rPr>
        <w:t>ازيديّت قيمت جنايت</w:t>
      </w:r>
      <w:bookmarkEnd w:id="29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واجب به سبب جنايت ازيد از قيمت قاتل بود و ممكن نبود تحصيل زيادتى به بيع قاتل، تسليم قاتل به مرتهن مجنىٌ عليه مى شود؛ و اگر زايد از مقدار دين به مرتهن مجنىٌ عليه بود بعد از حلول دين زيادتى بقاى آن براى مرتهن قاتل رجحان دارد، كما اينكه اگر از اين دين و رهن مرتهن اوّل بعد از حلول دين ازيد بود، زيادتى مربوط به مالك است؛ و حق ابطال رهن به قتل در مورد ثبوت، غير از بطلان است به سبب جنايت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هر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مالك و مرتهنين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 آن نمودند، جواز آن محل تردّد نيست</w:t>
      </w:r>
      <w:r>
        <w:rPr>
          <w:rFonts w:eastAsia="IRNazanin" w:cs="IRNazanin"/>
          <w:color w:val="111111"/>
          <w:sz w:val="28"/>
          <w:szCs w:val="28"/>
          <w:rtl w:val="true"/>
          <w:lang w:bidi="fa-IR"/>
        </w:rPr>
        <w:t>.</w:t>
      </w:r>
    </w:p>
    <w:p>
      <w:pPr>
        <w:pStyle w:val="Heading4"/>
        <w:numPr>
          <w:ilvl w:val="3"/>
          <w:numId w:val="1"/>
        </w:numPr>
        <w:rPr/>
      </w:pPr>
      <w:bookmarkStart w:id="298" w:name="__RefHeading___Toc3597599_1067777946"/>
      <w:bookmarkStart w:id="299" w:name="_Toc120"/>
      <w:bookmarkEnd w:id="298"/>
      <w:r>
        <w:rPr>
          <w:rtl w:val="true"/>
        </w:rPr>
        <w:t>فرض هدر بودن جنايت</w:t>
      </w:r>
      <w:bookmarkEnd w:id="29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مرتهن يكى بود و قاتل و مقتولْ رهنِ نزد همان يكى بودند، پس اگر در حق واحد رهن بودند، جنايت هَدَر است، به جهت اتّحاد مستحق و مستحقٌ عليه و مستحقٌ به؛ و رهن مقتول، قابل بقا نيست و رهن قاتل، قابل زوال به قتل نيست؛ پس جنايت در حق ولىّ يا مرتهن تأثيرى ندارد</w:t>
      </w:r>
      <w:r>
        <w:rPr>
          <w:rFonts w:eastAsia="IRNazanin" w:cs="IRNazanin"/>
          <w:color w:val="111111"/>
          <w:sz w:val="28"/>
          <w:szCs w:val="28"/>
          <w:rtl w:val="true"/>
          <w:lang w:bidi="fa-IR"/>
        </w:rPr>
        <w:t>.</w:t>
      </w:r>
    </w:p>
    <w:p>
      <w:pPr>
        <w:pStyle w:val="Heading4"/>
        <w:numPr>
          <w:ilvl w:val="3"/>
          <w:numId w:val="1"/>
        </w:numPr>
        <w:rPr/>
      </w:pPr>
      <w:bookmarkStart w:id="300" w:name="__RefHeading___Toc3597601_1067777946"/>
      <w:bookmarkStart w:id="301" w:name="_Toc121"/>
      <w:bookmarkEnd w:id="300"/>
      <w:r>
        <w:rPr>
          <w:rtl w:val="true"/>
        </w:rPr>
        <w:t>تعدّد و عدم آن در رهن، دين و حق در جنايت عبد</w:t>
      </w:r>
      <w:bookmarkEnd w:id="301"/>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حق متعدّد باشد و هر كدام رهن بر حقى بودند لكن دو حق متساوى بودند در جنس و در مقدار، و قيمت دو عبد متساوى بود، حكم اتّحاد مستحق به را دارد، مگر آنكه دين مقتولْ اصح باشد؛ پس مى تواند در صورت حلول هر دو دين قاتل را وفاى دين اصح قرار بدهد به نقل عين مرتهن، يا به بيع و تأديۀ</w:t>
      </w:r>
      <w:bookmarkStart w:id="302" w:name="pg10256_89377"/>
    </w:p>
    <w:p>
      <w:pPr>
        <w:pStyle w:val="BookText"/>
        <w:rPr/>
      </w:pPr>
      <w:bookmarkEnd w:id="302"/>
      <w:r>
        <w:rPr>
          <w:rFonts w:ascii="IRNazanin" w:hAnsi="IRNazanin" w:eastAsia="IRNazanin"/>
          <w:color w:val="111111"/>
          <w:sz w:val="28"/>
          <w:sz w:val="28"/>
          <w:szCs w:val="28"/>
          <w:rtl w:val="true"/>
          <w:lang w:bidi="fa-IR"/>
        </w:rPr>
        <w:t>ثمن به او چون دو دين در جنس و قدر متّحد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وفاى دين به غير عين مرهونه، به اختيار مديون است در صورت ترتّب اثر براى اين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دينهاى متعدّد كه متّحد الجنس و القدر هستند مختلف به حلول و تأجيل باشند، ادا مى نمايد دين حالّ را از عين مرهونه نزد مرتهن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متعدّد بودند دينها و متّفق در حلول و تأجيل و متّفق در قدر و جنس با اختلاف دو عبد در قيمت، پس اگر قيمتِ مقتولْ اكثر است، پس جنايت هدر است به وجهى كه مذكور شد؛ و اگر قيمت قاتل اكثر است، به قدر قيمت مقتول تأديه مى شود به مرتهن به نقل يا بيع در وقت حلول تا فارغ از حق در رهن مقتول باشد و باقى رهن است در دين مربوط به رهن قاتل، چنانچه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گفته شود جنايت در قدر مشترك بى اثر است و در زايد چون باقى است در ملك راهن با عدم اختلاف دو دين در حلول مى تواند با آن قدرى يا تمام دين مربوط به رهن مقتول نمايد، به خلاف صورت سابقه كه زايد را محلى نيست و مشترك را فايده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بعض مذكورات و ذكر بعض فروع غير مذكوره در مقام اين است</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597603_1067777946"/>
      <w:bookmarkStart w:id="304" w:name="_Toc122"/>
      <w:bookmarkEnd w:id="303"/>
      <w:r>
        <w:rPr>
          <w:rtl w:val="true"/>
        </w:rPr>
        <w:t>جنايت عبد مرهون بر عبد ديگر</w:t>
      </w:r>
      <w:bookmarkEnd w:id="304"/>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جنايت كرد عبد مالك كه مرهون است بر عبد ديگر او، پس اگر مجنىٌ عليه مرهون نباشد، قصاص براى سيّد ثابت است با شروط ديگر قصاص، مثل اينكه مقتول اين قاتل نباشد و حق قصاص مقدّم بر حق مرتهن مى شود، به جهت تقدّم جنايت كه حق نفس است بر ارتهان كه حق مالى محض است، و اگر خواست عفو مالى نمايد، استحقاق ندارد، زيرا استحقاق مالى بر خودش نخواهد داشت</w:t>
      </w:r>
      <w:r>
        <w:rPr>
          <w:rFonts w:eastAsia="IRNazanin" w:cs="IRNazanin"/>
          <w:color w:val="111111"/>
          <w:sz w:val="28"/>
          <w:szCs w:val="28"/>
          <w:rtl w:val="true"/>
          <w:lang w:bidi="fa-IR"/>
        </w:rPr>
        <w:t>.</w:t>
      </w:r>
    </w:p>
    <w:p>
      <w:pPr>
        <w:pStyle w:val="Heading4"/>
        <w:numPr>
          <w:ilvl w:val="3"/>
          <w:numId w:val="1"/>
        </w:numPr>
        <w:rPr/>
      </w:pPr>
      <w:bookmarkStart w:id="305" w:name="__RefHeading___Toc3597605_1067777946"/>
      <w:bookmarkStart w:id="306" w:name="_Toc123"/>
      <w:bookmarkEnd w:id="305"/>
      <w:r>
        <w:rPr>
          <w:rtl w:val="true"/>
        </w:rPr>
        <w:t>رهنيّت مجنىٌ عليه نزد غير مرتهن جانى</w:t>
      </w:r>
      <w:bookmarkEnd w:id="306"/>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مجنىٌ عليه مرهون باشد نزد غير مرتهن جانى، حق قصاص ايضاً ثابت</w:t>
      </w:r>
      <w:bookmarkStart w:id="307" w:name="pg10256_89378"/>
    </w:p>
    <w:p>
      <w:pPr>
        <w:pStyle w:val="BookText"/>
        <w:rPr/>
      </w:pPr>
      <w:bookmarkEnd w:id="307"/>
      <w:r>
        <w:rPr>
          <w:rFonts w:ascii="IRNazanin" w:hAnsi="IRNazanin" w:eastAsia="IRNazanin"/>
          <w:color w:val="111111"/>
          <w:sz w:val="28"/>
          <w:sz w:val="28"/>
          <w:szCs w:val="28"/>
          <w:rtl w:val="true"/>
          <w:lang w:bidi="fa-IR"/>
        </w:rPr>
        <w:t>است و مقدّم است بر حق مرتهن قاتل؛ بلكه جنايت اگر اثر آن مال باشد، مقدّم است بر حق مرتهن، به خلاف جنايت خطائيّه كه براى سيّد باشد كه به واسطۀ آن، مالى براى سيّد بر عبد او ثابت نمى شود</w:t>
      </w:r>
      <w:r>
        <w:rPr>
          <w:rFonts w:eastAsia="IRNazanin" w:cs="IRNazanin"/>
          <w:color w:val="111111"/>
          <w:sz w:val="28"/>
          <w:szCs w:val="28"/>
          <w:rtl w:val="true"/>
          <w:lang w:bidi="fa-IR"/>
        </w:rPr>
        <w:t>.</w:t>
      </w:r>
    </w:p>
    <w:p>
      <w:pPr>
        <w:pStyle w:val="Heading4"/>
        <w:numPr>
          <w:ilvl w:val="3"/>
          <w:numId w:val="1"/>
        </w:numPr>
        <w:rPr/>
      </w:pPr>
      <w:bookmarkStart w:id="308" w:name="__RefHeading___Toc3597607_1067777946"/>
      <w:bookmarkStart w:id="309" w:name="_Toc124"/>
      <w:bookmarkEnd w:id="308"/>
      <w:r>
        <w:rPr>
          <w:rtl w:val="true"/>
        </w:rPr>
        <w:t>بطلان رهن در فرض قصاص</w:t>
      </w:r>
      <w:bookmarkEnd w:id="30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ثبوت قصاص و تحقّق آن، هر دو رهن باطل مى شوند؛ و اگر عفو بر مالى شد، يا آنكه جنايت خطائيّه باشد، مال ثابت مى شود براى حق مرتهن، مثل جنايت سيّد بر عبد مرهون كه ارش جنايت براى حق مرتهن بر او ثابت است، و مال بر رقبۀ عبد ثابت است در اين مقام</w:t>
      </w:r>
      <w:r>
        <w:rPr>
          <w:rFonts w:eastAsia="IRNazanin" w:cs="IRNazanin"/>
          <w:color w:val="111111"/>
          <w:sz w:val="28"/>
          <w:szCs w:val="28"/>
          <w:rtl w:val="true"/>
          <w:lang w:bidi="fa-IR"/>
        </w:rPr>
        <w:t>.</w:t>
      </w:r>
    </w:p>
    <w:p>
      <w:pPr>
        <w:pStyle w:val="Heading4"/>
        <w:numPr>
          <w:ilvl w:val="3"/>
          <w:numId w:val="1"/>
        </w:numPr>
        <w:rPr/>
      </w:pPr>
      <w:bookmarkStart w:id="310" w:name="__RefHeading___Toc3597609_1067777946"/>
      <w:bookmarkStart w:id="311" w:name="_Toc125"/>
      <w:bookmarkEnd w:id="310"/>
      <w:r>
        <w:rPr>
          <w:rtl w:val="true"/>
        </w:rPr>
        <w:t>عفو بدون مال</w:t>
      </w:r>
      <w:bookmarkEnd w:id="31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عفو بدون مال بود، پس اگر گفته شود كه موجب عمد يكى از دو امر است، ثابت است مال و صحيح نيست عقد مگر با رضاى مرتهن؛ و اگر گفته شود كه موجب عمد قود است و گفته شود كه مطلق عفو اثبات مال نمى كند، چيزى ثابت نمى شود، و اگر گفته شود كه موجب مال است، پس خالى از اختلاف نيست و ممكن است ترجيح اوّل كه عفو نوع اكتسابى است براى مرتهن، چه عفو مطلق باشد يا عفو بر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عفو بدون مال بود؛ پس اگر مطلق عفو موجب مال باشد، مال ثابت است؛ وگرنه عفو صحيح است و رهن مرتهن قتيل باطل است و قاتل به رهنيّت خودش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 ثبوت مال اگر واجبِ به جنايتْ اكثر از قيمت قاتل است، بيع مى شود اگر زيادتى حاصل بشود و زايد بر واجب باقى به رهنيّت مى شود و هم چنين اگر مساوى باشد؛ وگرنه نقل قاتل به مرتهن قتيل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واجب اقلّ از قيمت قاتل باشد به قدر واجب، تسليم به مرتهن قتيل مى شود و زايد مرهون </w:t>
      </w:r>
      <w:bookmarkStart w:id="312" w:name="pg10256_89379"/>
    </w:p>
    <w:p>
      <w:pPr>
        <w:pStyle w:val="BookText"/>
        <w:rPr/>
      </w:pPr>
      <w:bookmarkEnd w:id="312"/>
      <w:r>
        <w:rPr>
          <w:rFonts w:ascii="IRNazanin" w:hAnsi="IRNazanin" w:eastAsia="IRNazanin"/>
          <w:color w:val="111111"/>
          <w:sz w:val="28"/>
          <w:sz w:val="28"/>
          <w:szCs w:val="28"/>
          <w:rtl w:val="true"/>
          <w:lang w:bidi="fa-IR"/>
        </w:rPr>
        <w:t>نزد مرتهن قاتل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قتيل و مقتول مرهون، نزد يك مرتهن بودند؛ پس اگر دين واحد بوده است و قصاص شد، باطل است هر دو رهن؛ و اگر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رهن بر دو دين بود، يا بر يك دين، لكن قصاص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رهن قتيل و باقى به رهنيّت باقى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دو دين در جنس و قدر متّحد بودند مثل صورت وحدت دين، جنايت هدر و بى اثر است بنا بر احد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دو دين بود و رهن قتيل حالّ بود مى تواند حالاً استيفاى دين از قاتل نمايد با شروط آن</w:t>
      </w:r>
      <w:r>
        <w:rPr>
          <w:rFonts w:eastAsia="IRNazanin" w:cs="IRNazanin"/>
          <w:color w:val="111111"/>
          <w:sz w:val="28"/>
          <w:szCs w:val="28"/>
          <w:rtl w:val="true"/>
          <w:lang w:bidi="fa-IR"/>
        </w:rPr>
        <w:t>.</w:t>
      </w:r>
    </w:p>
    <w:p>
      <w:pPr>
        <w:pStyle w:val="Heading4"/>
        <w:numPr>
          <w:ilvl w:val="3"/>
          <w:numId w:val="1"/>
        </w:numPr>
        <w:rPr/>
      </w:pPr>
      <w:bookmarkStart w:id="313" w:name="__RefHeading___Toc3597611_1067777946"/>
      <w:bookmarkStart w:id="314" w:name="_Toc126"/>
      <w:bookmarkEnd w:id="313"/>
      <w:r>
        <w:rPr>
          <w:rtl w:val="true"/>
        </w:rPr>
        <w:t>اختلاف و اتحاد و قيمت</w:t>
      </w:r>
      <w:bookmarkEnd w:id="314"/>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دو دين در قدر متّحد بود و لكن دو عبد در قيمت مختلف بودند و در حلول و تأجيل متّحد بودند، پس اگر قيمت قاتل اكثر بود، به مقدار قيمت مقتول، تسليم مرتهن او مى شود و باقى رهن است نزد مرتهن به دين قاتل، لكن در صورت وفاى قيمت قاتل به هر دو دين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تقديم نيست؛ وگرنه تقديم دين مربوط به قتيل، مبنى بر اقتضاى عفو بر مال است آن را كه حق مالك و مجنىٌ عليه به اين جهت مقدّم بر حق مرتهن در خصوص قاتل است با مزاحمت با حق او در خصوص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اقليّت قيمت قاتل و مساوات آن با قيمت مقتول، قاتل به رهنيّت سابقه مى ماند اگر چه اين مطلب قابل تأمّل است، زيرا با نقل قهرى، اداى دين مربوط به قاتل، مبطل رهن نمى شود، به خلاف عدم 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دو دين در مقدار مختلف باشند و عبدين در قيمت متساوى بودند، يا آنكه قيمت قتيل اكثر بود و موثوقٌ به اكثر الديتين قتيل بود، مى تواند توثيق قتيل به قاتل نمايد، و به تأديۀ دين قاتل از رهن براى قتيل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قتيل مرهون به اقلّ دو دَين است، پس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دَين در جنس مختلف باشند، پس در قيمى مثل اختلاف يا مساوات در قيمت دين است؛ و در مثلى، مثل اختلاف دو دين در قيمت است با آنكه با اقليّت </w:t>
      </w:r>
      <w:bookmarkStart w:id="315" w:name="pg10256_89380"/>
    </w:p>
    <w:p>
      <w:pPr>
        <w:pStyle w:val="BookText"/>
        <w:rPr/>
      </w:pPr>
      <w:bookmarkEnd w:id="315"/>
      <w:r>
        <w:rPr>
          <w:rFonts w:ascii="Amiri" w:hAnsi="Amiri" w:eastAsia="Amiri" w:cs="Amiri"/>
          <w:color w:val="111111"/>
          <w:sz w:val="28"/>
          <w:sz w:val="28"/>
          <w:szCs w:val="28"/>
          <w:rtl w:val="true"/>
          <w:lang w:bidi="ar-SA"/>
        </w:rPr>
        <w:t>قيمت قتيل نقل بى فايده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موارد ثبوت ارتهان براى مرتهن مجنىٌ عليه اگر ارتهان تماماً يا بعضاً قهرى است، اظهر عدم جواز بيع و رهن دادن ثمن است مگر با رضاى صاحبان حق؛ و در موارد اختياريّت و وجوب آن، مى تواند كسى كه بر او است رهن دادن، بيع و رهن ثمن نمايد</w:t>
      </w:r>
      <w:r>
        <w:rPr>
          <w:rFonts w:eastAsia="IRNazanin" w:cs="IRNazanin"/>
          <w:color w:val="111111"/>
          <w:sz w:val="28"/>
          <w:szCs w:val="28"/>
          <w:rtl w:val="true"/>
          <w:lang w:bidi="fa-IR"/>
        </w:rPr>
        <w:t>.</w:t>
      </w:r>
    </w:p>
    <w:p>
      <w:pPr>
        <w:pStyle w:val="Heading4"/>
        <w:numPr>
          <w:ilvl w:val="3"/>
          <w:numId w:val="1"/>
        </w:numPr>
        <w:rPr/>
      </w:pPr>
      <w:bookmarkStart w:id="316" w:name="__RefHeading___Toc3597613_1067777946"/>
      <w:bookmarkStart w:id="317" w:name="_Toc127"/>
      <w:bookmarkEnd w:id="316"/>
      <w:r>
        <w:rPr>
          <w:rtl w:val="true"/>
        </w:rPr>
        <w:t>ضامن تلف عين مرهونه</w:t>
      </w:r>
      <w:bookmarkEnd w:id="317"/>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موارد شبهه از فروع متقدّمۀ جنايت عبد مرهون بر عبد ديگر مالك كه مرهون است نزد يك يا متعدّد، اگر چه مقتضاى صناعت آن است كه مذكور شد، لكن احتياط مؤكّد در مصالحه صاحبان حق در فروض مسائل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ضامن تلف عين مرهونه كلاً يا بعضا شد به تلف يا اتلاف، ملزَم به اداى بدل مى شود و بدل محكوم به رهنيّت مثل اصل مى شود اگر چه به اتلاف مرتهن يا مالك راهن يا ثالثى تلف بشود؛ پس در همۀ اينها، حق مرتهن باقى و ثابت در بدلِ تالف يا متلَف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شرائع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لو كان وكيلاً فى الأصل، لم يكن وكيلاً فى القيمة، لأنّ العقد لم يتناولها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موافق آن، محكىّ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ممكن است گفته شود اگر مقصود از وكالت عقديّه وكالت در نقل مرهون است مطلقاً، يعنى در تبديل به ثمن و تبديل ثمن و هكذا، پس اظهر بقاى وكالت است، زيرا نتيجۀ تبديل اوّل حاصل است بدون عمل به وكالت؛ و اگر مقصود وكالت در نقل عين است بدون استفادۀ الغاى خصوصيّت و اطلاق وكالت، پس موضوع وكالت با تلف منتفى شده است، نه آنكه ثابت است و عقد وكالت متناول آن نيست</w:t>
      </w:r>
      <w:r>
        <w:rPr>
          <w:rFonts w:eastAsia="IRNazanin" w:cs="IRNazanin"/>
          <w:color w:val="111111"/>
          <w:sz w:val="28"/>
          <w:szCs w:val="28"/>
          <w:rtl w:val="true"/>
          <w:lang w:bidi="fa-IR"/>
        </w:rPr>
        <w:t>.</w:t>
      </w:r>
    </w:p>
    <w:p>
      <w:pPr>
        <w:pStyle w:val="Heading4"/>
        <w:numPr>
          <w:ilvl w:val="3"/>
          <w:numId w:val="1"/>
        </w:numPr>
        <w:rPr/>
      </w:pPr>
      <w:bookmarkStart w:id="318" w:name="__RefHeading___Toc3597615_1067777946"/>
      <w:bookmarkStart w:id="319" w:name="_Toc128"/>
      <w:bookmarkEnd w:id="318"/>
      <w:r>
        <w:rPr>
          <w:rtl w:val="true"/>
        </w:rPr>
        <w:t>رهن عصير</w:t>
      </w:r>
      <w:bookmarkEnd w:id="319"/>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رهن داد عصير را با عدم علم به انقلاب به خمريّت قبل از حلول حق، صحيح</w:t>
      </w:r>
      <w:bookmarkStart w:id="320" w:name="pg10256_89381"/>
    </w:p>
    <w:p>
      <w:pPr>
        <w:pStyle w:val="BookText"/>
        <w:rPr/>
      </w:pPr>
      <w:bookmarkEnd w:id="3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انقلاب داشت، داخل است در رهنِ آنچه فاسد خواهد شد و حكم آن مذكور شد در محلش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صحّت و انقلاب به خمريّت، باطل مى شود فعلاً رهنيّت؛ پس اگر منقلب شد به خليّت، عايد در ملك راهن مى شود به صفت رهنيّت و عود مى نمايد رهن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بقاى رهن، رعايت مى شود از مرتبۀ ماليّت، آنچه در حدوث آن معتبر است</w:t>
      </w:r>
      <w:r>
        <w:rPr>
          <w:rFonts w:eastAsia="IRNazanin" w:cs="IRNazanin"/>
          <w:color w:val="111111"/>
          <w:sz w:val="28"/>
          <w:szCs w:val="28"/>
          <w:rtl w:val="true"/>
          <w:lang w:bidi="fa-IR"/>
        </w:rPr>
        <w:t>.</w:t>
      </w:r>
    </w:p>
    <w:p>
      <w:pPr>
        <w:pStyle w:val="Heading4"/>
        <w:numPr>
          <w:ilvl w:val="3"/>
          <w:numId w:val="1"/>
        </w:numPr>
        <w:rPr/>
      </w:pPr>
      <w:bookmarkStart w:id="321" w:name="__RefHeading___Toc3597617_1067777946"/>
      <w:bookmarkStart w:id="322" w:name="_Toc129"/>
      <w:bookmarkEnd w:id="321"/>
      <w:r>
        <w:rPr>
          <w:rtl w:val="true"/>
        </w:rPr>
        <w:t>انقلاب در عصير مرهون</w:t>
      </w:r>
      <w:bookmarkEnd w:id="322"/>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بيعى شرط رهن عصيرى معيّن شد پس از آن رهن داد آن عصير را پس از آن به خمريّت منقلب شد، چون وفاى به شرط به احداث رهن صحيح شده است، خيار فسخ بيع به سبب عدم بقاى رهنيّت فعليّه نيست براى مرتهن اگر چه متعقّب به خلّيت نباشد، مگر آنكه قبض محقّق نشود و قبض را شرط صحّت بدانيم، چنانچه گذشت در محلش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تعقّب به خليّت و تحقّق اقباض، محلى براى خيار نيست مگر آنكه طول بكشد زمان انقلاب به حدّى كه انتظار ضررى باشد براى مرتهن كه خيار به تعذّر شرط در زمان عدم ضرريّت انتظار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انقلاب به خمريّت در عصيرى شد با عدم تعيّن رهن آن در بيع، تبديل به عصير ديگر لازم است بر راهن، و با عدم تبديل خيار فسخ ثابت در عصير اوّل محقّق است</w:t>
      </w:r>
      <w:r>
        <w:rPr>
          <w:rFonts w:eastAsia="IRNazanin" w:cs="IRNazanin"/>
          <w:color w:val="111111"/>
          <w:sz w:val="28"/>
          <w:szCs w:val="28"/>
          <w:rtl w:val="true"/>
          <w:lang w:bidi="fa-IR"/>
        </w:rPr>
        <w:t>.</w:t>
      </w:r>
    </w:p>
    <w:p>
      <w:pPr>
        <w:pStyle w:val="Heading4"/>
        <w:numPr>
          <w:ilvl w:val="3"/>
          <w:numId w:val="1"/>
        </w:numPr>
        <w:rPr/>
      </w:pPr>
      <w:bookmarkStart w:id="323" w:name="__RefHeading___Toc3597619_1067777946"/>
      <w:bookmarkStart w:id="324" w:name="_Toc130"/>
      <w:bookmarkEnd w:id="323"/>
      <w:r>
        <w:rPr>
          <w:rtl w:val="true"/>
        </w:rPr>
        <w:t>اختلاف متراهنين در زمان قبض</w:t>
      </w:r>
      <w:bookmarkEnd w:id="324"/>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متراهنين اختلاف كردند در تحقّق قبض در زمان لزوم آن در صحّت رهن، يا در تقدّم قبض محقّق بر زمان خمريّت عصير و تأخّر آن، مقدّم مى شود قول مدّعى صحّت بنا بر تقدّم قول مدّعى صحّت در غير مقوّمات عقد، مثل اهليّت تصرّف، چنانكه در محلش مذكور شده است</w:t>
      </w:r>
      <w:r>
        <w:rPr>
          <w:rFonts w:eastAsia="IRNazanin" w:cs="IRNazanin"/>
          <w:color w:val="111111"/>
          <w:sz w:val="28"/>
          <w:szCs w:val="28"/>
          <w:rtl w:val="true"/>
          <w:lang w:bidi="fa-IR"/>
        </w:rPr>
        <w:t>.</w:t>
      </w:r>
      <w:bookmarkStart w:id="325" w:name="pg10256_89382"/>
    </w:p>
    <w:p>
      <w:pPr>
        <w:pStyle w:val="Heading4"/>
        <w:numPr>
          <w:ilvl w:val="3"/>
          <w:numId w:val="1"/>
        </w:numPr>
        <w:rPr/>
      </w:pPr>
      <w:bookmarkStart w:id="326" w:name="__RefHeading___Toc3597621_1067777946"/>
      <w:bookmarkStart w:id="327" w:name="_Toc131"/>
      <w:bookmarkEnd w:id="325"/>
      <w:bookmarkEnd w:id="326"/>
      <w:r>
        <w:rPr>
          <w:rtl w:val="true"/>
        </w:rPr>
        <w:t>انقلاب به عصير قبل از قبض مشترى</w:t>
      </w:r>
      <w:bookmarkEnd w:id="32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عقد كرد بر عصير و انقلاب به خمريّت در آن شد قبل از قبض مشترى، پس عود به ملك به سبب خلّيت واقع شد، پس ممكن است گفته شود عود مى شود ملك مشترى به ملكيّت تقديريّه، مثل صورت تخليل قبل از خمريّت، و مثل صورت عود مرهون به خليّت بعد از انقلاب عصير مرهون به خمريّت در صورت تعقّب به خلّيت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با مخالفت آن با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مسلمانى به رهن داد خمرى را نزد مسلمانى، صحيح نيست، پس از آن اگر منقلب به خليّت در يد گيرنده شد، مال گيرنده مى شود، يا مالك قبل انقلاب و رهن‌؟ فرق بين متّخذ للتخليل و خمر محترمه و غير آن، خالى از رجحان نيست، و مشكوكْ ملحق به مقتضاى قراين است؛ و با عدم قراين خاصّه ملحق به غير محترمه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ملحق به محترمه است، صورت غصب عصير و انقلاب به خمريّت و بعد از آن به خليّت در يد غاصب، كه ملك مالك مغصوبٌ منه است نه غاصب، مگر آنكه در حال خمريّت، اداى قيمت عصير به مالك شده باشد و تخلّل در يد فارغ از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اراقۀ خمر از مالك ظهور در اعراض دارد؛ پس جمع كننده ديگرى اگر در يد او متخلّل بشود، مالك خل است</w:t>
      </w:r>
      <w:r>
        <w:rPr>
          <w:rFonts w:eastAsia="IRNazanin" w:cs="IRNazanin"/>
          <w:color w:val="111111"/>
          <w:sz w:val="28"/>
          <w:szCs w:val="28"/>
          <w:rtl w:val="true"/>
          <w:lang w:bidi="fa-IR"/>
        </w:rPr>
        <w:t>.</w:t>
      </w:r>
    </w:p>
    <w:p>
      <w:pPr>
        <w:pStyle w:val="Heading4"/>
        <w:numPr>
          <w:ilvl w:val="3"/>
          <w:numId w:val="1"/>
        </w:numPr>
        <w:rPr/>
      </w:pPr>
      <w:bookmarkStart w:id="328" w:name="__RefHeading___Toc3597623_1067777946"/>
      <w:bookmarkStart w:id="329" w:name="_Toc132"/>
      <w:bookmarkEnd w:id="328"/>
      <w:r>
        <w:rPr>
          <w:rtl w:val="true"/>
        </w:rPr>
        <w:t>حكم بعضى از نتايج رهن</w:t>
      </w:r>
      <w:bookmarkEnd w:id="32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تخم مرغى را مثلاً داد به رهن و در يد مرتهن جوجه از آن درآمد، ملكيّت و رهنيّت باقى هستند براى مالك راهن و جوجه ملك مرتهن نمى شود اگر چه به فعل او منتقل از صورتى به صورت ديگر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حبى را به رهن داد پس مرتهن زرع نمود، حاصل، ملك و رهن خواهد بود و مملوكِ زارع نخواهد شد، چنانچه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عبدى مملوك دو نفر مثلاً بود به رهن دادند براى دينى بر هر دو، حصّۀ هر كدام رهن به دين مربوط به خود مالك حصّه خواهد بود و به اداى دين مخصوص به خودش حصّۀ او از رهن خارج خواهد شد و ملك طلق غير متعلّق به مرتهن خواهد بود و فقط نصف مشاع مثلاً به رهنيّت سابقه براى دين شخص غير مؤدّىٰ خواهد بود و حكم شركت باقى است در مملوك دو مالك اگر چه مختلف مى باشند در طلق بودن و رهن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وحده و الصلاة على محمّد و آله الطيّبين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30" w:name="pg10256_89384"/>
    </w:p>
    <w:p>
      <w:pPr>
        <w:pStyle w:val="Heading3"/>
        <w:numPr>
          <w:ilvl w:val="2"/>
          <w:numId w:val="1"/>
        </w:numPr>
        <w:rPr/>
      </w:pPr>
      <w:bookmarkStart w:id="331" w:name="__RefHeading___Toc3597625_1067777946"/>
      <w:bookmarkStart w:id="332" w:name="_Toc133"/>
      <w:bookmarkEnd w:id="330"/>
      <w:bookmarkEnd w:id="331"/>
      <w:r>
        <w:rPr>
          <w:rtl w:val="true"/>
        </w:rPr>
        <w:t>فصل هشتم تنازع واقع در رهن</w:t>
      </w:r>
      <w:bookmarkEnd w:id="332"/>
    </w:p>
    <w:p>
      <w:pPr>
        <w:pStyle w:val="Heading4"/>
        <w:numPr>
          <w:ilvl w:val="3"/>
          <w:numId w:val="1"/>
        </w:numPr>
        <w:rPr/>
      </w:pPr>
      <w:bookmarkStart w:id="333" w:name="__RefHeading___Toc3597627_1067777946"/>
      <w:bookmarkStart w:id="334" w:name="_Toc134"/>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و در آن مسائلى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مسائل اين است كه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597629_1067777946"/>
      <w:bookmarkStart w:id="336" w:name="_Toc135"/>
      <w:bookmarkEnd w:id="335"/>
      <w:r>
        <w:rPr>
          <w:rtl w:val="true"/>
        </w:rPr>
        <w:t>اختلاف در امساك رهن مشاع</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رهن نمود مشاع را و شريك و مرتهن در امساك آن اختلاف كردند، پس مراجعه به حاكم شرع مى شود و او فحص و تحرّى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جهت كه آمر به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پيدا كردن طريقى كه در آن توافق باشد و به آن جمع بين حقين مى شود؛ پس اگر پيدا كرد، امر به آن طريق مى نمايد؛ و اگر پيدا نكرد، يا آنكه صورت نگرفت، خود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جهت كه مُعَدّ است براى رفع منازعات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مى نمايد اگر چه به واسطۀ وكيل خاص يا عام او باشد، يا آنكه تعيين قيّم براى امساك و حفظ مرهون مى نمايد، كه اوّلى به موت حاكم منتفى مى شود در بقا، به خلاف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تقدير با قبض حاكم يا وكيل يا قيّم، رهن صحيح مى شود بنا بر اعتبار قبض مرتهن در صحّت آن و به منزلۀ قبض مرتهن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اذن شريك در رهن به سبب استتباعش قبض را، هم چنين به طريقى از آنچه به آن اشاره شد، حاكم مداخله و رفع و دفع نزاع مى نمايد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قبض حاكم به نحوى از انحاء، اگر مرهون اجرتى دارد، براى منافع آن اجاره مى دهد و اجرت بين شريكين مى شود؛ و بايد اجاره با طلب شريكين و اذن مرتهن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بعضى طلب استيجار كردند، حصّه او اجاره داده مى شود با اذن </w:t>
      </w:r>
      <w:bookmarkStart w:id="337" w:name="pg10256_89385"/>
    </w:p>
    <w:p>
      <w:pPr>
        <w:pStyle w:val="BookText"/>
        <w:rPr/>
      </w:pPr>
      <w:bookmarkEnd w:id="337"/>
      <w:r>
        <w:rPr>
          <w:rFonts w:ascii="Amiri" w:hAnsi="Amiri" w:eastAsia="Amiri" w:cs="Amiri"/>
          <w:color w:val="111111"/>
          <w:sz w:val="28"/>
          <w:sz w:val="28"/>
          <w:szCs w:val="28"/>
          <w:rtl w:val="true"/>
          <w:lang w:bidi="ar-SA"/>
        </w:rPr>
        <w:t>صاحب حق و در مدّت اجاره ملاحظۀ حق صاحب حق با اذن او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تأديۀ دين، موضوعى براى تنازع در امساك شريك و مرتهن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اجاره ممكن نشد، يا نخواستند آن را، اكتفاى به استيمان امينى آن را مى نمايد، و به هر قدر حاكم، ولايت بر اسباب قطع نزاع به نحو مشروع و يا اقلّ ضرراً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ضرر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338" w:name="__RefHeading___Toc3597631_1067777946"/>
      <w:bookmarkStart w:id="339" w:name="_Toc136"/>
      <w:bookmarkEnd w:id="338"/>
      <w:r>
        <w:rPr>
          <w:rtl w:val="true"/>
        </w:rPr>
        <w:t>وفات مرتهن و انتقال حق رهانت</w:t>
      </w:r>
      <w:bookmarkEnd w:id="3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وفات كرد مرتهن، حق الرهانه منتقل به وارث او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توافق در امساك با راهن نمودند، مثل توافق در حيات مرتهن است؛ وگرنه حاكم مداخله به قبض خودش يا مأذون يا وكيل عام و خاص خودش يا منصوب از جانب او براى اين امر به خصوص، يا به عموم مى نمايد، چنانچه در سابق گذشت</w:t>
      </w:r>
      <w:r>
        <w:rPr>
          <w:rFonts w:eastAsia="IRNazanin" w:cs="IRNazanin"/>
          <w:color w:val="111111"/>
          <w:sz w:val="28"/>
          <w:szCs w:val="28"/>
          <w:rtl w:val="true"/>
          <w:lang w:bidi="fa-IR"/>
        </w:rPr>
        <w:t>.</w:t>
      </w:r>
    </w:p>
    <w:p>
      <w:pPr>
        <w:pStyle w:val="Heading4"/>
        <w:numPr>
          <w:ilvl w:val="3"/>
          <w:numId w:val="1"/>
        </w:numPr>
        <w:rPr/>
      </w:pPr>
      <w:bookmarkStart w:id="340" w:name="__RefHeading___Toc3597633_1067777946"/>
      <w:bookmarkStart w:id="341" w:name="_Toc137"/>
      <w:bookmarkEnd w:id="340"/>
      <w:r>
        <w:rPr>
          <w:rtl w:val="true"/>
        </w:rPr>
        <w:t>تلف عين مرهونه با تفريط</w:t>
      </w:r>
      <w:bookmarkEnd w:id="3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تفريط تلف شد عين مرهونه، ضامن است صاحب يد به مثل آن در مثلى و به قيمت آن در 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در قيمت، به مقدار آن روز تلف است، چنانچه مختار اكثر است به حسب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تلف از روز تفريط تا روز واقعيّت تلف عين؛ پس اجزا و صفات مضمونه، رعايت مى شود تلف آنها در قدر مضمون اگر سابق باشد تلف آنها بر تلف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بنا بر ضمان قيمت سوقيّه بعد از تنزّل و ضمان منافع متقدّمۀ غير مستوفات، متّجه در قدر مضمون به اعلىٰ القيم از زمان تفريط تا زمان تلف عين است، و اين احوط و 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597635_1067777946"/>
      <w:bookmarkStart w:id="343" w:name="_Toc138"/>
      <w:bookmarkEnd w:id="342"/>
      <w:r>
        <w:rPr>
          <w:rtl w:val="true"/>
        </w:rPr>
        <w:t>اختلاف راهن و مرتهن در قيمت تالف</w:t>
      </w:r>
      <w:bookmarkEnd w:id="3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كردند راهن و مرتهن در مقدار قيمت تالف مضمون، پس قول، قول مرتهن است با يمين او تا راهن اقامۀ بيّنه به مدّعاى خود نمايد، چنانچه منسوب به</w:t>
      </w:r>
      <w:bookmarkStart w:id="344" w:name="pg10256_89386"/>
    </w:p>
    <w:p>
      <w:pPr>
        <w:pStyle w:val="BookText"/>
        <w:rPr/>
      </w:pPr>
      <w:bookmarkEnd w:id="344"/>
      <w:r>
        <w:rPr>
          <w:rFonts w:ascii="Amiri" w:hAnsi="Amiri" w:eastAsia="Amiri" w:cs="Amiri"/>
          <w:color w:val="111111"/>
          <w:sz w:val="28"/>
          <w:sz w:val="28"/>
          <w:szCs w:val="28"/>
          <w:rtl w:val="true"/>
          <w:lang w:bidi="ar-SA"/>
        </w:rPr>
        <w:t>كثيرى از متأخّرين است، مثل اختلاف در قرض دادن اقلّ و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متلِف راهن بود و ادّعاى قلّت قيمت متلَف نمود، اصل با او است، و بر مرتهن است اقامۀ بيّنه بر اكثريت قيمت كه رهن به آن تعلّق بگيرد؛ پس اين دو فرع مشترك در تقديم قول مدّعى قِلّت است كه مرتهن است در سابق و راهن است در اين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متلِف اجنبى باشد و با مرتهن اختلاف در قلّت و كثرت قيمت نمودند اگر چه راهن تصديق ننمايد متلف را، مرتهن مدّعى است و اصل با عدم رهنيّت زايد، بر متفقٌ عليه است؛ و اصل با عدم اشتغال ذمّه به زايد از بدل متيقّن البدليّه است براى مرتهن، مثل صورت وقوع اختلاف بين مالك و متلِف اجنبى در قيمى مضمون و مقدار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كردند راهن و مرتهن در قِلّت و كثرت دين كه استيفاى از عين مرهونه مى شود، قول مدّعىِ قِلّت مقدّم است با يمين او تا مدّعى كثرت اقامۀ بيّنه نمايد بر كثرت چنانچه منسوب به مشهور است، اگر چه اولىٰ و احوط براى راهن تصديق امين خودش است</w:t>
      </w:r>
      <w:r>
        <w:rPr>
          <w:rFonts w:eastAsia="IRNazanin" w:cs="IRNazanin"/>
          <w:color w:val="111111"/>
          <w:sz w:val="28"/>
          <w:szCs w:val="28"/>
          <w:rtl w:val="true"/>
          <w:lang w:bidi="fa-IR"/>
        </w:rPr>
        <w:t>.</w:t>
      </w:r>
    </w:p>
    <w:p>
      <w:pPr>
        <w:pStyle w:val="Heading4"/>
        <w:numPr>
          <w:ilvl w:val="3"/>
          <w:numId w:val="1"/>
        </w:numPr>
        <w:rPr/>
      </w:pPr>
      <w:bookmarkStart w:id="345" w:name="__RefHeading___Toc3597637_1067777946"/>
      <w:bookmarkStart w:id="346" w:name="_Toc139"/>
      <w:bookmarkEnd w:id="345"/>
      <w:r>
        <w:rPr>
          <w:rtl w:val="true"/>
        </w:rPr>
        <w:t>اختلاف در رهن بودن يا وديعه بودن مال</w:t>
      </w:r>
      <w:bookmarkEnd w:id="34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كرد مالك و ممسك، در وديعه بودن مال، يا رهن بودن آن، پس مشهور و مروى، تقدّم قول مالك است با يمين او تا آنكه اثبات نمود با بيّنه مدّعى رهن، چه آنكه اعتراف داشته باشد مالك به دين يا نه؛ پس اختلاف در اينكه امساك بحقٍ على المالك است، موجب منكر بودن مالك است، و به اين اعتبار مقدّم است بر قول صاحب يد كه مدّعى رهن است؛ و از روايت مخالفه اگر چه سنداً معتبر است، رفع يد مى شود به شذوذ قول به آن كه موجب تقديم روايت مشهوره است</w:t>
      </w:r>
      <w:r>
        <w:rPr>
          <w:rFonts w:eastAsia="IRNazanin" w:cs="IRNazanin"/>
          <w:color w:val="111111"/>
          <w:sz w:val="28"/>
          <w:szCs w:val="28"/>
          <w:rtl w:val="true"/>
          <w:lang w:bidi="fa-IR"/>
        </w:rPr>
        <w:t>.</w:t>
      </w:r>
    </w:p>
    <w:p>
      <w:pPr>
        <w:pStyle w:val="Heading4"/>
        <w:numPr>
          <w:ilvl w:val="3"/>
          <w:numId w:val="1"/>
        </w:numPr>
        <w:rPr/>
      </w:pPr>
      <w:bookmarkStart w:id="347" w:name="__RefHeading___Toc3597639_1067777946"/>
      <w:bookmarkStart w:id="348" w:name="_Toc140"/>
      <w:bookmarkEnd w:id="347"/>
      <w:r>
        <w:rPr>
          <w:rtl w:val="true"/>
        </w:rPr>
        <w:t>اختلاف در تقديم رجوع بر بيع و تأخّر آن</w:t>
      </w:r>
      <w:bookmarkEnd w:id="34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كردند بعد از اتفاق در بيع و اذن و رجوع، در تقديم رجوع بر بيع و</w:t>
      </w:r>
      <w:bookmarkStart w:id="349" w:name="pg10256_89387"/>
    </w:p>
    <w:p>
      <w:pPr>
        <w:pStyle w:val="BookText"/>
        <w:rPr/>
      </w:pPr>
      <w:bookmarkEnd w:id="349"/>
      <w:r>
        <w:rPr>
          <w:rFonts w:ascii="IRNazanin" w:hAnsi="IRNazanin" w:eastAsia="IRNazanin"/>
          <w:color w:val="111111"/>
          <w:sz w:val="28"/>
          <w:sz w:val="28"/>
          <w:szCs w:val="28"/>
          <w:rtl w:val="true"/>
          <w:lang w:bidi="fa-IR"/>
        </w:rPr>
        <w:t>تأخّر آن، پس مشهور، تقديم قول مرتهن است تا اثبات نمايد راهن تأخّر رجوع را از بيع با بيّنه؛ وگرنه قول مرتهن، موافق اصل است و ثابت است با يمين او با عدم بيّنه اى براى 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وجهش معارضه استصحاب در بيع و رجوع است، و معارضه اصالة الصحه در بيع و رجوع، مؤثّر در فساد است و تحكيم استصحاب بقاى رهن است تا ثابت بشود صحّت بيع به سبب بيّنه بر تأخّر رجوع از 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ذكر كرده ايم در غير صورت معلوم التاريخ بودن بيع است فقط؛ وگرنه استصحاب عدم مجهول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رجوع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تحقّق بيع كه معلوم التاريخ است، جارى است بلامعارضه، اگر چه خالى از اشكال اثبات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ممكن است ترجيح اصالة الصحه در بيع به سبب اَماريّت آن در غير صورت شكّ و اختلاف در مقدّمات، و معارضه اصالة الصحه در هر يك از اذن مؤثّر در صحّت و رجوع مؤثّر در فساد، به جهت دوران اذن بين متّصل به بيع و منفصل به تخلّل رجوع، و دوران رجوع بين مقدّم بر بيع و متأخّر از آن؛ پس محكَّم، اصالة الصحه در بيع است و كاشف از مبادى صحّت است، و اين اقرب است در تقدير عدم اجماع معتبر بر خلاف كه مشهور است</w:t>
      </w:r>
      <w:r>
        <w:rPr>
          <w:rFonts w:eastAsia="IRNazanin" w:cs="IRNazanin"/>
          <w:color w:val="111111"/>
          <w:sz w:val="28"/>
          <w:szCs w:val="28"/>
          <w:rtl w:val="true"/>
          <w:lang w:bidi="fa-IR"/>
        </w:rPr>
        <w:t>.</w:t>
      </w:r>
    </w:p>
    <w:p>
      <w:pPr>
        <w:pStyle w:val="Heading4"/>
        <w:numPr>
          <w:ilvl w:val="3"/>
          <w:numId w:val="1"/>
        </w:numPr>
        <w:rPr/>
      </w:pPr>
      <w:bookmarkStart w:id="350" w:name="__RefHeading___Toc3597641_1067777946"/>
      <w:bookmarkStart w:id="351" w:name="_Toc141"/>
      <w:bookmarkEnd w:id="350"/>
      <w:r>
        <w:rPr>
          <w:rtl w:val="true"/>
        </w:rPr>
        <w:t>اختلاف در انتفاع و اتلاف عين</w:t>
      </w:r>
      <w:bookmarkEnd w:id="351"/>
    </w:p>
    <w:p>
      <w:pPr>
        <w:pStyle w:val="BookText"/>
        <w:rPr/>
      </w:pPr>
      <w:r>
        <w:rPr>
          <w:rFonts w:ascii="IRNazanin" w:hAnsi="IRNazanin" w:eastAsia="IRNazanin"/>
          <w:color w:val="111111"/>
          <w:sz w:val="28"/>
          <w:sz w:val="28"/>
          <w:szCs w:val="28"/>
          <w:rtl w:val="true"/>
          <w:lang w:bidi="fa-IR"/>
        </w:rPr>
        <w:t>اگر اختلاف مذكور در انتفاع بود مثل سكنىٰ و ركوب مرهون كه محل نزاع، سبق رجوع از اذن مرتهن بر تصرّف و لحوق آن است، پس ممكن است تقديم قول راهن به اصل برائت و عدم اشتغال ذمّه به اجرتى كه رهن باشد بنا بر رهنيّت اجرت منافع مضمونه، بعد از معارضه ساير اصول يا اثبات بدون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 خارج از مورد كلام اصحاب است و در حكم و دليل، موافق با آن است، و شهرت مذكور در اين محل بر خلاف نيست، مثل آنچه در معاملات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است كلام در نزاع در اتلاف عين، كه بعد از رجوع از اذن در اتلاف آن </w:t>
      </w:r>
      <w:bookmarkStart w:id="352" w:name="pg10256_89388"/>
    </w:p>
    <w:p>
      <w:pPr>
        <w:pStyle w:val="BookText"/>
        <w:rPr/>
      </w:pPr>
      <w:bookmarkEnd w:id="352"/>
      <w:r>
        <w:rPr>
          <w:rFonts w:ascii="IRNazanin" w:hAnsi="IRNazanin" w:eastAsia="IRNazanin"/>
          <w:color w:val="111111"/>
          <w:sz w:val="28"/>
          <w:sz w:val="28"/>
          <w:szCs w:val="28"/>
          <w:rtl w:val="true"/>
          <w:lang w:bidi="fa-IR"/>
        </w:rPr>
        <w:t>بوده تا ضمان بدل و رهنيّت آن محقّق باشد يا قبل؛ پس با اصل برائت و عدم تحقّق رهنيّت در بدل، تقديم قول راهن مى شود</w:t>
      </w:r>
      <w:r>
        <w:rPr>
          <w:rFonts w:eastAsia="IRNazanin" w:cs="IRNazanin"/>
          <w:color w:val="111111"/>
          <w:sz w:val="28"/>
          <w:szCs w:val="28"/>
          <w:rtl w:val="true"/>
          <w:lang w:bidi="fa-IR"/>
        </w:rPr>
        <w:t>.</w:t>
      </w:r>
    </w:p>
    <w:p>
      <w:pPr>
        <w:pStyle w:val="Heading4"/>
        <w:numPr>
          <w:ilvl w:val="3"/>
          <w:numId w:val="1"/>
        </w:numPr>
        <w:rPr/>
      </w:pPr>
      <w:bookmarkStart w:id="353" w:name="__RefHeading___Toc3597643_1067777946"/>
      <w:bookmarkStart w:id="354" w:name="_Toc142"/>
      <w:bookmarkEnd w:id="353"/>
      <w:r>
        <w:rPr>
          <w:rtl w:val="true"/>
        </w:rPr>
        <w:t>الزام بر وفاى به عين رهن</w:t>
      </w:r>
      <w:bookmarkEnd w:id="35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مرتهن نمى تواند الزام نمايد راهن را بر وفاى به عين رهن اگر چه شخص مجانس با حق باشد، بلكه راهن مى تواند الزام نمايد مرتهن را بر قبول هر چه با آن وفاى دين مى نمايد با تجانس و نمى تواند الزام نمايد راهن را بر بيع با مخالفت با جواز اداى به مخالف ديگر يا موافق؛ و با اتفاق هرگونه عملى انجام دهند جايز و نافذ است، و رهن موافق حق، مثل مخالف است در آنچه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بر بيع و اختلاف در ثمن كردند، با اذن حاكم رفع اختلاف به بيع به نقد غالب مى شود و ممتنع اجبار مى شود بر اين بيع يا امر مشروع ديگرى كه توافق بر آن بشود، يا آنكه با اذن حاكم، بيع بر ممتنع مى شود به نقد غالب، چه آنكه طالبِ نقد غالب، راهن باشد يا 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راهنْ طالبِ بيع به مساوى است در خصوصيّات و در آن ضررى بر مرتهن نيست، مالك مسلّط است بر ملك خودش در هر تصرّفى كه مزاحم حق مرتهن نباشد؛ و اگر مصلحت هر كدام از مالك راهن و مرتهن در بيع به چيزى باشد، مراجعه به حاكم مى شود و او جمع بين مصلحت هر دو مى نمايد اگر چه به ترك بيع غير واجب قبل از حلول دين باشد؛ و اگر ممكن نشد، ترجيح مى دهد مصلحت يكى از آنها را و با آن خاتمه مى دهد نزاع در مصلحت مالك و مصلحت مستوثق را</w:t>
      </w:r>
      <w:r>
        <w:rPr>
          <w:rFonts w:eastAsia="IRNazanin" w:cs="IRNazanin"/>
          <w:color w:val="111111"/>
          <w:sz w:val="28"/>
          <w:szCs w:val="28"/>
          <w:rtl w:val="true"/>
          <w:lang w:bidi="fa-IR"/>
        </w:rPr>
        <w:t>.</w:t>
      </w:r>
    </w:p>
    <w:p>
      <w:pPr>
        <w:pStyle w:val="Heading4"/>
        <w:numPr>
          <w:ilvl w:val="3"/>
          <w:numId w:val="1"/>
        </w:numPr>
        <w:rPr/>
      </w:pPr>
      <w:bookmarkStart w:id="355" w:name="__RefHeading___Toc3597645_1067777946"/>
      <w:bookmarkStart w:id="356" w:name="_Toc143"/>
      <w:bookmarkEnd w:id="355"/>
      <w:r>
        <w:rPr>
          <w:rtl w:val="true"/>
        </w:rPr>
        <w:t>ادّعاى رهنيّت توسط مرتهن و انكار راهن</w:t>
      </w:r>
      <w:bookmarkEnd w:id="35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مرتهن ادّعاى رهنيّت چيزى نمود و راهن انكار نمود و ادّعا كرد رهنيّت چيز ديگر را، پس رهن آنچه مرتهنْ منكر است، باطل مى شود بنا بر آنكه انكار رهن از مرتهن، فسخ است كه جايز است از او، مثل آنكه انكار طلاق رجوع جايز است از زوج، چنانچه ثابت است از اصحاب، اگر چه خالى از تأمّل نيست</w:t>
      </w:r>
      <w:r>
        <w:rPr>
          <w:rFonts w:eastAsia="IRNazanin" w:cs="IRNazanin"/>
          <w:color w:val="111111"/>
          <w:sz w:val="28"/>
          <w:szCs w:val="28"/>
          <w:rtl w:val="true"/>
          <w:lang w:bidi="fa-IR"/>
        </w:rPr>
        <w:t>.</w:t>
      </w:r>
      <w:bookmarkStart w:id="357" w:name="pg10256_89389"/>
    </w:p>
    <w:p>
      <w:pPr>
        <w:pStyle w:val="BookText"/>
        <w:rPr/>
      </w:pPr>
      <w:bookmarkEnd w:id="357"/>
      <w:r>
        <w:rPr>
          <w:rFonts w:ascii="IRNazanin" w:hAnsi="IRNazanin" w:eastAsia="IRNazanin"/>
          <w:color w:val="111111"/>
          <w:sz w:val="28"/>
          <w:sz w:val="28"/>
          <w:szCs w:val="28"/>
          <w:rtl w:val="true"/>
          <w:lang w:bidi="fa-IR"/>
        </w:rPr>
        <w:t>و هم چنين اگر خواست دفع يمين را از خودش به فسخ على تقدير رهانت، در صورتى كه راهن بداند متمشّى نيست از او فسخ، به جهت آنكه ناسى رهن و علم به خلاف آن را دارد؛ پس در نظر مرتهن، تعليق بر امر غير واقع است بر تقدير و فرض وقوع او، و احتياط در صلح به تنصيف است در رهن دو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مدّعاى مرتهن، رهن چيزى از ملك راهن است و راهن منكر است، پس حلف بر عدم رهن آن، موجب خروج از رهنيّت آن است در ظاهر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مصبّ دو دعوىٰ‌، تعلّق رهنِ واقعى به يكىِ معيّن باشد، يعنى رهن واقع متعلّق آن رهن است، پس 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تداعى، نه تعدّد ادّعا و 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58" w:name="__RefHeading___Toc3597647_1067777946"/>
      <w:bookmarkStart w:id="359" w:name="_Toc144"/>
      <w:bookmarkEnd w:id="358"/>
      <w:r>
        <w:rPr>
          <w:rtl w:val="true"/>
        </w:rPr>
        <w:t>اختلاف در دين متعلّق رهن</w:t>
      </w:r>
      <w:bookmarkEnd w:id="35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دين بود و راهن براى يكى از آنها مالى دفع كرد پس از آن اختلاف كردند كه رهن براى كدام دين است، قول راهن مقدّم است در تعيين نيّت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گفته شود كه اگر مثمر باشد اختلاف به مثل تعدّد غريم و اختلاف در وقت حلول دين پس اختلاف در بيان ظاهر در يكى معيّن يا بيان ظاهر در معيّن ديگر شد، منتهى به تحالف در دو دعوىٰ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در نيّت، احتياج به يمين دافع،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اعتراف دافع به عدم تعيين قصدى، پس مقتضاى قصد رهن و تحقّق آن به دفع مقصود اشتراك دينها كه به منزلۀ دو علّت مى باشند در تخصيص مرهون در آنچه قابل توزيع است، تنصيف است در دو دين و يك مرهون؛ و اين قريبِ به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راجح بر ساير احتمالات است، حتى قرعه كه دور نيست تعيين آن در صورت اعتراف به قصد رهن بر يك دين نه قصد رهن بر دين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نظاير مقام، حكم چنين است، مگر آنكه به معيّن ديگرى غير توزيع متعيّن بشود؛ پس در تبايع دو كافر يك درهم را به دو درهم و اسلام آنها بعد از دفع يك </w:t>
      </w:r>
      <w:bookmarkStart w:id="360" w:name="pg10256_89390"/>
    </w:p>
    <w:p>
      <w:pPr>
        <w:pStyle w:val="BookText"/>
        <w:rPr/>
      </w:pPr>
      <w:bookmarkEnd w:id="360"/>
      <w:r>
        <w:rPr>
          <w:rFonts w:ascii="IRNazanin" w:hAnsi="IRNazanin" w:eastAsia="IRNazanin"/>
          <w:color w:val="111111"/>
          <w:sz w:val="28"/>
          <w:sz w:val="28"/>
          <w:szCs w:val="28"/>
          <w:rtl w:val="true"/>
          <w:lang w:bidi="fa-IR"/>
        </w:rPr>
        <w:t xml:space="preserve">درهم به قصد اصل و فصل يا بدون قصد، توزيع مى شود بر نصفين يك درهم و صحيح است معامله در نصف درهم و باطل است در نصف ديگر و مى دهد نصف درهمِ بايع را و رد مى كند نصف مبيع را و مى گيرد نصف مدفوع را با اختلاف، و تهاتر مى شود با عدم اختلاف، و ضرر تبعّض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بر متضرّر، و احوط در صورت عدم فسخ به حق، صلح است</w:t>
      </w:r>
      <w:r>
        <w:rPr>
          <w:rFonts w:eastAsia="IRNazanin" w:cs="IRNazanin"/>
          <w:color w:val="111111"/>
          <w:sz w:val="28"/>
          <w:szCs w:val="28"/>
          <w:rtl w:val="true"/>
          <w:lang w:bidi="fa-IR"/>
        </w:rPr>
        <w:t>.</w:t>
      </w:r>
    </w:p>
    <w:p>
      <w:pPr>
        <w:pStyle w:val="Heading4"/>
        <w:numPr>
          <w:ilvl w:val="3"/>
          <w:numId w:val="1"/>
        </w:numPr>
        <w:rPr/>
      </w:pPr>
      <w:bookmarkStart w:id="361" w:name="__RefHeading___Toc3597649_1067777946"/>
      <w:bookmarkStart w:id="362" w:name="_Toc145"/>
      <w:bookmarkEnd w:id="361"/>
      <w:r>
        <w:rPr>
          <w:rtl w:val="true"/>
        </w:rPr>
        <w:t>اختلاف در ردّ رهن</w:t>
      </w:r>
      <w:bookmarkEnd w:id="36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كردند در ردِّ رهن، قول راهن مقدّم است با يمين او در صورت عدم بيّنه براى مرتهن، به خلاف ادّعاى مرتهن تلف را در حال رد؛ پس مرتهن در موارد عدم ائتمان فعلى، على القاعده محكومٌ عليه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 الصلاة على محمّد و آله الطاهرين و اللعن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العبد محمّد تقى بن محمود عفى عنهما، في المشهد المقدس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الرضوى على صاحبه السلام،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bookmarkStart w:id="363" w:name="pg10256_89391"/>
    </w:p>
    <w:p>
      <w:pPr>
        <w:pStyle w:val="Heading2"/>
        <w:numPr>
          <w:ilvl w:val="1"/>
          <w:numId w:val="1"/>
        </w:numPr>
        <w:rPr/>
      </w:pPr>
      <w:bookmarkStart w:id="364" w:name="__RefHeading___Toc3597651_1067777946"/>
      <w:bookmarkStart w:id="365" w:name="_Toc146"/>
      <w:bookmarkEnd w:id="363"/>
      <w:bookmarkEnd w:id="364"/>
      <w:r>
        <w:rPr>
          <w:rtl w:val="true"/>
        </w:rPr>
        <w:t>كتاب حَجر</w:t>
      </w:r>
      <w:bookmarkEnd w:id="365"/>
    </w:p>
    <w:p>
      <w:pPr>
        <w:pStyle w:val="Heading3"/>
        <w:numPr>
          <w:ilvl w:val="2"/>
          <w:numId w:val="1"/>
        </w:numPr>
        <w:rPr/>
      </w:pPr>
      <w:bookmarkStart w:id="366" w:name="__RefHeading___Toc3597653_1067777946"/>
      <w:bookmarkStart w:id="367" w:name="_Toc147"/>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موجبات حَجر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حَجر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0256_89393"/>
      <w:bookmarkStart w:id="369" w:name="pg10256_89393"/>
      <w:bookmarkEnd w:id="369"/>
    </w:p>
    <w:p>
      <w:pPr>
        <w:pStyle w:val="Heading3"/>
        <w:numPr>
          <w:ilvl w:val="2"/>
          <w:numId w:val="1"/>
        </w:numPr>
        <w:rPr/>
      </w:pPr>
      <w:bookmarkStart w:id="370" w:name="pg10256_89393"/>
      <w:bookmarkStart w:id="371" w:name="__RefHeading___Toc3597655_1067777946"/>
      <w:bookmarkStart w:id="372" w:name="_Toc148"/>
      <w:bookmarkEnd w:id="370"/>
      <w:bookmarkEnd w:id="371"/>
      <w:r>
        <w:rPr>
          <w:rtl w:val="true"/>
        </w:rPr>
        <w:t>فصل اوّل موجبات حَجر</w:t>
      </w:r>
      <w:bookmarkEnd w:id="372"/>
    </w:p>
    <w:p>
      <w:pPr>
        <w:pStyle w:val="Heading4"/>
        <w:numPr>
          <w:ilvl w:val="3"/>
          <w:numId w:val="1"/>
        </w:numPr>
        <w:rPr/>
      </w:pPr>
      <w:bookmarkStart w:id="373" w:name="__RefHeading___Toc3597657_1067777946"/>
      <w:bookmarkStart w:id="374" w:name="_Toc149"/>
      <w:bookmarkEnd w:id="373"/>
      <w:r>
        <w:rPr>
          <w:rtl w:val="true"/>
        </w:rPr>
        <w:t>تعريف حجر</w:t>
      </w:r>
      <w:bookmarkEnd w:id="374"/>
    </w:p>
    <w:p>
      <w:pPr>
        <w:pStyle w:val="BookText"/>
        <w:rPr/>
      </w:pP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ممنوعيّت شرعيّۀ وضعيّه از تصرّف در مال مملوك خود فى الجمله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ممنوعيّت صبىّ و مجنون، و مملوك بنابر مالكيّت او، و مريض در زايد از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موجبات حجر، حق محجور است، مثل صغر و جنون و سَفَه؛ و بعضى حقِ غير او است، مثل رقّ و فلس و مرض</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597659_1067777946"/>
      <w:bookmarkStart w:id="376" w:name="_Toc150"/>
      <w:bookmarkEnd w:id="375"/>
      <w:r>
        <w:rPr/>
        <w:t>1</w:t>
      </w:r>
      <w:r>
        <w:rPr>
          <w:rtl w:val="true"/>
        </w:rPr>
        <w:t xml:space="preserve">. </w:t>
      </w:r>
      <w:r>
        <w:rPr>
          <w:rtl w:val="true"/>
        </w:rPr>
        <w:t>محجوريّت صغير</w:t>
      </w:r>
      <w:bookmarkEnd w:id="376"/>
    </w:p>
    <w:p>
      <w:pPr>
        <w:pStyle w:val="Heading5"/>
        <w:numPr>
          <w:ilvl w:val="4"/>
          <w:numId w:val="1"/>
        </w:numPr>
        <w:rPr/>
      </w:pPr>
      <w:bookmarkStart w:id="377" w:name="__RefHeading___Toc3597661_1067777946"/>
      <w:bookmarkStart w:id="378" w:name="_Toc151"/>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صغير، محجور است و تصرّف او در مال خودش، نافذ نيست تا وقتى كه كامل به سبب بلوغ و رشد نباشد</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597663_1067777946"/>
      <w:bookmarkStart w:id="380" w:name="_Toc152"/>
      <w:bookmarkEnd w:id="379"/>
      <w:r>
        <w:rPr>
          <w:rtl w:val="true"/>
        </w:rPr>
        <w:t>بلوغ</w:t>
      </w:r>
      <w:bookmarkEnd w:id="380"/>
    </w:p>
    <w:p>
      <w:pPr>
        <w:pStyle w:val="Heading6"/>
        <w:numPr>
          <w:ilvl w:val="5"/>
          <w:numId w:val="1"/>
        </w:numPr>
        <w:rPr/>
      </w:pPr>
      <w:bookmarkStart w:id="381" w:name="__RefHeading___Toc3597665_1067777946"/>
      <w:bookmarkStart w:id="382" w:name="_Toc153"/>
      <w:bookmarkEnd w:id="381"/>
      <w:r>
        <w:rPr>
          <w:rtl w:val="true"/>
        </w:rPr>
        <w:t>تعريف بلوغ</w:t>
      </w:r>
      <w:bookmarkEnd w:id="3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حدّ رجوليّت و نحو آن و خروج از حد طفوليّت و صباوت و بچّه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واقعيّه ثابتۀ نزد عرف است</w:t>
      </w:r>
      <w:r>
        <w:rPr>
          <w:rFonts w:eastAsia="IRNazanin" w:cs="IRNazanin"/>
          <w:color w:val="111111"/>
          <w:sz w:val="28"/>
          <w:szCs w:val="28"/>
          <w:rtl w:val="true"/>
          <w:lang w:bidi="fa-IR"/>
        </w:rPr>
        <w:t xml:space="preserve">. </w:t>
      </w:r>
      <w:bookmarkStart w:id="383" w:name="pg10256_89394"/>
    </w:p>
    <w:p>
      <w:pPr>
        <w:pStyle w:val="Heading6"/>
        <w:numPr>
          <w:ilvl w:val="5"/>
          <w:numId w:val="1"/>
        </w:numPr>
        <w:rPr/>
      </w:pPr>
      <w:bookmarkStart w:id="384" w:name="__RefHeading___Toc3597667_1067777946"/>
      <w:bookmarkStart w:id="385" w:name="_Toc154"/>
      <w:bookmarkEnd w:id="383"/>
      <w:bookmarkEnd w:id="384"/>
      <w:r>
        <w:rPr>
          <w:rtl w:val="true"/>
        </w:rPr>
        <w:t>علايم بلوغ</w:t>
      </w:r>
      <w:bookmarkEnd w:id="385"/>
    </w:p>
    <w:p>
      <w:pPr>
        <w:pStyle w:val="BookText"/>
        <w:rPr/>
      </w:pPr>
      <w:r>
        <w:rPr>
          <w:rFonts w:ascii="IRNazanin" w:hAnsi="IRNazanin" w:eastAsia="IRNazanin"/>
          <w:color w:val="111111"/>
          <w:sz w:val="28"/>
          <w:sz w:val="28"/>
          <w:szCs w:val="28"/>
          <w:rtl w:val="true"/>
          <w:lang w:bidi="fa-IR"/>
        </w:rPr>
        <w:t>و احتلام و حيض از علايم عرفيّۀ قطعيّه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از علايم عرفيّه ظنيّه است كه به سبب غلبۀ ملازمه با آن علايم قطعيّه و با ذو العلامه معتبر است عرفاً و شرعاً و به حدى هم مى رسد كه در عرف، مفيد قطع است، پس به حدى هم مى رسد كه مفيد ظن معتبر عرفى است و از عمل عرف عقلاء مستفاد است، و در شرع مقرر است و اختراع شرعى در آن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شرعيّه مرد و زن با تقرير شرع مرتّب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اين حدّ عرفى و شرعى، محكوم به استصحاب است؛ در صورت عدم حصولِ علم به سبب اجتماع امورى كه هركدام به تنهايى مفيد ظن و غير معتبر است در عرف و شرع مگر آنكه مفيد اطمينان باشد نزد كسانى كه مى خواهند ترتيب آثار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ذكر شد علامت بلوغ در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نزول منى در خواب يا بيدارى؛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 شعر خشن در 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روييدن موىِ زبر بالاى آلت مردى و اطراف عورت پيشى زن و هم چنين در دو فرج خنثاى مشكل يا يكى ثابت از خنثاى غير مشكل؛ و در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مخصوص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 مرد و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6"/>
        <w:numPr>
          <w:ilvl w:val="5"/>
          <w:numId w:val="1"/>
        </w:numPr>
        <w:rPr/>
      </w:pPr>
      <w:bookmarkStart w:id="386" w:name="__RefHeading___Toc3597669_1067777946"/>
      <w:bookmarkStart w:id="387" w:name="_Toc155"/>
      <w:bookmarkEnd w:id="386"/>
      <w:r>
        <w:rPr>
          <w:rtl w:val="true"/>
        </w:rPr>
        <w:t>لحيه و شارب و انبات</w:t>
      </w:r>
      <w:bookmarkEnd w:id="387"/>
    </w:p>
    <w:p>
      <w:pPr>
        <w:pStyle w:val="BookText"/>
        <w:rPr/>
      </w:pPr>
      <w:r>
        <w:rPr>
          <w:rFonts w:ascii="Amiri" w:hAnsi="Amiri" w:eastAsia="Amiri" w:cs="Amiri"/>
          <w:color w:val="111111"/>
          <w:sz w:val="28"/>
          <w:sz w:val="28"/>
          <w:szCs w:val="28"/>
          <w:rtl w:val="true"/>
          <w:lang w:bidi="ar-SA"/>
        </w:rPr>
        <w:t xml:space="preserve">و دور نيست علامت بودن لحيه و 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موى معهود در روى مرد مى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اعم از سبق و تقارن، زيرا غالباً متأخّر از نبات شعر خشن در عانه هستند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انباتْ بلوغ است، يا اماره بر آن‌؟ ظاهر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عدم ثمره براى اين اختلاف است، زيرا با عدم اماره ديگرى، مستصحب العدم است قبل از انبات محقّق؛ و با امارۀ ديگرى در متقدّم بر آن انبات و هر علامتى نسبت بر سابق، حكمى ندارند، بلكه حكم سابق، به استصحاب مستند است؛ بلى مى توان گفت مردى و زنى مساوقت آنها با اين علامات، بى معنى است</w:t>
      </w:r>
      <w:r>
        <w:rPr>
          <w:rFonts w:eastAsia="IRNazanin" w:cs="IRNazanin"/>
          <w:color w:val="111111"/>
          <w:sz w:val="28"/>
          <w:szCs w:val="28"/>
          <w:rtl w:val="true"/>
          <w:lang w:bidi="fa-IR"/>
        </w:rPr>
        <w:t xml:space="preserve">. </w:t>
      </w:r>
      <w:bookmarkStart w:id="388" w:name="pg10256_89395"/>
    </w:p>
    <w:p>
      <w:pPr>
        <w:pStyle w:val="BookText"/>
        <w:rPr/>
      </w:pPr>
      <w:bookmarkEnd w:id="388"/>
      <w:r>
        <w:rPr>
          <w:rFonts w:ascii="IRNazanin" w:hAnsi="IRNazanin" w:eastAsia="IRNazanin"/>
          <w:color w:val="111111"/>
          <w:sz w:val="28"/>
          <w:sz w:val="28"/>
          <w:szCs w:val="28"/>
          <w:rtl w:val="true"/>
          <w:lang w:bidi="fa-IR"/>
        </w:rPr>
        <w:t>و اظهر عدم تاثير انباتِ به علاج است، مگر آنكه معالجه، از قبيل تقويت بدن و تفريحات باشد كه در نموّ قوه حيوانى مؤثّر باشد</w:t>
      </w:r>
      <w:r>
        <w:rPr>
          <w:rFonts w:eastAsia="IRNazanin" w:cs="IRNazanin"/>
          <w:color w:val="111111"/>
          <w:sz w:val="28"/>
          <w:szCs w:val="28"/>
          <w:rtl w:val="true"/>
          <w:lang w:bidi="fa-IR"/>
        </w:rPr>
        <w:t>.</w:t>
      </w:r>
    </w:p>
    <w:p>
      <w:pPr>
        <w:pStyle w:val="Heading6"/>
        <w:numPr>
          <w:ilvl w:val="5"/>
          <w:numId w:val="1"/>
        </w:numPr>
        <w:rPr/>
      </w:pPr>
      <w:bookmarkStart w:id="389" w:name="__RefHeading___Toc3597671_1067777946"/>
      <w:bookmarkStart w:id="390" w:name="_Toc156"/>
      <w:bookmarkEnd w:id="389"/>
      <w:r>
        <w:rPr>
          <w:rtl w:val="true"/>
        </w:rPr>
        <w:t>مراد از احتلام و اماريّت معرضيّت نزول</w:t>
      </w:r>
      <w:bookmarkEnd w:id="390"/>
    </w:p>
    <w:p>
      <w:pPr>
        <w:pStyle w:val="BookText"/>
        <w:rPr/>
      </w:pPr>
      <w:r>
        <w:rPr>
          <w:rFonts w:ascii="IRNazanin" w:hAnsi="IRNazanin" w:eastAsia="IRNazanin"/>
          <w:color w:val="111111"/>
          <w:sz w:val="28"/>
          <w:sz w:val="28"/>
          <w:szCs w:val="28"/>
          <w:rtl w:val="true"/>
          <w:lang w:bidi="fa-IR"/>
        </w:rPr>
        <w:t xml:space="preserve">و بر حسب آنچه مذكور شد از امارات عرفيّه و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مرد و زن از موضع معتاد با اقتران به شهوت، يعنى رؤيت در منام، كه به الغاى خصوصيت، محمول بر نزول منى است به هر صورتى، كه غالباً ابتداى آن در خواب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اماريّت معرضيّت نزول است به علم به آنكه اگر سببى باشد و مانعى نباشد، نزول فعليّت مى نمايد، و از آن تعبير به بلوغ نكاح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اماره است بر اعم از مقارنت و سبق؛ و با عدم آن استصحاب حاكم است در صورت عدم علم، يعنى رجوليّت و ضد آن، قابل تعلّق علم به آن است بدون هيچ يك از علايم، بلى معرضيّت خروج چون مراتب دارد، موجب يقين نمى شود و ممكن است با ضمايم ديگر، يقين حاصل شود</w:t>
      </w:r>
      <w:r>
        <w:rPr>
          <w:rFonts w:eastAsia="IRNazanin" w:cs="IRNazanin"/>
          <w:color w:val="111111"/>
          <w:sz w:val="28"/>
          <w:szCs w:val="28"/>
          <w:rtl w:val="true"/>
          <w:lang w:bidi="fa-IR"/>
        </w:rPr>
        <w:t>.</w:t>
      </w:r>
    </w:p>
    <w:p>
      <w:pPr>
        <w:pStyle w:val="Heading6"/>
        <w:numPr>
          <w:ilvl w:val="5"/>
          <w:numId w:val="1"/>
        </w:numPr>
        <w:rPr/>
      </w:pPr>
      <w:bookmarkStart w:id="391" w:name="__RefHeading___Toc3597673_1067777946"/>
      <w:bookmarkStart w:id="392" w:name="_Toc157"/>
      <w:bookmarkEnd w:id="391"/>
      <w:r>
        <w:rPr>
          <w:rtl w:val="true"/>
        </w:rPr>
        <w:t>اگر به بلوغ يقين و اطمينان حاصل نشود</w:t>
      </w:r>
      <w:bookmarkEnd w:id="392"/>
    </w:p>
    <w:p>
      <w:pPr>
        <w:pStyle w:val="BookText"/>
        <w:rPr/>
      </w:pPr>
      <w:r>
        <w:rPr>
          <w:rFonts w:ascii="IRNazanin" w:hAnsi="IRNazanin" w:eastAsia="IRNazanin"/>
          <w:color w:val="111111"/>
          <w:sz w:val="28"/>
          <w:sz w:val="28"/>
          <w:szCs w:val="28"/>
          <w:rtl w:val="true"/>
          <w:lang w:bidi="fa-IR"/>
        </w:rPr>
        <w:t>و اگر يقين و اطمينان نباشد پس حكم به بلوغ نمى شود تا آنكه بالفعل از محل معتاد خارج نشود مگر با معرضيّت خاصه كه مذكور شد، يعنى قدرت بر مواقعه كه ملازمت غالبيّه با انزال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فعليّت متلازمين يا معرضيّت آنها به نحو متقدّم، امارۀ رجوليّت است كه مراد از بلوغ صبىّ است؛ پس بايد تحقق اين علامت، در وقت احتمال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 رجوليّت يا زن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حامل بودن زن اگر چه بدون وطى باشد، و بدون علامت ديگر اخص از احتلام است، يعنى متأخر است از احتلام محتلم زماناً، پس دليل بر اعم از سبق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آنكه همه اماراتْ علامت اعم از سبق و مقارنت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باشد، يعنى سن خاص، يا زمانى از قبيل انبات و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تحقق اينها، حكم به </w:t>
      </w:r>
      <w:bookmarkStart w:id="393" w:name="pg10256_89396"/>
    </w:p>
    <w:p>
      <w:pPr>
        <w:pStyle w:val="BookText"/>
        <w:rPr/>
      </w:pPr>
      <w:bookmarkEnd w:id="393"/>
      <w:r>
        <w:rPr>
          <w:rFonts w:ascii="IRNazanin" w:hAnsi="IRNazanin" w:eastAsia="IRNazanin"/>
          <w:color w:val="111111"/>
          <w:sz w:val="28"/>
          <w:sz w:val="28"/>
          <w:szCs w:val="28"/>
          <w:rtl w:val="true"/>
          <w:lang w:bidi="fa-IR"/>
        </w:rPr>
        <w:t>استصحاب مى شود مگر آنكه علامت ديگرى باشد يا آنكه علم حاصل شود</w:t>
      </w:r>
      <w:r>
        <w:rPr>
          <w:rFonts w:eastAsia="IRNazanin" w:cs="IRNazanin"/>
          <w:color w:val="111111"/>
          <w:sz w:val="28"/>
          <w:szCs w:val="28"/>
          <w:rtl w:val="true"/>
          <w:lang w:bidi="fa-IR"/>
        </w:rPr>
        <w:t>.</w:t>
      </w:r>
    </w:p>
    <w:p>
      <w:pPr>
        <w:pStyle w:val="Heading6"/>
        <w:numPr>
          <w:ilvl w:val="5"/>
          <w:numId w:val="1"/>
        </w:numPr>
        <w:rPr/>
      </w:pPr>
      <w:bookmarkStart w:id="394" w:name="__RefHeading___Toc3597675_1067777946"/>
      <w:bookmarkStart w:id="395" w:name="_Toc158"/>
      <w:bookmarkEnd w:id="394"/>
      <w:r>
        <w:rPr>
          <w:rtl w:val="true"/>
        </w:rPr>
        <w:t>خروج منى و تكوّن ولد از آن، از معرّفات قطع به بلوغ</w:t>
      </w:r>
      <w:bookmarkEnd w:id="395"/>
    </w:p>
    <w:p>
      <w:pPr>
        <w:pStyle w:val="BookText"/>
        <w:rPr/>
      </w:pPr>
      <w:r>
        <w:rPr>
          <w:rFonts w:ascii="IRNazanin" w:hAnsi="IRNazanin" w:eastAsia="IRNazanin"/>
          <w:color w:val="111111"/>
          <w:sz w:val="28"/>
          <w:sz w:val="28"/>
          <w:szCs w:val="28"/>
          <w:rtl w:val="true"/>
          <w:lang w:bidi="fa-IR"/>
        </w:rPr>
        <w:t>و ظاهر اين است كه خروج معلوم از منى، موجب قطع به بلوغ است و اين كاشف و مكشوف و كشف، امر واقعىِ عرفى است كه شرع تنبيه و تقرير فرموده است؛ پس با فرض علم مذكور، محلى براى اعتبار خروج از محل معتاد نيست، زيرا فرض خروج مذكور،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تقدير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محل خروج كه رأس قضيب است به سببى مسدود باشد و محلى از عانه مكشوف باشد و حركت منى به سببش از مبدء تا عانه معلوم باشد و خروج از عانه و انسداد محل معتاد همه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تكوّن ولد از آن، از جملۀ معرِّفات است، نه از شروط، چنانچه در كبار از مردم در هيچ حكم عرفى و شرعى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وقت محتملْ مقدميّت دارد براى قطع به اينكه خارجْ همان است كه از مردان خارج مى شود از حيث منشأ و صفات و غايت و آثار عرفيّه تكوينيّه و شرعيّه؛ پس اگر بغير عادت، طفل چهارساله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او بغير معتاد، رشد و نموِّ غيرِ معتاد داشت، قطعاً بلوغ او متناسب با ساير احوال و صفات او است، و خروج منى از او به نحو مناسب كاشفيت از بلوغ مناسب با امور غير متعارفۀ او است، و تكليف او هم چنين است</w:t>
      </w:r>
      <w:r>
        <w:rPr>
          <w:rFonts w:eastAsia="IRNazanin" w:cs="IRNazanin"/>
          <w:color w:val="111111"/>
          <w:sz w:val="28"/>
          <w:szCs w:val="28"/>
          <w:rtl w:val="true"/>
          <w:lang w:bidi="fa-IR"/>
        </w:rPr>
        <w:t>.</w:t>
      </w:r>
    </w:p>
    <w:p>
      <w:pPr>
        <w:pStyle w:val="Heading6"/>
        <w:numPr>
          <w:ilvl w:val="5"/>
          <w:numId w:val="1"/>
        </w:numPr>
        <w:rPr/>
      </w:pPr>
      <w:bookmarkStart w:id="396" w:name="__RefHeading___Toc3597677_1067777946"/>
      <w:bookmarkStart w:id="397" w:name="_Toc159"/>
      <w:bookmarkEnd w:id="396"/>
      <w:r>
        <w:rPr>
          <w:rtl w:val="true"/>
        </w:rPr>
        <w:t>سن بلوغ و احكام آن</w:t>
      </w:r>
      <w:bookmarkEnd w:id="397"/>
    </w:p>
    <w:p>
      <w:pPr>
        <w:pStyle w:val="BookText"/>
        <w:rPr/>
      </w:pPr>
      <w:r>
        <w:rPr>
          <w:rFonts w:ascii="IRNazanin" w:hAnsi="IRNazanin" w:eastAsia="IRNazanin"/>
          <w:color w:val="111111"/>
          <w:sz w:val="28"/>
          <w:sz w:val="28"/>
          <w:szCs w:val="28"/>
          <w:rtl w:val="true"/>
          <w:lang w:bidi="fa-IR"/>
        </w:rPr>
        <w:t xml:space="preserve">و چنانچه اشاره شد سن 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محكوم به بلوغ و احكام تكليفيه و وضعيّه مى شود و قبل از آن محكوم به استصحابِ جارى در حق مكلّفين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مروى و مشهور است؛ و به واسطۀ شهرت، روايات آن ترجيح بر روايات مخالفه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سن صبيّه براى اماريّت بلوغ او، اكمالِ نُه سال هلالى است، چنانچه </w:t>
      </w:r>
      <w:bookmarkStart w:id="398" w:name="pg10256_89397"/>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اين است كه اماره، تكميل پانزده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به تحقيق؛ پس قبل از آن اگر به لحظه اى باشد، مورد استصحاب است براى اجراكننده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احكام 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تكليفيّه و وضعيّه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انواع عبادات و ولايات و معاملات، اختلافى ندارند در اينكه قبل از بلوغ، حجر ثابت است و بعد از آن مرتفع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صورت تماميّت ماه اوّل، اكمال به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سال شانزدهم مرد و دهم زن،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نقصان آيا تكميل به ثلاثين است يا به قدر فايت از ماه اوّل كه موافق نهم مثلاً تا نهم است‌؟ دو احتمال است، و تفصيل به تلفيق به ثلاثين در صورت شك در تمام و نقص به استصحاب و الحاق به غالب مثل صورت تمام يقينى و به قدر فايت در صورت علم به نقصان، خالى از رجحان نيست؛ لكن در صورت اخيره، احتياط مناسب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خنثاى مشكل، ملحق است در بلوغ به سن به ذكر يا انثىٰ؟ اقرب و مقتضاى استصحاب، اوّل است در فرض عدم امارۀ ديگر</w:t>
      </w:r>
      <w:r>
        <w:rPr>
          <w:rFonts w:eastAsia="IRNazanin" w:cs="IRNazanin"/>
          <w:color w:val="111111"/>
          <w:sz w:val="28"/>
          <w:szCs w:val="28"/>
          <w:rtl w:val="true"/>
          <w:lang w:bidi="fa-IR"/>
        </w:rPr>
        <w:t>.</w:t>
      </w:r>
    </w:p>
    <w:p>
      <w:pPr>
        <w:pStyle w:val="Heading6"/>
        <w:numPr>
          <w:ilvl w:val="5"/>
          <w:numId w:val="1"/>
        </w:numPr>
        <w:rPr/>
      </w:pPr>
      <w:bookmarkStart w:id="399" w:name="__RefHeading___Toc3597679_1067777946"/>
      <w:bookmarkStart w:id="400" w:name="_Toc160"/>
      <w:bookmarkEnd w:id="399"/>
      <w:r>
        <w:rPr>
          <w:rtl w:val="true"/>
        </w:rPr>
        <w:t>راههاى اثبات بلوغ به سن</w:t>
      </w:r>
      <w:bookmarkEnd w:id="400"/>
    </w:p>
    <w:p>
      <w:pPr>
        <w:pStyle w:val="BookText"/>
        <w:rPr/>
      </w:pPr>
      <w:r>
        <w:rPr>
          <w:rFonts w:ascii="IRNazanin" w:hAnsi="IRNazanin" w:eastAsia="IRNazanin"/>
          <w:color w:val="111111"/>
          <w:sz w:val="28"/>
          <w:sz w:val="28"/>
          <w:szCs w:val="28"/>
          <w:rtl w:val="true"/>
          <w:lang w:bidi="fa-IR"/>
        </w:rPr>
        <w:t xml:space="preserve">بلوغِ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از هر سببى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شياع مفيد علم يا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صبىّ يا صبيّه، تأمل است، اظهر عدم ثبوت بلوغ به سن يا غير آن است مگر در صورت افادۀ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قاطعيت اِخبار والدين استصحاب را در صورت عدم افادۀ اطمينان، خالى از وجه نيست</w:t>
      </w:r>
      <w:r>
        <w:rPr>
          <w:rFonts w:eastAsia="IRNazanin" w:cs="IRNazanin"/>
          <w:color w:val="111111"/>
          <w:sz w:val="28"/>
          <w:szCs w:val="28"/>
          <w:rtl w:val="true"/>
          <w:lang w:bidi="fa-IR"/>
        </w:rPr>
        <w:t>.</w:t>
      </w:r>
    </w:p>
    <w:p>
      <w:pPr>
        <w:pStyle w:val="Heading6"/>
        <w:numPr>
          <w:ilvl w:val="5"/>
          <w:numId w:val="1"/>
        </w:numPr>
        <w:rPr/>
      </w:pPr>
      <w:bookmarkStart w:id="401" w:name="__RefHeading___Toc3597681_1067777946"/>
      <w:bookmarkStart w:id="402" w:name="_Toc161"/>
      <w:bookmarkEnd w:id="401"/>
      <w:r>
        <w:rPr>
          <w:rtl w:val="true"/>
        </w:rPr>
        <w:t>راههاى اثبات بلوغ خنثىٰ‌</w:t>
      </w:r>
      <w:bookmarkEnd w:id="4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خنثاى مشكل اگر منى از هر دو فرج خارج بشود، حكم به بلوغ او به سبب احتلام مى شود؛ به خلاف خروج از خصوص يك فرج كه محتمل است زايد بودن آن و عدم خروج منى از معتاد او در تقديرى</w:t>
      </w:r>
      <w:r>
        <w:rPr>
          <w:rFonts w:eastAsia="IRNazanin" w:cs="IRNazanin"/>
          <w:color w:val="111111"/>
          <w:sz w:val="28"/>
          <w:szCs w:val="28"/>
          <w:rtl w:val="true"/>
          <w:lang w:bidi="fa-IR"/>
        </w:rPr>
        <w:t xml:space="preserve">. </w:t>
      </w:r>
      <w:bookmarkStart w:id="403" w:name="pg10256_89398"/>
    </w:p>
    <w:p>
      <w:pPr>
        <w:pStyle w:val="BookText"/>
        <w:rPr/>
      </w:pPr>
      <w:bookmarkEnd w:id="403"/>
      <w:r>
        <w:rPr>
          <w:rFonts w:ascii="IRNazanin" w:hAnsi="IRNazanin" w:eastAsia="IRNazanin"/>
          <w:color w:val="111111"/>
          <w:sz w:val="28"/>
          <w:sz w:val="28"/>
          <w:szCs w:val="28"/>
          <w:rtl w:val="true"/>
          <w:lang w:bidi="fa-IR"/>
        </w:rPr>
        <w:t>و هم چنين حكم به بلوغ مى شود به سبب خروج منى از فرج مرد و ديدن خون حيض از فرج انثىٰ‌، به جهت تحقق علامت بر تقدير مرد بودن در واقع يا زن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به سبب خروج منى از دو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معاً يا به نحو تعاقب، حكم به بلوغ مى شود بدون تعيين مبدء در صورت تعاقب و بدون تعيين مرد و 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خنثاى مشكل منى از فرج مرد و حيض از فرج زنها خارج شد، علم به بلوغ حاصل مى شود، چنانچه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تعيين و رفع اشكال به سبب آن است كه حيض ممكن نيست از مرد؛ پس علم به حيضيّت، مستلزم علم به زن بودن است، و علم به منى بودن، منافى با آن نيست، چون منى از هر دو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هم نه شرط علم است و نه منافى با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بعد از نه سال منى از فرج مردى خارج بشود كه اگر زن باشد به سن بالغه است و اگر مرد باشد به احتلام بالغ است در تقدير امكان امناى مرد و احتمال بلوغ مرد در اين سن</w:t>
      </w:r>
      <w:r>
        <w:rPr>
          <w:rFonts w:eastAsia="IRNazanin" w:cs="IRNazanin"/>
          <w:color w:val="111111"/>
          <w:sz w:val="28"/>
          <w:szCs w:val="28"/>
          <w:rtl w:val="true"/>
          <w:lang w:bidi="fa-IR"/>
        </w:rPr>
        <w:t>.</w:t>
      </w:r>
    </w:p>
    <w:p>
      <w:pPr>
        <w:pStyle w:val="Heading6"/>
        <w:numPr>
          <w:ilvl w:val="5"/>
          <w:numId w:val="1"/>
        </w:numPr>
        <w:rPr/>
      </w:pPr>
      <w:bookmarkStart w:id="404" w:name="__RefHeading___Toc3597683_1067777946"/>
      <w:bookmarkStart w:id="405" w:name="_Toc162"/>
      <w:bookmarkEnd w:id="404"/>
      <w:r>
        <w:rPr>
          <w:rtl w:val="true"/>
        </w:rPr>
        <w:t>تحقق بلوغ به اوصاف منى</w:t>
      </w:r>
      <w:bookmarkEnd w:id="405"/>
    </w:p>
    <w:p>
      <w:pPr>
        <w:pStyle w:val="BookText"/>
        <w:rPr/>
      </w:pPr>
      <w:r>
        <w:rPr>
          <w:rFonts w:ascii="IRNazanin" w:hAnsi="IRNazanin" w:eastAsia="IRNazanin"/>
          <w:color w:val="111111"/>
          <w:sz w:val="28"/>
          <w:sz w:val="28"/>
          <w:szCs w:val="28"/>
          <w:rtl w:val="true"/>
          <w:lang w:bidi="fa-IR"/>
        </w:rPr>
        <w:t>با علم به منى بودنِ خارج در اين مقام، اعتبارى به اوصاف منى نيست؛ پس با فاقد آنها، حكم به بلوغ مى شود با امكان و احتمال تكوّن و خروج آن منى كه لازم بلوغ است، يعنى لازم رجوليّت صبىّ است مثلاً، چنانچه مقتضاى فرض علم است؛ و اگر مجرّد اوصاف باشد، پس بنابر اعتبار آنها، در اين مقام، حكم به بلوغِ ممكنِ محتمل مى شود بر خلاف منسوب به مشهور، و حكم به تعيين، منوط به ضمايم خروج و خصوصيات آن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عدم علم و اطمينان آيا اعتبار به اوصاف است، مثل جنابت، يا نه به جهت عدم تنصيص و به جهت استصحاب‌؟ اقرب و انسب به تحديدات و توصيفات موضوعيّه در كلمات در اينجا و در جنابت، اتحاد موضوع است در هر دو مقام؛ پس با امكان و احتمال و وجود اوصاف، حكم به بلوغ مى شود، مثل جنابت</w:t>
      </w:r>
      <w:r>
        <w:rPr>
          <w:rFonts w:eastAsia="IRNazanin" w:cs="IRNazanin"/>
          <w:color w:val="111111"/>
          <w:sz w:val="28"/>
          <w:szCs w:val="28"/>
          <w:rtl w:val="true"/>
          <w:lang w:bidi="fa-IR"/>
        </w:rPr>
        <w:t xml:space="preserve">. </w:t>
      </w:r>
      <w:bookmarkStart w:id="406" w:name="pg10256_89399"/>
    </w:p>
    <w:p>
      <w:pPr>
        <w:pStyle w:val="Heading6"/>
        <w:numPr>
          <w:ilvl w:val="5"/>
          <w:numId w:val="1"/>
        </w:numPr>
        <w:rPr/>
      </w:pPr>
      <w:bookmarkStart w:id="407" w:name="__RefHeading___Toc3597685_1067777946"/>
      <w:bookmarkStart w:id="408" w:name="_Toc163"/>
      <w:bookmarkEnd w:id="406"/>
      <w:bookmarkEnd w:id="407"/>
      <w:r>
        <w:rPr>
          <w:rtl w:val="true"/>
        </w:rPr>
        <w:t>يقين به حركت و حبس از خروج، امارۀ بلوغ</w:t>
      </w:r>
      <w:bookmarkEnd w:id="408"/>
    </w:p>
    <w:p>
      <w:pPr>
        <w:pStyle w:val="BookText"/>
        <w:rPr/>
      </w:pPr>
      <w:r>
        <w:rPr>
          <w:rFonts w:ascii="IRNazanin" w:hAnsi="IRNazanin" w:eastAsia="IRNazanin"/>
          <w:color w:val="111111"/>
          <w:sz w:val="28"/>
          <w:sz w:val="28"/>
          <w:szCs w:val="28"/>
          <w:rtl w:val="true"/>
          <w:lang w:bidi="fa-IR"/>
        </w:rPr>
        <w:t xml:space="preserve">اگر يقين به حركت منى تا نزديك خروج از موضع معتاد كرد و لكن به واسطۀ مانع، حبس از خروج شد،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معرضيّت و كفايت آن در اماريّت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بلوغ است اگر چه غسل جنابت واجب نيست مگر بعد از خروج؛ و اعتبار در اينجا به رجوليّت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مكشوفه به نحو يقين به هر كاشفى است</w:t>
      </w:r>
      <w:r>
        <w:rPr>
          <w:rFonts w:eastAsia="IRNazanin" w:cs="IRNazanin"/>
          <w:color w:val="111111"/>
          <w:sz w:val="28"/>
          <w:szCs w:val="28"/>
          <w:rtl w:val="true"/>
          <w:lang w:bidi="fa-IR"/>
        </w:rPr>
        <w:t>.</w:t>
      </w:r>
    </w:p>
    <w:p>
      <w:pPr>
        <w:pStyle w:val="Heading6"/>
        <w:numPr>
          <w:ilvl w:val="5"/>
          <w:numId w:val="1"/>
        </w:numPr>
        <w:rPr/>
      </w:pPr>
      <w:bookmarkStart w:id="409" w:name="__RefHeading___Toc3597687_1067777946"/>
      <w:bookmarkStart w:id="410" w:name="_Toc164"/>
      <w:bookmarkEnd w:id="409"/>
      <w:r>
        <w:rPr>
          <w:rtl w:val="true"/>
        </w:rPr>
        <w:t>نحوۀ قبول دعواى بلوغ به سبب احتلام</w:t>
      </w:r>
      <w:bookmarkEnd w:id="410"/>
    </w:p>
    <w:p>
      <w:pPr>
        <w:pStyle w:val="BookText"/>
        <w:rPr/>
      </w:pPr>
      <w:r>
        <w:rPr>
          <w:rFonts w:ascii="IRNazanin" w:hAnsi="IRNazanin" w:eastAsia="IRNazanin"/>
          <w:color w:val="111111"/>
          <w:sz w:val="28"/>
          <w:sz w:val="28"/>
          <w:szCs w:val="28"/>
          <w:rtl w:val="true"/>
          <w:lang w:bidi="fa-IR"/>
        </w:rPr>
        <w:t xml:space="preserve">قبول دعواى بلوغ به سبب احتلام بدون بيّنه و يمين، خالى از وجه نيست، چنانچه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چنين به اخبار عدلين؛ و هم چنين به استفاده علم يا اطمينان قريب به آن محكوم مى شود به بلوغ</w:t>
      </w:r>
      <w:r>
        <w:rPr>
          <w:rFonts w:eastAsia="IRNazanin" w:cs="IRNazanin"/>
          <w:color w:val="111111"/>
          <w:sz w:val="28"/>
          <w:szCs w:val="28"/>
          <w:rtl w:val="true"/>
          <w:lang w:bidi="fa-IR"/>
        </w:rPr>
        <w:t>.</w:t>
      </w:r>
    </w:p>
    <w:p>
      <w:pPr>
        <w:pStyle w:val="Heading6"/>
        <w:numPr>
          <w:ilvl w:val="5"/>
          <w:numId w:val="1"/>
        </w:numPr>
        <w:rPr/>
      </w:pPr>
      <w:bookmarkStart w:id="411" w:name="__RefHeading___Toc3597689_1067777946"/>
      <w:bookmarkStart w:id="412" w:name="_Toc165"/>
      <w:bookmarkEnd w:id="411"/>
      <w:r>
        <w:rPr>
          <w:rtl w:val="true"/>
        </w:rPr>
        <w:t>نحوۀ اماريّت حيض و حمل</w:t>
      </w:r>
      <w:bookmarkEnd w:id="412"/>
    </w:p>
    <w:p>
      <w:pPr>
        <w:pStyle w:val="BookText"/>
        <w:rPr/>
      </w:pPr>
      <w:r>
        <w:rPr>
          <w:rFonts w:ascii="IRNazanin" w:hAnsi="IRNazanin" w:eastAsia="IRNazanin"/>
          <w:color w:val="111111"/>
          <w:sz w:val="28"/>
          <w:sz w:val="28"/>
          <w:szCs w:val="28"/>
          <w:rtl w:val="true"/>
          <w:lang w:bidi="fa-IR"/>
        </w:rPr>
        <w:t>و اما حيض و حمل در زنها، پس كاشفيّت آنها از اعم از سبق بلوغ، محقّق است در زنهايى كه سن ايشان مجهول باشد، لكن تماميّت اين بيان منافى است با آنكه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قبل از تسع، محكوم به حيضيّت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بايد محمول بر مجهول الحيضيّه باشد، و بر اماريّت عدم بلوغ تسع بر عدم حيضيّت مثل كمتر از تمام سه روز كما هو الغالب، يا بر عدم احكام بر دَم قبل از تسع و لو علم به حيض بودن باشد حتى احكام بلوغ و آن مشكل است مگر آنكه اجماعى باشد</w:t>
      </w:r>
      <w:r>
        <w:rPr>
          <w:rFonts w:eastAsia="IRNazanin" w:cs="IRNazanin"/>
          <w:color w:val="111111"/>
          <w:sz w:val="28"/>
          <w:szCs w:val="28"/>
          <w:rtl w:val="true"/>
          <w:lang w:bidi="fa-IR"/>
        </w:rPr>
        <w:t>.</w:t>
      </w:r>
    </w:p>
    <w:p>
      <w:pPr>
        <w:pStyle w:val="Heading6"/>
        <w:numPr>
          <w:ilvl w:val="5"/>
          <w:numId w:val="1"/>
        </w:numPr>
        <w:rPr/>
      </w:pPr>
      <w:bookmarkStart w:id="413" w:name="__RefHeading___Toc3597691_1067777946"/>
      <w:bookmarkStart w:id="414" w:name="_Toc166"/>
      <w:bookmarkEnd w:id="413"/>
      <w:r>
        <w:rPr>
          <w:rtl w:val="true"/>
        </w:rPr>
        <w:t>اماريّت خروج معلوم المنويّة</w:t>
      </w:r>
      <w:bookmarkEnd w:id="4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المنويّه خروج آن، امارۀ قطعيّه بلوغ است در مرد و زن بنابر آنچه گذشت كه تكوّن منى در مرد و زن است نه در اطفال؛ پس تقيد به سنِ مخصوص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خروج از موضع معتاد شرط نيست و همين قدر در فرض خنثاى مشكل كافى است؛ پس اگر با خصوصياتى معلوم شود كه منى، مضاف به مرد يا زن است، از اشكال خارج مى شود و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bookmarkStart w:id="415" w:name="pg10256_89400"/>
    </w:p>
    <w:p>
      <w:pPr>
        <w:pStyle w:val="BookText"/>
        <w:rPr/>
      </w:pPr>
      <w:bookmarkEnd w:id="415"/>
      <w:r>
        <w:rPr>
          <w:rFonts w:ascii="Amiri" w:hAnsi="Amiri" w:eastAsia="Amiri" w:cs="Amiri"/>
          <w:color w:val="111111"/>
          <w:sz w:val="28"/>
          <w:sz w:val="28"/>
          <w:szCs w:val="28"/>
          <w:rtl w:val="true"/>
          <w:lang w:bidi="ar-SA"/>
        </w:rPr>
        <w:t>معلوم الحيضيّه به او بلوغ و تعيين معلوم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ذكر شده است از استحالۀ خروج منى مرد از كمتر از ده سال، پس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مدّعىِ بلوغ در سن نه سالگى با بعض امارات صدق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تقدير، محل كلام، فرض تحقق علم به منى بودن است در خارج از معلوم السن يا مجهول آن</w:t>
      </w:r>
      <w:r>
        <w:rPr>
          <w:rFonts w:eastAsia="IRNazanin" w:cs="IRNazanin"/>
          <w:color w:val="111111"/>
          <w:sz w:val="28"/>
          <w:szCs w:val="28"/>
          <w:rtl w:val="true"/>
          <w:lang w:bidi="fa-IR"/>
        </w:rPr>
        <w:t>.</w:t>
      </w:r>
    </w:p>
    <w:p>
      <w:pPr>
        <w:pStyle w:val="Heading6"/>
        <w:numPr>
          <w:ilvl w:val="5"/>
          <w:numId w:val="1"/>
        </w:numPr>
        <w:rPr/>
      </w:pPr>
      <w:bookmarkStart w:id="416" w:name="__RefHeading___Toc3597693_1067777946"/>
      <w:bookmarkStart w:id="417" w:name="_Toc167"/>
      <w:bookmarkEnd w:id="416"/>
      <w:r>
        <w:rPr>
          <w:rtl w:val="true"/>
        </w:rPr>
        <w:t>فرعى ديگر دربارۀ اماريّت حمل</w:t>
      </w:r>
      <w:bookmarkEnd w:id="417"/>
    </w:p>
    <w:p>
      <w:pPr>
        <w:pStyle w:val="BookText"/>
        <w:rPr/>
      </w:pPr>
      <w:r>
        <w:rPr>
          <w:rFonts w:ascii="IRNazanin" w:hAnsi="IRNazanin" w:eastAsia="IRNazanin"/>
          <w:color w:val="111111"/>
          <w:sz w:val="28"/>
          <w:sz w:val="28"/>
          <w:szCs w:val="28"/>
          <w:rtl w:val="true"/>
          <w:lang w:bidi="fa-IR"/>
        </w:rPr>
        <w:t xml:space="preserve">و اما اماريت حمل بر اعم از سبق بلوغ، پس به اعتبار لزومش براى اختلاط ماءين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انعقاد حمل مى شود و كشف تكوّن منى در زن از بلوغ او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حمل معلوم، حكم بلوغ ثابت است اگر چه علم متأخر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حمل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مناط نيست؛ بلكه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از شش ماه كمتر نيست، قبل از وضع او، كشف ولادت از بلوغ، قبل از شش ماه است، و در ساير صور منوط به علم است ثبوت حكم از زمان معلوم</w:t>
      </w:r>
      <w:r>
        <w:rPr>
          <w:rFonts w:eastAsia="IRNazanin" w:cs="IRNazanin"/>
          <w:color w:val="111111"/>
          <w:sz w:val="28"/>
          <w:szCs w:val="28"/>
          <w:rtl w:val="true"/>
          <w:lang w:bidi="fa-IR"/>
        </w:rPr>
        <w:t>.</w:t>
      </w:r>
    </w:p>
    <w:p>
      <w:pPr>
        <w:pStyle w:val="Heading5"/>
        <w:numPr>
          <w:ilvl w:val="4"/>
          <w:numId w:val="1"/>
        </w:numPr>
        <w:rPr/>
      </w:pPr>
      <w:bookmarkStart w:id="418" w:name="__RefHeading___Toc3597695_1067777946"/>
      <w:bookmarkStart w:id="419" w:name="_Toc168"/>
      <w:bookmarkEnd w:id="418"/>
      <w:r>
        <w:rPr>
          <w:rtl w:val="true"/>
        </w:rPr>
        <w:t>رشد</w:t>
      </w:r>
      <w:bookmarkEnd w:id="419"/>
    </w:p>
    <w:p>
      <w:pPr>
        <w:pStyle w:val="Heading6"/>
        <w:numPr>
          <w:ilvl w:val="5"/>
          <w:numId w:val="1"/>
        </w:numPr>
        <w:rPr/>
      </w:pPr>
      <w:bookmarkStart w:id="420" w:name="__RefHeading___Toc3597697_1067777946"/>
      <w:bookmarkStart w:id="421" w:name="_Toc169"/>
      <w:bookmarkEnd w:id="420"/>
      <w:r>
        <w:rPr>
          <w:rtl w:val="true"/>
        </w:rPr>
        <w:t>معنى رشد</w:t>
      </w:r>
      <w:bookmarkEnd w:id="421"/>
    </w:p>
    <w:p>
      <w:pPr>
        <w:pStyle w:val="BookText"/>
        <w:rPr/>
      </w:pPr>
      <w:r>
        <w:rPr>
          <w:rFonts w:ascii="IRNazanin" w:hAnsi="IRNazanin" w:eastAsia="IRNazanin"/>
          <w:color w:val="111111"/>
          <w:sz w:val="28"/>
          <w:sz w:val="28"/>
          <w:szCs w:val="28"/>
          <w:rtl w:val="true"/>
          <w:lang w:bidi="fa-IR"/>
        </w:rPr>
        <w:t xml:space="preserve">از جمله شروطِ رفع حجر بر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خلاف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اين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خاصه و ضلالت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رشد مالى است كه در تدبير مال و اصلاح آن، عقل او كمتر از متعارف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اين مطلب ملكه باشد، پس مخالفت نادرۀ ناشئه از غفلت يا اشتباه، ضرر به رشد ندارد مگر در خصوص 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صبىِ بالغ، مستصحب العدم است، لذا تصريح به اعتبار آن شده تا بغير علم و نحو آن، تضييع مال به دفع به او اگر چه مطالبه نمايد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معتبر نيست در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ضرر ندارد به آن مگر فسق خاصى كه منافى با ملكه بودن اصلاح مال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دو وصف بلوغ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نشوند، حجر باقى است اگر چه كبير السن بشود</w:t>
      </w:r>
      <w:r>
        <w:rPr>
          <w:rFonts w:eastAsia="IRNazanin" w:cs="IRNazanin"/>
          <w:color w:val="111111"/>
          <w:sz w:val="28"/>
          <w:szCs w:val="28"/>
          <w:rtl w:val="true"/>
          <w:lang w:bidi="fa-IR"/>
        </w:rPr>
        <w:t xml:space="preserve">. </w:t>
      </w:r>
      <w:bookmarkStart w:id="422" w:name="pg10256_89401"/>
    </w:p>
    <w:p>
      <w:pPr>
        <w:pStyle w:val="Heading6"/>
        <w:numPr>
          <w:ilvl w:val="5"/>
          <w:numId w:val="1"/>
        </w:numPr>
        <w:rPr/>
      </w:pPr>
      <w:bookmarkStart w:id="423" w:name="__RefHeading___Toc3597699_1067777946"/>
      <w:bookmarkStart w:id="424" w:name="_Toc170"/>
      <w:bookmarkEnd w:id="422"/>
      <w:bookmarkEnd w:id="423"/>
      <w:r>
        <w:rPr>
          <w:rtl w:val="true"/>
        </w:rPr>
        <w:t>نحوۀ اثبات رشد</w:t>
      </w:r>
      <w:bookmarkEnd w:id="424"/>
    </w:p>
    <w:p>
      <w:pPr>
        <w:pStyle w:val="BookText"/>
        <w:rPr/>
      </w:pPr>
      <w:r>
        <w:rPr>
          <w:rFonts w:ascii="IRNazanin" w:hAnsi="IRNazanin" w:eastAsia="IRNazanin"/>
          <w:color w:val="111111"/>
          <w:sz w:val="28"/>
          <w:sz w:val="28"/>
          <w:szCs w:val="28"/>
          <w:rtl w:val="true"/>
          <w:lang w:bidi="fa-IR"/>
        </w:rPr>
        <w:t>از آنچه مذكور شد در تعريف رشد، معلوم مى شود معرفت رشد در مقام اثبات، به طريق علم حاصل از اختبار مناسب در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مى شود در صورت عدم علم به وجود يا عدم، به شهادت رجال در مردها و در زنها، و به شهادت زنها يا مردها يا ملفّق از آن دو در باره رشد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خنثاى مشكل در اين احكام، به حكم مرد است بنابر احوط در مشهودٌ له، و به عكس در شاهد، به منزلۀ زن است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نيست در اعتبار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 و حكم حاكم به آن بنا بر اظهر، چنانچه لازم نيست در صورت علم و استبانه و حصول ظن اطمينانى به رشد</w:t>
      </w:r>
      <w:r>
        <w:rPr>
          <w:rFonts w:eastAsia="IRNazanin" w:cs="IRNazanin"/>
          <w:color w:val="111111"/>
          <w:sz w:val="28"/>
          <w:szCs w:val="28"/>
          <w:rtl w:val="true"/>
          <w:lang w:bidi="fa-IR"/>
        </w:rPr>
        <w:t>.</w:t>
      </w:r>
    </w:p>
    <w:p>
      <w:pPr>
        <w:pStyle w:val="Heading4"/>
        <w:numPr>
          <w:ilvl w:val="3"/>
          <w:numId w:val="1"/>
        </w:numPr>
        <w:rPr/>
      </w:pPr>
      <w:bookmarkStart w:id="425" w:name="__RefHeading___Toc3597701_1067777946"/>
      <w:bookmarkStart w:id="426" w:name="_Toc171"/>
      <w:bookmarkEnd w:id="425"/>
      <w:r>
        <w:rPr/>
        <w:t>2</w:t>
      </w:r>
      <w:r>
        <w:rPr>
          <w:rtl w:val="true"/>
        </w:rPr>
        <w:t xml:space="preserve">. </w:t>
      </w:r>
      <w:r>
        <w:rPr>
          <w:rtl w:val="true"/>
        </w:rPr>
        <w:t>محجوريّت سفيه</w:t>
      </w:r>
      <w:bookmarkEnd w:id="426"/>
    </w:p>
    <w:p>
      <w:pPr>
        <w:pStyle w:val="Heading5"/>
        <w:numPr>
          <w:ilvl w:val="4"/>
          <w:numId w:val="1"/>
        </w:numPr>
        <w:rPr/>
      </w:pPr>
      <w:bookmarkStart w:id="427" w:name="__RefHeading___Toc3597703_1067777946"/>
      <w:bookmarkStart w:id="428" w:name="_Toc172"/>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و در صورت عدم رشد، ممنوع است وضعاً از تصرفات ماليّه؛ و نافذ نيست عقود و معاوضات و هبه و استيهاب و اقرار به عين يا دين او، چه مرد باشد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نكاح زن است كه معاوضه بُضع با مهر است، و نكاح مرد كه تمليك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مناسب با معامله عقلاء، قابل نفوذ با اجازۀ ولىّ است نه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ضرورت به نكاح در مرد سفيه و يا زن سفيهه و عدم حضور ولى يا مخالفت او و تعذّر وصول به حق در مورد احتياج، محتمل است صحّت نكاح به مهر المثل و وجود ساير شروط و فقد ساير موانع،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با امكان، تاخير تا زمان امكان مراجعه به حاكم است</w:t>
      </w:r>
      <w:r>
        <w:rPr>
          <w:rFonts w:eastAsia="IRNazanin" w:cs="IRNazanin"/>
          <w:color w:val="111111"/>
          <w:sz w:val="28"/>
          <w:szCs w:val="28"/>
          <w:rtl w:val="true"/>
          <w:lang w:bidi="fa-IR"/>
        </w:rPr>
        <w:t>.</w:t>
      </w:r>
    </w:p>
    <w:p>
      <w:pPr>
        <w:pStyle w:val="Heading5"/>
        <w:numPr>
          <w:ilvl w:val="4"/>
          <w:numId w:val="1"/>
        </w:numPr>
        <w:rPr/>
      </w:pPr>
      <w:bookmarkStart w:id="429" w:name="__RefHeading___Toc3597705_1067777946"/>
      <w:bookmarkStart w:id="430" w:name="_Toc173"/>
      <w:bookmarkEnd w:id="429"/>
      <w:r>
        <w:rPr>
          <w:rtl w:val="true"/>
        </w:rPr>
        <w:t>صحّت تصرفات غير ماليّه از سفيه</w:t>
      </w:r>
      <w:bookmarkEnd w:id="4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تصرفات معامليّۀ غير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طلاق و ظهار، و خلع در حيثيت طلاق بودن آن، و اقرار به نسب و به موجب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سفيه صحيح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اقرار به نسب اگر </w:t>
      </w:r>
      <w:bookmarkStart w:id="431" w:name="pg10256_89402"/>
    </w:p>
    <w:p>
      <w:pPr>
        <w:pStyle w:val="BookText"/>
        <w:rPr/>
      </w:pPr>
      <w:bookmarkEnd w:id="431"/>
      <w:r>
        <w:rPr>
          <w:rFonts w:ascii="Amiri" w:hAnsi="Amiri" w:eastAsia="Amiri" w:cs="Amiri"/>
          <w:color w:val="111111"/>
          <w:sz w:val="28"/>
          <w:sz w:val="28"/>
          <w:szCs w:val="28"/>
          <w:rtl w:val="true"/>
          <w:lang w:bidi="ar-SA"/>
        </w:rPr>
        <w:t>متضمن انفاق باشد، در نفوذ آن در اين لازم، تأمل است در انفاق از مال او يا از بيت المال، و احوط دوّم است با اذن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تقدير صحّت خلع حتى در عوض و حدّ آن، تسليم به خالعِ سفيه در صورت مال بودن آن نمى شود</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597707_1067777946"/>
      <w:bookmarkStart w:id="433" w:name="_Toc174"/>
      <w:bookmarkEnd w:id="432"/>
      <w:r>
        <w:rPr>
          <w:rtl w:val="true"/>
        </w:rPr>
        <w:t>صحّت عقود سفيه و وكالت وى با اذن ولى</w:t>
      </w:r>
      <w:bookmarkEnd w:id="433"/>
    </w:p>
    <w:p>
      <w:pPr>
        <w:pStyle w:val="BookText"/>
        <w:rPr/>
      </w:pPr>
      <w:r>
        <w:rPr>
          <w:rFonts w:ascii="IRNazanin" w:hAnsi="IRNazanin" w:eastAsia="IRNazanin"/>
          <w:color w:val="111111"/>
          <w:sz w:val="28"/>
          <w:sz w:val="28"/>
          <w:szCs w:val="28"/>
          <w:rtl w:val="true"/>
          <w:lang w:bidi="fa-IR"/>
        </w:rPr>
        <w:t>و چون سفيه در غير ماليات عاقل و رشيد است، مسلوب العباره نيست و عقود او با اذن ولى قابل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وكالت او براى اجنبى در بيع و هبه و امثال آنها و عمل بر طبق وكالت، جايز است غير اعطا و اخذ عوضين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 اذن و اجازه ولى در بيوع و هبات و انكحه براى خودش جايز است و صحيح است، غير آنچه ذكر شد از دفع اموال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ملحوظۀ در اذن ولى، رعايت مى شود و تعدّى از آنها نمى شود از حيث زوج و زوجه و مقدار مهر مثلاً، با محمول بودن اذن ولى خاص بر صحّت، و عدم علم به عدم فساد اذن او و عدم اهليت او، و عدم وصول نوبت به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اذن او است</w:t>
      </w:r>
      <w:r>
        <w:rPr>
          <w:rFonts w:eastAsia="IRNazanin" w:cs="IRNazanin"/>
          <w:color w:val="111111"/>
          <w:sz w:val="28"/>
          <w:szCs w:val="28"/>
          <w:rtl w:val="true"/>
          <w:lang w:bidi="fa-IR"/>
        </w:rPr>
        <w:t>.</w:t>
      </w:r>
    </w:p>
    <w:p>
      <w:pPr>
        <w:pStyle w:val="Heading4"/>
        <w:numPr>
          <w:ilvl w:val="3"/>
          <w:numId w:val="1"/>
        </w:numPr>
        <w:rPr/>
      </w:pPr>
      <w:bookmarkStart w:id="434" w:name="__RefHeading___Toc3597709_1067777946"/>
      <w:bookmarkStart w:id="435" w:name="_Toc175"/>
      <w:bookmarkEnd w:id="434"/>
      <w:r>
        <w:rPr/>
        <w:t>3</w:t>
      </w:r>
      <w:r>
        <w:rPr>
          <w:rtl w:val="true"/>
        </w:rPr>
        <w:t xml:space="preserve">. </w:t>
      </w:r>
      <w:r>
        <w:rPr>
          <w:rtl w:val="true"/>
        </w:rPr>
        <w:t>محجوريّت مملوك</w:t>
      </w:r>
      <w:bookmarkEnd w:id="435"/>
    </w:p>
    <w:p>
      <w:pPr>
        <w:pStyle w:val="BookText"/>
        <w:rPr/>
      </w:pPr>
      <w:r>
        <w:rPr>
          <w:rFonts w:ascii="IRNazanin" w:hAnsi="IRNazanin" w:eastAsia="IRNazanin"/>
          <w:color w:val="111111"/>
          <w:sz w:val="28"/>
          <w:sz w:val="28"/>
          <w:szCs w:val="28"/>
          <w:rtl w:val="true"/>
          <w:lang w:bidi="fa-IR"/>
        </w:rPr>
        <w:t>تصرفات معامليّه مملوك، نافذ نيست مگر با اذن يا اجازه مالك، چنانچه مفصلاً در كتاب قرض مذكور است</w:t>
      </w:r>
      <w:r>
        <w:rPr>
          <w:rFonts w:eastAsia="IRNazanin" w:cs="IRNazanin"/>
          <w:color w:val="111111"/>
          <w:sz w:val="28"/>
          <w:szCs w:val="28"/>
          <w:rtl w:val="true"/>
          <w:lang w:bidi="fa-IR"/>
        </w:rPr>
        <w:t>.</w:t>
      </w:r>
    </w:p>
    <w:p>
      <w:pPr>
        <w:pStyle w:val="Heading4"/>
        <w:numPr>
          <w:ilvl w:val="3"/>
          <w:numId w:val="1"/>
        </w:numPr>
        <w:rPr/>
      </w:pPr>
      <w:bookmarkStart w:id="436" w:name="__RefHeading___Toc3597711_1067777946"/>
      <w:bookmarkStart w:id="437" w:name="_Toc176"/>
      <w:bookmarkEnd w:id="436"/>
      <w:r>
        <w:rPr/>
        <w:t>4</w:t>
      </w:r>
      <w:r>
        <w:rPr>
          <w:rtl w:val="true"/>
        </w:rPr>
        <w:t xml:space="preserve">. </w:t>
      </w:r>
      <w:r>
        <w:rPr>
          <w:rtl w:val="true"/>
        </w:rPr>
        <w:t>محجوريّت مريض</w:t>
      </w:r>
      <w:bookmarkEnd w:id="437"/>
    </w:p>
    <w:p>
      <w:pPr>
        <w:pStyle w:val="Heading5"/>
        <w:numPr>
          <w:ilvl w:val="4"/>
          <w:numId w:val="1"/>
        </w:numPr>
        <w:rPr/>
      </w:pPr>
      <w:bookmarkStart w:id="438" w:name="__RefHeading___Toc3597713_1067777946"/>
      <w:bookmarkStart w:id="439" w:name="_Toc177"/>
      <w:bookmarkEnd w:id="438"/>
      <w:r>
        <w:rPr>
          <w:rtl w:val="true"/>
        </w:rPr>
        <w:t>منع وضعى در مريض از وصيت به اكثر از ثلث</w:t>
      </w:r>
      <w:bookmarkEnd w:id="4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مريض ممنوع است وضعاً از وصيت به زايد از مقدار ثلث، و نافذ نيست وصيت موصى در زايد از ثلث مگر با اجازه ورثه، و نافذ است در مقدار ثلث و احتياج به </w:t>
      </w:r>
      <w:bookmarkStart w:id="440" w:name="pg10256_89403"/>
    </w:p>
    <w:p>
      <w:pPr>
        <w:pStyle w:val="BookText"/>
        <w:rPr/>
      </w:pPr>
      <w:bookmarkEnd w:id="440"/>
      <w:r>
        <w:rPr>
          <w:rFonts w:ascii="Amiri" w:hAnsi="Amiri" w:eastAsia="Amiri" w:cs="Amiri"/>
          <w:color w:val="111111"/>
          <w:sz w:val="28"/>
          <w:sz w:val="28"/>
          <w:szCs w:val="28"/>
          <w:rtl w:val="true"/>
          <w:lang w:bidi="ar-SA"/>
        </w:rPr>
        <w:t>اجازۀ ورثه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اجازه ورثه قبل از موت موصى در زايد از ثلث، خلاف است، اقرب كفايت آن است در تماميّت وصيت، و اينكه رد بعد از موت در فرض، بى اثر است، مثل رد بعد از اجازۀ بعد از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بعضى از ورثه اجازه دادند، نافذ مى شود در خصوص حصۀ آن بعض در مقدار زايد از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وصيت در زايد بر ثلث از صبىّ و مجنون در حال اجازه، بى اثر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مفلّس در حال حيات موصى، محل تأمل است، و هم چنين بعد از وفات موصى؛ و اظهر عدم نفوذ آن است مطلقا؛ زيرا استحقاق فعلى، مسبوق به استحقاق غرماء است، پس حق اجازه و ساير تصرفات وضعيّه را ندارد، و استحقاق تقديرى در حال حيات تابع فعلىِ مفروض العدم است</w:t>
      </w:r>
      <w:r>
        <w:rPr>
          <w:rFonts w:eastAsia="IRNazanin" w:cs="IRNazanin"/>
          <w:color w:val="111111"/>
          <w:sz w:val="28"/>
          <w:szCs w:val="28"/>
          <w:rtl w:val="true"/>
          <w:lang w:bidi="fa-IR"/>
        </w:rPr>
        <w:t>.</w:t>
      </w:r>
    </w:p>
    <w:p>
      <w:pPr>
        <w:pStyle w:val="Heading5"/>
        <w:numPr>
          <w:ilvl w:val="4"/>
          <w:numId w:val="1"/>
        </w:numPr>
        <w:rPr/>
      </w:pPr>
      <w:bookmarkStart w:id="441" w:name="__RefHeading___Toc3597715_1067777946"/>
      <w:bookmarkStart w:id="442" w:name="_Toc178"/>
      <w:bookmarkEnd w:id="441"/>
      <w:r>
        <w:rPr>
          <w:rtl w:val="true"/>
        </w:rPr>
        <w:t>منجّزات مريض</w:t>
      </w:r>
      <w:bookmarkEnd w:id="442"/>
    </w:p>
    <w:p>
      <w:pPr>
        <w:pStyle w:val="Heading6"/>
        <w:numPr>
          <w:ilvl w:val="5"/>
          <w:numId w:val="1"/>
        </w:numPr>
        <w:rPr/>
      </w:pPr>
      <w:bookmarkStart w:id="443" w:name="__RefHeading___Toc3597717_1067777946"/>
      <w:bookmarkStart w:id="444" w:name="_Toc179"/>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 xml:space="preserve">و منجّزات مريض در مرض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تصرفات معامليّۀ غير معلّقه بر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نفوذ آنها از اصل يا از ثلث خلاف است؛ و اكثر متقدّمين بر خلاف اكثر از متأخرين، بر نفوذ از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597719_1067777946"/>
      <w:bookmarkStart w:id="446" w:name="_Toc180"/>
      <w:bookmarkEnd w:id="445"/>
      <w:r>
        <w:rPr>
          <w:rtl w:val="true"/>
        </w:rPr>
        <w:t>دلاليل مرجّح نفوذ منجّزات از اصل</w:t>
      </w:r>
      <w:bookmarkEnd w:id="4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قول اقرب است به جهت قبول تأويل در روايات ثلث به حمل به وصيت و تدبير كه غالب در آن حال انجام عملى براى بعد از موت است؛ و صراحت بعض معتبرات از رواياتِ اصل، در تفصيل بين وصيت و تنجيز؛ و رجحان شهرت قدماييّه بر متأخره، و بر تقدير تساوى فرضاً و وصول به مرجّحات ديگر، مخالفت قول قدما و بطانۀ مذهب با قول عامۀ عامه و موافقت آن با عمومات كتاب و سنّت، و لزوم وضوح حكم در صورت واقعيت مشهور بين متأخرين، به خلاف قول مشهور بين متقدّمين؛ و ضعف دلالت در بسيارى از روايات قول متأخرين، مثل آنچه در حسنۀ </w:t>
      </w:r>
      <w:bookmarkStart w:id="447" w:name="pg10256_89404"/>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بدء به جواز عتق با تأخر آن از وصيت به اكثر از ثلث، بدون تقييد و مقابلۀ آن به وصيت مردودۀ به ثلث كه دالّ بر نفوذ عتق از 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آن است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ابى بصير كه علامت اراده وصيت از 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حمل بر همين محمل است، آنچه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تقديم عتق بر وصيت و اكثريت مجموع از ثلث كه نقصان در بقيّه است، نه نقصان در وصيت است، زيرا همه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از مرجحات دلالتى است قبل از وصول نوبت به مرجّحات صدوريّه يا 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حمل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حمل عتق بر وصيت است؛ پس بعضى از روايات مذكوره در ادلۀ ثلث، محمول بر وصيت و تدبير است و بعضى بر تنجيز و عدم خروج از ثلث است</w:t>
      </w:r>
      <w:r>
        <w:rPr>
          <w:rFonts w:eastAsia="IRNazanin" w:cs="IRNazanin"/>
          <w:color w:val="111111"/>
          <w:sz w:val="28"/>
          <w:szCs w:val="28"/>
          <w:rtl w:val="true"/>
          <w:lang w:bidi="fa-IR"/>
        </w:rPr>
        <w:t>.</w:t>
      </w:r>
    </w:p>
    <w:p>
      <w:pPr>
        <w:pStyle w:val="Heading6"/>
        <w:numPr>
          <w:ilvl w:val="5"/>
          <w:numId w:val="1"/>
        </w:numPr>
        <w:rPr/>
      </w:pPr>
      <w:bookmarkStart w:id="448" w:name="__RefHeading___Toc3597721_1067777946"/>
      <w:bookmarkStart w:id="449" w:name="_Toc181"/>
      <w:bookmarkEnd w:id="448"/>
      <w:r>
        <w:rPr>
          <w:rtl w:val="true"/>
        </w:rPr>
        <w:t>ردّ دلايل نفوذ منجّزات از ثلث</w:t>
      </w:r>
      <w:bookmarkEnd w:id="449"/>
    </w:p>
    <w:p>
      <w:pPr>
        <w:pStyle w:val="BookText"/>
        <w:rPr/>
      </w:pPr>
      <w:r>
        <w:rPr>
          <w:rFonts w:ascii="IRNazanin" w:hAnsi="IRNazanin" w:eastAsia="IRNazanin"/>
          <w:color w:val="111111"/>
          <w:sz w:val="28"/>
          <w:sz w:val="28"/>
          <w:szCs w:val="28"/>
          <w:rtl w:val="true"/>
          <w:lang w:bidi="fa-IR"/>
        </w:rPr>
        <w:t>و خفاى امر در بسيارى از موارد يعنى سبب بودن مرض خاص و عدم آن، و آن مستلزم اختلاف و تنازع بين طرف و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احتياج به مراجعه به اهل خبره، مستبعد در امور مطرده است؛ بلى از قراين اگر معلوم شد ارادۀ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عمل در آن وقت براى ما بعد موت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مؤكّد است نه لازم، و محمول بر وصيت است مگر با قرينه بر تنجيز در زمان مقدم بر موت، و على اىٍّ با قرينۀ حاليّه بر اراده وصيت، از ثلث است مثل مقاليّه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صحّت، روايت موثقۀ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ابانه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ابانه ندارد مگر حمل شود بر تجاوز از حيات، يعنى وصيت؛ و اينكه موثق رابع و خامس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مغاير است در ظاهر آن دو، موافق با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صحّت اين نقل است يا شارح است، چنانچه ذكر شد</w:t>
      </w:r>
      <w:r>
        <w:rPr>
          <w:rFonts w:eastAsia="IRNazanin" w:cs="IRNazanin"/>
          <w:color w:val="111111"/>
          <w:sz w:val="28"/>
          <w:szCs w:val="28"/>
          <w:rtl w:val="true"/>
          <w:lang w:bidi="fa-IR"/>
        </w:rPr>
        <w:t xml:space="preserve">. </w:t>
      </w:r>
      <w:bookmarkStart w:id="450" w:name="pg10256_89405"/>
    </w:p>
    <w:p>
      <w:pPr>
        <w:pStyle w:val="Heading6"/>
        <w:numPr>
          <w:ilvl w:val="5"/>
          <w:numId w:val="1"/>
        </w:numPr>
        <w:rPr/>
      </w:pPr>
      <w:bookmarkStart w:id="451" w:name="__RefHeading___Toc3597723_1067777946"/>
      <w:bookmarkStart w:id="452" w:name="_Toc182"/>
      <w:bookmarkEnd w:id="450"/>
      <w:bookmarkEnd w:id="451"/>
      <w:r>
        <w:rPr>
          <w:rtl w:val="true"/>
        </w:rPr>
        <w:t>حكم عقد و ايقاع مريض</w:t>
      </w:r>
      <w:bookmarkEnd w:id="452"/>
    </w:p>
    <w:p>
      <w:pPr>
        <w:pStyle w:val="BookText"/>
        <w:rPr/>
      </w:pPr>
      <w:r>
        <w:rPr>
          <w:rFonts w:ascii="Amiri" w:hAnsi="Amiri" w:eastAsia="Amiri" w:cs="Amiri"/>
          <w:color w:val="111111"/>
          <w:sz w:val="28"/>
          <w:sz w:val="28"/>
          <w:szCs w:val="28"/>
          <w:rtl w:val="true"/>
          <w:lang w:bidi="ar-SA"/>
        </w:rPr>
        <w:t>و اظهر صحّت عقد و ايقاع است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فايت از ماليّت، مأخوذ از ثلث مى شود على القول المشهور بين المتأخّرين؛ يا آنكه با زيادتى فايت بر ثلث و عدم اجازۀ ورثه، در مقدار فايت زايد از ثلث، باطل و در غير آن صحيح است، نه آنكه با عدم اجازۀ ورثه، معامله مطلقاً باطل باشد، بلكه در مقدار فايت بر ورثه از زايد از ثلث موقوف به تأديه آن يا اجازه ورثه است، بنابر اظهر</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3597725_1067777946"/>
      <w:bookmarkStart w:id="454" w:name="_Toc183"/>
      <w:bookmarkEnd w:id="453"/>
      <w:r>
        <w:rPr>
          <w:rtl w:val="true"/>
        </w:rPr>
        <w:t>بيع به كمتر از قيمت و هبه و وقف و امثال آن</w:t>
      </w:r>
      <w:bookmarkEnd w:id="454"/>
    </w:p>
    <w:p>
      <w:pPr>
        <w:pStyle w:val="BookText"/>
        <w:rPr/>
      </w:pPr>
      <w:r>
        <w:rPr>
          <w:rFonts w:ascii="Amiri" w:hAnsi="Amiri" w:eastAsia="Amiri" w:cs="Amiri"/>
          <w:color w:val="111111"/>
          <w:sz w:val="28"/>
          <w:sz w:val="28"/>
          <w:szCs w:val="28"/>
          <w:rtl w:val="true"/>
          <w:lang w:bidi="ar-SA"/>
        </w:rPr>
        <w:t>و داخل است در بحث از منجّزات، بيع به كمتر از ثمن المثل و ساير معاوضات كمتر از عوض مماثل در ماليّت، و هبه و عتق و وقف و صدقه و ابراء و اسقاط حقوق بلا عوض و صلح بدون عوض و ساير تبرّعات از تصرفات معامليّه بدون عوض مماثل و مشتمل بر محابات و بر اضرار بر ورثه</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3597727_1067777946"/>
      <w:bookmarkStart w:id="456" w:name="_Toc184"/>
      <w:bookmarkEnd w:id="455"/>
      <w:r>
        <w:rPr>
          <w:rtl w:val="true"/>
        </w:rPr>
        <w:t>خروج حكم انفاقات شخصى از محل بحث</w:t>
      </w:r>
      <w:bookmarkEnd w:id="456"/>
    </w:p>
    <w:p>
      <w:pPr>
        <w:pStyle w:val="BookText"/>
        <w:rPr/>
      </w:pPr>
      <w:r>
        <w:rPr>
          <w:rFonts w:ascii="IRNazanin" w:hAnsi="IRNazanin" w:eastAsia="IRNazanin"/>
          <w:color w:val="111111"/>
          <w:sz w:val="28"/>
          <w:sz w:val="28"/>
          <w:szCs w:val="28"/>
          <w:rtl w:val="true"/>
          <w:lang w:bidi="fa-IR"/>
        </w:rPr>
        <w:t>و اما انفاقات شخصيۀ غير معامليّه از واجب و مستحب و مباح، پس خارج از اين بحث است، و در بعضى فتاوى، مقيّد به عدم اسراف و تبذير و عدم خروج از اغراض عقلاييّه و مناسبت با شأن مريض شده است، و آن به حسب تكليف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حصر اصحاب نزاع را در منجزات در مقابل معلّق به خصوص موت، خروج آنها است به حسب حكم وضعى از بحث؛ پس حكم در آنها مبنى بر فحوى و لزوم تفويت و اضرار است غير آنچه جارى بر آن است سيرۀ عقلاء متشرّعه، چنانچه اشاره شد</w:t>
      </w:r>
      <w:r>
        <w:rPr>
          <w:rFonts w:eastAsia="IRNazanin" w:cs="IRNazanin"/>
          <w:color w:val="111111"/>
          <w:sz w:val="28"/>
          <w:szCs w:val="28"/>
          <w:rtl w:val="true"/>
          <w:lang w:bidi="fa-IR"/>
        </w:rPr>
        <w:t>.</w:t>
      </w:r>
    </w:p>
    <w:p>
      <w:pPr>
        <w:pStyle w:val="Heading5"/>
        <w:numPr>
          <w:ilvl w:val="4"/>
          <w:numId w:val="1"/>
        </w:numPr>
        <w:rPr/>
      </w:pPr>
      <w:bookmarkStart w:id="457" w:name="__RefHeading___Toc3597729_1067777946"/>
      <w:bookmarkStart w:id="458" w:name="_Toc185"/>
      <w:bookmarkEnd w:id="457"/>
      <w:r>
        <w:rPr>
          <w:rtl w:val="true"/>
        </w:rPr>
        <w:t>خروج اداى ديون واجب</w:t>
      </w:r>
      <w:bookmarkEnd w:id="45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خارج است از بحث، مباشرت مريض به اداى ديون واجبه از قبيل خمس و زكات و كفاره و منذور، پس خارج از 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صدقات </w:t>
      </w:r>
      <w:bookmarkStart w:id="459" w:name="pg10256_89406"/>
    </w:p>
    <w:p>
      <w:pPr>
        <w:pStyle w:val="BookText"/>
        <w:rPr/>
      </w:pPr>
      <w:bookmarkEnd w:id="459"/>
      <w:r>
        <w:rPr>
          <w:rFonts w:ascii="Amiri" w:hAnsi="Amiri" w:eastAsia="Amiri" w:cs="Amiri"/>
          <w:color w:val="111111"/>
          <w:sz w:val="28"/>
          <w:sz w:val="28"/>
          <w:szCs w:val="28"/>
          <w:rtl w:val="true"/>
          <w:lang w:bidi="ar-SA"/>
        </w:rPr>
        <w:t>مربوطه به استشفاى خود يا مريض او به نحو مناسب و لايق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اقتصار بر مورد صدق نزد موت و حضور موت و اتيان موت، در مرض موت كه مخوف است موت به سبب آن و متعقّب بشود قريباً به موت به نحوى كه محلّ اختلاف موجب سؤال بعد از موت باشد نه قبل از موت، مقتضاى اقتصار بر متقين در خروج از قواعد عامه است و اگر مرض موت طول بكشد، در اواخر آن وقوع منجز بشود</w:t>
      </w:r>
      <w:r>
        <w:rPr>
          <w:rFonts w:eastAsia="IRNazanin" w:cs="IRNazanin"/>
          <w:color w:val="111111"/>
          <w:sz w:val="28"/>
          <w:szCs w:val="28"/>
          <w:rtl w:val="true"/>
          <w:lang w:bidi="fa-IR"/>
        </w:rPr>
        <w:t>.</w:t>
      </w:r>
    </w:p>
    <w:p>
      <w:pPr>
        <w:pStyle w:val="Heading5"/>
        <w:numPr>
          <w:ilvl w:val="4"/>
          <w:numId w:val="1"/>
        </w:numPr>
        <w:rPr/>
      </w:pPr>
      <w:bookmarkStart w:id="460" w:name="__RefHeading___Toc3597731_1067777946"/>
      <w:bookmarkStart w:id="461" w:name="_Toc186"/>
      <w:bookmarkEnd w:id="460"/>
      <w:r>
        <w:rPr>
          <w:rtl w:val="true"/>
        </w:rPr>
        <w:t>لحوق زمان خوف موت به مرض</w:t>
      </w:r>
      <w:bookmarkEnd w:id="461"/>
    </w:p>
    <w:p>
      <w:pPr>
        <w:pStyle w:val="BookText"/>
        <w:rPr/>
      </w:pPr>
      <w:r>
        <w:rPr>
          <w:rFonts w:ascii="Amiri" w:hAnsi="Amiri" w:eastAsia="Amiri" w:cs="Amiri"/>
          <w:color w:val="111111"/>
          <w:sz w:val="28"/>
          <w:sz w:val="28"/>
          <w:szCs w:val="28"/>
          <w:rtl w:val="true"/>
          <w:lang w:bidi="ar-SA"/>
        </w:rPr>
        <w:t xml:space="preserve">و لحوق زمان خوف هلاك قريباً به غير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بودن در اشتعال نار حرب و تيراندازى هاى زياد و خطر غرق شدن كشتى و درد مخاض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مرض، خالى از وجه نيست بر تقدير خروج منجز از ثلث</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597733_1067777946"/>
      <w:bookmarkStart w:id="463" w:name="_Toc187"/>
      <w:bookmarkEnd w:id="462"/>
      <w:r>
        <w:rPr>
          <w:rtl w:val="true"/>
        </w:rPr>
        <w:t>اقرار مريض در مرض موت</w:t>
      </w:r>
      <w:bookmarkEnd w:id="463"/>
    </w:p>
    <w:p>
      <w:pPr>
        <w:pStyle w:val="BookText"/>
        <w:rPr/>
      </w:pPr>
      <w:r>
        <w:rPr>
          <w:rFonts w:ascii="IRNazanin" w:hAnsi="IRNazanin" w:eastAsia="IRNazanin"/>
          <w:color w:val="111111"/>
          <w:sz w:val="28"/>
          <w:sz w:val="28"/>
          <w:szCs w:val="28"/>
          <w:rtl w:val="true"/>
          <w:lang w:bidi="fa-IR"/>
        </w:rPr>
        <w:t>و اقرار مريض در مرض موت كه اشاره به حد آن شد، كه منجز است به حسب حكم ظاهرى، در صورتى كه متهم به خلاف واقع گويى بر عليه آنكه متأخّر از دين است نباشد، از اصل است؛ پس نافذ است در زايد بر ثلث، بلكه با استيعاب تركه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متهم باشد، از ثلث است، يعنى در مرتبه اقرار به حكم وصيت مى شود؛ پس حقِ مُقَرٌّ له مى شود به سبب اعم از دين واقعى و وصيت، و معلوم است على اىّ تقدير استحقاق آن قدر را دارد و در صورتى كه صادق باشد آن را مستحق است مع الزيادة و در صورت خلاف، آن قدر را مستحق است بلا زياده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اتهام، از ثلث مجموع تركه با حفظ مرتبه، اقرار محسوب مى شود نه از ثلث خصوص مقرٌّ به از دين يا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استدانه يا اخذ را منسوب به سابق بر مرض موت نمايد، وگرنه در حكم ساير منجزات مريض است اگر منسوب به ما بعد از مرض موت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منسوب نكرد يا نسبت معلوم نشد، </w:t>
      </w:r>
      <w:bookmarkStart w:id="464" w:name="pg10256_89407"/>
    </w:p>
    <w:p>
      <w:pPr>
        <w:pStyle w:val="BookText"/>
        <w:rPr/>
      </w:pPr>
      <w:bookmarkEnd w:id="464"/>
      <w:r>
        <w:rPr>
          <w:rFonts w:ascii="IRNazanin" w:hAnsi="IRNazanin" w:eastAsia="IRNazanin"/>
          <w:color w:val="111111"/>
          <w:sz w:val="28"/>
          <w:sz w:val="28"/>
          <w:szCs w:val="28"/>
          <w:rtl w:val="true"/>
          <w:lang w:bidi="fa-IR"/>
        </w:rPr>
        <w:t>پس مورد احتياط به مصالحۀ مُقَرٌّ له و ورثه است</w:t>
      </w:r>
      <w:r>
        <w:rPr>
          <w:rFonts w:eastAsia="IRNazanin" w:cs="IRNazanin"/>
          <w:color w:val="111111"/>
          <w:sz w:val="28"/>
          <w:szCs w:val="28"/>
          <w:rtl w:val="true"/>
          <w:lang w:bidi="fa-IR"/>
        </w:rPr>
        <w:t>.</w:t>
      </w:r>
    </w:p>
    <w:p>
      <w:pPr>
        <w:pStyle w:val="Heading5"/>
        <w:numPr>
          <w:ilvl w:val="4"/>
          <w:numId w:val="1"/>
        </w:numPr>
        <w:rPr/>
      </w:pPr>
      <w:bookmarkStart w:id="465" w:name="__RefHeading___Toc3597735_1067777946"/>
      <w:bookmarkStart w:id="466" w:name="_Toc188"/>
      <w:bookmarkEnd w:id="465"/>
      <w:r>
        <w:rPr>
          <w:rtl w:val="true"/>
        </w:rPr>
        <w:t>صفت اتهام، و مرضىّ و مأمون بودن</w:t>
      </w:r>
      <w:bookmarkEnd w:id="466"/>
    </w:p>
    <w:p>
      <w:pPr>
        <w:pStyle w:val="BookText"/>
        <w:rPr/>
      </w:pPr>
      <w:r>
        <w:rPr>
          <w:rFonts w:ascii="IRNazanin" w:hAnsi="IRNazanin" w:eastAsia="IRNazanin"/>
          <w:color w:val="111111"/>
          <w:sz w:val="28"/>
          <w:sz w:val="28"/>
          <w:szCs w:val="28"/>
          <w:rtl w:val="true"/>
          <w:lang w:bidi="fa-IR"/>
        </w:rPr>
        <w:t>و ظاهر اين است كه اتهام و مرضىّ و مأمون بودن، صفت وجدانيّه است؛ و هم چنين عدم اتهام و مرضىّ بودن، پس صورت شك ندارد، يا ملحق به اتهام است، اگر چه احوط مصالحه مُقَرٌّ له و ورثه است در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صورت اختلاف ورثه در اتهام و رضا، نافذ است در حصّۀ غير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زايد بر ثلث، و غير نافذ است در حصّۀ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تقدير حصول بُرء بعد از اقرار در مرض، ملزم است تماماً به آن اگر چه متهم بوده است، مانند منجَّز ديگرى در حال مرض اگر متعقّب به بُرء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قايل به خروج از ثلث در منجز بدون برء باشيم</w:t>
      </w:r>
      <w:r>
        <w:rPr>
          <w:rFonts w:eastAsia="IRNazanin" w:cs="IRNazanin"/>
          <w:color w:val="111111"/>
          <w:sz w:val="28"/>
          <w:szCs w:val="28"/>
          <w:rtl w:val="true"/>
          <w:lang w:bidi="fa-IR"/>
        </w:rPr>
        <w:t>.</w:t>
      </w:r>
    </w:p>
    <w:p>
      <w:pPr>
        <w:pStyle w:val="Heading5"/>
        <w:numPr>
          <w:ilvl w:val="4"/>
          <w:numId w:val="1"/>
        </w:numPr>
        <w:rPr/>
      </w:pPr>
      <w:bookmarkStart w:id="467" w:name="__RefHeading___Toc3597737_1067777946"/>
      <w:bookmarkStart w:id="468" w:name="_Toc189"/>
      <w:bookmarkEnd w:id="467"/>
      <w:r>
        <w:rPr>
          <w:rtl w:val="true"/>
        </w:rPr>
        <w:t>احتساب ديه از متروكات</w:t>
      </w:r>
      <w:bookmarkEnd w:id="468"/>
    </w:p>
    <w:p>
      <w:pPr>
        <w:pStyle w:val="BookText"/>
        <w:rPr/>
      </w:pPr>
      <w:r>
        <w:rPr>
          <w:rFonts w:ascii="IRNazanin" w:hAnsi="IRNazanin" w:eastAsia="IRNazanin"/>
          <w:color w:val="111111"/>
          <w:sz w:val="28"/>
          <w:sz w:val="28"/>
          <w:szCs w:val="28"/>
          <w:rtl w:val="true"/>
          <w:lang w:bidi="fa-IR"/>
        </w:rPr>
        <w:t>و اظهر آن است كه ديه از متروكات ميّت است، پس هرچه از اصل يا ثلث اخراج مى شود، از ديه اخراج مى شود، مثل ساير حقوق فعليّه ماليّه او</w:t>
      </w:r>
      <w:r>
        <w:rPr>
          <w:rFonts w:eastAsia="IRNazanin" w:cs="IRNazanin"/>
          <w:color w:val="111111"/>
          <w:sz w:val="28"/>
          <w:szCs w:val="28"/>
          <w:rtl w:val="true"/>
          <w:lang w:bidi="fa-IR"/>
        </w:rPr>
        <w:t>.</w:t>
      </w:r>
    </w:p>
    <w:p>
      <w:pPr>
        <w:pStyle w:val="Heading5"/>
        <w:numPr>
          <w:ilvl w:val="4"/>
          <w:numId w:val="1"/>
        </w:numPr>
        <w:rPr/>
      </w:pPr>
      <w:bookmarkStart w:id="469" w:name="__RefHeading___Toc3597739_1067777946"/>
      <w:bookmarkStart w:id="470" w:name="_Toc190"/>
      <w:bookmarkEnd w:id="469"/>
      <w:r>
        <w:rPr>
          <w:rtl w:val="true"/>
        </w:rPr>
        <w:t>اناطۀ نفوذ اخراج از زايد، به اذن وارث</w:t>
      </w:r>
      <w:bookmarkEnd w:id="470"/>
    </w:p>
    <w:p>
      <w:pPr>
        <w:pStyle w:val="BookText"/>
        <w:rPr/>
      </w:pPr>
      <w:r>
        <w:rPr>
          <w:rFonts w:ascii="IRNazanin" w:hAnsi="IRNazanin" w:eastAsia="IRNazanin"/>
          <w:color w:val="111111"/>
          <w:sz w:val="28"/>
          <w:sz w:val="28"/>
          <w:szCs w:val="28"/>
          <w:rtl w:val="true"/>
          <w:lang w:bidi="fa-IR"/>
        </w:rPr>
        <w:t>و آنچه از ثلث اخراج مى شود با اجازه وارث، نافذ است در حصۀ مجيز از زايد بر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نفوذ، در زايد در صورت عدم اجازه وارث است، و اگر همه ورثه بعض زايد بر ثلث را اجازه دادند، در آن بعض نافذ است</w:t>
      </w:r>
      <w:r>
        <w:rPr>
          <w:rFonts w:eastAsia="IRNazanin" w:cs="IRNazanin"/>
          <w:color w:val="111111"/>
          <w:sz w:val="28"/>
          <w:szCs w:val="28"/>
          <w:rtl w:val="true"/>
          <w:lang w:bidi="fa-IR"/>
        </w:rPr>
        <w:t>.</w:t>
      </w:r>
    </w:p>
    <w:p>
      <w:pPr>
        <w:pStyle w:val="Heading5"/>
        <w:numPr>
          <w:ilvl w:val="4"/>
          <w:numId w:val="1"/>
        </w:numPr>
        <w:rPr/>
      </w:pPr>
      <w:bookmarkStart w:id="471" w:name="__RefHeading___Toc3597741_1067777946"/>
      <w:bookmarkStart w:id="472" w:name="_Toc191"/>
      <w:bookmarkEnd w:id="471"/>
      <w:r>
        <w:rPr>
          <w:rtl w:val="true"/>
        </w:rPr>
        <w:t>مانعيّت و عدم مانعيّت دين از مالكيّت ورثه</w:t>
      </w:r>
      <w:bookmarkEnd w:id="4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مانعيت دَين از مالكيّت وارث به نحوى كه منتقل نباشد چيزى از تركه به وارث در صورت استيعاب دين و به مقدار دين در صورت عدم استيعاب، و عدم آن چنانكه منتقل به غرما نمى شود به موت،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اكثر، عدم </w:t>
      </w:r>
    </w:p>
    <w:p>
      <w:pPr>
        <w:pStyle w:val="BookText"/>
        <w:rPr/>
      </w:pPr>
      <w:r>
        <w:rPr>
          <w:rFonts w:ascii="Amiri" w:hAnsi="Amiri" w:eastAsia="Amiri" w:cs="Amiri"/>
          <w:color w:val="111111"/>
          <w:sz w:val="28"/>
          <w:sz w:val="28"/>
          <w:szCs w:val="28"/>
          <w:rtl w:val="true"/>
          <w:lang w:bidi="ar-SA"/>
        </w:rPr>
        <w:t xml:space="preserve">انتقال به ورثه است؛ و محكىّ از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اجماع بر انتقال است؛ و قول جماعتى از فقها به هر كدام از قولين،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معتبرۀ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سيره بر تبعيّت نماى تركه در وفاى دين، موافق عدم انتقال به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منع سيره و منع دلالت دو معتبره بر اَزيد از تعلق حق ميّت به عين تركه مملوكه وارث بعينها به ملكيّت غير تامه، به واسطۀ تعلّق حق ميّت كه تابع حق غريم است، و متبوع حق موصىٰ له و موجب تعين مصرف در وصيت است؛ پس به واسطۀ تعلق حق ميّت، ممنوع است وارث از تصرّفات مفوّته اين حق و مكلف است به اداى دين از ماليّت مملوك خود و انفاذ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شارح اين مطلب، تعبير معتبرۀ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اينكه براى ورثه چيزى نيست تا ادا نمايند زكات موصىٰ بها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تصريح به اشتراط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تعليق در آيات است كه ثابت بعد از اداى دين كه ملكيّت مستقرۀ تامه است، منتفى است قبل از آن، پس نيست فعلاً آنچه كه هست بعد از اداى دين يا اجراى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اجماع بر احقيّت ورثه به اعيان تركه و بر عدم مالكيّت غرما اعيان را، مؤيّد جمع مذكور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مشاركت ابن اخ با عم در صورت ابراء بعد از اب كافى نيست، زيرا مستفاد از تعليق در آيات، تعليق ملك وارث بر عدم ابراء است و لو فيما بعد، چنانچه معلَّق بر عدم دين است؛ پس ابراء كاشف از تماميّت ملك سابق است در واقع اگر چه معلوم نبوده و مستصحب العدم بوده و به حكم ظاهرىِ ملكيّت تامه نبوده، بلكه محتاج است به تتميم به مذكور از اينكه ثابت بعد از ادا، ملكيت تامه است و همان منتفى است قبل از اداى به تعلّق حق ميّت به سبب حق غرما و براى حق موصىٰ له و براى صرف در معيّن از وصيت</w:t>
      </w:r>
      <w:r>
        <w:rPr>
          <w:rFonts w:eastAsia="IRNazanin" w:cs="IRNazanin"/>
          <w:color w:val="111111"/>
          <w:sz w:val="28"/>
          <w:szCs w:val="28"/>
          <w:rtl w:val="true"/>
          <w:lang w:bidi="fa-IR"/>
        </w:rPr>
        <w:t xml:space="preserve">. </w:t>
      </w:r>
      <w:bookmarkStart w:id="473" w:name="pg10256_89409"/>
    </w:p>
    <w:p>
      <w:pPr>
        <w:pStyle w:val="Heading5"/>
        <w:numPr>
          <w:ilvl w:val="4"/>
          <w:numId w:val="1"/>
        </w:numPr>
        <w:rPr/>
      </w:pPr>
      <w:bookmarkStart w:id="474" w:name="__RefHeading___Toc3597743_1067777946"/>
      <w:bookmarkStart w:id="475" w:name="_Toc192"/>
      <w:bookmarkEnd w:id="473"/>
      <w:bookmarkEnd w:id="474"/>
      <w:r>
        <w:rPr>
          <w:rtl w:val="true"/>
        </w:rPr>
        <w:t>نحوۀ تعلق حق به تركه</w:t>
      </w:r>
      <w:bookmarkEnd w:id="475"/>
    </w:p>
    <w:p>
      <w:pPr>
        <w:pStyle w:val="BookText"/>
        <w:rPr/>
      </w:pPr>
      <w:r>
        <w:rPr>
          <w:rFonts w:ascii="IRNazanin" w:hAnsi="IRNazanin" w:eastAsia="IRNazanin"/>
          <w:color w:val="111111"/>
          <w:sz w:val="28"/>
          <w:sz w:val="28"/>
          <w:szCs w:val="28"/>
          <w:rtl w:val="true"/>
          <w:lang w:bidi="fa-IR"/>
        </w:rPr>
        <w:t>و تعلق حق ميّت در موارد مذكوره از دين و وصيت به تركه، آيا مثل تعلّق حق رهانت است يا نه‌؟ خلاف است، و همين قول موافق با محكىّ از مشهور،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تفويت دين يا وصيت است از تصرفات در تركه ميّت در صورت استيعاب و عدم آن، بايد با موافقت غرما يا موصىٰ له يا وصى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تعريض به تفويت بنابر اظهر در نقل عين متعلقه حقّ‌، بغير ثمن المثل و نحو آن</w:t>
      </w:r>
      <w:r>
        <w:rPr>
          <w:rFonts w:eastAsia="IRNazanin" w:cs="IRNazanin"/>
          <w:color w:val="111111"/>
          <w:sz w:val="28"/>
          <w:szCs w:val="28"/>
          <w:rtl w:val="true"/>
          <w:lang w:bidi="fa-IR"/>
        </w:rPr>
        <w:t>.</w:t>
      </w:r>
    </w:p>
    <w:p>
      <w:pPr>
        <w:pStyle w:val="Heading5"/>
        <w:numPr>
          <w:ilvl w:val="4"/>
          <w:numId w:val="1"/>
        </w:numPr>
        <w:rPr/>
      </w:pPr>
      <w:bookmarkStart w:id="476" w:name="__RefHeading___Toc3597745_1067777946"/>
      <w:bookmarkStart w:id="477" w:name="_Toc193"/>
      <w:bookmarkEnd w:id="476"/>
      <w:r>
        <w:rPr>
          <w:rtl w:val="true"/>
        </w:rPr>
        <w:t>كلّى فى المعين بودن تعلق حق به تركه و ثمرۀ آن</w:t>
      </w:r>
      <w:bookmarkEnd w:id="477"/>
    </w:p>
    <w:p>
      <w:pPr>
        <w:pStyle w:val="BookText"/>
        <w:rPr/>
      </w:pPr>
      <w:r>
        <w:rPr>
          <w:rFonts w:ascii="IRNazanin" w:hAnsi="IRNazanin" w:eastAsia="IRNazanin"/>
          <w:color w:val="111111"/>
          <w:sz w:val="28"/>
          <w:sz w:val="28"/>
          <w:szCs w:val="28"/>
          <w:rtl w:val="true"/>
          <w:lang w:bidi="fa-IR"/>
        </w:rPr>
        <w:t xml:space="preserve">آيا تعلق حق مذكور به تركه در صورت عدم استيعاب دين به نحو كلى في المعين است يا به نحو كسر مشاع است‌؟ اقرب اوّل است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منقول است؛ و موافق با معتبره در تفصيل بين استيعاب و 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تقييد مى شود ظاهر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آن جواز تصرفات در غير مقدار دين و در ما عداى موصىٰ به است و آنكه تلف غير مضمون، بر همه محسوب نيست در صورت بقاى مقدار دين و وصيت؛ بلكه چه آنكه تلف به اتلاف مالك باشد، يا به تلف سماوى در يد مالك، تلف از مالك است مگر در مستوعب و لو بالعَرَض، در صورت عدم تفريط مالك در تأديه به غريم يا صرف در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جواز تصرفات در مقدارى كه جايز باشد، اظهر عدم تسلط غريم بر فسخ و عدم ضمان به اتلاف است، مثل تلف در يد مالك مطلقا با عدم تفريط در تأديه به ذى الحق، چنانچه اشاره به آن شد؛ كما اينكه در صورت اناطه تصرّف به اذن صاحب حق، كافى است عدم لحوق اجازه در عدم صحّت فعليّۀ تصرّف، و رد صاحب حق، در بطلان فعلى تصرفات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دين حادث بعد از موت به سبب متقدّم بر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وقوع تردّى در چاهى كه عدواناً حفر نموده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دين سابق بر موت است در احكام مذكورۀ آن بنابر اظهر در صورت وقوع تصرّف بعد از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 شد بين سبب و مسبب،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تأمل است، و دور نيست نفوذ تصرّف سابق بر مسبّب از سبب سابق بر تصرّف و موت مورث، اگر چه احتياط براى متصرّف از ورثه، غرامت ماليّت متصرّفٌ 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تصرّف بدل داشته باشد در فرض، قيام آن مقام مبدل در حكم،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عدم ضمان وارث به اتلاف ملك خودش قبل از تحقق مسبّب، و اللّٰه العالم</w:t>
      </w:r>
      <w:r>
        <w:rPr>
          <w:rFonts w:eastAsia="IRNazanin" w:cs="IRNazanin"/>
          <w:color w:val="111111"/>
          <w:sz w:val="28"/>
          <w:szCs w:val="28"/>
          <w:rtl w:val="true"/>
          <w:lang w:bidi="fa-IR"/>
        </w:rPr>
        <w:t xml:space="preserve">. </w:t>
      </w:r>
      <w:bookmarkStart w:id="478" w:name="pg10256_89411"/>
    </w:p>
    <w:p>
      <w:pPr>
        <w:pStyle w:val="Heading3"/>
        <w:numPr>
          <w:ilvl w:val="2"/>
          <w:numId w:val="1"/>
        </w:numPr>
        <w:rPr/>
      </w:pPr>
      <w:bookmarkStart w:id="479" w:name="__RefHeading___Toc3597747_1067777946"/>
      <w:bookmarkStart w:id="480" w:name="_Toc194"/>
      <w:bookmarkEnd w:id="478"/>
      <w:bookmarkEnd w:id="479"/>
      <w:r>
        <w:rPr>
          <w:rtl w:val="true"/>
        </w:rPr>
        <w:t>فصل دوّم احكام حَجر</w:t>
      </w:r>
      <w:bookmarkEnd w:id="480"/>
    </w:p>
    <w:p>
      <w:pPr>
        <w:pStyle w:val="Heading4"/>
        <w:numPr>
          <w:ilvl w:val="3"/>
          <w:numId w:val="1"/>
        </w:numPr>
        <w:rPr/>
      </w:pPr>
      <w:bookmarkStart w:id="481" w:name="__RefHeading___Toc3597749_1067777946"/>
      <w:bookmarkStart w:id="482" w:name="_Toc195"/>
      <w:bookmarkEnd w:id="481"/>
      <w:r>
        <w:rPr>
          <w:rtl w:val="true"/>
        </w:rPr>
        <w:t>عدم توقف محجوريّت مفلّس به حكم حاكم</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است توقف محجوريّت مفلّس، به حكم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احتياج زوال آن به حكم، خلاف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محجوريّت سفيه در ثبوت و در زوال منوط به حكم حاكم است چنانچه جمعى بر آن مى باشند، مثل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نه چنانكه جمعى ديگر بر آن اند؟ مورد تعارض ادله است و قولين مشهورين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لكن مقتضاى ادلۀ شرطيّت رشد و مانعيت سفه از تصرفات وضعيّه در مال، عدم احتياج است</w:t>
      </w:r>
      <w:r>
        <w:rPr>
          <w:rFonts w:eastAsia="IRNazanin" w:cs="IRNazanin"/>
          <w:color w:val="111111"/>
          <w:sz w:val="28"/>
          <w:szCs w:val="28"/>
          <w:rtl w:val="true"/>
          <w:lang w:bidi="fa-IR"/>
        </w:rPr>
        <w:t>.</w:t>
      </w:r>
    </w:p>
    <w:p>
      <w:pPr>
        <w:pStyle w:val="Heading4"/>
        <w:numPr>
          <w:ilvl w:val="3"/>
          <w:numId w:val="1"/>
        </w:numPr>
        <w:rPr/>
      </w:pPr>
      <w:bookmarkStart w:id="483" w:name="__RefHeading___Toc3597751_1067777946"/>
      <w:bookmarkStart w:id="484" w:name="_Toc196"/>
      <w:bookmarkEnd w:id="483"/>
      <w:r>
        <w:rPr>
          <w:rtl w:val="true"/>
        </w:rPr>
        <w:t>مقتضاى اصل</w:t>
      </w:r>
      <w:bookmarkEnd w:id="484"/>
    </w:p>
    <w:p>
      <w:pPr>
        <w:pStyle w:val="BookText"/>
        <w:rPr/>
      </w:pPr>
      <w:r>
        <w:rPr>
          <w:rFonts w:ascii="IRNazanin" w:hAnsi="IRNazanin" w:eastAsia="IRNazanin"/>
          <w:color w:val="111111"/>
          <w:sz w:val="28"/>
          <w:sz w:val="28"/>
          <w:szCs w:val="28"/>
          <w:rtl w:val="true"/>
          <w:lang w:bidi="fa-IR"/>
        </w:rPr>
        <w:t>و اصالت عدم اناطه نفوذ تصرّف به عدم سفه مگر با حكم كه عبارت از اصالت عدم مانعيت سفه مجرد از حكم است از نفوذ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محجوريّت در سفه طارى تا زمان حكم اگر چه محتاج به تتميم به عدم فصل است بين آن و بين غير طارى، و آن عبارت از استصحاب عدم تأثير مجرّد سفه در حجر تا زمان حكم و عدم تحقّق حجر شرعى قبل از حكم است و اين استصحاب حكمى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مقتضاى اصل مذكور در سفه طارى، نفوذ تصرّفات سفيه است تا زمان حكم، و مقتضاى استصحاب بقاى محجوريّت محققۀ با حكم است تا زمان </w:t>
      </w:r>
      <w:bookmarkStart w:id="485" w:name="pg10256_89412"/>
    </w:p>
    <w:p>
      <w:pPr>
        <w:pStyle w:val="BookText"/>
        <w:rPr/>
      </w:pPr>
      <w:bookmarkEnd w:id="485"/>
      <w:r>
        <w:rPr>
          <w:rFonts w:ascii="IRNazanin" w:hAnsi="IRNazanin" w:eastAsia="IRNazanin"/>
          <w:color w:val="111111"/>
          <w:sz w:val="28"/>
          <w:sz w:val="28"/>
          <w:szCs w:val="28"/>
          <w:rtl w:val="true"/>
          <w:lang w:bidi="fa-IR"/>
        </w:rPr>
        <w:t>حكم به زوال آن؛ لكن ظهور اطلاقى آيات شريفه در موضوعيّت سفاهت براى حجر و موضوعيّت ايناس رشد براى رفع آن، قاطع اصول جاريه مذكوره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خاص براى اعتبار حكم در اين دو مقام نيست؛ پس اقرب عدم احتياج در محجوريّت سفيه به حكم و در زوال آن به حكم است، وفاقاً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حكى عنهم</w:t>
      </w:r>
      <w:r>
        <w:rPr>
          <w:rFonts w:eastAsia="IRNazanin" w:cs="IRNazanin"/>
          <w:color w:val="111111"/>
          <w:sz w:val="28"/>
          <w:szCs w:val="28"/>
          <w:rtl w:val="true"/>
          <w:lang w:bidi="fa-IR"/>
        </w:rPr>
        <w:t>.</w:t>
      </w:r>
    </w:p>
    <w:p>
      <w:pPr>
        <w:pStyle w:val="Heading4"/>
        <w:numPr>
          <w:ilvl w:val="3"/>
          <w:numId w:val="1"/>
        </w:numPr>
        <w:rPr/>
      </w:pPr>
      <w:bookmarkStart w:id="486" w:name="__RefHeading___Toc3597753_1067777946"/>
      <w:bookmarkStart w:id="487" w:name="_Toc197"/>
      <w:bookmarkEnd w:id="486"/>
      <w:r>
        <w:rPr>
          <w:rtl w:val="true"/>
        </w:rPr>
        <w:t>بطلان معامله با سفيه بدون اجازه يا اذن ولى</w:t>
      </w:r>
      <w:bookmarkEnd w:id="4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معامله با سفيه بعد از حكم يا مطلقاً چنانچه گذشت، باطل است بدون اذن يا اجازه ولى، چه آنكه معامله بر عين شخصيّه باشد يا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كفايت اجازه او بعد از حصول رشد و زوال سفه؛ پس اگر عين مالِ بايع، موجود است، استعاده مى نمايد آن را مطلقاً، چه عالم بوده به حكم و موضوع يا جاهل، اذن در قبض داده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چنين استعاده مى شود عين شخصيّه اى كه مدفوع به سفيه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سفيهْ دافع آن بود ارجاع به ولى او مى شود</w:t>
      </w:r>
      <w:r>
        <w:rPr>
          <w:rFonts w:eastAsia="IRNazanin" w:cs="IRNazanin"/>
          <w:color w:val="111111"/>
          <w:sz w:val="28"/>
          <w:szCs w:val="28"/>
          <w:rtl w:val="true"/>
          <w:lang w:bidi="fa-IR"/>
        </w:rPr>
        <w:t>.</w:t>
      </w:r>
    </w:p>
    <w:p>
      <w:pPr>
        <w:pStyle w:val="Heading4"/>
        <w:numPr>
          <w:ilvl w:val="3"/>
          <w:numId w:val="1"/>
        </w:numPr>
        <w:rPr/>
      </w:pPr>
      <w:bookmarkStart w:id="488" w:name="__RefHeading___Toc3597755_1067777946"/>
      <w:bookmarkStart w:id="489" w:name="_Toc198"/>
      <w:bookmarkEnd w:id="488"/>
      <w:r>
        <w:rPr>
          <w:rtl w:val="true"/>
        </w:rPr>
        <w:t>تلف مال كسى در دست سفيه و حكم ضمان او</w:t>
      </w:r>
      <w:bookmarkEnd w:id="489"/>
    </w:p>
    <w:p>
      <w:pPr>
        <w:pStyle w:val="BookText"/>
        <w:rPr/>
      </w:pPr>
      <w:r>
        <w:rPr>
          <w:rFonts w:ascii="IRNazanin" w:hAnsi="IRNazanin" w:eastAsia="IRNazanin"/>
          <w:color w:val="111111"/>
          <w:sz w:val="28"/>
          <w:sz w:val="28"/>
          <w:szCs w:val="28"/>
          <w:rtl w:val="true"/>
          <w:lang w:bidi="fa-IR"/>
        </w:rPr>
        <w:t>و اگر در يد سفيه، مدفوع به او تلف شد بعد از قبض با اذن دافع عالمِ به حكم و موضوع، تلف آن از مال مالك است به سبب تسليط او سفيه را به آن مال، نه از مال سفيه، اگر چه بعد از زوال حجر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ضمان به اتلاف سفيه، مورد تأمل است، لكن تاثير اقدام در نفى ضمان، مشترك بين تلف و اتلاف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تلف يا اتلاف مقبوض بدون اذن مالك عاقد به عقد معلوم الفساد بود، ضمان سفيه به يد يا اتلاف، اقرب است؛ چنانچه در مثل فرض در صبىّ و مجنون ثابت است</w:t>
      </w:r>
      <w:r>
        <w:rPr>
          <w:rFonts w:eastAsia="IRNazanin" w:cs="IRNazanin"/>
          <w:color w:val="111111"/>
          <w:sz w:val="28"/>
          <w:szCs w:val="28"/>
          <w:rtl w:val="true"/>
          <w:lang w:bidi="fa-IR"/>
        </w:rPr>
        <w:t>.</w:t>
      </w:r>
    </w:p>
    <w:p>
      <w:pPr>
        <w:pStyle w:val="Heading4"/>
        <w:numPr>
          <w:ilvl w:val="3"/>
          <w:numId w:val="1"/>
        </w:numPr>
        <w:rPr/>
      </w:pPr>
      <w:bookmarkStart w:id="490" w:name="__RefHeading___Toc3597757_1067777946"/>
      <w:bookmarkStart w:id="491" w:name="_Toc199"/>
      <w:bookmarkEnd w:id="490"/>
      <w:r>
        <w:rPr>
          <w:rtl w:val="true"/>
        </w:rPr>
        <w:t>حكم اقتراض سفيه</w:t>
      </w:r>
      <w:bookmarkEnd w:id="4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 مذكوره، حكم اقتراض سفيه بدون اذن ولى و اتلاف او مال را يا تلف آن </w:t>
      </w:r>
      <w:bookmarkStart w:id="492" w:name="pg10256_89413"/>
    </w:p>
    <w:p>
      <w:pPr>
        <w:pStyle w:val="BookText"/>
        <w:rPr/>
      </w:pPr>
      <w:bookmarkEnd w:id="492"/>
      <w:r>
        <w:rPr>
          <w:rFonts w:ascii="IRNazanin" w:hAnsi="IRNazanin" w:eastAsia="IRNazanin"/>
          <w:color w:val="111111"/>
          <w:sz w:val="28"/>
          <w:sz w:val="28"/>
          <w:szCs w:val="28"/>
          <w:rtl w:val="true"/>
          <w:lang w:bidi="fa-IR"/>
        </w:rPr>
        <w:t xml:space="preserve">در يد او در صورت اذن مقرضِ عالم در قبض يا عدم اذن او، مثل حكم بيع و شراى سفيه است، به نحوى كه مذكور شد؛ به خلاف ايداع سفيه با علم به موضوع و حكم، پس اگر اتلاف كرد، ضامن است به جهت عدم اذن مودِع مكلَّف، در اتلاف، پس مثل غصب سفيه است در ضمان؛ بلكه اگر ايداع از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مجنون شد، پس اتلاف مباشرى بدون اذن ولى آنها بوده و موجب ضمان است، و تلف در يد هم در اين صورت با اذن مالكِ اذن نبوده است به خلاف ايداع مكلَّف</w:t>
      </w:r>
      <w:r>
        <w:rPr>
          <w:rFonts w:eastAsia="IRNazanin" w:cs="IRNazanin"/>
          <w:color w:val="111111"/>
          <w:sz w:val="28"/>
          <w:szCs w:val="28"/>
          <w:rtl w:val="true"/>
          <w:lang w:bidi="fa-IR"/>
        </w:rPr>
        <w:t>.</w:t>
      </w:r>
    </w:p>
    <w:p>
      <w:pPr>
        <w:pStyle w:val="Heading4"/>
        <w:numPr>
          <w:ilvl w:val="3"/>
          <w:numId w:val="1"/>
        </w:numPr>
        <w:rPr/>
      </w:pPr>
      <w:bookmarkStart w:id="493" w:name="__RefHeading___Toc3597759_1067777946"/>
      <w:bookmarkStart w:id="494" w:name="_Toc200"/>
      <w:bookmarkEnd w:id="493"/>
      <w:r>
        <w:rPr>
          <w:rtl w:val="true"/>
        </w:rPr>
        <w:t>اناطۀ حجر در وقتى به سفه در همان وقت</w:t>
      </w:r>
      <w:bookmarkEnd w:id="4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در هر زمانى، تابع سفه در همان زمان است؛ پس با وجود آن ثابت، و با عدم آن و حصول رشد،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حكم، به حدوث موضوع، و استمرار آن، به استمرار موضوع، منوط است</w:t>
      </w:r>
      <w:r>
        <w:rPr>
          <w:rFonts w:eastAsia="IRNazanin" w:cs="IRNazanin"/>
          <w:color w:val="111111"/>
          <w:sz w:val="28"/>
          <w:szCs w:val="28"/>
          <w:rtl w:val="true"/>
          <w:lang w:bidi="fa-IR"/>
        </w:rPr>
        <w:t>.</w:t>
      </w:r>
    </w:p>
    <w:p>
      <w:pPr>
        <w:pStyle w:val="Heading4"/>
        <w:numPr>
          <w:ilvl w:val="3"/>
          <w:numId w:val="1"/>
        </w:numPr>
        <w:rPr/>
      </w:pPr>
      <w:bookmarkStart w:id="495" w:name="__RefHeading___Toc3597761_1067777946"/>
      <w:bookmarkStart w:id="496" w:name="_Toc201"/>
      <w:bookmarkEnd w:id="495"/>
      <w:r>
        <w:rPr>
          <w:rtl w:val="true"/>
        </w:rPr>
        <w:t>ولايت بر طفل و مجنون</w:t>
      </w:r>
      <w:bookmarkEnd w:id="4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در مال طفل و مجنون به جنون متصل به ما قبل از بلوغ، براى پدر و جدّ پدرى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جنون طارى بعد از بلوغ، تأمل است، و احوط استيذان يكى از آن دو از حاكم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عدم اضرار در ولايت ولى خاص، بى وجه نيست، و با اضرارْ منعزل است و احتياج به عزل حاكم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عدم ولى خاص غير مضر و عدم وصىّ ولىّ خاصّ‌، ولايت با حاكم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مقتضاى اشتراك در ولايت، استقلال هر كدام است؛ پس تصرّف سابقْ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اقتران، رجحان تصرّف اقرب، اقرب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 جدّ و جدِّ جد، همه از افراد جد مى باشند، و در صورت تقارن تصرفهاى ايشان، به اقربيت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مى شود</w:t>
      </w:r>
      <w:r>
        <w:rPr>
          <w:rFonts w:eastAsia="IRNazanin" w:cs="IRNazanin"/>
          <w:color w:val="111111"/>
          <w:sz w:val="28"/>
          <w:szCs w:val="28"/>
          <w:rtl w:val="true"/>
          <w:lang w:bidi="fa-IR"/>
        </w:rPr>
        <w:t xml:space="preserve">. </w:t>
      </w:r>
      <w:bookmarkStart w:id="497" w:name="pg10256_89414"/>
    </w:p>
    <w:p>
      <w:pPr>
        <w:pStyle w:val="BookText"/>
        <w:rPr/>
      </w:pPr>
      <w:bookmarkEnd w:id="497"/>
      <w:r>
        <w:rPr>
          <w:rFonts w:ascii="Amiri" w:hAnsi="Amiri" w:eastAsia="Amiri" w:cs="Amiri"/>
          <w:color w:val="111111"/>
          <w:sz w:val="28"/>
          <w:sz w:val="28"/>
          <w:szCs w:val="28"/>
          <w:rtl w:val="true"/>
          <w:lang w:bidi="ar-SA"/>
        </w:rPr>
        <w:t>در صورت عدم اب و جدّ براى طفل و مجنون به جنون متصل به بلوغ، ولايت براى وصى يكى از اين دو است كه ايصاى به او، به ولايت يا اعم از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تقدير عدم وصى مذكور، ولايت با حاكم شرع است كه ثقه و مأمون و جامع شروط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امكان وصول به حاكم مذكور، ولايت عدول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مستفاد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با محكى از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وجه نيست</w:t>
      </w:r>
      <w:r>
        <w:rPr>
          <w:rFonts w:eastAsia="IRNazanin" w:cs="IRNazanin"/>
          <w:color w:val="111111"/>
          <w:sz w:val="28"/>
          <w:szCs w:val="28"/>
          <w:rtl w:val="true"/>
          <w:lang w:bidi="fa-IR"/>
        </w:rPr>
        <w:t>.</w:t>
      </w:r>
    </w:p>
    <w:p>
      <w:pPr>
        <w:pStyle w:val="Heading4"/>
        <w:numPr>
          <w:ilvl w:val="3"/>
          <w:numId w:val="1"/>
        </w:numPr>
        <w:rPr/>
      </w:pPr>
      <w:bookmarkStart w:id="498" w:name="__RefHeading___Toc3597763_1067777946"/>
      <w:bookmarkStart w:id="499" w:name="_Toc202"/>
      <w:bookmarkEnd w:id="498"/>
      <w:r>
        <w:rPr>
          <w:rtl w:val="true"/>
        </w:rPr>
        <w:t>ولايت در مال سفيه، مفلّس و مجنون</w:t>
      </w:r>
      <w:bookmarkEnd w:id="499"/>
    </w:p>
    <w:p>
      <w:pPr>
        <w:pStyle w:val="BookText"/>
        <w:rPr/>
      </w:pPr>
      <w:r>
        <w:rPr>
          <w:rFonts w:ascii="Amiri" w:hAnsi="Amiri" w:eastAsia="Amiri" w:cs="Amiri"/>
          <w:color w:val="111111"/>
          <w:sz w:val="28"/>
          <w:sz w:val="28"/>
          <w:szCs w:val="28"/>
          <w:rtl w:val="true"/>
          <w:lang w:bidi="ar-SA"/>
        </w:rPr>
        <w:t>ولايت در مال سفيه كه محتاج به ولى عام است و مفلّس، براى حاكم شرع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سفهِ متصل به بلوغ، اظهر بقاى ولايت اب و جدّ 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جنون متصل هم ولايت آنها مظنون يا ثابت است، بلكه مستصحب و خالى از وجه نيست در تصرفات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در موافقت با حاكم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ترتيب مذكور، تقدم جدّ ابى بر وصى اب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ولايت اب و جدّ در مال سفيه متصلاً به بلوغ، وصى آنها هم مقدم بر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مجنون به جنون متصل به بلوغ، چنانچه گذشت</w:t>
      </w:r>
      <w:r>
        <w:rPr>
          <w:rFonts w:eastAsia="IRNazanin" w:cs="IRNazanin"/>
          <w:color w:val="111111"/>
          <w:sz w:val="28"/>
          <w:szCs w:val="28"/>
          <w:rtl w:val="true"/>
          <w:lang w:bidi="fa-IR"/>
        </w:rPr>
        <w:t>.</w:t>
      </w:r>
    </w:p>
    <w:p>
      <w:pPr>
        <w:pStyle w:val="Heading4"/>
        <w:numPr>
          <w:ilvl w:val="3"/>
          <w:numId w:val="1"/>
        </w:numPr>
        <w:rPr/>
      </w:pPr>
      <w:bookmarkStart w:id="500" w:name="__RefHeading___Toc3597765_1067777946"/>
      <w:bookmarkStart w:id="501" w:name="_Toc203"/>
      <w:bookmarkEnd w:id="500"/>
      <w:r>
        <w:rPr>
          <w:rtl w:val="true"/>
        </w:rPr>
        <w:t>نحوۀ تصرّفات سفيه براى عبادات ماليّه</w:t>
      </w:r>
      <w:bookmarkEnd w:id="50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سفيه مثل رشيد است در عبادات غير ماليّه و در واجبات از عبادات ماليّه؛ پس اگر احرام به حجِ واجب يا عمره واجبه نمود، ممنوع نمى شود اگر چه محتاج به مال است اگر چه نفقۀ آن ازيد از نفقۀ او در حضر باشد؛ بلى تسليط بر مال نمى شود، بلكه انفاق در اداى واجب به مباشرت ولىّ او يا مأذون از ولى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احتياج به اذن ولى است در خصوصيات واجب كه در مقدار ماليّت، متفاوت مى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فرقى بين واجب بالاصاله يا به نذر صحيح، مثل واقع قبل از سبب حجر، </w:t>
      </w:r>
      <w:bookmarkStart w:id="502" w:name="pg10256_89415"/>
    </w:p>
    <w:p>
      <w:pPr>
        <w:pStyle w:val="BookText"/>
        <w:rPr/>
      </w:pPr>
      <w:bookmarkEnd w:id="502"/>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مندوبه، مثل حج مندوب، اگر نفقۀ آنها ازيد از نفقه حضر نباشد، مثل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را مى تواند در سفر به كسب تحصيل نمايد و نمى تواند در حضر آن را كسب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نمى تواند مگر اتلاف مال زايد را بعد از اكتساب آن چه عود نمايد يا اكمال نمايد و موافق با صلاحديد ولىّ نباشد و اذن در اتلاف زايد بر هر تقدير ندهد، مى تواند ولىّ تحليل نمايد او را بعد از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بنابر معروف، لازم است بر ولى تحفظ بر مال زايد از انفاق در تكميل تحليل به 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مشكل است اگر اجماعى نباشد، بنابر وجوب اتمام حج بعد از شروع، و مفروضْ صحتِ شروع و احلالِ به تحليل است، با آنكه واجب بهر سببى، مشروط به قدرت عقلاً و شرعاً مى باشد؛ پس وجوب انفاق زايد در واجب، مقتضاى وجوب در مندوب بعد از شروعِ صحيح است؛ پس يا منع از شروع در ملزوم لازم است، يا انفاق در واجب بعد از شروع لازم است بر ولىّ‌</w:t>
      </w:r>
      <w:r>
        <w:rPr>
          <w:rFonts w:eastAsia="IRNazanin" w:cs="IRNazanin"/>
          <w:color w:val="111111"/>
          <w:sz w:val="28"/>
          <w:szCs w:val="28"/>
          <w:rtl w:val="true"/>
          <w:lang w:bidi="fa-IR"/>
        </w:rPr>
        <w:t>.</w:t>
      </w:r>
    </w:p>
    <w:p>
      <w:pPr>
        <w:pStyle w:val="Heading4"/>
        <w:numPr>
          <w:ilvl w:val="3"/>
          <w:numId w:val="1"/>
        </w:numPr>
        <w:rPr/>
      </w:pPr>
      <w:bookmarkStart w:id="503" w:name="__RefHeading___Toc3597767_1067777946"/>
      <w:bookmarkStart w:id="504" w:name="_Toc204"/>
      <w:bookmarkEnd w:id="503"/>
      <w:r>
        <w:rPr>
          <w:rtl w:val="true"/>
        </w:rPr>
        <w:t>ايقاع حلف توسّط سفيه</w:t>
      </w:r>
      <w:bookmarkEnd w:id="5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سفيه ايقاعِ حلف نمود، منعقد مى شود در صورتى كه حلف بر فعل يا ترك چيزى باشد غير مربوط به مال محجورٌ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حنث نمود، متعيّن است در كفاره، اختيار صوم، زيرا ممنوع است شرعاً از تصرّف در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 بخلاف، منقول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جميع كفارات مخيّره و مرتبۀ بر غير، منتقل به غير مال مى شوند</w:t>
      </w:r>
      <w:r>
        <w:rPr>
          <w:rFonts w:eastAsia="IRNazanin" w:cs="IRNazanin"/>
          <w:color w:val="111111"/>
          <w:sz w:val="28"/>
          <w:szCs w:val="28"/>
          <w:rtl w:val="true"/>
          <w:lang w:bidi="fa-IR"/>
        </w:rPr>
        <w:t>.</w:t>
      </w:r>
    </w:p>
    <w:p>
      <w:pPr>
        <w:pStyle w:val="Heading4"/>
        <w:numPr>
          <w:ilvl w:val="3"/>
          <w:numId w:val="1"/>
        </w:numPr>
        <w:rPr/>
      </w:pPr>
      <w:bookmarkStart w:id="505" w:name="__RefHeading___Toc3597769_1067777946"/>
      <w:bookmarkStart w:id="506" w:name="_Toc205"/>
      <w:bookmarkEnd w:id="505"/>
      <w:r>
        <w:rPr>
          <w:rtl w:val="true"/>
        </w:rPr>
        <w:t>حق عفو در قصاص براى سفيه</w:t>
      </w:r>
      <w:bookmarkEnd w:id="50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قصاص ثابت شد براى سفيه، مى تواند عفو نمايد بنابراين كه عمد، ايجاب قصاص مى نمايد، و مال مصالحٌ عليه مى شود، نه ايجاب احد الامرين، چنانچه در</w:t>
      </w:r>
      <w:bookmarkStart w:id="507" w:name="pg10256_89416"/>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اجماع بر آن شده است؛ به خلاف آنكه براى او ديه يا ارشى ثابت باشد على التعيين، كه نمى تواند عفو نمايد</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597771_1067777946"/>
      <w:bookmarkStart w:id="509" w:name="_Toc206"/>
      <w:bookmarkEnd w:id="508"/>
      <w:r>
        <w:rPr>
          <w:rtl w:val="true"/>
        </w:rPr>
        <w:t>اختبار صبىّ براى شناخت رشد او</w:t>
      </w:r>
      <w:bookmarkEnd w:id="50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صبىّ قبل از بلوغ، اختبار مى شود براى معرفت رشد او براى نفوذ تصرّف مقارن بلوغ فما بعد، و دفع مال لازم بعد از بلوغ و رشد بدون تاخير، و توقف آن بر اختبار سابق بر 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تقدير ترك به جهت عذرى يا غير آن، در اوّل زمان رفع عذر، اختبار لازم براى دفع مال لازم، عملى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اختبار مفروض، قبل از بلوغ با مثل بيع و شراء جدى واقع شد، صحيح نيست مگر با اذن يا اجازه ولى، اگر چه رشد ظاهر بشود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بلوغ اختبار شد، پس اگر رشد در آن زمان ثابت شد، معامله صحيح است وگرنه موقوف به اذن يا اجازه ولى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بحمده تعالى در ليله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رضوى</w:t>
      </w:r>
    </w:p>
    <w:p>
      <w:pPr>
        <w:pStyle w:val="BookText"/>
        <w:rPr/>
      </w:pPr>
      <w:r>
        <w:rPr>
          <w:rFonts w:ascii="Amiri" w:hAnsi="Amiri" w:eastAsia="Amiri" w:cs="Amiri"/>
          <w:color w:val="111111"/>
          <w:sz w:val="28"/>
          <w:sz w:val="28"/>
          <w:szCs w:val="28"/>
          <w:rtl w:val="true"/>
          <w:lang w:bidi="ar-SA"/>
        </w:rPr>
        <w:t>صلوات اللّٰه على مشرفه و عترته تحرير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العبد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تقى بن محمود الجيلانى عفى اللّٰه عنهما</w:t>
      </w:r>
      <w:r>
        <w:rPr>
          <w:rFonts w:eastAsia="Amiri" w:cs="Amiri" w:ascii="Amiri" w:hAnsi="Amiri"/>
          <w:color w:val="111111"/>
          <w:sz w:val="28"/>
          <w:szCs w:val="28"/>
          <w:rtl w:val="true"/>
          <w:lang w:bidi="ar-SA"/>
        </w:rPr>
        <w:t xml:space="preserve">. </w:t>
      </w:r>
      <w:bookmarkStart w:id="510" w:name="pg10256_89417"/>
    </w:p>
    <w:p>
      <w:pPr>
        <w:pStyle w:val="Heading2"/>
        <w:numPr>
          <w:ilvl w:val="1"/>
          <w:numId w:val="1"/>
        </w:numPr>
        <w:rPr/>
      </w:pPr>
      <w:bookmarkStart w:id="511" w:name="__RefHeading___Toc3597773_1067777946"/>
      <w:bookmarkStart w:id="512" w:name="_Toc207"/>
      <w:bookmarkEnd w:id="510"/>
      <w:bookmarkEnd w:id="511"/>
      <w:r>
        <w:rPr>
          <w:rtl w:val="true"/>
        </w:rPr>
        <w:t>كتاب صلح</w:t>
      </w:r>
      <w:bookmarkEnd w:id="512"/>
    </w:p>
    <w:p>
      <w:pPr>
        <w:pStyle w:val="Heading3"/>
        <w:numPr>
          <w:ilvl w:val="2"/>
          <w:numId w:val="1"/>
        </w:numPr>
        <w:rPr/>
      </w:pPr>
      <w:bookmarkStart w:id="513" w:name="__RefHeading___Toc3597775_1067777946"/>
      <w:bookmarkStart w:id="514" w:name="_Toc208"/>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معناى صلح و شرايط 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صلح و بعض مسائل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0256_89419"/>
      <w:bookmarkStart w:id="516" w:name="pg10256_89419"/>
      <w:bookmarkEnd w:id="516"/>
    </w:p>
    <w:p>
      <w:pPr>
        <w:pStyle w:val="Heading3"/>
        <w:numPr>
          <w:ilvl w:val="2"/>
          <w:numId w:val="1"/>
        </w:numPr>
        <w:rPr/>
      </w:pPr>
      <w:bookmarkStart w:id="517" w:name="pg10256_89419"/>
      <w:bookmarkStart w:id="518" w:name="__RefHeading___Toc3597777_1067777946"/>
      <w:bookmarkStart w:id="519" w:name="_Toc209"/>
      <w:bookmarkEnd w:id="517"/>
      <w:bookmarkEnd w:id="518"/>
      <w:r>
        <w:rPr>
          <w:rtl w:val="true"/>
        </w:rPr>
        <w:t>فصل اوّل معناى صلح و شرايط آن</w:t>
      </w:r>
      <w:bookmarkEnd w:id="519"/>
    </w:p>
    <w:p>
      <w:pPr>
        <w:pStyle w:val="Heading4"/>
        <w:numPr>
          <w:ilvl w:val="3"/>
          <w:numId w:val="1"/>
        </w:numPr>
        <w:rPr/>
      </w:pPr>
      <w:bookmarkStart w:id="520" w:name="__RefHeading___Toc3597779_1067777946"/>
      <w:bookmarkStart w:id="521" w:name="_Toc210"/>
      <w:bookmarkEnd w:id="520"/>
      <w:r>
        <w:rPr>
          <w:rtl w:val="true"/>
        </w:rPr>
        <w:t>معناى صلح</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تسالم و سازش به امرى در مقام دفع يا رفع نزاعِ محقّق يا محتمل، يا در مقام اخذ نتيجۀ بيع يا اجاره يا هبه يا نحو اينها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597781_1067777946"/>
      <w:bookmarkStart w:id="523" w:name="_Toc211"/>
      <w:bookmarkEnd w:id="522"/>
      <w:r>
        <w:rPr>
          <w:rtl w:val="true"/>
        </w:rPr>
        <w:t>برخى شرايط و كيفيات مورد بحث در صلح</w:t>
      </w:r>
      <w:bookmarkEnd w:id="523"/>
    </w:p>
    <w:p>
      <w:pPr>
        <w:pStyle w:val="Heading5"/>
        <w:numPr>
          <w:ilvl w:val="4"/>
          <w:numId w:val="1"/>
        </w:numPr>
        <w:rPr/>
      </w:pPr>
      <w:bookmarkStart w:id="524" w:name="__RefHeading___Toc3597783_1067777946"/>
      <w:bookmarkStart w:id="525" w:name="_Toc212"/>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و نفوذ عقد صلح، فى الجمله تاثير آن در آثار تكليفيه و وضعيّه، اجماعى است و اختلاف، در بعض امورى است در آن</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3597785_1067777946"/>
      <w:bookmarkStart w:id="527" w:name="_Toc213"/>
      <w:bookmarkEnd w:id="526"/>
      <w:r>
        <w:rPr/>
        <w:t>1</w:t>
      </w:r>
      <w:r>
        <w:rPr>
          <w:rtl w:val="true"/>
        </w:rPr>
        <w:t xml:space="preserve">. </w:t>
      </w:r>
      <w:r>
        <w:rPr>
          <w:rtl w:val="true"/>
        </w:rPr>
        <w:t>اشتراط سبق نزاع يا عدم آن</w:t>
      </w:r>
      <w:bookmarkEnd w:id="5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مشروط بودن به سبق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نقل اتفاق ما بر آن شده است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اشتراط است به جهت صدق مفهوم، با جهالت بدون نزاع و با توقع نزاع بدون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صلح در مورد 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تحقق آن بدون نزاع است به اولويت، زيرا تركُّب صلح در مفهوم آن در تقدير تسلّم از نزاع و عدم و وفاق و از وفاق با نزاع سابق يا متوقَّع، موجب اعتبار در نفوذ به جهت وفاق است، نه به جهت خلاف يا به دخالت آن در مفهوم، به آن جهت كه موضوع نفوذ است؛ و بعض روايات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آنها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دارند به واسطۀ تقييد واقع در آنها؛ و سبق نزاع، موجب ضروريت صلح </w:t>
      </w:r>
      <w:bookmarkStart w:id="528" w:name="pg10256_89420"/>
    </w:p>
    <w:p>
      <w:pPr>
        <w:pStyle w:val="BookText"/>
        <w:rPr/>
      </w:pPr>
      <w:bookmarkEnd w:id="528"/>
      <w:r>
        <w:rPr>
          <w:rFonts w:ascii="Amiri" w:hAnsi="Amiri" w:eastAsia="Amiri" w:cs="Amiri"/>
          <w:color w:val="111111"/>
          <w:sz w:val="28"/>
          <w:sz w:val="28"/>
          <w:szCs w:val="28"/>
          <w:rtl w:val="true"/>
          <w:lang w:bidi="ar-SA"/>
        </w:rPr>
        <w:t>است، نه اصل مشروعيّت و نفوذ، با ندرت مورد خلو از توقع نزاع يا اطلاع به منشأ آن يا جهالت يا انكشاف جهل به مهمّ كه در همۀ اينها صلح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تقدير عدم صدق، كافى است عموم دليل وفاى بر عقود، و دليل تجارت در مورد آن، و دليل شرط به حسب معنى، و خصوص روايات معتبره در مجهول و غير آن، مثل مصححۀ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تصحيح خبر 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طحّان 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اينها اكتفا به بيان نتيجه بدون ذكر لفظ صلح يا ساير عقود است، پس با ذكر صلح و افهام نتيجه به آن، اولى به صحّت است</w:t>
      </w:r>
      <w:r>
        <w:rPr>
          <w:rFonts w:eastAsia="IRNazanin" w:cs="IRNazanin"/>
          <w:color w:val="111111"/>
          <w:sz w:val="28"/>
          <w:szCs w:val="28"/>
          <w:rtl w:val="true"/>
          <w:lang w:bidi="fa-IR"/>
        </w:rPr>
        <w:t>.</w:t>
      </w:r>
    </w:p>
    <w:p>
      <w:pPr>
        <w:pStyle w:val="Heading5"/>
        <w:numPr>
          <w:ilvl w:val="4"/>
          <w:numId w:val="1"/>
        </w:numPr>
        <w:rPr/>
      </w:pPr>
      <w:bookmarkStart w:id="529" w:name="__RefHeading___Toc3597787_1067777946"/>
      <w:bookmarkStart w:id="530" w:name="_Toc214"/>
      <w:bookmarkEnd w:id="529"/>
      <w:r>
        <w:rPr/>
        <w:t>2</w:t>
      </w:r>
      <w:r>
        <w:rPr>
          <w:rtl w:val="true"/>
        </w:rPr>
        <w:t xml:space="preserve">. </w:t>
      </w:r>
      <w:r>
        <w:rPr>
          <w:rtl w:val="true"/>
        </w:rPr>
        <w:t>استقلال يا تبعيّت صلح</w:t>
      </w:r>
      <w:bookmarkEnd w:id="530"/>
    </w:p>
    <w:p>
      <w:pPr>
        <w:pStyle w:val="Heading6"/>
        <w:numPr>
          <w:ilvl w:val="5"/>
          <w:numId w:val="1"/>
        </w:numPr>
        <w:rPr/>
      </w:pPr>
      <w:bookmarkStart w:id="531" w:name="__RefHeading___Toc3597789_1067777946"/>
      <w:bookmarkStart w:id="532" w:name="_Toc215"/>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و از آن جمله اصالت و استقلال صلح است در مقابلِ تبعيت و فرعيّت ساير انواع عقود مناسبه، مثل بيع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استقلال است؛ پس در شروط و احكام، تابع نوع مناسب نيست، چنانچه نقل اجماع ما بر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آن مقتضاى ظهورِ دليلِ جوازِ صلح است در عنوانيّت و موضوعيّت در مقابل معرّفيت، و مقتضاى آنچه خواهد آمد از صحّت صلح با انكار و جهل است، به خلاف بيع و اجاره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صحّت صلح با جهالت مدلول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واقعيّات در ساير انواع و عدم اعتبار به آنها بلكه به تبانى بر خلاف واقع با حلال بودن تبانى، جمع نمى شود، پس محلى براى فرعيّت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اينكه طلب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است به خلاف طلب صلح، شاهد مغايرت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جارى است در هر عقدى كه معلوم نباشد اختصاص اخذ نتيجه در آن به اسباب خاصه مثل نكاح؛ و لازم است از طرفين مگر با جعل خيار؛ و جارى است در آن خيار عيب و غبن</w:t>
      </w:r>
      <w:r>
        <w:rPr>
          <w:rFonts w:eastAsia="IRNazanin" w:cs="IRNazanin"/>
          <w:color w:val="111111"/>
          <w:sz w:val="28"/>
          <w:szCs w:val="28"/>
          <w:rtl w:val="true"/>
          <w:lang w:bidi="fa-IR"/>
        </w:rPr>
        <w:t xml:space="preserve">. </w:t>
      </w:r>
      <w:bookmarkStart w:id="533" w:name="pg10256_89421"/>
    </w:p>
    <w:p>
      <w:pPr>
        <w:pStyle w:val="Heading6"/>
        <w:numPr>
          <w:ilvl w:val="5"/>
          <w:numId w:val="1"/>
        </w:numPr>
        <w:rPr/>
      </w:pPr>
      <w:bookmarkStart w:id="534" w:name="__RefHeading___Toc3597791_1067777946"/>
      <w:bookmarkStart w:id="535" w:name="_Toc216"/>
      <w:bookmarkEnd w:id="533"/>
      <w:bookmarkEnd w:id="534"/>
      <w:r>
        <w:rPr>
          <w:rtl w:val="true"/>
        </w:rPr>
        <w:t>صحّت واقعيّه يا ظاهريۀ صلح</w:t>
      </w:r>
      <w:bookmarkEnd w:id="535"/>
    </w:p>
    <w:p>
      <w:pPr>
        <w:pStyle w:val="BookText"/>
        <w:rPr/>
      </w:pPr>
      <w:r>
        <w:rPr>
          <w:rFonts w:ascii="IRNazanin" w:hAnsi="IRNazanin" w:eastAsia="IRNazanin"/>
          <w:color w:val="111111"/>
          <w:sz w:val="28"/>
          <w:sz w:val="28"/>
          <w:szCs w:val="28"/>
          <w:rtl w:val="true"/>
          <w:lang w:bidi="fa-IR"/>
        </w:rPr>
        <w:t xml:space="preserve">و صلح در مقام مربوط به نزاع واقع يا ممكن، مثل حكم حاكم، رفع و دفع نزاع ممكن در دنيا را مى نمايد، و حق واقعى، ثبوتاً و نفياً و قدراً، محفوظ و مورد استحقاق مطالبه است در آخرت، چنانچه مستفاد از مصححۀ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تصرفات عالِم به عدمِ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مدّعى باشد يا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جايز نيست مگر با علم به رضاى صاحب حق بر طبق صلح على اىّ تقدير كه واقعيت داشته باشد، مثل موارد جهل هر دو و تساوى در امكان استعلام كه اختياراً صلح كرده باشند، به خلاف صورت علم هر دو و امتناع مَن عليه الحق و عدم امكان وصول به تمام حق و اضطرار به اخذ بعض آن به صلح، كه بايد احراز رضاى مطلق بشود در آثار واقعيّۀ حق واقعى، كه با كشف رضاى مطلق و واضح بودن كاشف، انكشاف مخالفت با واقع اگر چه از اقرار طرف باشد، كشف فساد صلح نمى كند؛ وگرنه صحّت آن براى جاهل، مادام الجهل است، و براى عالم از طرفين، در مقدار معلوم است كه قابل صحّت واقعيّه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ادلّه عامۀ صلح، قسم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ادلّۀ خاصّه، هر دو قسم موجود است، يعنى دليل صلح ظاهرى، مثل مصحح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واقعى، مثل 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جامع تقريبىِ هر دو، ترك دعواى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بيان شد، مربوط است به آنچه فرموده اند از صحّت صلح با اقرار و انكار، كه با اقرارِ فى الجمله، صلح صحّت آن واقعى است، و با انكارِ فى الجمله، صحّت آن ظاهرى است براى عالم بخلاف، بلكه غير عالم به وفاق فى الجمله</w:t>
      </w:r>
      <w:r>
        <w:rPr>
          <w:rFonts w:eastAsia="IRNazanin" w:cs="IRNazanin"/>
          <w:color w:val="111111"/>
          <w:sz w:val="28"/>
          <w:szCs w:val="28"/>
          <w:rtl w:val="true"/>
          <w:lang w:bidi="fa-IR"/>
        </w:rPr>
        <w:t>.</w:t>
      </w:r>
    </w:p>
    <w:p>
      <w:pPr>
        <w:pStyle w:val="Heading5"/>
        <w:numPr>
          <w:ilvl w:val="4"/>
          <w:numId w:val="1"/>
        </w:numPr>
        <w:rPr/>
      </w:pPr>
      <w:bookmarkStart w:id="536" w:name="__RefHeading___Toc3597793_1067777946"/>
      <w:bookmarkStart w:id="537" w:name="_Toc217"/>
      <w:bookmarkEnd w:id="536"/>
      <w:r>
        <w:rPr/>
        <w:t>3</w:t>
      </w:r>
      <w:r>
        <w:rPr>
          <w:rtl w:val="true"/>
        </w:rPr>
        <w:t xml:space="preserve">. </w:t>
      </w:r>
      <w:r>
        <w:rPr>
          <w:rtl w:val="true"/>
        </w:rPr>
        <w:t>اناطۀ نفوذ صلح به عدم تحليل حرام و عدم تحريم حلال</w:t>
      </w:r>
      <w:bookmarkEnd w:id="5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معتبر است در نفوذ صلح، عدم تحليل حرام و عدم تحريم حلال، مثل استباحۀ بُضع حرام و تحريم نكاح حليله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داخل است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538" w:name="pg10256_89422"/>
    </w:p>
    <w:p>
      <w:pPr>
        <w:pStyle w:val="BookText"/>
        <w:rPr/>
      </w:pPr>
      <w:bookmarkEnd w:id="538"/>
      <w:r>
        <w:rPr>
          <w:rFonts w:ascii="IRNazanin" w:hAnsi="IRNazanin" w:eastAsia="IRNazanin"/>
          <w:color w:val="111111"/>
          <w:sz w:val="28"/>
          <w:sz w:val="28"/>
          <w:szCs w:val="28"/>
          <w:rtl w:val="true"/>
          <w:lang w:bidi="fa-IR"/>
        </w:rPr>
        <w:t xml:space="preserve">احد الاحتمالين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متداعيين با علم يكى از آنها به بطلان دعوى و عدم رضاى مطلق، كه نسبت به غير عالم، صحيح است ظاهراً، و نسبت به عالِم، محلِّل حرام يا محرِّم حلال است، يا نسبت به يكى محلِّل حرام و به ديگرى محرِّم حلال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اين استثناءِ مصرَّحٌ به در نبويّين، موافق عمل مجمع عليه است، چنانچه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39" w:name="__RefHeading___Toc3597795_1067777946"/>
      <w:bookmarkStart w:id="540" w:name="_Toc218"/>
      <w:bookmarkEnd w:id="539"/>
      <w:r>
        <w:rPr>
          <w:rtl w:val="true"/>
        </w:rPr>
        <w:t>عدم اعتبار علم، در صلح</w:t>
      </w:r>
      <w:bookmarkEnd w:id="540"/>
    </w:p>
    <w:p>
      <w:pPr>
        <w:pStyle w:val="BookText"/>
        <w:rPr/>
      </w:pPr>
      <w:r>
        <w:rPr>
          <w:rFonts w:ascii="IRNazanin" w:hAnsi="IRNazanin" w:eastAsia="IRNazanin"/>
          <w:color w:val="111111"/>
          <w:sz w:val="28"/>
          <w:sz w:val="28"/>
          <w:szCs w:val="28"/>
          <w:rtl w:val="true"/>
          <w:lang w:bidi="fa-IR"/>
        </w:rPr>
        <w:t>معتبر نيست در صحّت صلح، علم به مصالَحٌ عنه و مصالَحٌ به، بلكه ممكن است جهل، سبب صلح باشد؛ پس محلى براى اعتبار عدم جهل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اعتبار، مذهب علماى ما است بر حسب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 مصحَّحه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قدر مستحق از طعام براى هر يك از متصالحين نزد ديگرى؛ بلكه اگر يكى فقط جاهل بود، پس عدم صلح واقعاً به سبب فقدان رضاى مطلق است، نه جهالت</w:t>
      </w:r>
      <w:r>
        <w:rPr>
          <w:rFonts w:eastAsia="IRNazanin" w:cs="IRNazanin"/>
          <w:color w:val="111111"/>
          <w:sz w:val="28"/>
          <w:szCs w:val="28"/>
          <w:rtl w:val="true"/>
          <w:lang w:bidi="fa-IR"/>
        </w:rPr>
        <w:t>.</w:t>
      </w:r>
    </w:p>
    <w:p>
      <w:pPr>
        <w:pStyle w:val="Heading4"/>
        <w:numPr>
          <w:ilvl w:val="3"/>
          <w:numId w:val="1"/>
        </w:numPr>
        <w:rPr/>
      </w:pPr>
      <w:bookmarkStart w:id="541" w:name="__RefHeading___Toc3597797_1067777946"/>
      <w:bookmarkStart w:id="542" w:name="_Toc219"/>
      <w:bookmarkEnd w:id="541"/>
      <w:r>
        <w:rPr>
          <w:rtl w:val="true"/>
        </w:rPr>
        <w:t>ادامۀ كلام در صلح واقعيّه است يا ظاهريّه</w:t>
      </w:r>
      <w:bookmarkEnd w:id="542"/>
    </w:p>
    <w:p>
      <w:pPr>
        <w:pStyle w:val="BookText"/>
        <w:rPr/>
      </w:pPr>
      <w:r>
        <w:rPr>
          <w:rFonts w:ascii="IRNazanin" w:hAnsi="IRNazanin" w:eastAsia="IRNazanin"/>
          <w:color w:val="111111"/>
          <w:sz w:val="28"/>
          <w:sz w:val="28"/>
          <w:szCs w:val="28"/>
          <w:rtl w:val="true"/>
          <w:lang w:bidi="fa-IR"/>
        </w:rPr>
        <w:t>آنچه حكايتِ اتفاق بر آن شده از اينكه شرط نيست سبق نزاع در صلح، كاشف است از انقسام صلح به محكوم به صحّت واقعيّه و محكوم به ظاهريّه كه غالباً در منازعات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آنچه نقل اجماع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شده است از عدم فرعيّت صلح، مناسب است با محكوم به صحّت واقعيّه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منسوب به علماى ما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جايز است با اقرار و 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با محكوم به صحّت ظاهريّه و با موارد تنازع واقعى يا احتمالى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نقل اتفاق بر آن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تحليل </w:t>
      </w:r>
      <w:bookmarkStart w:id="543" w:name="pg10256_89423"/>
    </w:p>
    <w:p>
      <w:pPr>
        <w:pStyle w:val="BookText"/>
        <w:rPr/>
      </w:pPr>
      <w:bookmarkEnd w:id="543"/>
      <w:r>
        <w:rPr>
          <w:rFonts w:ascii="IRNazanin" w:hAnsi="IRNazanin" w:eastAsia="IRNazanin"/>
          <w:color w:val="111111"/>
          <w:sz w:val="28"/>
          <w:sz w:val="28"/>
          <w:szCs w:val="28"/>
          <w:rtl w:val="true"/>
          <w:lang w:bidi="fa-IR"/>
        </w:rPr>
        <w:t>حرام، مناسب با محكوم به صحّت واقعيّه است، نه ظاهريّه كه غالب است در آن وقوع اين امر اگر يكى از يك طرف باشد؛ و لذا صحّت ظاهريّه و دنيويّه مى شود نسبت به غير عالم به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عدم اشتراط علم در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منسوب است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صحّت واقعيّه است نه ظاهريّه كه غالب در آن جهل است</w:t>
      </w:r>
      <w:r>
        <w:rPr>
          <w:rFonts w:eastAsia="IRNazanin" w:cs="IRNazanin"/>
          <w:color w:val="111111"/>
          <w:sz w:val="28"/>
          <w:szCs w:val="28"/>
          <w:rtl w:val="true"/>
          <w:lang w:bidi="fa-IR"/>
        </w:rPr>
        <w:t>.</w:t>
      </w:r>
    </w:p>
    <w:p>
      <w:pPr>
        <w:pStyle w:val="Heading4"/>
        <w:numPr>
          <w:ilvl w:val="3"/>
          <w:numId w:val="1"/>
        </w:numPr>
        <w:rPr/>
      </w:pPr>
      <w:bookmarkStart w:id="544" w:name="__RefHeading___Toc3597799_1067777946"/>
      <w:bookmarkStart w:id="545" w:name="_Toc220"/>
      <w:bookmarkEnd w:id="544"/>
      <w:r>
        <w:rPr>
          <w:rtl w:val="true"/>
        </w:rPr>
        <w:t>صلح معاطاتى</w:t>
      </w:r>
      <w:bookmarkEnd w:id="5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مشتمل بر ايجاب و قبولِ لفظيّين، صحيح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صلح معاطاتى كه قرينه بر تسالم صلحى در آن باشد، محكوم به صحّت است‌؟ ممكن است اولويت به صحّت، از بيع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در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اسهليت امر در صلح از بيع و نحو آن، و موافقت با سيره، و عدم التزام در صلح به تلفظ از طرفين،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است و بايد ايجاب و قبول را واجد باشد حتى در مورد افادۀ ابراء كه در غير صلح ايقاع است، و لكن هر فعل و لفظِ دالِّ بر تسالم، كافى است در دو ركن عقد با امتياز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مصالحٌ 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مصالحٌ عليه و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نحو كه اصل صلح، افاده مى شود در لفظ يا قراين ديگر، كه مفهوم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صالحتك عن هذا على هذا او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bookmarkStart w:id="546" w:name="pg10256_89424"/>
    </w:p>
    <w:p>
      <w:pPr>
        <w:pStyle w:val="Heading3"/>
        <w:numPr>
          <w:ilvl w:val="2"/>
          <w:numId w:val="1"/>
        </w:numPr>
        <w:rPr/>
      </w:pPr>
      <w:bookmarkStart w:id="547" w:name="__RefHeading___Toc3597801_1067777946"/>
      <w:bookmarkStart w:id="548" w:name="_Toc221"/>
      <w:bookmarkEnd w:id="546"/>
      <w:bookmarkEnd w:id="547"/>
      <w:r>
        <w:rPr>
          <w:rtl w:val="true"/>
        </w:rPr>
        <w:t>فصل دوّم احكام صلح و بعض مسائل</w:t>
      </w:r>
      <w:bookmarkEnd w:id="548"/>
    </w:p>
    <w:p>
      <w:pPr>
        <w:pStyle w:val="Heading4"/>
        <w:numPr>
          <w:ilvl w:val="3"/>
          <w:numId w:val="1"/>
        </w:numPr>
        <w:rPr/>
      </w:pPr>
      <w:bookmarkStart w:id="549" w:name="__RefHeading___Toc3597803_1067777946"/>
      <w:bookmarkStart w:id="550" w:name="_Toc222"/>
      <w:bookmarkEnd w:id="549"/>
      <w:r>
        <w:rPr>
          <w:rtl w:val="true"/>
        </w:rPr>
        <w:t>تصالح بر بودن سرمايه براى يكى و سود و زيان براى ديگرى</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شريكين بعد از ربح و اراده قسمت، صلح نمودند بر اينكه رأس المال براى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ربح و خسران در مجموع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طلب آنها و بعضى بدهى آنها و بعضى 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باشد، صحيح است، ناشى از هر داعى باشد، در صورت عدم ضميمۀ غير مشروعه، چنانچه مروى و مورد نقل اتفاق است و با عمومات صلح موافقت دارد</w:t>
      </w:r>
      <w:r>
        <w:rPr>
          <w:rFonts w:eastAsia="IRNazanin" w:cs="IRNazanin"/>
          <w:color w:val="111111"/>
          <w:sz w:val="28"/>
          <w:szCs w:val="28"/>
          <w:rtl w:val="true"/>
          <w:lang w:bidi="fa-IR"/>
        </w:rPr>
        <w:t>.</w:t>
      </w:r>
    </w:p>
    <w:p>
      <w:pPr>
        <w:pStyle w:val="Heading4"/>
        <w:numPr>
          <w:ilvl w:val="3"/>
          <w:numId w:val="1"/>
        </w:numPr>
        <w:rPr/>
      </w:pPr>
      <w:bookmarkStart w:id="551" w:name="__RefHeading___Toc3597805_1067777946"/>
      <w:bookmarkStart w:id="552" w:name="_Toc223"/>
      <w:bookmarkEnd w:id="551"/>
      <w:r>
        <w:rPr>
          <w:rtl w:val="true"/>
        </w:rPr>
        <w:t>نفوذ صلح با فرض فقدان خصوصيّات مذكوره</w:t>
      </w:r>
      <w:bookmarkEnd w:id="552"/>
    </w:p>
    <w:p>
      <w:pPr>
        <w:pStyle w:val="BookText"/>
        <w:rPr/>
      </w:pPr>
      <w:r>
        <w:rPr>
          <w:rFonts w:ascii="IRNazanin" w:hAnsi="IRNazanin" w:eastAsia="IRNazanin"/>
          <w:color w:val="111111"/>
          <w:sz w:val="28"/>
          <w:sz w:val="28"/>
          <w:szCs w:val="28"/>
          <w:rtl w:val="true"/>
          <w:lang w:bidi="fa-IR"/>
        </w:rPr>
        <w:t>اظهر عدم اختصاص صحّت صلح است به صورت وجود خصوصيات مذكوره؛ پس نافذ است در اوّلِ شركت بعد از تحقق آن، و در اثنا، و در وقت ارادۀ قسمت؛ و اذن در تصرفات در غير اخير، مربوط به شركت است، و نتيجه تابع صلح مى شود، مثل آنچه در اخير است؛ و عدم اختصاص، موافق اطلاق فتواى مُعْظَم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شرط نيست اختلاف مال الشركه در دين و عين بودن؛ پس جارى است صحّت صلح به عمومات در صورت اتفاقِ صحيح؛ و الغاى خصوصيت در روايت خاصه، موافق با عدم اختصاص است</w:t>
      </w:r>
      <w:r>
        <w:rPr>
          <w:rFonts w:eastAsia="IRNazanin" w:cs="IRNazanin"/>
          <w:color w:val="111111"/>
          <w:sz w:val="28"/>
          <w:szCs w:val="28"/>
          <w:rtl w:val="true"/>
          <w:lang w:bidi="fa-IR"/>
        </w:rPr>
        <w:t>.</w:t>
      </w:r>
    </w:p>
    <w:p>
      <w:pPr>
        <w:pStyle w:val="Heading4"/>
        <w:numPr>
          <w:ilvl w:val="3"/>
          <w:numId w:val="1"/>
        </w:numPr>
        <w:rPr/>
      </w:pPr>
      <w:bookmarkStart w:id="553" w:name="__RefHeading___Toc3597807_1067777946"/>
      <w:bookmarkStart w:id="554" w:name="_Toc224"/>
      <w:bookmarkEnd w:id="553"/>
      <w:r>
        <w:rPr>
          <w:rtl w:val="true"/>
        </w:rPr>
        <w:t>تصالح ادّعاى تمام دو درهم و ادّعاى يك درهم</w:t>
      </w:r>
      <w:bookmarkEnd w:id="5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يد شخصين، دو درهم باشد و يكى از آنها ادّعاى هر دو و ديگرى ادّعاى</w:t>
      </w:r>
      <w:bookmarkStart w:id="555" w:name="pg10256_89425"/>
    </w:p>
    <w:p>
      <w:pPr>
        <w:pStyle w:val="BookText"/>
        <w:rPr/>
      </w:pPr>
      <w:bookmarkEnd w:id="555"/>
      <w:r>
        <w:rPr>
          <w:rFonts w:ascii="IRNazanin" w:hAnsi="IRNazanin" w:eastAsia="IRNazanin"/>
          <w:color w:val="111111"/>
          <w:sz w:val="28"/>
          <w:sz w:val="28"/>
          <w:szCs w:val="28"/>
          <w:rtl w:val="true"/>
          <w:lang w:bidi="fa-IR"/>
        </w:rPr>
        <w:t>يكى نمايد، يك درهمْ مخصوصِ به مدعىِ هر دو مى شود، و درهم ديگر، تقسيم و تنصيفِ بين آن دو مى شود، چه آنكه مدّعىِ يكى، مدّعىِ يكىِ مشاع باشد يا معيّن؛ چنانچه مذكور در صحيح، موافق اطلاق فتاوى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عدم احتياج است در هر دو صورت از هيچ كدام، به حلف براى نفى استحقاقِ ديگرى نصف مقسوم براى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حكم، به حلف با نكول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حلف خصوص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احوط اختصاص حكم است به صورت عدم بيّنه رأساً يا وجود بيّنتين متساويتين دو 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درهم مذكور، در يد مدّعىِ هر دو بود، حكم مى شود براى او با حلفش براى مدّعىِ واحد، به عدم استحقاق چيزى در صورت عدم بيّنه؛ و اگر در يد مدّعىِ واحد بود، براى او مى شود با حلفش به عدم استحقاق طرف، غير واحد را، در صورت عدم بيّنه، و رد مى نمايد به طرف، درهم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يدِ ثالث باشد، پس در صورت تكذيب او هر دو را، حكم مى شود به اقرار در يد ثالث با حلف او، به عدم استحقاق آن دو، چيزى از آنها را، با عدم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تصديق كرد يكى از آن دو را، حال يكى از آن دو را دارد و مثل صورت يد يكى از آن دو بر دو درهم است، و حلف او با عدم بيّنه براى غيره مصدَقِ او است</w:t>
      </w:r>
      <w:r>
        <w:rPr>
          <w:rFonts w:eastAsia="IRNazanin" w:cs="IRNazanin"/>
          <w:color w:val="111111"/>
          <w:sz w:val="28"/>
          <w:szCs w:val="28"/>
          <w:rtl w:val="true"/>
          <w:lang w:bidi="fa-IR"/>
        </w:rPr>
        <w:t>.</w:t>
      </w:r>
    </w:p>
    <w:p>
      <w:pPr>
        <w:pStyle w:val="Heading4"/>
        <w:numPr>
          <w:ilvl w:val="3"/>
          <w:numId w:val="1"/>
        </w:numPr>
        <w:rPr/>
      </w:pPr>
      <w:bookmarkStart w:id="556" w:name="__RefHeading___Toc3597809_1067777946"/>
      <w:bookmarkStart w:id="557" w:name="_Toc225"/>
      <w:bookmarkEnd w:id="556"/>
      <w:r>
        <w:rPr>
          <w:rtl w:val="true"/>
        </w:rPr>
        <w:t>حكم صور ديگر در مسأله</w:t>
      </w:r>
      <w:bookmarkEnd w:id="557"/>
    </w:p>
    <w:p>
      <w:pPr>
        <w:pStyle w:val="BookText"/>
        <w:rPr/>
      </w:pPr>
      <w:r>
        <w:rPr>
          <w:rFonts w:ascii="IRNazanin" w:hAnsi="IRNazanin" w:eastAsia="IRNazanin"/>
          <w:color w:val="111111"/>
          <w:sz w:val="28"/>
          <w:sz w:val="28"/>
          <w:szCs w:val="28"/>
          <w:rtl w:val="true"/>
          <w:lang w:bidi="fa-IR"/>
        </w:rPr>
        <w:t>اظهر الحاق مثل دينارين، به درهمين و مثل جماعت، به دو مدّعى است، در ثبوت حكم مخصوص به مورد نصّ به الغاى خصوصيت با قطع به عدم اختصاص، چنانچه استدلال در جواب، دال بر آن است، و آن موافق با تعميم است اگر چه مذكور در روايتين و فتاوى، خصوص در همين و خصوص مدعيين است</w:t>
      </w:r>
      <w:r>
        <w:rPr>
          <w:rFonts w:eastAsia="IRNazanin" w:cs="IRNazanin"/>
          <w:color w:val="111111"/>
          <w:sz w:val="28"/>
          <w:szCs w:val="28"/>
          <w:rtl w:val="true"/>
          <w:lang w:bidi="fa-IR"/>
        </w:rPr>
        <w:t>.</w:t>
      </w:r>
    </w:p>
    <w:p>
      <w:pPr>
        <w:pStyle w:val="Heading4"/>
        <w:numPr>
          <w:ilvl w:val="3"/>
          <w:numId w:val="1"/>
        </w:numPr>
        <w:rPr/>
      </w:pPr>
      <w:bookmarkStart w:id="558" w:name="__RefHeading___Toc3597811_1067777946"/>
      <w:bookmarkStart w:id="559" w:name="_Toc226"/>
      <w:bookmarkEnd w:id="558"/>
      <w:r>
        <w:rPr>
          <w:rtl w:val="true"/>
        </w:rPr>
        <w:t>حكم تلف بعض مال مشترك در نزد ودعى</w:t>
      </w:r>
      <w:bookmarkEnd w:id="5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ايداع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دينار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دينار را، و بدون تفريطْ</w:t>
      </w:r>
      <w:bookmarkStart w:id="560" w:name="pg10256_89426"/>
    </w:p>
    <w:p>
      <w:pPr>
        <w:pStyle w:val="BookText"/>
        <w:rPr/>
      </w:pPr>
      <w:bookmarkEnd w:id="560"/>
      <w:r>
        <w:rPr>
          <w:rFonts w:ascii="IRNazanin" w:hAnsi="IRNazanin" w:eastAsia="IRNazanin"/>
          <w:color w:val="111111"/>
          <w:sz w:val="28"/>
          <w:sz w:val="28"/>
          <w:szCs w:val="28"/>
          <w:rtl w:val="true"/>
          <w:lang w:bidi="fa-IR"/>
        </w:rPr>
        <w:t>يك دينار تلف شد و معلوم نشد تالف از مال كدام بوده، وَدَعى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حكم باقى خلاف است؛ مشهور اعطاى يك دينار به صاحب دو دينار است و تنصيف يك دينار بين دو نفر، و اين مروى است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اختيار شود اينكه مشهور است در صورت عدم حصول شركت به اينكه اختلاط، مأذون باشد از جانب هر دو يا بدون اختيار ودعى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آن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فتواى مشهور، استفاده آن از صحيحين در مسأله سابقه كه در يد شخصين، دو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ما بقى تثليث مى شود به مقتضاى شركت، و تالف، ثلث آن از يكى و دو ثلث آن از ديگرى است، و مابقى هم چنين است؛ پس يك دينار و ثلث، مال صاحب دو دينار، و دو ثلث دينار، مال صاحب دينار مى شود، 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اجزاى ممتزجه، تثليث است 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در جميع موارد، حصول شركت به امتزاج در جميع مِثْليّات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استظهار عدم خلاف در مسأله قفيزين و قفيز و امثال آنها از حنطه و شعير و دخن بعد از اختلاطِ موجب شركت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و احتمال جريان حكم مذكور در درهم،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بعد از حصول اشتباه موجب شركت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غير صورت شركت، احتمال اختصاص شخص تالف در هر دو، مساوى است، و لازمه آن تنصيف است و اينكه يك دينار و نصف، مال صاحب دو دينار است، و اين قول اقرب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اظهر عدم اعتبار يمين است در اين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حلف در صورت حكم به تنصيف و در صورت حكم به مقتضاى شركت؛ چنانچه نص و فتوىٰ‌، خالى از ذكر يمين است در مورد تعرّض هركدام از آن دو</w:t>
      </w:r>
      <w:r>
        <w:rPr>
          <w:rFonts w:eastAsia="IRNazanin" w:cs="IRNazanin"/>
          <w:color w:val="111111"/>
          <w:sz w:val="28"/>
          <w:szCs w:val="28"/>
          <w:rtl w:val="true"/>
          <w:lang w:bidi="fa-IR"/>
        </w:rPr>
        <w:t>.</w:t>
      </w:r>
    </w:p>
    <w:p>
      <w:pPr>
        <w:pStyle w:val="Heading4"/>
        <w:numPr>
          <w:ilvl w:val="3"/>
          <w:numId w:val="1"/>
        </w:numPr>
        <w:rPr/>
      </w:pPr>
      <w:bookmarkStart w:id="561" w:name="__RefHeading___Toc3597813_1067777946"/>
      <w:bookmarkStart w:id="562" w:name="_Toc227"/>
      <w:bookmarkEnd w:id="561"/>
      <w:r>
        <w:rPr>
          <w:rtl w:val="true"/>
        </w:rPr>
        <w:t>تفريط ودعى در فرض مسألۀ گذشته</w:t>
      </w:r>
      <w:bookmarkEnd w:id="56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ودعى تفريط در حفظ كرده باشد، ضامن است و ضميمه مى كند از مال خود، بدل تالف را به موجود و عمل به وظيفه در آن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تعاسر و دعوى </w:t>
      </w:r>
      <w:bookmarkStart w:id="563" w:name="pg10256_89427"/>
    </w:p>
    <w:p>
      <w:pPr>
        <w:pStyle w:val="BookText"/>
        <w:rPr/>
      </w:pPr>
      <w:bookmarkEnd w:id="563"/>
      <w:r>
        <w:rPr>
          <w:rFonts w:ascii="Amiri" w:hAnsi="Amiri" w:eastAsia="Amiri" w:cs="Amiri"/>
          <w:color w:val="111111"/>
          <w:sz w:val="28"/>
          <w:sz w:val="28"/>
          <w:szCs w:val="28"/>
          <w:rtl w:val="true"/>
          <w:lang w:bidi="ar-SA"/>
        </w:rPr>
        <w:t>و اختلاف، موارد مختلفه دارد و در بعض آنها احتمال تعيين به قرعه، قائم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فرقى نيست در اين مسأله و سابقه بين درهم و دينار در ايداع، به جهت فهم عدم خصوصيت، چنانچه ظاهر است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كتب فتاوى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ديگر</w:t>
      </w:r>
      <w:r>
        <w:rPr>
          <w:rFonts w:eastAsia="IRNazanin" w:cs="IRNazanin"/>
          <w:color w:val="111111"/>
          <w:sz w:val="28"/>
          <w:szCs w:val="28"/>
          <w:rtl w:val="true"/>
          <w:lang w:bidi="fa-IR"/>
        </w:rPr>
        <w:t>.</w:t>
      </w:r>
    </w:p>
    <w:p>
      <w:pPr>
        <w:pStyle w:val="Heading4"/>
        <w:numPr>
          <w:ilvl w:val="3"/>
          <w:numId w:val="1"/>
        </w:numPr>
        <w:rPr/>
      </w:pPr>
      <w:bookmarkStart w:id="564" w:name="__RefHeading___Toc3597815_1067777946"/>
      <w:bookmarkStart w:id="565" w:name="_Toc228"/>
      <w:bookmarkEnd w:id="564"/>
      <w:r>
        <w:rPr>
          <w:rtl w:val="true"/>
        </w:rPr>
        <w:t>تصالح در فرض اشتباه دو شىء گران و ارزان</w:t>
      </w:r>
      <w:bookmarkEnd w:id="56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تملك كرد ثوبى را به بيست درهم و ديگرى ثوبى را به سى درهم، پس مشتبه شد دو ثوب و معلوم نشد ثوب هر يك به واسطۀ عدم معلوميّت اعلى قيمتاً، پس اگر صاحب بيست مخيّر نمود ديگرى را در اختيار هر كدام، كه حكم معلوم است؛ وگرنه ميتوانند بيع نمايند دو ثوب را منفردين و ثمن اعلى قيمتاً را بدهند به صاحب اكثر الثمنين، و مى توانند با هم ثوب را بفروشند و دو خمس ثَمَن مجموع را به صاحب بيست بدهند و بقيّه را به صاحب 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جواز اكتفا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رجوع به اهل خبره با تعدّد و عدالت در تقويم، و تخصيص اعلى قيمتاً به صاحب اكثر دو ثَمَن، و در تقدير تساوىِ دو قيمت، تخيير در خصوصيت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نشد مگر به بيع منفرداً، بيع نمايند؛ و اگر ممكن نشد، مجتمعاً بيع نمايند و تخميس ثَمَن نمايند، چنانچه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اختصاص حكم به ثوبين از ساير اموال و امتعه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عدم امكان بيع، تعيين با قرعه بى وجه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صلح در مسألۀ دراهم و ما بعد آن، خارجى قهرى است، نه عنوانى اختيارى</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597817_1067777946"/>
      <w:bookmarkStart w:id="567" w:name="_Toc229"/>
      <w:bookmarkEnd w:id="566"/>
      <w:r>
        <w:rPr>
          <w:rtl w:val="true"/>
        </w:rPr>
        <w:t>ظهور عدم مالكيّت عدم ماليّت يكى از عوضين در صلح</w:t>
      </w:r>
      <w:bookmarkEnd w:id="56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معاوضى اگر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عوضينِ آن، مال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موقوفيّت به اجازه مالك متجه است؛ و اگر غيرِ متموّل در آمد يا غير مملوك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خمر و خنزير براى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بطلان اصل عقد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عوض كلى و مدفوع، مال</w:t>
      </w:r>
      <w:bookmarkStart w:id="568" w:name="pg10256_89428"/>
    </w:p>
    <w:p>
      <w:pPr>
        <w:pStyle w:val="BookText"/>
        <w:rPr/>
      </w:pPr>
      <w:bookmarkEnd w:id="568"/>
      <w:r>
        <w:rPr>
          <w:rFonts w:ascii="Amiri" w:hAnsi="Amiri" w:eastAsia="Amiri" w:cs="Amiri"/>
          <w:color w:val="111111"/>
          <w:sz w:val="28"/>
          <w:sz w:val="28"/>
          <w:szCs w:val="28"/>
          <w:rtl w:val="true"/>
          <w:lang w:bidi="ar-SA"/>
        </w:rPr>
        <w:t>غير يا غير متموّل يا غير مملوك در آمد، جبران به تبديل و نحو آن مى شود</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3597819_1067777946"/>
      <w:bookmarkStart w:id="570" w:name="_Toc230"/>
      <w:bookmarkEnd w:id="569"/>
      <w:r>
        <w:rPr>
          <w:rtl w:val="true"/>
        </w:rPr>
        <w:t>ظهور عيب در يكى از عوضين</w:t>
      </w:r>
      <w:bookmarkEnd w:id="570"/>
    </w:p>
    <w:p>
      <w:pPr>
        <w:pStyle w:val="BookText"/>
        <w:rPr/>
      </w:pPr>
      <w:r>
        <w:rPr>
          <w:rFonts w:ascii="IRNazanin" w:hAnsi="IRNazanin" w:eastAsia="IRNazanin"/>
          <w:color w:val="111111"/>
          <w:sz w:val="28"/>
          <w:sz w:val="28"/>
          <w:szCs w:val="28"/>
          <w:rtl w:val="true"/>
          <w:lang w:bidi="fa-IR"/>
        </w:rPr>
        <w:t>و اگر عيبى در احد عوضين ظاهر شد، خيار براى متضرر ثابت مى شود، و ثبوت ارش، مبنى بر ثبوت آن به قاعدۀ ضرر در بيع است؛ و هم چنين خيار غبن غيرِ متسامحٌ فيه در صلح ثابت مى شود به قاعدۀ ضرر</w:t>
      </w:r>
      <w:r>
        <w:rPr>
          <w:rFonts w:eastAsia="IRNazanin" w:cs="IRNazanin"/>
          <w:color w:val="111111"/>
          <w:sz w:val="28"/>
          <w:szCs w:val="28"/>
          <w:rtl w:val="true"/>
          <w:lang w:bidi="fa-IR"/>
        </w:rPr>
        <w:t>.</w:t>
      </w:r>
    </w:p>
    <w:p>
      <w:pPr>
        <w:pStyle w:val="Heading4"/>
        <w:numPr>
          <w:ilvl w:val="3"/>
          <w:numId w:val="1"/>
        </w:numPr>
        <w:rPr/>
      </w:pPr>
      <w:bookmarkStart w:id="571" w:name="__RefHeading___Toc3597821_1067777946"/>
      <w:bookmarkStart w:id="572" w:name="_Toc231"/>
      <w:bookmarkEnd w:id="571"/>
      <w:r>
        <w:rPr>
          <w:rtl w:val="true"/>
        </w:rPr>
        <w:t>جواز صلح در منفعت و حقّ‌</w:t>
      </w:r>
      <w:bookmarkEnd w:id="57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است صلح معاوضى با اختلاف عوضين در عين و منفعت بودن؛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از حقى به حقّى به نحو اسقاطِ قابل اسقاط، يا نقلِ قابلِ نقل، يا با اختلاف در اسقاط و نقل در عوضين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جايز است صلح بر اسقاط خيار و بر حق اولويت در تحجير و سوق و مسجد و خان و مدرسه و از حق شفعه و بر اسقاط 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صلح، فرعِ بيع نيست، معتبر نيست در صَرف آن تقابض در مجلس، و نه در سلَم آن، قبض ثمن در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نيست در صلح بر حقوق، علم به تحقّق آن در حال عقد؛ پس اگر متبيّن شد فيما بعدْ، تحقق آن، صلح صحيح است واقعاً؛ و اگر متبيّن شد عدم آن واقعاً، در صحّت صلح معاوضى، تأمل است؛ اگر چه صحّت دور نيست از صحّت صلح با انكار</w:t>
      </w:r>
      <w:r>
        <w:rPr>
          <w:rFonts w:eastAsia="IRNazanin" w:cs="IRNazanin"/>
          <w:color w:val="111111"/>
          <w:sz w:val="28"/>
          <w:szCs w:val="28"/>
          <w:rtl w:val="true"/>
          <w:lang w:bidi="fa-IR"/>
        </w:rPr>
        <w:t>.</w:t>
      </w:r>
    </w:p>
    <w:p>
      <w:pPr>
        <w:pStyle w:val="Heading4"/>
        <w:numPr>
          <w:ilvl w:val="3"/>
          <w:numId w:val="1"/>
        </w:numPr>
        <w:rPr/>
      </w:pPr>
      <w:bookmarkStart w:id="573" w:name="__RefHeading___Toc3597823_1067777946"/>
      <w:bookmarkStart w:id="574" w:name="_Toc232"/>
      <w:bookmarkEnd w:id="573"/>
      <w:r>
        <w:rPr>
          <w:rtl w:val="true"/>
        </w:rPr>
        <w:t>جواز تصالح به ازيد از قيمت</w:t>
      </w:r>
      <w:bookmarkEnd w:id="57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صلح از ثوبى به قيمت يك درهم كه مضمون به تلف يا اتلاف باشد، به دو درهم، جايز است، اگر چه بگوييم ربا در صلح جايز نيست، چون احد العوضين ثوب است نه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مثلى، واضح است؛ و در قيمى به ملاحظۀ اينكه ثابت در ذمّه، اختصاصى به درهم ندارد، بلكه مالكيّت مطلقۀ ثوب است از نقدين يا</w:t>
      </w:r>
      <w:bookmarkStart w:id="575" w:name="pg10256_89429"/>
    </w:p>
    <w:p>
      <w:pPr>
        <w:pStyle w:val="BookText"/>
        <w:rPr/>
      </w:pPr>
      <w:bookmarkEnd w:id="575"/>
      <w:r>
        <w:rPr>
          <w:rFonts w:ascii="IRNazanin" w:hAnsi="IRNazanin" w:eastAsia="IRNazanin"/>
          <w:color w:val="111111"/>
          <w:sz w:val="28"/>
          <w:sz w:val="28"/>
          <w:szCs w:val="28"/>
          <w:rtl w:val="true"/>
          <w:lang w:bidi="fa-IR"/>
        </w:rPr>
        <w:t xml:space="preserve">مطلقاً، پس تعيّن در جنسِ مصالح به ندارد؛ پس بطلانِ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اگر چه بگوييم به شمول ربا صلح را</w:t>
      </w:r>
      <w:r>
        <w:rPr>
          <w:rFonts w:eastAsia="IRNazanin" w:cs="IRNazanin"/>
          <w:color w:val="111111"/>
          <w:sz w:val="28"/>
          <w:szCs w:val="28"/>
          <w:rtl w:val="true"/>
          <w:lang w:bidi="fa-IR"/>
        </w:rPr>
        <w:t>.</w:t>
      </w:r>
    </w:p>
    <w:p>
      <w:pPr>
        <w:pStyle w:val="Heading4"/>
        <w:numPr>
          <w:ilvl w:val="3"/>
          <w:numId w:val="1"/>
        </w:numPr>
        <w:rPr/>
      </w:pPr>
      <w:bookmarkStart w:id="576" w:name="__RefHeading___Toc3597825_1067777946"/>
      <w:bookmarkStart w:id="577" w:name="_Toc233"/>
      <w:bookmarkEnd w:id="576"/>
      <w:r>
        <w:rPr>
          <w:rtl w:val="true"/>
        </w:rPr>
        <w:t>تصالح در فرض اقرار و انكار</w:t>
      </w:r>
      <w:bookmarkEnd w:id="57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ادّعاى خانه نمود و صاحب يدْ انكار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مصالحه نمود با مدّعى از اسقاط دعوى به سكناى يك سال مثلاً، صحيح است به مقتضاى عموم، چنانچه اشاره شد، و هيچ كدام حق رجوع ندارند، بنابر آنچه ذكر شد از اصالت صلح و لزوم آن مطلقاً در هر صلحى كه صحيحاً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اين صلحْ بعد از اقرار مدّعىٖ واقع بشود، بنابر صحّت صلح با اقرار و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منكر اقرار نمود براى مدّعى و پس از آن اين صلح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در دو صورت اخيره، احتياط ترك نشود به رعايت ثبوت معاوضۀ عقلاييّه اگر چه نظير آن در بيعْ جايز نباشد؛ پس رعايت شود تحقّق عوضين مثل اسقاط دعوى، يا تقييد اقرار به مثل سكناى سنۀ يا تقييد انكار به مثل سكناى سنه، يا مغايرت بين عوضين به مثل تأجيل و حلول در مثل مصالحۀ الفِ مؤجَّل به نصفِ حالّ‌، يا اختلاف جنس، يا كل مطلق با بعض خاص به رجوع مقابله بين بعض مطلق و خصوصيت بعض مقيّد؛ پس صلح معاوضى، خالى از عوض نباشد اگر چه دايره تعويض در صلح، اوسع از آن در ساير عقود معاوضيّه است حتى در مفيد ابراء، كه قبول، در صلحْ معتبر است و در ابراءْ معتبر نيست</w:t>
      </w:r>
      <w:r>
        <w:rPr>
          <w:rFonts w:eastAsia="IRNazanin" w:cs="IRNazanin"/>
          <w:color w:val="111111"/>
          <w:sz w:val="28"/>
          <w:szCs w:val="28"/>
          <w:rtl w:val="true"/>
          <w:lang w:bidi="fa-IR"/>
        </w:rPr>
        <w:t>.</w:t>
      </w:r>
    </w:p>
    <w:p>
      <w:pPr>
        <w:pStyle w:val="Heading4"/>
        <w:numPr>
          <w:ilvl w:val="3"/>
          <w:numId w:val="1"/>
        </w:numPr>
        <w:rPr/>
      </w:pPr>
      <w:bookmarkStart w:id="578" w:name="__RefHeading___Toc3597827_1067777946"/>
      <w:bookmarkStart w:id="579" w:name="_Toc234"/>
      <w:bookmarkEnd w:id="578"/>
      <w:r>
        <w:rPr>
          <w:rtl w:val="true"/>
        </w:rPr>
        <w:t>ادّعاى شراكت دو نفر و اقرار مدّعىٰ عليه به نفع يكى از آن دو</w:t>
      </w:r>
      <w:bookmarkEnd w:id="57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ادّعا نمودند خانه اى را در يد ثالث و تملّك آن را به سبب موجب شركت با تصريح به اين سبب، مثل ارث يا شراى اجتماعى، پس مدّعىٰ عليه، اقرار و تصديقِ يكى و تكذيبِ ديگرى نمود، مقَرٌّ به كه نصف خانه است بر حسب اقرار</w:t>
      </w:r>
      <w:bookmarkStart w:id="580" w:name="pg10256_89430"/>
    </w:p>
    <w:p>
      <w:pPr>
        <w:pStyle w:val="BookText"/>
        <w:rPr/>
      </w:pPr>
      <w:bookmarkEnd w:id="580"/>
      <w:r>
        <w:rPr>
          <w:rFonts w:ascii="IRNazanin" w:hAnsi="IRNazanin" w:eastAsia="IRNazanin"/>
          <w:color w:val="111111"/>
          <w:sz w:val="28"/>
          <w:sz w:val="28"/>
          <w:szCs w:val="28"/>
          <w:rtl w:val="true"/>
          <w:lang w:bidi="fa-IR"/>
        </w:rPr>
        <w:t xml:space="preserve">مدّعىٖ به شركت، مشتركِ بين آن دو نفر مى شود و تخصيص ذى اليد فايده ندارد؛ پس اگر مصالحه نمود با ذى اليدِ در آن نصف، با اذن هر يك، نافذ در تمام نصف است؛ وگرنه نافذ در ربع كه تمام حق يك نفر از مدّعيها است مى باشد، بر حسب آنچه اصحاب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بگوييم نصف مشاع مدّعىٰ و مَقرٌّ به و مبيع به صلح است و بين بايع و مشترى خلافى نيست در تملك بايع و مُصالح آن را و صحّت تمليك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فايدۀ صلحْ جانشينى مشترى مُقِرّ است از بايع، و در تسليمِ نصفِ مشاع به او، كافى است اين جانشينى، و نصف ديگر مورد دعوى بين جانشين و شريك است، چنانچه بين دو شريك بود قبل از اين صلح؛ پس ممكن است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صلح نصف مشاع و صلح مختص به بايع؛ پس قول اصحاب در اوّلى، حسَن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موافق مختار نباشد در مفروض بحث كه صلح با نفس مُقِرّ و ذى اليد انجام گرفته باشد و در نصف كلى واقع شده، نه شخصى، مثل شرقى يا غربى خانه كه در نصف كلى، حاجتى به اذن شريك در فرض نيست و عوض صلح، تماماً راجع به بايع و مصالح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مسلك اصح و موافق با مختار و اقرب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محمل كلام اصحاب، صلحِ نصفِ معيّن است كه حكم فضولى در نصف مصالح عنه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صلح نصفِ مشاع يا نصفِ مُقَرّ له يا نصف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مى شود مصالحٌ به در آن به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مذكور اگر چه مخالف اطلاق كلمات اصحاب است، لكن چون حجيّت آن ثابت نيست و موجب حجيّت دليل خاصى نيست، لذا انصراف از مقتضاى قواعد عامه نمى شود</w:t>
      </w:r>
      <w:r>
        <w:rPr>
          <w:rFonts w:eastAsia="IRNazanin" w:cs="IRNazanin"/>
          <w:color w:val="111111"/>
          <w:sz w:val="28"/>
          <w:szCs w:val="28"/>
          <w:rtl w:val="true"/>
          <w:lang w:bidi="fa-IR"/>
        </w:rPr>
        <w:t>.</w:t>
      </w:r>
    </w:p>
    <w:p>
      <w:pPr>
        <w:pStyle w:val="Heading4"/>
        <w:numPr>
          <w:ilvl w:val="3"/>
          <w:numId w:val="1"/>
        </w:numPr>
        <w:rPr/>
      </w:pPr>
      <w:bookmarkStart w:id="581" w:name="__RefHeading___Toc3597829_1067777946"/>
      <w:bookmarkStart w:id="582" w:name="_Toc235"/>
      <w:bookmarkEnd w:id="581"/>
      <w:r>
        <w:rPr>
          <w:rtl w:val="true"/>
        </w:rPr>
        <w:t>اگر اقرار براى يكى، به تحقّق سبب واحد مالكيت بر هر دو باشد</w:t>
      </w:r>
      <w:bookmarkEnd w:id="5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اقرارِ براى يكى، اقرار به تحققِ سبب واحدِ مالكيّت هر دو باشد به نحوى كه </w:t>
      </w:r>
      <w:bookmarkStart w:id="583" w:name="pg10256_89431"/>
    </w:p>
    <w:p>
      <w:pPr>
        <w:pStyle w:val="BookText"/>
        <w:rPr/>
      </w:pPr>
      <w:bookmarkEnd w:id="583"/>
      <w:r>
        <w:rPr>
          <w:rFonts w:ascii="IRNazanin" w:hAnsi="IRNazanin" w:eastAsia="IRNazanin"/>
          <w:color w:val="111111"/>
          <w:sz w:val="28"/>
          <w:sz w:val="28"/>
          <w:szCs w:val="28"/>
          <w:rtl w:val="true"/>
          <w:lang w:bidi="fa-IR"/>
        </w:rPr>
        <w:t>تكذيب ديگرى محكوم به لغويّت باشد، پس از فرضْ خارج است و حكم آن اوضح است، زيرا اقرار به غاصبيّت از شريك ديگر است</w:t>
      </w:r>
      <w:r>
        <w:rPr>
          <w:rFonts w:eastAsia="IRNazanin" w:cs="IRNazanin"/>
          <w:color w:val="111111"/>
          <w:sz w:val="28"/>
          <w:szCs w:val="28"/>
          <w:rtl w:val="true"/>
          <w:lang w:bidi="fa-IR"/>
        </w:rPr>
        <w:t>.</w:t>
      </w:r>
    </w:p>
    <w:p>
      <w:pPr>
        <w:pStyle w:val="Heading4"/>
        <w:numPr>
          <w:ilvl w:val="3"/>
          <w:numId w:val="1"/>
        </w:numPr>
        <w:rPr/>
      </w:pPr>
      <w:bookmarkStart w:id="584" w:name="__RefHeading___Toc3597831_1067777946"/>
      <w:bookmarkStart w:id="585" w:name="_Toc236"/>
      <w:bookmarkEnd w:id="584"/>
      <w:r>
        <w:rPr>
          <w:rtl w:val="true"/>
        </w:rPr>
        <w:t>اگر ادّعاى هر دو نفر مالكيت به دو سبب باشد</w:t>
      </w:r>
      <w:bookmarkEnd w:id="585"/>
    </w:p>
    <w:p>
      <w:pPr>
        <w:pStyle w:val="BookText"/>
        <w:rPr/>
      </w:pPr>
      <w:r>
        <w:rPr>
          <w:rFonts w:ascii="IRNazanin" w:hAnsi="IRNazanin" w:eastAsia="IRNazanin"/>
          <w:color w:val="111111"/>
          <w:sz w:val="28"/>
          <w:sz w:val="28"/>
          <w:szCs w:val="28"/>
          <w:rtl w:val="true"/>
          <w:lang w:bidi="fa-IR"/>
        </w:rPr>
        <w:t>و اگر ادّعاى دو نفر، مالكيتِ به دو سبب باشد، يا آنكه به سبب واحد مدّعىٖ نباشد، پس حكم مذكور اوضح است، چنانچه جماعتى تصريح نموده اند كه عوض نصف تماماً مربوط به مُقَرّ له بعد از صلح مى شود</w:t>
      </w:r>
      <w:r>
        <w:rPr>
          <w:rFonts w:eastAsia="IRNazanin" w:cs="IRNazanin"/>
          <w:color w:val="111111"/>
          <w:sz w:val="28"/>
          <w:szCs w:val="28"/>
          <w:rtl w:val="true"/>
          <w:lang w:bidi="fa-IR"/>
        </w:rPr>
        <w:t>.</w:t>
      </w:r>
    </w:p>
    <w:p>
      <w:pPr>
        <w:pStyle w:val="Heading4"/>
        <w:numPr>
          <w:ilvl w:val="3"/>
          <w:numId w:val="1"/>
        </w:numPr>
        <w:rPr/>
      </w:pPr>
      <w:bookmarkStart w:id="586" w:name="__RefHeading___Toc3597833_1067777946"/>
      <w:bookmarkStart w:id="587" w:name="_Toc237"/>
      <w:bookmarkEnd w:id="586"/>
      <w:r>
        <w:rPr>
          <w:rtl w:val="true"/>
        </w:rPr>
        <w:t>عدم فرق بين وقوع صلح بعد و يا قبل از قبض</w:t>
      </w:r>
      <w:bookmarkEnd w:id="587"/>
    </w:p>
    <w:p>
      <w:pPr>
        <w:pStyle w:val="BookText"/>
        <w:rPr/>
      </w:pPr>
      <w:r>
        <w:rPr>
          <w:rFonts w:ascii="Amiri" w:hAnsi="Amiri" w:eastAsia="Amiri" w:cs="Amiri"/>
          <w:color w:val="111111"/>
          <w:sz w:val="28"/>
          <w:sz w:val="28"/>
          <w:szCs w:val="28"/>
          <w:rtl w:val="true"/>
          <w:lang w:bidi="ar-SA"/>
        </w:rPr>
        <w:t xml:space="preserve">و اظهر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حفظ خصوصيات مسأله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فرقى بين وقوع صلح بعد از قبض در يد و قبل از آن نيست، زيرا قبضْ شرط تملّك واقعى در همه جا نيست؛ و صلحِ مملوك واقعى در يد مصالح مانعى ندارد و عوض، مربوط به مصالِح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فرقى بين ادّعاى معيّت در تملّك، يا انفرادِ در تملكِ هر يكى نصف خانه را، نيست بعد از تحقق شركت واقعيّه به حسب اقرار شريكين در حين صلحِ يكى از آنها با ذى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مشترك، تالف آن از شريكين و باقى بين آنها است، پس ممكن است مربوط به مقام نباشد، زيرا عدم وصول، غيرِ امتناعِ عادى وصول است و آن فرض نشده است؛ پس مانعى از اختصاص معامله با يكى از شريكين نيست مگر در حصّۀ معيّنه از مشترك، چنانچه مذكور شد در صورت وقوع صلح با مقِرّ، چنانكه مفروض است</w:t>
      </w:r>
      <w:r>
        <w:rPr>
          <w:rFonts w:eastAsia="IRNazanin" w:cs="IRNazanin"/>
          <w:color w:val="111111"/>
          <w:sz w:val="28"/>
          <w:szCs w:val="28"/>
          <w:rtl w:val="true"/>
          <w:lang w:bidi="fa-IR"/>
        </w:rPr>
        <w:t>.</w:t>
      </w:r>
    </w:p>
    <w:p>
      <w:pPr>
        <w:pStyle w:val="Heading4"/>
        <w:numPr>
          <w:ilvl w:val="3"/>
          <w:numId w:val="1"/>
        </w:numPr>
        <w:rPr/>
      </w:pPr>
      <w:bookmarkStart w:id="588" w:name="__RefHeading___Toc3597835_1067777946"/>
      <w:bookmarkStart w:id="589" w:name="_Toc238"/>
      <w:bookmarkEnd w:id="588"/>
      <w:r>
        <w:rPr>
          <w:rtl w:val="true"/>
        </w:rPr>
        <w:t>صورت اذن شريك و عمل به آن</w:t>
      </w:r>
      <w:bookmarkEnd w:id="5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اذن شريك و عمل به آن، عوضْ تنصيف مى شود و ربعِ باقى براى يكى كه مُقَرّ له است، قابل اختصاص معاملۀ صلحيۀ ثانيه است؛ و هم چنين ربع طرف، بنابر آنچه ذكر شد از جواز صلح با انكار</w:t>
      </w:r>
      <w:r>
        <w:rPr>
          <w:rFonts w:eastAsia="IRNazanin" w:cs="IRNazanin"/>
          <w:color w:val="111111"/>
          <w:sz w:val="28"/>
          <w:szCs w:val="28"/>
          <w:rtl w:val="true"/>
          <w:lang w:bidi="fa-IR"/>
        </w:rPr>
        <w:t xml:space="preserve">. </w:t>
      </w:r>
      <w:bookmarkStart w:id="590" w:name="pg10256_89432"/>
    </w:p>
    <w:p>
      <w:pPr>
        <w:pStyle w:val="BookText"/>
        <w:rPr/>
      </w:pPr>
      <w:bookmarkEnd w:id="590"/>
      <w:r>
        <w:rPr>
          <w:rFonts w:ascii="IRNazanin" w:hAnsi="IRNazanin" w:eastAsia="IRNazanin"/>
          <w:color w:val="111111"/>
          <w:sz w:val="28"/>
          <w:sz w:val="28"/>
          <w:szCs w:val="28"/>
          <w:rtl w:val="true"/>
          <w:lang w:bidi="fa-IR"/>
        </w:rPr>
        <w:t>و جارى است در شرط، آنچه ذكر شد در صلح، به جهت اشتراك در عموم دليل خاص و وقوع استثناى تحريم و تحليل و حاجت به استصحابِ عدم تحليل در مواقع شك و آنچه در رفع معارضه مذكور شد</w:t>
      </w:r>
      <w:r>
        <w:rPr>
          <w:rFonts w:eastAsia="IRNazanin" w:cs="IRNazanin"/>
          <w:color w:val="111111"/>
          <w:sz w:val="28"/>
          <w:szCs w:val="28"/>
          <w:rtl w:val="true"/>
          <w:lang w:bidi="fa-IR"/>
        </w:rPr>
        <w:t>.</w:t>
      </w:r>
    </w:p>
    <w:p>
      <w:pPr>
        <w:pStyle w:val="Heading4"/>
        <w:numPr>
          <w:ilvl w:val="3"/>
          <w:numId w:val="1"/>
        </w:numPr>
        <w:rPr/>
      </w:pPr>
      <w:bookmarkStart w:id="591" w:name="__RefHeading___Toc3597837_1067777946"/>
      <w:bookmarkStart w:id="592" w:name="_Toc239"/>
      <w:bookmarkEnd w:id="591"/>
      <w:r>
        <w:rPr>
          <w:rtl w:val="true"/>
        </w:rPr>
        <w:t>حكم ربا در صلح</w:t>
      </w:r>
      <w:bookmarkEnd w:id="59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حرام است ربا در صلح، مثل بيع و دين يا نه‌؟ در آن دو 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دومى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اوّلى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به مذهب اكثر داده شده در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توقف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طرفين كه عبارت از موضوعيّت تفاضل در معاوضه براى تحريم ربا است به حسب مفهوم از روايات عديدۀ معتبره نه تفاضل در معاوضۀ بيعيّه، و هم چنين اطلاق ادلّه جواز صلح در غير تحليل و تحريم كه مدفوع به استصحاب مى باشند، خالى از قوت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ممكن است ترجيح اوّل به اينكه شك در استصحاب عدم تحليل و تحريم، مسبّب است از شك در اطلاق حرمت به حسب عوارض؛ و مقتضاى اطلاق در شك سببى، تعبّد به خلاف متعبّد به استصحابى است؛ و اين منافات ندارد با تقدم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 و استصحاباً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اطلاق عام در غير موارد عينيّۀ متعبّدٌ به در اطلاق عام و در استصحاب، يا آنكه بين آنها سببيّت و مسبّبيت باشد مثل اين مقام، و تأييد اين به روايت تعليل حكم ربا در مثل حسنه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غير منقوض به موارد حيل شرعيّه است به واسطۀ انتفاى موضوع به سبب حيل صحيحه، به خلاف صلح كه در معاوضه، فرقى با بيع ندارد در قوام معاوضه، مگر در صيغه و ساير قيود و شروط كه در حقيقتِ معاوضه معتبر نيستند</w:t>
      </w:r>
      <w:r>
        <w:rPr>
          <w:rFonts w:eastAsia="IRNazanin" w:cs="IRNazanin"/>
          <w:color w:val="111111"/>
          <w:sz w:val="28"/>
          <w:szCs w:val="28"/>
          <w:rtl w:val="true"/>
          <w:lang w:bidi="fa-IR"/>
        </w:rPr>
        <w:t xml:space="preserve">. </w:t>
      </w:r>
      <w:bookmarkStart w:id="593" w:name="pg10256_89433"/>
    </w:p>
    <w:p>
      <w:pPr>
        <w:pStyle w:val="BookText"/>
        <w:rPr/>
      </w:pPr>
      <w:bookmarkEnd w:id="593"/>
      <w:r>
        <w:rPr>
          <w:rFonts w:ascii="Amiri" w:hAnsi="Amiri" w:eastAsia="Amiri" w:cs="Amiri"/>
          <w:color w:val="111111"/>
          <w:sz w:val="28"/>
          <w:sz w:val="28"/>
          <w:szCs w:val="28"/>
          <w:rtl w:val="true"/>
          <w:lang w:bidi="ar-SA"/>
        </w:rPr>
        <w:t xml:space="preserve">و اين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خلاف تقويت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موارد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به عدم جواز به حسب ارتكاز و غير آن يا جواز به حسب معلوميّت اينكه وضع صلح براى تحليل و تحريم واقعى يا ظاهرى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ترجيح عدم جواز و تحفّظ بر اطلاق دليل حرمت در مورد ثبوت آن كه اين مقام از آن قبيل است، به واسطۀ قوت اطلاق به انحاى معاوضات غير بيع و دين كه مورد نص مى باشند</w:t>
      </w:r>
      <w:r>
        <w:rPr>
          <w:rFonts w:eastAsia="IRNazanin" w:cs="IRNazanin"/>
          <w:color w:val="111111"/>
          <w:sz w:val="28"/>
          <w:szCs w:val="28"/>
          <w:rtl w:val="true"/>
          <w:lang w:bidi="fa-IR"/>
        </w:rPr>
        <w:t>.</w:t>
      </w:r>
    </w:p>
    <w:p>
      <w:pPr>
        <w:pStyle w:val="Heading4"/>
        <w:numPr>
          <w:ilvl w:val="3"/>
          <w:numId w:val="1"/>
        </w:numPr>
        <w:rPr/>
      </w:pPr>
      <w:bookmarkStart w:id="594" w:name="__RefHeading___Toc3597839_1067777946"/>
      <w:bookmarkStart w:id="595" w:name="_Toc240"/>
      <w:bookmarkEnd w:id="594"/>
      <w:r>
        <w:rPr>
          <w:rtl w:val="true"/>
        </w:rPr>
        <w:t>عدم دلالت طلب صلح بر اقرار بر مالكيّت مطلوب منه</w:t>
      </w:r>
      <w:bookmarkEnd w:id="59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صلح، اقرار به مالكيّت مطلوب منه نيست؛ پس اقرار بعدى به مالكيّت غير، رجوعِ موجب ضمان مقِرّ نيست؛ به خلاف طلب بيع كه ظاهر آن، مالكيّت مطلوب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مقام قرينۀ صارفه از ظهورِ مذكور، متَّبَع 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0256_89435"/>
      <w:bookmarkStart w:id="597" w:name="pg10256_89435"/>
      <w:bookmarkEnd w:id="597"/>
    </w:p>
    <w:p>
      <w:pPr>
        <w:pStyle w:val="Heading2"/>
        <w:numPr>
          <w:ilvl w:val="1"/>
          <w:numId w:val="1"/>
        </w:numPr>
        <w:rPr/>
      </w:pPr>
      <w:bookmarkStart w:id="598" w:name="pg10256_89435"/>
      <w:bookmarkStart w:id="599" w:name="__RefHeading___Toc3597841_1067777946"/>
      <w:bookmarkStart w:id="600" w:name="_Toc241"/>
      <w:bookmarkEnd w:id="598"/>
      <w:bookmarkEnd w:id="599"/>
      <w:r>
        <w:rPr>
          <w:rtl w:val="true"/>
        </w:rPr>
        <w:t>كتاب تزاحم حقوق و املاك</w:t>
      </w:r>
      <w:bookmarkEnd w:id="600"/>
    </w:p>
    <w:p>
      <w:pPr>
        <w:pStyle w:val="Heading3"/>
        <w:numPr>
          <w:ilvl w:val="2"/>
          <w:numId w:val="1"/>
        </w:numPr>
        <w:rPr/>
      </w:pPr>
      <w:bookmarkStart w:id="601" w:name="__RefHeading___Toc3597843_1067777946"/>
      <w:bookmarkStart w:id="602" w:name="_Toc242"/>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به ترتيب مأخوذ از كتاب دروس</w:t>
      </w:r>
    </w:p>
    <w:p>
      <w:pPr>
        <w:pStyle w:val="BookText"/>
        <w:rPr/>
      </w:pPr>
      <w:r>
        <w:rPr>
          <w:rFonts w:ascii="Amiri" w:hAnsi="Amiri" w:eastAsia="Amiri" w:cs="Amiri"/>
          <w:color w:val="111111"/>
          <w:sz w:val="28"/>
          <w:sz w:val="28"/>
          <w:szCs w:val="28"/>
          <w:rtl w:val="true"/>
          <w:lang w:bidi="ar-SA"/>
        </w:rPr>
        <w:t>احكام طُرُق نافذۀ عامّه</w:t>
      </w:r>
    </w:p>
    <w:p>
      <w:pPr>
        <w:pStyle w:val="BookText"/>
        <w:rPr/>
      </w:pPr>
      <w:r>
        <w:rPr>
          <w:rFonts w:ascii="Amiri" w:hAnsi="Amiri" w:eastAsia="Amiri" w:cs="Amiri"/>
          <w:color w:val="111111"/>
          <w:sz w:val="28"/>
          <w:sz w:val="28"/>
          <w:szCs w:val="28"/>
          <w:rtl w:val="true"/>
          <w:lang w:bidi="ar-SA"/>
        </w:rPr>
        <w:t>احكام طُرُق مرفوعۀ مختصه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متفرقۀ تزاحم املاك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0256_89437"/>
      <w:bookmarkStart w:id="604" w:name="pg10256_89437"/>
      <w:bookmarkEnd w:id="604"/>
    </w:p>
    <w:p>
      <w:pPr>
        <w:pStyle w:val="Heading3"/>
        <w:numPr>
          <w:ilvl w:val="2"/>
          <w:numId w:val="1"/>
        </w:numPr>
        <w:rPr/>
      </w:pPr>
      <w:bookmarkStart w:id="605" w:name="pg10256_89437"/>
      <w:bookmarkStart w:id="606" w:name="__RefHeading___Toc3597845_1067777946"/>
      <w:bookmarkStart w:id="607" w:name="_Toc243"/>
      <w:bookmarkEnd w:id="605"/>
      <w:bookmarkEnd w:id="606"/>
      <w:r>
        <w:rPr>
          <w:rtl w:val="true"/>
        </w:rPr>
        <w:t>فصل اوّل احكام طُرُق نافذۀ عامّه</w:t>
      </w:r>
      <w:bookmarkEnd w:id="607"/>
    </w:p>
    <w:p>
      <w:pPr>
        <w:pStyle w:val="Heading4"/>
        <w:numPr>
          <w:ilvl w:val="3"/>
          <w:numId w:val="1"/>
        </w:numPr>
        <w:rPr/>
      </w:pPr>
      <w:bookmarkStart w:id="608" w:name="__RefHeading___Toc3597847_1067777946"/>
      <w:bookmarkStart w:id="609" w:name="_Toc244"/>
      <w:bookmarkEnd w:id="608"/>
      <w:r>
        <w:rPr>
          <w:rtl w:val="true"/>
        </w:rPr>
        <w:t>جواز اخراج روزنه و اجنحه و شرايط آن</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جايز است اخراج روزنه ها و اجنحه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خشبهاى خارج از املاك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نافذۀ عامّه اگر چه مستوعب طريق باشد، در صورت عدم اضرار به مارّه كه حق عبور آنها با خصوصيات آنها ثابت است، اگر چه ترك اضرار، به ارتفاع جناح از نفس محل عبور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اضرار به املاك شخصيّه همسايه ها، بر حسب سيره و اتفاق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ميزابهاى غير مضرّ به مارّه و ساير تصرفات در طرق نافذه، غير مضرّه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معارضه همسايه ها و ديگران اثرى ندارد با حفظ خصوصيات مذكوره، و نمى توانند ازاله و هدم نمايند، و مى توانند عملاً معارضه به مثل نمايند در حين ايجاد؛ پس با تنازع، ترجيح به مقدار سبق و با عدم آن، تصالح به تنصيف طريق و نحو آن مى نمايند</w:t>
      </w:r>
      <w:r>
        <w:rPr>
          <w:rFonts w:eastAsia="IRNazanin" w:cs="IRNazanin"/>
          <w:color w:val="111111"/>
          <w:sz w:val="28"/>
          <w:szCs w:val="28"/>
          <w:rtl w:val="true"/>
          <w:lang w:bidi="fa-IR"/>
        </w:rPr>
        <w:t>.</w:t>
      </w:r>
    </w:p>
    <w:p>
      <w:pPr>
        <w:pStyle w:val="Heading4"/>
        <w:numPr>
          <w:ilvl w:val="3"/>
          <w:numId w:val="1"/>
        </w:numPr>
        <w:rPr/>
      </w:pPr>
      <w:bookmarkStart w:id="610" w:name="__RefHeading___Toc3597849_1067777946"/>
      <w:bookmarkStart w:id="611" w:name="_Toc245"/>
      <w:bookmarkEnd w:id="610"/>
      <w:r>
        <w:rPr>
          <w:rtl w:val="true"/>
        </w:rPr>
        <w:t>حكم اخراج جناح در صورت امكان اشراف</w:t>
      </w:r>
      <w:bookmarkEnd w:id="6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اخراج جناح، مقتضى امكان اشراف بر همسايه در خانه و مسكن او باشد، پس در لحوقش بر تصرّف در املاك شخصيّه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جواز تعليه مقتضيه امكان اشراف و عدم جوازِ نفس اشراف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است؛ و اعتبار به ضرر حالى كه معرضيّت ضرر فعلى است، اقتضاى حق منع دارد در مقام، بلكه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612" w:name="pg10256_89438"/>
    </w:p>
    <w:p>
      <w:pPr>
        <w:pStyle w:val="BookText"/>
        <w:rPr/>
      </w:pPr>
      <w:bookmarkEnd w:id="612"/>
      <w:r>
        <w:rPr>
          <w:rFonts w:ascii="Amiri" w:hAnsi="Amiri" w:eastAsia="Amiri" w:cs="Amiri"/>
          <w:color w:val="111111"/>
          <w:sz w:val="28"/>
          <w:sz w:val="28"/>
          <w:szCs w:val="28"/>
          <w:rtl w:val="true"/>
          <w:lang w:bidi="ar-SA"/>
        </w:rPr>
        <w:t xml:space="preserve">اجماع بر جواز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حق اشراف امكانى، موافق با عموم نفى ضرر به حالى و عموم نفى عسر و حرج مى باشد</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597851_1067777946"/>
      <w:bookmarkStart w:id="614" w:name="_Toc246"/>
      <w:bookmarkEnd w:id="613"/>
      <w:r>
        <w:rPr>
          <w:rtl w:val="true"/>
        </w:rPr>
        <w:t>حكم اخراج جناح در صورتِ تعارض نفع و ضرر در اخراج جناح</w:t>
      </w:r>
      <w:bookmarkEnd w:id="6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اخراج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ضرر از جهتى و نفع از جهتى بر عابرين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حفظ از حرارت و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اگر نفعْ لزومى است، يعنى تركش موجب ضرر از آن جهت است، دَوَران بين ضرر فعل و ترك است، پس جايز است بنابر اظهر، با مساوات ضررين، و رعايت مى شود اقوى با رجحان يكى از آنها و از اينجا معلوم مى شود حكم تاريكى طريق به سبب اخراج جناح و نحو آن</w:t>
      </w:r>
      <w:r>
        <w:rPr>
          <w:rFonts w:eastAsia="IRNazanin" w:cs="IRNazanin"/>
          <w:color w:val="111111"/>
          <w:sz w:val="28"/>
          <w:szCs w:val="28"/>
          <w:rtl w:val="true"/>
          <w:lang w:bidi="fa-IR"/>
        </w:rPr>
        <w:t>.</w:t>
      </w:r>
    </w:p>
    <w:p>
      <w:pPr>
        <w:pStyle w:val="Heading4"/>
        <w:numPr>
          <w:ilvl w:val="3"/>
          <w:numId w:val="1"/>
        </w:numPr>
        <w:rPr/>
      </w:pPr>
      <w:bookmarkStart w:id="615" w:name="__RefHeading___Toc3597853_1067777946"/>
      <w:bookmarkStart w:id="616" w:name="_Toc247"/>
      <w:bookmarkEnd w:id="615"/>
      <w:r>
        <w:rPr>
          <w:rtl w:val="true"/>
        </w:rPr>
        <w:t>حكم اخراج جناح غير جايز</w:t>
      </w:r>
      <w:bookmarkEnd w:id="61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اخراجِ جناح غير جايز، الزام مى شود متصرف به قلع يا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ترك، ازاله مى شود از عابرين با اذن حاكم بنا بر احوط به نحوى كه ضرر بر مالك اخشاب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يا اخف ضرراً از ضرر آن باشد</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597855_1067777946"/>
      <w:bookmarkStart w:id="618" w:name="_Toc248"/>
      <w:bookmarkEnd w:id="617"/>
      <w:r>
        <w:rPr>
          <w:rtl w:val="true"/>
        </w:rPr>
        <w:t>گشودن درها و ناودانها به طرف راههاى عمومى</w:t>
      </w:r>
      <w:bookmarkEnd w:id="61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رعايت اضرار و عدم در تصرفات در طُرُق نافذه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شود جواز فتح ابواب جديده به سوى طُرُق نافذه اگر چه سبب شود از براى آنكه مرفوعه از جهتى نافذه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ميزابها به سوى طُرُق نافذه با عدم اضرار؛ و فتح روزنه ها و شباكها با عدم ضرر؛ و وضع ساباط با عدم اضرار، چنانچه اشاره بآن شد</w:t>
      </w:r>
      <w:r>
        <w:rPr>
          <w:rFonts w:eastAsia="IRNazanin" w:cs="IRNazanin"/>
          <w:color w:val="111111"/>
          <w:sz w:val="28"/>
          <w:szCs w:val="28"/>
          <w:rtl w:val="true"/>
          <w:lang w:bidi="fa-IR"/>
        </w:rPr>
        <w:t>.</w:t>
      </w:r>
    </w:p>
    <w:p>
      <w:pPr>
        <w:pStyle w:val="Heading4"/>
        <w:numPr>
          <w:ilvl w:val="3"/>
          <w:numId w:val="1"/>
        </w:numPr>
        <w:rPr/>
      </w:pPr>
      <w:bookmarkStart w:id="619" w:name="__RefHeading___Toc3597857_1067777946"/>
      <w:bookmarkStart w:id="620" w:name="_Toc249"/>
      <w:bookmarkEnd w:id="619"/>
      <w:r>
        <w:rPr>
          <w:rtl w:val="true"/>
        </w:rPr>
        <w:t>احداث زيرزمين در راههاى عمومى</w:t>
      </w:r>
      <w:bookmarkEnd w:id="6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عمل سرداب بين دو خانه، كه يكى از اهل آن طريق باشد يا غير او يا بدون تملك خانه، در صورت عدم اضرار و سدّ احتمال اضرار به عابرين جايز است</w:t>
      </w:r>
      <w:bookmarkStart w:id="621" w:name="pg10256_89439"/>
    </w:p>
    <w:p>
      <w:pPr>
        <w:pStyle w:val="BookText"/>
        <w:rPr/>
      </w:pPr>
      <w:bookmarkEnd w:id="621"/>
      <w:r>
        <w:rPr>
          <w:rFonts w:ascii="Amiri" w:hAnsi="Amiri" w:eastAsia="Amiri" w:cs="Amiri"/>
          <w:color w:val="111111"/>
          <w:sz w:val="28"/>
          <w:sz w:val="28"/>
          <w:szCs w:val="28"/>
          <w:rtl w:val="true"/>
          <w:lang w:bidi="ar-SA"/>
        </w:rPr>
        <w:t>بلكه حفر از روى زمين در طريق براى عمل سرداب با عدم مطلق ضرر نيز جايز است</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3597859_1067777946"/>
      <w:bookmarkStart w:id="623" w:name="_Toc250"/>
      <w:bookmarkEnd w:id="622"/>
      <w:r>
        <w:rPr>
          <w:rtl w:val="true"/>
        </w:rPr>
        <w:t>حكم تملّك زيرزمين احداث شده</w:t>
      </w:r>
      <w:bookmarkEnd w:id="623"/>
    </w:p>
    <w:p>
      <w:pPr>
        <w:pStyle w:val="BookText"/>
        <w:rPr/>
      </w:pPr>
      <w:r>
        <w:rPr>
          <w:rFonts w:ascii="IRNazanin" w:hAnsi="IRNazanin" w:eastAsia="IRNazanin"/>
          <w:color w:val="111111"/>
          <w:sz w:val="28"/>
          <w:sz w:val="28"/>
          <w:szCs w:val="28"/>
          <w:rtl w:val="true"/>
          <w:lang w:bidi="fa-IR"/>
        </w:rPr>
        <w:t xml:space="preserve">و اظهر عدم تملك شخص است سرداب را، بلكه حكم ما فوق را دارد در محدوديت جواز تصرّف و استحقاق آن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نيست، مگر آنكه در مباح الاصل فتحِ طريق شده باشد كه اين گونه تصرفات ابتداءً مملّك شخص بوده است؛ و هم چنين بعد از استطراق با عدم ضرر</w:t>
      </w:r>
      <w:r>
        <w:rPr>
          <w:rFonts w:eastAsia="IRNazanin" w:cs="IRNazanin"/>
          <w:color w:val="111111"/>
          <w:sz w:val="28"/>
          <w:szCs w:val="28"/>
          <w:rtl w:val="true"/>
          <w:lang w:bidi="fa-IR"/>
        </w:rPr>
        <w:t>.</w:t>
      </w:r>
    </w:p>
    <w:p>
      <w:pPr>
        <w:pStyle w:val="Heading4"/>
        <w:numPr>
          <w:ilvl w:val="3"/>
          <w:numId w:val="1"/>
        </w:numPr>
        <w:rPr/>
      </w:pPr>
      <w:bookmarkStart w:id="624" w:name="__RefHeading___Toc3597861_1067777946"/>
      <w:bookmarkStart w:id="625" w:name="_Toc251"/>
      <w:bookmarkEnd w:id="624"/>
      <w:r>
        <w:rPr>
          <w:rtl w:val="true"/>
        </w:rPr>
        <w:t>احداث دكّه و بالوعه و كاشت درخت و دفن اموات در راههاى عمومى</w:t>
      </w:r>
      <w:bookmarkEnd w:id="62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چنين جايز است احداث دكّه براى محل كسب در طُرُق نافذۀ عامّه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عابرين نباشد و موجب اختصاص مشترك به نحو غير مشروع نباشد، نه در وقتى كه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غرس در طريق عام، جايز است با عدم اضرار و در وقت عدم آن، نه در وقت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جواز احداث بالوعه براى مصلحت طريق يا مصلحت محدِث كه صاحب خانه در احد طرفين است، منوط به عدم 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خصوصيات آن بالوعه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دفن اموات در اناطۀ جواز بعدم اضرار</w:t>
      </w:r>
      <w:r>
        <w:rPr>
          <w:rFonts w:eastAsia="IRNazanin" w:cs="IRNazanin"/>
          <w:color w:val="111111"/>
          <w:sz w:val="28"/>
          <w:szCs w:val="28"/>
          <w:rtl w:val="true"/>
          <w:lang w:bidi="fa-IR"/>
        </w:rPr>
        <w:t>.</w:t>
      </w:r>
    </w:p>
    <w:p>
      <w:pPr>
        <w:pStyle w:val="Heading4"/>
        <w:numPr>
          <w:ilvl w:val="3"/>
          <w:numId w:val="1"/>
        </w:numPr>
        <w:rPr/>
      </w:pPr>
      <w:bookmarkStart w:id="626" w:name="__RefHeading___Toc3597863_1067777946"/>
      <w:bookmarkStart w:id="627" w:name="_Toc252"/>
      <w:bookmarkEnd w:id="626"/>
      <w:r>
        <w:rPr>
          <w:rtl w:val="true"/>
        </w:rPr>
        <w:t>حكم خاك اخذ شده از طرق عمومى</w:t>
      </w:r>
      <w:bookmarkEnd w:id="62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 مأخوذِ از طرق در موقع زيادتى آن بعد از عمل چيزى از آنچه ذكر شد، مشترك است؛ و قابل اختصاص به آخذ است در صورت عدم حاجت طريق و محلى از آن، به آن خاك</w:t>
      </w:r>
      <w:r>
        <w:rPr>
          <w:rFonts w:eastAsia="IRNazanin" w:cs="IRNazanin"/>
          <w:color w:val="111111"/>
          <w:sz w:val="28"/>
          <w:szCs w:val="28"/>
          <w:rtl w:val="true"/>
          <w:lang w:bidi="fa-IR"/>
        </w:rPr>
        <w:t>.</w:t>
      </w:r>
    </w:p>
    <w:p>
      <w:pPr>
        <w:pStyle w:val="Heading4"/>
        <w:numPr>
          <w:ilvl w:val="3"/>
          <w:numId w:val="1"/>
        </w:numPr>
        <w:rPr/>
      </w:pPr>
      <w:bookmarkStart w:id="628" w:name="__RefHeading___Toc3597865_1067777946"/>
      <w:bookmarkStart w:id="629" w:name="_Toc253"/>
      <w:bookmarkEnd w:id="628"/>
      <w:r>
        <w:rPr>
          <w:rtl w:val="true"/>
        </w:rPr>
        <w:t>شرط جواز استطراق طرق</w:t>
      </w:r>
      <w:bookmarkEnd w:id="62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استطراق طرق، محدود به سرعت يا بطء و ركوب يا ترجّل نيست، بلكه به</w:t>
      </w:r>
      <w:bookmarkStart w:id="630" w:name="pg10256_89440"/>
    </w:p>
    <w:p>
      <w:pPr>
        <w:pStyle w:val="BookText"/>
        <w:rPr/>
      </w:pPr>
      <w:bookmarkEnd w:id="630"/>
      <w:r>
        <w:rPr>
          <w:rFonts w:ascii="Amiri" w:hAnsi="Amiri" w:eastAsia="Amiri" w:cs="Amiri"/>
          <w:color w:val="111111"/>
          <w:sz w:val="28"/>
          <w:sz w:val="28"/>
          <w:szCs w:val="28"/>
          <w:rtl w:val="true"/>
          <w:lang w:bidi="ar-SA"/>
        </w:rPr>
        <w:t>عدم مزاحمت و مضارّه با ساير عابرين است</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3597867_1067777946"/>
      <w:bookmarkStart w:id="632" w:name="_Toc254"/>
      <w:bookmarkEnd w:id="631"/>
      <w:r>
        <w:rPr>
          <w:rtl w:val="true"/>
        </w:rPr>
        <w:t>جواز فتح طريق مسدود شده</w:t>
      </w:r>
      <w:bookmarkEnd w:id="63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سببى طريقِ مسلوك، مسدود شد، همه مى توانند آن را مفتوح نمايند و به حالت اصليّه اعاده نمايند</w:t>
      </w:r>
      <w:r>
        <w:rPr>
          <w:rFonts w:eastAsia="IRNazanin" w:cs="IRNazanin"/>
          <w:color w:val="111111"/>
          <w:sz w:val="28"/>
          <w:szCs w:val="28"/>
          <w:rtl w:val="true"/>
          <w:lang w:bidi="fa-IR"/>
        </w:rPr>
        <w:t>.</w:t>
      </w:r>
    </w:p>
    <w:p>
      <w:pPr>
        <w:pStyle w:val="Heading4"/>
        <w:numPr>
          <w:ilvl w:val="3"/>
          <w:numId w:val="1"/>
        </w:numPr>
        <w:rPr/>
      </w:pPr>
      <w:bookmarkStart w:id="633" w:name="__RefHeading___Toc3597869_1067777946"/>
      <w:bookmarkStart w:id="634" w:name="_Toc255"/>
      <w:bookmarkEnd w:id="633"/>
      <w:r>
        <w:rPr>
          <w:rtl w:val="true"/>
        </w:rPr>
        <w:t>احداث ساقيه</w:t>
      </w:r>
      <w:bookmarkEnd w:id="63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اظهر محكوميّت ساقيه و احداث آن، به حكم احداث ميزاب است؛ پس جايز است با عدم اضرار</w:t>
      </w:r>
      <w:r>
        <w:rPr>
          <w:rFonts w:eastAsia="IRNazanin" w:cs="IRNazanin"/>
          <w:color w:val="111111"/>
          <w:sz w:val="28"/>
          <w:szCs w:val="28"/>
          <w:rtl w:val="true"/>
          <w:lang w:bidi="fa-IR"/>
        </w:rPr>
        <w:t>.</w:t>
      </w:r>
    </w:p>
    <w:p>
      <w:pPr>
        <w:pStyle w:val="Heading4"/>
        <w:numPr>
          <w:ilvl w:val="3"/>
          <w:numId w:val="1"/>
        </w:numPr>
        <w:rPr/>
      </w:pPr>
      <w:bookmarkStart w:id="635" w:name="__RefHeading___Toc3597871_1067777946"/>
      <w:bookmarkStart w:id="636" w:name="_Toc256"/>
      <w:bookmarkEnd w:id="635"/>
      <w:r>
        <w:rPr>
          <w:rtl w:val="true"/>
        </w:rPr>
        <w:t>رجوع در آنچه كه داخل راه نموده باشد</w:t>
      </w:r>
      <w:bookmarkEnd w:id="63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ملك شخصى خودش داخل در طريق كرد، اظهر جواز رجوع است از براى خودش كه اعرف به نيّت خودش است؛ نه براى غير او از ورثه او، با استظهار وقفيّت عملاً براى عابرين از آن طريق، كه رجوع جايز نيست</w:t>
      </w:r>
      <w:r>
        <w:rPr>
          <w:rFonts w:eastAsia="IRNazanin" w:cs="IRNazanin"/>
          <w:color w:val="111111"/>
          <w:sz w:val="28"/>
          <w:szCs w:val="28"/>
          <w:rtl w:val="true"/>
          <w:lang w:bidi="fa-IR"/>
        </w:rPr>
        <w:t>.</w:t>
      </w:r>
    </w:p>
    <w:p>
      <w:pPr>
        <w:pStyle w:val="Heading4"/>
        <w:numPr>
          <w:ilvl w:val="3"/>
          <w:numId w:val="1"/>
        </w:numPr>
        <w:rPr/>
      </w:pPr>
      <w:bookmarkStart w:id="637" w:name="__RefHeading___Toc3597873_1067777946"/>
      <w:bookmarkStart w:id="638" w:name="_Toc257"/>
      <w:bookmarkEnd w:id="637"/>
      <w:r>
        <w:rPr>
          <w:rtl w:val="true"/>
        </w:rPr>
        <w:t>حكم نشستن در خيابانها و حكم نماز و تخلى</w:t>
      </w:r>
      <w:bookmarkEnd w:id="63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جلوس در شوارع و اطاله آن، منوط به عدم اضرار است؛ و در اين صورت ازاله و اقامه او به اكراه، جايز نيست؛ و قيام به نيّتِ اعراضِ فعلى، مجوّز جلوس غير است نه قيام اكراهى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نماز و تخلّى در طرق عامه منوط بعدم اضرار است</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3597875_1067777946"/>
      <w:bookmarkStart w:id="640" w:name="_Toc258"/>
      <w:bookmarkEnd w:id="639"/>
      <w:r>
        <w:rPr>
          <w:rtl w:val="true"/>
        </w:rPr>
        <w:t>تبديل راه</w:t>
      </w:r>
      <w:bookmarkEnd w:id="64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طريق يا بعضى از آن با عدم اضرار و با احسن بودن و اصلح بودنِ تبديل، جايز است؛ و در غير اين صورت محل تأمل است، و اظهر جواز با اذن حاكم شرع است و در مرفوعه با اذن ارباب آن است</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597877_1067777946"/>
      <w:bookmarkStart w:id="642" w:name="_Toc259"/>
      <w:bookmarkEnd w:id="641"/>
      <w:r>
        <w:rPr>
          <w:rtl w:val="true"/>
        </w:rPr>
        <w:t>حكم ترتب اتلاف بر تصرف در طريق</w:t>
      </w:r>
      <w:bookmarkEnd w:id="64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اتلافى در نفس يا مال مترتّب شود به سبب تصرّف مشروع، موجب ضمانِ‌</w:t>
      </w:r>
      <w:bookmarkStart w:id="643" w:name="pg10256_89441"/>
    </w:p>
    <w:p>
      <w:pPr>
        <w:pStyle w:val="BookText"/>
        <w:rPr/>
      </w:pPr>
      <w:bookmarkEnd w:id="643"/>
      <w:r>
        <w:rPr>
          <w:rFonts w:ascii="IRNazanin" w:hAnsi="IRNazanin" w:eastAsia="IRNazanin"/>
          <w:color w:val="111111"/>
          <w:sz w:val="28"/>
          <w:sz w:val="28"/>
          <w:szCs w:val="28"/>
          <w:rtl w:val="true"/>
          <w:lang w:bidi="fa-IR"/>
        </w:rPr>
        <w:t xml:space="preserve">متصرِّف نيست؛ و اگر به سبب تصرّف غير مشروع باشد، پس با عدم تسبيب مصحِّح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اختلاف جهت اضرار با وقوع حادثه در سنخ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ضمانى نيست، به خلاف صورت تسبيب و استناد آن به محدِث و متصرِّف</w:t>
      </w:r>
      <w:r>
        <w:rPr>
          <w:rFonts w:eastAsia="IRNazanin" w:cs="IRNazanin"/>
          <w:color w:val="111111"/>
          <w:sz w:val="28"/>
          <w:szCs w:val="28"/>
          <w:rtl w:val="true"/>
          <w:lang w:bidi="fa-IR"/>
        </w:rPr>
        <w:t>.</w:t>
      </w:r>
    </w:p>
    <w:p>
      <w:pPr>
        <w:pStyle w:val="Heading4"/>
        <w:numPr>
          <w:ilvl w:val="3"/>
          <w:numId w:val="1"/>
        </w:numPr>
        <w:rPr/>
      </w:pPr>
      <w:bookmarkStart w:id="644" w:name="__RefHeading___Toc3597879_1067777946"/>
      <w:bookmarkStart w:id="645" w:name="_Toc260"/>
      <w:bookmarkEnd w:id="644"/>
      <w:r>
        <w:rPr>
          <w:rtl w:val="true"/>
        </w:rPr>
        <w:t>تغيير شارع عام براى جهت ديگر</w:t>
      </w:r>
      <w:bookmarkEnd w:id="64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فرقى نيست در احكام طريق نافذ و شارع، بين آنكه اصل آن، ملك شخصى يا اشخاصى بوده و تسبيل شده براى استطراق خاص نافذ، يا آنكه از موات بوده و احيا و تعمير شده براى اين جهت كه بعداً تغيير داده نمى شود؛ به خلاف موات باقى بر اصل كه استطراق جايز است و كسى از احياى آن براى ساير جهات، ممنوع نيست</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3597881_1067777946"/>
      <w:bookmarkStart w:id="647" w:name="_Toc261"/>
      <w:bookmarkEnd w:id="646"/>
      <w:r>
        <w:rPr>
          <w:rtl w:val="true"/>
        </w:rPr>
        <w:t>حدّ راه در زمين مباح</w:t>
      </w:r>
      <w:bookmarkEnd w:id="647"/>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طريق در ارض مباحه هفت ذراع است در صورت توافق در مرفوعه و نافذه كه بعد از آن تغيير داده نمى شود؛ و اگر اختلاف شد، به همين قدر اجتماع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اجتماع و احداث، كم و زياد نمى شود، مگر آنكه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اباحه باقى بوده، يا آنكه از ملك شخصى يا اشخاصى با رضايت ايشان زايد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توافق بر كم كردن بعد از توافق در احداث در غير مرفوعه، خالى از اشكال نيست</w:t>
      </w:r>
      <w:r>
        <w:rPr>
          <w:rFonts w:eastAsia="IRNazanin" w:cs="IRNazanin"/>
          <w:color w:val="111111"/>
          <w:sz w:val="28"/>
          <w:szCs w:val="28"/>
          <w:rtl w:val="true"/>
          <w:lang w:bidi="fa-IR"/>
        </w:rPr>
        <w:t>.</w:t>
      </w:r>
      <w:bookmarkStart w:id="648" w:name="pg10256_89442"/>
    </w:p>
    <w:p>
      <w:pPr>
        <w:pStyle w:val="Heading3"/>
        <w:numPr>
          <w:ilvl w:val="2"/>
          <w:numId w:val="1"/>
        </w:numPr>
        <w:rPr/>
      </w:pPr>
      <w:bookmarkStart w:id="649" w:name="__RefHeading___Toc3597883_1067777946"/>
      <w:bookmarkStart w:id="650" w:name="_Toc262"/>
      <w:bookmarkEnd w:id="648"/>
      <w:bookmarkEnd w:id="649"/>
      <w:r>
        <w:rPr>
          <w:rtl w:val="true"/>
        </w:rPr>
        <w:t>فصل دوّم احكام طُرُق مرفوعۀ مختصه</w:t>
      </w:r>
      <w:bookmarkEnd w:id="650"/>
    </w:p>
    <w:p>
      <w:pPr>
        <w:pStyle w:val="Heading4"/>
        <w:numPr>
          <w:ilvl w:val="3"/>
          <w:numId w:val="1"/>
        </w:numPr>
        <w:rPr/>
      </w:pPr>
      <w:bookmarkStart w:id="651" w:name="__RefHeading___Toc3597885_1067777946"/>
      <w:bookmarkStart w:id="652" w:name="_Toc263"/>
      <w:bookmarkEnd w:id="651"/>
      <w:r>
        <w:rPr>
          <w:rtl w:val="true"/>
        </w:rPr>
        <w:t>تصرف در طرق مرفوعۀ مختصه به صاحبان خانه هاى مخصوصه</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مرفوعه كه مختص به صاحبان خانه هاى مخصوصه است، تصرّف در آنها به اخراج جناح و ساباط با رضايت ارباب آن طرق و اهل آن، عقد جايز است؛ و بدون رضايت بعضى، اگر مستلزم تصرّف در غير ملكِ سابقِ شخصىِ متصرّف باشد، جايز نيست؛ و اگر در زايدِ بر ملك سابق نباشد و مضرّ به اهل استطراق نباشد، اظهر جواز است بدون استيذان از سايرين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مدرك، استصحاب ملكيّت سابقه و احكام آن است، پس مانع از تصرّفات غير استطراقيّه، رعايت مالكيّت خصوص آن كه تصرّف در ملك او مى شود مى باشد، نه همه اهل آن طريق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مدرك، معلوم است، پس امارۀ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بر اذن در اوسع كه مقتضىِ جواز اوسع از استطراق است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باشد، متبع است به قدر دلالت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غير مرفوعه ذكر شد از تصرفات، در مرفوعه ملاحظه مى شود اذن صاحب ملك و صاحب حق استطراق تا اذنْ باقى است، در خصوصيات هر يك از آن تصرّفات غير مضرّه به عابرين و به صاحبان املاك</w:t>
      </w:r>
      <w:r>
        <w:rPr>
          <w:rFonts w:eastAsia="IRNazanin" w:cs="IRNazanin"/>
          <w:color w:val="111111"/>
          <w:sz w:val="28"/>
          <w:szCs w:val="28"/>
          <w:rtl w:val="true"/>
          <w:lang w:bidi="fa-IR"/>
        </w:rPr>
        <w:t>.</w:t>
      </w:r>
    </w:p>
    <w:p>
      <w:pPr>
        <w:pStyle w:val="Heading4"/>
        <w:numPr>
          <w:ilvl w:val="3"/>
          <w:numId w:val="1"/>
        </w:numPr>
        <w:rPr/>
      </w:pPr>
      <w:bookmarkStart w:id="653" w:name="__RefHeading___Toc3597887_1067777946"/>
      <w:bookmarkStart w:id="654" w:name="_Toc264"/>
      <w:bookmarkEnd w:id="653"/>
      <w:r>
        <w:rPr>
          <w:rtl w:val="true"/>
        </w:rPr>
        <w:t>تصرف در طرق مرفوعۀ مختصه به صاحبان باب در اين طرق</w:t>
      </w:r>
      <w:bookmarkEnd w:id="6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طرق مرفوعه اى كه مختص به صاحبان باب در اين طرق مى باشند و نهايت آنها </w:t>
      </w:r>
      <w:bookmarkStart w:id="655" w:name="pg10256_89443"/>
    </w:p>
    <w:p>
      <w:pPr>
        <w:pStyle w:val="BookText"/>
        <w:rPr/>
      </w:pPr>
      <w:bookmarkEnd w:id="655"/>
      <w:r>
        <w:rPr>
          <w:rFonts w:ascii="IRNazanin" w:hAnsi="IRNazanin" w:eastAsia="IRNazanin"/>
          <w:color w:val="111111"/>
          <w:sz w:val="28"/>
          <w:sz w:val="28"/>
          <w:szCs w:val="28"/>
          <w:rtl w:val="true"/>
          <w:lang w:bidi="fa-IR"/>
        </w:rPr>
        <w:t>ملك غير است نه طريقى ديگر يا مباحى، تمام احكام املاك شخصيّه از جواز تصرّف و اقسام آن با اذن همه مالكين، و عدم جواز با عدم اذن بعض، ثابت است، اگر چه تصرفْ مضرّ نباشد به عابرين يا خانه هاى ايشان در آن طريق مرفوع، و هم چنين در جواز رجوعِ بعض، يا همه بعد از اذن با عدم اضرار، يا التزام بارش بعد از هدم و نحو آن بنابر احوط</w:t>
      </w:r>
      <w:r>
        <w:rPr>
          <w:rFonts w:eastAsia="IRNazanin" w:cs="IRNazanin"/>
          <w:color w:val="111111"/>
          <w:sz w:val="28"/>
          <w:szCs w:val="28"/>
          <w:rtl w:val="true"/>
          <w:lang w:bidi="fa-IR"/>
        </w:rPr>
        <w:t>.</w:t>
      </w:r>
    </w:p>
    <w:p>
      <w:pPr>
        <w:pStyle w:val="Heading4"/>
        <w:numPr>
          <w:ilvl w:val="3"/>
          <w:numId w:val="1"/>
        </w:numPr>
        <w:rPr/>
      </w:pPr>
      <w:bookmarkStart w:id="656" w:name="__RefHeading___Toc3597889_1067777946"/>
      <w:bookmarkStart w:id="657" w:name="_Toc265"/>
      <w:bookmarkEnd w:id="656"/>
      <w:r>
        <w:rPr>
          <w:rtl w:val="true"/>
        </w:rPr>
        <w:t>رعايت صاحب اختصاص</w:t>
      </w:r>
      <w:bookmarkEnd w:id="6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رعايت مى شود صاحب اختصاص در اسفل و اعلى كه رأس سكّه باشد، كه به هر يكى مختص است، آنچه قبلاً اختصاص داشته بنابر اظهر، يعنى اولى شريك در آخرى نيست قبل از رجوع، بدون عكس</w:t>
      </w:r>
      <w:r>
        <w:rPr>
          <w:rFonts w:eastAsia="IRNazanin" w:cs="IRNazanin"/>
          <w:color w:val="111111"/>
          <w:sz w:val="28"/>
          <w:szCs w:val="28"/>
          <w:rtl w:val="true"/>
          <w:lang w:bidi="fa-IR"/>
        </w:rPr>
        <w:t>.</w:t>
      </w:r>
    </w:p>
    <w:p>
      <w:pPr>
        <w:pStyle w:val="Heading4"/>
        <w:numPr>
          <w:ilvl w:val="3"/>
          <w:numId w:val="1"/>
        </w:numPr>
        <w:rPr/>
      </w:pPr>
      <w:bookmarkStart w:id="658" w:name="__RefHeading___Toc3597891_1067777946"/>
      <w:bookmarkStart w:id="659" w:name="_Toc266"/>
      <w:bookmarkEnd w:id="658"/>
      <w:r>
        <w:rPr>
          <w:rtl w:val="true"/>
        </w:rPr>
        <w:t>حكم مسجد در طرق مرفوعه</w:t>
      </w:r>
      <w:bookmarkEnd w:id="6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مسجدى قديم يا حادث با اذن همه در آن طرق مرفوعه بود، پس از آن، حق منعِ عابرين به سوى آن را ندارند، چنانچه مقتضاى اذن در احداث است؛ و هم چنين مانند مسجد از اوقاف</w:t>
      </w:r>
      <w:r>
        <w:rPr>
          <w:rFonts w:eastAsia="IRNazanin" w:cs="IRNazanin"/>
          <w:color w:val="111111"/>
          <w:sz w:val="28"/>
          <w:szCs w:val="28"/>
          <w:rtl w:val="true"/>
          <w:lang w:bidi="fa-IR"/>
        </w:rPr>
        <w:t>.</w:t>
      </w:r>
    </w:p>
    <w:p>
      <w:pPr>
        <w:pStyle w:val="Heading4"/>
        <w:numPr>
          <w:ilvl w:val="3"/>
          <w:numId w:val="1"/>
        </w:numPr>
        <w:rPr/>
      </w:pPr>
      <w:bookmarkStart w:id="660" w:name="__RefHeading___Toc3597893_1067777946"/>
      <w:bookmarkStart w:id="661" w:name="_Toc267"/>
      <w:bookmarkEnd w:id="660"/>
      <w:r>
        <w:rPr>
          <w:rtl w:val="true"/>
        </w:rPr>
        <w:t>فتح باب در طريق مرفوع</w:t>
      </w:r>
      <w:bookmarkEnd w:id="6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فتح باب ديگرى در طريق مرفوع اگر اقرب از باب اوّل فتح كننده به رأس كوچه باشد؛ و در ابعد، محتاج است به رضاى كسانى كه لازمۀ فتح، استطراق از زمين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ظاهر است فرق بين كسى كه بابى در اين كوچه داشته و حق استطراق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نداشته و مى خواهد فتحِ بابى نمايد، كه بدون رضاى اهل اين كوچه نمى تواند فتح باب نمايد</w:t>
      </w:r>
      <w:r>
        <w:rPr>
          <w:rFonts w:eastAsia="IRNazanin" w:cs="IRNazanin"/>
          <w:color w:val="111111"/>
          <w:sz w:val="28"/>
          <w:szCs w:val="28"/>
          <w:rtl w:val="true"/>
          <w:lang w:bidi="fa-IR"/>
        </w:rPr>
        <w:t>.</w:t>
      </w:r>
    </w:p>
    <w:p>
      <w:pPr>
        <w:pStyle w:val="Heading4"/>
        <w:numPr>
          <w:ilvl w:val="3"/>
          <w:numId w:val="1"/>
        </w:numPr>
        <w:rPr/>
      </w:pPr>
      <w:bookmarkStart w:id="662" w:name="__RefHeading___Toc3597895_1067777946"/>
      <w:bookmarkStart w:id="663" w:name="_Toc268"/>
      <w:bookmarkEnd w:id="662"/>
      <w:r>
        <w:rPr>
          <w:rtl w:val="true"/>
        </w:rPr>
        <w:t>موارد جواز و عدم جواز فتح روزنه و شباك</w:t>
      </w:r>
      <w:bookmarkEnd w:id="6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فتح روزنه و شباك براى صاحب باب در مرفوعه و غير او كه صاحب حايطى در</w:t>
      </w:r>
      <w:bookmarkStart w:id="664" w:name="pg10256_89444"/>
    </w:p>
    <w:p>
      <w:pPr>
        <w:pStyle w:val="BookText"/>
        <w:rPr/>
      </w:pPr>
      <w:bookmarkEnd w:id="664"/>
      <w:r>
        <w:rPr>
          <w:rFonts w:ascii="IRNazanin" w:hAnsi="IRNazanin" w:eastAsia="IRNazanin"/>
          <w:color w:val="111111"/>
          <w:sz w:val="28"/>
          <w:sz w:val="28"/>
          <w:szCs w:val="28"/>
          <w:rtl w:val="true"/>
          <w:lang w:bidi="fa-IR"/>
        </w:rPr>
        <w:t>اين كوچه باشد، مبنى است جواز آن در مرفوعه به عدم تضرّر حالى يا عدم نفى آن، كه موافق با نفى عسر و حرج است، چنانچه گذشت در غير موارد حكايت اجماع از تصرّف در ملك شخصى؛ بلكه احوطْ تركِ جعلِ دارِ غير، در معرض نظر اجانب است اگر چه عالم نباشد به وقوع نظر حرام و قاصد آن نباشد</w:t>
      </w:r>
      <w:r>
        <w:rPr>
          <w:rFonts w:eastAsia="IRNazanin" w:cs="IRNazanin"/>
          <w:color w:val="111111"/>
          <w:sz w:val="28"/>
          <w:szCs w:val="28"/>
          <w:rtl w:val="true"/>
          <w:lang w:bidi="fa-IR"/>
        </w:rPr>
        <w:t>.</w:t>
      </w:r>
    </w:p>
    <w:p>
      <w:pPr>
        <w:pStyle w:val="Heading4"/>
        <w:numPr>
          <w:ilvl w:val="3"/>
          <w:numId w:val="1"/>
        </w:numPr>
        <w:rPr/>
      </w:pPr>
      <w:bookmarkStart w:id="665" w:name="__RefHeading___Toc3597897_1067777946"/>
      <w:bookmarkStart w:id="666" w:name="_Toc269"/>
      <w:bookmarkEnd w:id="665"/>
      <w:r>
        <w:rPr>
          <w:rtl w:val="true"/>
        </w:rPr>
        <w:t>مصالحه در اخراج جناح</w:t>
      </w:r>
      <w:bookmarkEnd w:id="6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اخراج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مرفوعْ جايز نباشد، مى تواند اخراج كننده، مصالحۀ معوّضه نمايد با كسانى كه با اخراج، تصرّف در ملك آنها يا در هواى تابعِ ملك آنها مى نمايد، و آن مشروط به عدم اضرار بر ساير عابرين يا صاحبان منازل در آن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وقوع صلح معوَّض، لازم مى شود؛ پس اگر اهل طريق رجوع از اذن سابق نمودند، طرف مصالحه نمى تواند رجوع نمايد، مگر آنكه صلحِ موقّت نموده كه تابع رسيدن وقت است؛ و صلح غير معوَّض، مثل عاريه است، كه لازم نيست و در حكم اذن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الروشن و الجناح يشتركان فى إخراج خشب من حائط المالك إلى الطريق بحيث لا يصل إلى الجدار المقابل و يبنى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وصلت فهو الساباط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فرّق بينهما بأنّ الأجنحة ينضمّ إليها مع ما ذكر، أن يوضع لها أعمدة من الطريق</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597899_1067777946"/>
      <w:bookmarkStart w:id="668" w:name="_Toc270"/>
      <w:bookmarkEnd w:id="667"/>
      <w:r>
        <w:rPr>
          <w:rtl w:val="true"/>
        </w:rPr>
        <w:t>اگر اخراج جناح مضر باشد</w:t>
      </w:r>
      <w:bookmarkEnd w:id="66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اخراج جناح و تصرّف در مرفوع به مثل آن، مضرّ به اهل آن طريق باشد، واجب است بر مُحدِثْ ازالۀ آن؛ و اگر نكرد، جايز است ازاله براى هر يك از اهل آن طريق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مضرّ است، مصالحۀ مُحدث با اهل طريقْ بر حرام، جايز نيست، مگر آنكه در شرط صلح، مصلحت اهل آن طريق عموماً باشد كه در اين صورت مى تواند حاكم ملاحظۀ اصلح نمايد و مصالحه نمايد با عوضى كه صلاح بداند؛ و اگر حاكم نبود، عدل مؤمن انجام مى دهد</w:t>
      </w:r>
      <w:r>
        <w:rPr>
          <w:rFonts w:eastAsia="IRNazanin" w:cs="IRNazanin"/>
          <w:color w:val="111111"/>
          <w:sz w:val="28"/>
          <w:szCs w:val="28"/>
          <w:rtl w:val="true"/>
          <w:lang w:bidi="fa-IR"/>
        </w:rPr>
        <w:t xml:space="preserve">. </w:t>
      </w:r>
      <w:bookmarkStart w:id="669" w:name="pg10256_89445"/>
    </w:p>
    <w:p>
      <w:pPr>
        <w:pStyle w:val="BookText"/>
        <w:rPr/>
      </w:pPr>
      <w:bookmarkEnd w:id="669"/>
      <w:r>
        <w:rPr>
          <w:rFonts w:ascii="IRNazanin" w:hAnsi="IRNazanin" w:eastAsia="IRNazanin"/>
          <w:color w:val="111111"/>
          <w:sz w:val="28"/>
          <w:sz w:val="28"/>
          <w:szCs w:val="28"/>
          <w:rtl w:val="true"/>
          <w:lang w:bidi="fa-IR"/>
        </w:rPr>
        <w:t>و اما عدم صحتِ صلحِ مشتمل بر افراد هوا به تمليك؛ پس جارى در فرع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جعل حق است مادام الاذن، نه تمليك؛ و تمليك در موردش مانعى ندارد به جهت عدم فرعيّت صلح از بيع</w:t>
      </w:r>
      <w:r>
        <w:rPr>
          <w:rFonts w:eastAsia="IRNazanin" w:cs="IRNazanin"/>
          <w:color w:val="111111"/>
          <w:sz w:val="28"/>
          <w:szCs w:val="28"/>
          <w:rtl w:val="true"/>
          <w:lang w:bidi="fa-IR"/>
        </w:rPr>
        <w:t>.</w:t>
      </w:r>
    </w:p>
    <w:p>
      <w:pPr>
        <w:pStyle w:val="Heading4"/>
        <w:numPr>
          <w:ilvl w:val="3"/>
          <w:numId w:val="1"/>
        </w:numPr>
        <w:rPr/>
      </w:pPr>
      <w:bookmarkStart w:id="670" w:name="__RefHeading___Toc3597901_1067777946"/>
      <w:bookmarkStart w:id="671" w:name="_Toc271"/>
      <w:bookmarkEnd w:id="670"/>
      <w:r>
        <w:rPr>
          <w:rtl w:val="true"/>
        </w:rPr>
        <w:t>اگر اخراج غير مضرّ ولى بدون از بعض اهل طريق باشد</w:t>
      </w:r>
      <w:bookmarkEnd w:id="671"/>
    </w:p>
    <w:p>
      <w:pPr>
        <w:pStyle w:val="BookText"/>
        <w:rPr/>
      </w:pPr>
      <w:r>
        <w:rPr>
          <w:rFonts w:ascii="IRNazanin" w:hAnsi="IRNazanin" w:eastAsia="IRNazanin"/>
          <w:color w:val="111111"/>
          <w:sz w:val="28"/>
          <w:sz w:val="28"/>
          <w:szCs w:val="28"/>
          <w:rtl w:val="true"/>
          <w:lang w:bidi="fa-IR"/>
        </w:rPr>
        <w:t>و اگر تصرفْ مضرّ نبود لكن بدون اذنِ بعضى از اهل آن طريق بود، ايضاً واجب است ازاله بر متصرّف، و حرام است ابقاى آن؛ و براى اهل آن طريقْ جايز است ازالۀ آن؛ و ازالۀ مجانيّه براى غير آذِن، جايز است در صورت امتناع متصرِّف از مباشرتِ ازاله؛ و در غير مجانى با عدم ضرر،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ضرر و امتناع از مباشرت و ازالۀ متضرّر غير آذِن، اظهر عدم ضمان آنچه تلف مى شود بدون تعدّى به سبب ازاله است، و واجب است بر او رد موجود از ملكِ متصرف از اخشاب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محدِث مضرِّ ممتنع، لوازم ازاله را از بذل مال، 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موارد تنازع در موضوع، متعيّن است مراجعه به حاكم شرع، يا مصالحه مشروعه؛ بلكه احتياط در موارد معرضيّتِ نزاعِ موضوعى، مراجعه به حاكم شرع كه متصدّى انجام امر بشود، مستحسن است</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3597903_1067777946"/>
      <w:bookmarkStart w:id="673" w:name="_Toc272"/>
      <w:bookmarkEnd w:id="672"/>
      <w:r>
        <w:rPr>
          <w:rtl w:val="true"/>
        </w:rPr>
        <w:t>حكم امكان دادن استطراق از طريقى به طريق ديگر</w:t>
      </w:r>
      <w:bookmarkEnd w:id="67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كسى دو خانۀ متلاصق در دو كوچۀ مرفوع بود و خواست درى بين آن دو باز نمايد، يا آنكه جدارِ حايل را رفع نمايد به نحوى كه اهل هر طريقى بتوانند به طريق ديگر استطراق نمايند، اظهر عدم جواز است بدون اذن صاحبان طريقين؛ به خلاف استطراقِ اختصاصى براى اهل سابق هر يك خانه به سوى طريق ديگر كه به منزلۀ توسعه خانه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حكايت اجماع اماميّه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رجوع در مرفوع، از اذن، براى كسى كه حق اذن با او است از اهل آن دو طريق</w:t>
      </w:r>
      <w:r>
        <w:rPr>
          <w:rFonts w:eastAsia="IRNazanin" w:cs="IRNazanin"/>
          <w:color w:val="111111"/>
          <w:sz w:val="28"/>
          <w:szCs w:val="28"/>
          <w:rtl w:val="true"/>
          <w:lang w:bidi="fa-IR"/>
        </w:rPr>
        <w:t xml:space="preserve">. </w:t>
      </w:r>
      <w:bookmarkStart w:id="674" w:name="pg10256_89446"/>
    </w:p>
    <w:p>
      <w:pPr>
        <w:pStyle w:val="BookText"/>
        <w:rPr/>
      </w:pPr>
      <w:bookmarkEnd w:id="674"/>
      <w:r>
        <w:rPr>
          <w:rFonts w:ascii="Amiri" w:hAnsi="Amiri" w:eastAsia="Amiri" w:cs="Amiri"/>
          <w:color w:val="111111"/>
          <w:sz w:val="28"/>
          <w:sz w:val="28"/>
          <w:szCs w:val="28"/>
          <w:rtl w:val="true"/>
          <w:lang w:bidi="ar-SA"/>
        </w:rPr>
        <w:t xml:space="preserve">و در هر دو تقدير، در حكم، فرقى بين دو خانه و ازيد، و دو غير خانه و ازيد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دو دكان و دو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597905_1067777946"/>
      <w:bookmarkStart w:id="676" w:name="_Toc273"/>
      <w:bookmarkEnd w:id="675"/>
      <w:r>
        <w:rPr>
          <w:rtl w:val="true"/>
        </w:rPr>
        <w:t>حكم تصرف در ديوار بين دو خانه</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ديوار بين دو خانه اگر مختص است به يكى از صاحبان آن خانه ها، مى تواند مالك هر گونه تصرّف در آن نمايد و همسايه نمى تواند هيچ گونه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وضع خشبه بر آن براى بنا مگر با اذن مالك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مشترك است بين آن دو، هيچ كدام نمى تواند تصرّف در آن نمايد مگر با اذن 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التماس كرد از مالكِ مختص، تصرفى را، واجب نيست اجابت، بلكه مستحب مؤكد است در صورت عدم مفسده</w:t>
      </w:r>
      <w:r>
        <w:rPr>
          <w:rFonts w:eastAsia="IRNazanin" w:cs="IRNazanin"/>
          <w:color w:val="111111"/>
          <w:sz w:val="28"/>
          <w:szCs w:val="28"/>
          <w:rtl w:val="true"/>
          <w:lang w:bidi="fa-IR"/>
        </w:rPr>
        <w:t>.</w:t>
      </w:r>
    </w:p>
    <w:p>
      <w:pPr>
        <w:pStyle w:val="Heading4"/>
        <w:numPr>
          <w:ilvl w:val="3"/>
          <w:numId w:val="1"/>
        </w:numPr>
        <w:rPr/>
      </w:pPr>
      <w:bookmarkStart w:id="677" w:name="__RefHeading___Toc3597907_1067777946"/>
      <w:bookmarkStart w:id="678" w:name="_Toc274"/>
      <w:bookmarkEnd w:id="677"/>
      <w:r>
        <w:rPr>
          <w:rtl w:val="true"/>
        </w:rPr>
        <w:t>رجوع مالك از اذن در تصرّف در ديوار</w:t>
      </w:r>
      <w:bookmarkEnd w:id="6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مالكْ اذن داد به همسايه در وضع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جدار مختص، جايز است براى او رجوع از اذن، قبل از وضع خشب؛ و اما بعد از وضع و ادخال در بنا، پس اگر مستلزم هيچ گونه ضررى بر مستعير نباشد، يا آنكه ضرر را تدارك با دفع ارش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ارشِ هر نقص و ضررى كه بر مستعير به سبب رجوع آذن حاصل شود، چه در نقص آلات به هدم باشد، يا نقص تبديل ملك عامر به خراب باشد و جبران همه 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مثل ساير عوارى، خالى از وجه نيست؛ وگرنه عدم جواز رجوع از اذنى كه به حكم اذن مادام الحائط و البناء است و محدود به رجوع مضر نيست، متجه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صورتى كه رجوعْ جايز است مى توانند توافق نمايند بر ابقا با اجرت</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597909_1067777946"/>
      <w:bookmarkStart w:id="680" w:name="_Toc275"/>
      <w:bookmarkEnd w:id="679"/>
      <w:r>
        <w:rPr>
          <w:rtl w:val="true"/>
        </w:rPr>
        <w:t>لزوم اذن جديد، در صورت تجديد وضع بر جدار مختص</w:t>
      </w:r>
      <w:bookmarkEnd w:id="6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منهدم شد بنا، يا ساقط شد اخشاب موضوعه بر جدار، بغير سبب صاحب جدار، پس تجديدِ وضع بر جدار، محتاج به اذن جديد از مالك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غير اخشاب مثل ساباط و جناح و روشن</w:t>
      </w:r>
      <w:r>
        <w:rPr>
          <w:rFonts w:eastAsia="IRNazanin" w:cs="IRNazanin"/>
          <w:color w:val="111111"/>
          <w:sz w:val="28"/>
          <w:szCs w:val="28"/>
          <w:rtl w:val="true"/>
          <w:lang w:bidi="fa-IR"/>
        </w:rPr>
        <w:t>.</w:t>
      </w:r>
      <w:bookmarkStart w:id="681" w:name="pg10256_89447"/>
    </w:p>
    <w:p>
      <w:pPr>
        <w:pStyle w:val="Heading4"/>
        <w:numPr>
          <w:ilvl w:val="3"/>
          <w:numId w:val="1"/>
        </w:numPr>
        <w:rPr/>
      </w:pPr>
      <w:bookmarkStart w:id="682" w:name="__RefHeading___Toc3597911_1067777946"/>
      <w:bookmarkStart w:id="683" w:name="_Toc276"/>
      <w:bookmarkEnd w:id="681"/>
      <w:bookmarkEnd w:id="682"/>
      <w:r>
        <w:rPr>
          <w:rtl w:val="true"/>
        </w:rPr>
        <w:t>مرجع تصميم گيرى در املاك عمومى</w:t>
      </w:r>
      <w:bookmarkEnd w:id="6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در وضع بر غيرِ مملوكِ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اوقاف و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 ناظر خاص است؛ و اگر نباشد، حاكم شرع است كه با اذن او اين امور بر حسب قرار او انجام داده مى شود نه بدون استيذان از او</w:t>
      </w:r>
      <w:r>
        <w:rPr>
          <w:rFonts w:eastAsia="IRNazanin" w:cs="IRNazanin"/>
          <w:color w:val="111111"/>
          <w:sz w:val="28"/>
          <w:szCs w:val="28"/>
          <w:rtl w:val="true"/>
          <w:lang w:bidi="fa-IR"/>
        </w:rPr>
        <w:t>.</w:t>
      </w:r>
    </w:p>
    <w:p>
      <w:pPr>
        <w:pStyle w:val="Heading4"/>
        <w:numPr>
          <w:ilvl w:val="3"/>
          <w:numId w:val="1"/>
        </w:numPr>
        <w:rPr/>
      </w:pPr>
      <w:bookmarkStart w:id="684" w:name="__RefHeading___Toc3597913_1067777946"/>
      <w:bookmarkStart w:id="685" w:name="_Toc277"/>
      <w:bookmarkEnd w:id="684"/>
      <w:r>
        <w:rPr>
          <w:rtl w:val="true"/>
        </w:rPr>
        <w:t>نزاع در ملكيّت ديوار بين دو خانه</w:t>
      </w:r>
      <w:bookmarkEnd w:id="685"/>
    </w:p>
    <w:p>
      <w:pPr>
        <w:pStyle w:val="Heading5"/>
        <w:numPr>
          <w:ilvl w:val="4"/>
          <w:numId w:val="1"/>
        </w:numPr>
        <w:rPr/>
      </w:pPr>
      <w:bookmarkStart w:id="686" w:name="__RefHeading___Toc3597915_1067777946"/>
      <w:bookmarkStart w:id="687" w:name="_Toc278"/>
      <w:bookmarkEnd w:id="686"/>
      <w:r>
        <w:rPr>
          <w:rtl w:val="true"/>
        </w:rPr>
        <w:t>صور مختلف اختلاف تداعى دو نفر در ملكيّت ديوار بين خانه هاى آنها</w:t>
      </w:r>
      <w:bookmarkEnd w:id="6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تداعى نمودند در ديوارى بين خانه هاى آن دو يا مانند دو خانه از املاك، پس اگر يكى ايقاعِ حلف بعد از نكول ديگرى نمود، حكم مى شود به آن ديوار براى 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دو حلف نمودند يا نكول كردند، حكم مى شود براى هر دو به اشتراك، به جهت عدم ترجيح در يد يكى از آنها؛ پس اظهر اعتبار تساوى در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ثبوت يد هر دو يا انتفاى يد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بيّنه براى خصوص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بيّنه براى يكى بود، حكم براى صاحب بيّنه مى شود به جهت رجحان، نه به جهت مدّعى بودن با تحقق يد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استفاده قضا به بيّنه در تداعىِ مثل قضاءِ به حلف با آنكه هر دو ذو اليد هستند يا هيچ كدام ذو اليد نيستند، لكن اگر چه بر حكم مذكور، نقل فتواى جماعتى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شائبۀ اشكال نيست؛ پس توافق بر قرعه يا صلح نمايند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كيفيّت حلف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در صورت عدم بيّنه، ايقاعِ حلف مى نمايد بر نصفى كه در يد او است، و حكم به شركت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نكولِ هر دو، عمل به ظاهر يد مى شود و نتيجه با سابقْ متحد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يكى ايقاعِ حلف كرد و ديگرى نكول نمود، اعادۀ حلف مى نمايد بر نصفى </w:t>
      </w:r>
      <w:bookmarkStart w:id="688" w:name="pg10256_89448"/>
    </w:p>
    <w:p>
      <w:pPr>
        <w:pStyle w:val="BookText"/>
        <w:rPr/>
      </w:pPr>
      <w:bookmarkEnd w:id="688"/>
      <w:r>
        <w:rPr>
          <w:rFonts w:ascii="IRNazanin" w:hAnsi="IRNazanin" w:eastAsia="IRNazanin"/>
          <w:color w:val="111111"/>
          <w:sz w:val="28"/>
          <w:sz w:val="28"/>
          <w:szCs w:val="28"/>
          <w:rtl w:val="true"/>
          <w:lang w:bidi="fa-IR"/>
        </w:rPr>
        <w:t>كه در يد صاحب او است و حكم مى شود به همۀ مال براى حالف؛ و اگر نكول از اعادۀ حلف نمود، مال براى هر دو است، يعنى براى حالف در نصف؛ و براى غيرِ حالفِ ذو اليد با نكول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اظهر لزوم موافقت حلف با مدعىٰ است، پس با حلف هر دو بر جميع، شريك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 نكول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حلف يكى بر جميع و نكول ديگرى تخصيص به حالف داده مى شود</w:t>
      </w:r>
      <w:r>
        <w:rPr>
          <w:rFonts w:eastAsia="IRNazanin" w:cs="IRNazanin"/>
          <w:color w:val="111111"/>
          <w:sz w:val="28"/>
          <w:szCs w:val="28"/>
          <w:rtl w:val="true"/>
          <w:lang w:bidi="fa-IR"/>
        </w:rPr>
        <w:t>.</w:t>
      </w:r>
    </w:p>
    <w:p>
      <w:pPr>
        <w:pStyle w:val="Heading5"/>
        <w:numPr>
          <w:ilvl w:val="4"/>
          <w:numId w:val="1"/>
        </w:numPr>
        <w:rPr/>
      </w:pPr>
      <w:bookmarkStart w:id="689" w:name="__RefHeading___Toc3597917_1067777946"/>
      <w:bookmarkStart w:id="690" w:name="_Toc279"/>
      <w:bookmarkEnd w:id="689"/>
      <w:r>
        <w:rPr>
          <w:rtl w:val="true"/>
        </w:rPr>
        <w:t>اگر ديوار متصل به بناى يكى از دو نفر بود</w:t>
      </w:r>
      <w:bookmarkEnd w:id="69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تداعى نمودند در ديوار بين دو خانۀ آنها و لكن ديوارْ متصل به بناى يكى از آنها بود به اتصالى كه شهادت به اتحاد مالك بنا و ديوار بدهد، مثل عدم احتمال حدوث اتصال بعد از بنا، و صاحب بناءْ موافق اين ظاهر و منكر باشد، پس با بينۀ طرف، حكم براى او مى شود؛ و با عدم بينۀ او، حكم براى صاحب بنا مى شود با يمين او، چنانكه محكى از معظم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ديوار متصل به بناى هر دو باشد با اتحاد در خصوصيّات، پس مثل صورت عدم اتصال به بناى هيچ كدام است؛ و اگر خصوصيتِ اتصال بنحوى باشد كه اثر اصل اتصال را دارد در شهادت و در تحصيل ظاهر، پس مثل صورت اتصال به بناى يكى است بنابر اظهر</w:t>
      </w:r>
      <w:r>
        <w:rPr>
          <w:rFonts w:eastAsia="IRNazanin" w:cs="IRNazanin"/>
          <w:color w:val="111111"/>
          <w:sz w:val="28"/>
          <w:szCs w:val="28"/>
          <w:rtl w:val="true"/>
          <w:lang w:bidi="fa-IR"/>
        </w:rPr>
        <w:t>.</w:t>
      </w:r>
    </w:p>
    <w:p>
      <w:pPr>
        <w:pStyle w:val="Heading5"/>
        <w:numPr>
          <w:ilvl w:val="4"/>
          <w:numId w:val="1"/>
        </w:numPr>
        <w:rPr/>
      </w:pPr>
      <w:bookmarkStart w:id="691" w:name="__RefHeading___Toc3597919_1067777946"/>
      <w:bookmarkStart w:id="692" w:name="_Toc280"/>
      <w:bookmarkEnd w:id="691"/>
      <w:r>
        <w:rPr>
          <w:rtl w:val="true"/>
        </w:rPr>
        <w:t>اگر مثلاً چوب يكى بر ديوار موضوع گذاشته شده بود</w:t>
      </w:r>
      <w:bookmarkEnd w:id="6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تداعى در ديوارِ بينِ دو خانه بود و لكن يكى از آنها چوب او مثلاً بر آن ديوارْ موضوعِ در محل بنا بود، پس اگر محتمل بود به احتمال مساوى يا راجح، تأخّر وضع خشب بر حدوث بنا، اثرى ندارد و حكم اشتراك ثابت است؛ وگرنه حكم به ظاهر يد به زيادتى تصرّف در ديوار كه كاشف از اختصاص به ملكيت است مى شود، با يمين صاحب خشب و آنكه ديوار مختص به او است؛ مگر آنكه غير</w:t>
      </w:r>
      <w:bookmarkStart w:id="693" w:name="pg10256_89449"/>
    </w:p>
    <w:p>
      <w:pPr>
        <w:pStyle w:val="BookText"/>
        <w:rPr/>
      </w:pPr>
      <w:bookmarkEnd w:id="693"/>
      <w:r>
        <w:rPr>
          <w:rFonts w:ascii="Amiri" w:hAnsi="Amiri" w:eastAsia="Amiri" w:cs="Amiri"/>
          <w:color w:val="111111"/>
          <w:sz w:val="28"/>
          <w:sz w:val="28"/>
          <w:szCs w:val="28"/>
          <w:rtl w:val="true"/>
          <w:lang w:bidi="ar-SA"/>
        </w:rPr>
        <w:t>صاحب خشب، اقامه بيّنه بر مدعاى خود بنمايد كه حكم به اختصاص ديوار به او مى شود</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597921_1067777946"/>
      <w:bookmarkStart w:id="695" w:name="_Toc281"/>
      <w:bookmarkEnd w:id="694"/>
      <w:r>
        <w:rPr>
          <w:rtl w:val="true"/>
        </w:rPr>
        <w:t>يكى ديگر از مرجّحات اختصاص ديوار به صاحب زمين</w:t>
      </w:r>
      <w:bookmarkEnd w:id="6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چنين اگر مَقرّ ديوار به اتفاق زمين يكى از آنها است، اين از مرجّحات اختصاص ديوار به صاحب زمين است؛ و قول او با يمين او و با عدم بينۀ طرف، مقدم است و حكم به اختصاص ديوار به او مى شود</w:t>
      </w:r>
      <w:r>
        <w:rPr>
          <w:rFonts w:eastAsia="IRNazanin" w:cs="IRNazanin"/>
          <w:color w:val="111111"/>
          <w:sz w:val="28"/>
          <w:szCs w:val="28"/>
          <w:rtl w:val="true"/>
          <w:lang w:bidi="fa-IR"/>
        </w:rPr>
        <w:t>.</w:t>
      </w:r>
    </w:p>
    <w:p>
      <w:pPr>
        <w:pStyle w:val="Heading5"/>
        <w:numPr>
          <w:ilvl w:val="4"/>
          <w:numId w:val="1"/>
        </w:numPr>
        <w:rPr/>
      </w:pPr>
      <w:bookmarkStart w:id="696" w:name="__RefHeading___Toc3597923_1067777946"/>
      <w:bookmarkStart w:id="697" w:name="_Toc282"/>
      <w:bookmarkEnd w:id="696"/>
      <w:r>
        <w:rPr>
          <w:rtl w:val="true"/>
        </w:rPr>
        <w:t>صورتِ تعارض مرجّحات و تساوى آنها</w:t>
      </w:r>
      <w:bookmarkEnd w:id="69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تعارض مرجّحات و تساوى آنها، حكم عدم مرجّح ثابت است؛ و با اكثريّت و اقواييّت مرجّحات در يك طرف، حكم عدم مرجّح در طرف مقابل، ثابت است</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3597925_1067777946"/>
      <w:bookmarkStart w:id="699" w:name="_Toc283"/>
      <w:bookmarkEnd w:id="698"/>
      <w:r>
        <w:rPr>
          <w:rtl w:val="true"/>
        </w:rPr>
        <w:t>حكم زمين ديوارى كه در آن نزاع واقع شده</w:t>
      </w:r>
      <w:bookmarkEnd w:id="69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كسى حكمِ اختصاصىِ ديوار، ثابت شد، اختصاص به زمين كه مَقرّ آن است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نزاع در اختصاص و اشتراك است، معامله ميزان در نصفِ غيرِ معيّن خواهد بود كه اشتراكْ مقتضى ربع، و اختصاصْ مقتضى تمام يا تنصيف است بعد از ملاحظۀ اختصاص نصف به سبب اقرار مدّعىِ اشتراك</w:t>
      </w:r>
      <w:r>
        <w:rPr>
          <w:rFonts w:eastAsia="IRNazanin" w:cs="IRNazanin"/>
          <w:color w:val="111111"/>
          <w:sz w:val="28"/>
          <w:szCs w:val="28"/>
          <w:rtl w:val="true"/>
          <w:lang w:bidi="fa-IR"/>
        </w:rPr>
        <w:t>.</w:t>
      </w:r>
    </w:p>
    <w:p>
      <w:pPr>
        <w:pStyle w:val="Heading5"/>
        <w:numPr>
          <w:ilvl w:val="4"/>
          <w:numId w:val="1"/>
        </w:numPr>
        <w:rPr/>
      </w:pPr>
      <w:bookmarkStart w:id="700" w:name="__RefHeading___Toc3597927_1067777946"/>
      <w:bookmarkStart w:id="701" w:name="_Toc284"/>
      <w:bookmarkEnd w:id="700"/>
      <w:r>
        <w:rPr>
          <w:rtl w:val="true"/>
        </w:rPr>
        <w:t>حكم نزاع در خُصّ و نظاير آن</w:t>
      </w:r>
      <w:bookmarkEnd w:id="70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 نفر اختلاف نمودند در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از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خانه مثلاً، حكم مى شود براى كسى كه معقد قِمْط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ريسمانى كه بسته مى شود با آن، خانه هاى از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نظاير خُصّ و نظاير معقد قمط بنا بر اقوى</w:t>
      </w:r>
      <w:r>
        <w:rPr>
          <w:rFonts w:eastAsia="IRNazanin" w:cs="IRNazanin"/>
          <w:color w:val="111111"/>
          <w:sz w:val="28"/>
          <w:szCs w:val="28"/>
          <w:rtl w:val="true"/>
          <w:lang w:bidi="fa-IR"/>
        </w:rPr>
        <w:t>.</w:t>
      </w:r>
    </w:p>
    <w:p>
      <w:pPr>
        <w:pStyle w:val="Heading5"/>
        <w:numPr>
          <w:ilvl w:val="4"/>
          <w:numId w:val="1"/>
        </w:numPr>
        <w:rPr/>
      </w:pPr>
      <w:bookmarkStart w:id="702" w:name="__RefHeading___Toc3597929_1067777946"/>
      <w:bookmarkStart w:id="703" w:name="_Toc285"/>
      <w:bookmarkEnd w:id="702"/>
      <w:r>
        <w:rPr>
          <w:rtl w:val="true"/>
        </w:rPr>
        <w:t>حكم ديوار مشترك</w:t>
      </w:r>
      <w:bookmarkEnd w:id="70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ديوارْ مشترك بود، هيچ كدام از دو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بدون اذن شريك، در آن تصرفِ انتفاعى نمايند اگر چه مضر نباشد؛ مگر آنكه تصرف از قبيل</w:t>
      </w:r>
      <w:bookmarkStart w:id="704" w:name="pg10256_89450"/>
    </w:p>
    <w:p>
      <w:pPr>
        <w:pStyle w:val="BookText"/>
        <w:rPr/>
      </w:pPr>
      <w:bookmarkEnd w:id="704"/>
      <w:r>
        <w:rPr>
          <w:rFonts w:ascii="IRNazanin" w:hAnsi="IRNazanin" w:eastAsia="IRNazanin"/>
          <w:color w:val="111111"/>
          <w:sz w:val="28"/>
          <w:sz w:val="28"/>
          <w:szCs w:val="28"/>
          <w:rtl w:val="true"/>
          <w:lang w:bidi="fa-IR"/>
        </w:rPr>
        <w:t>استناد و اعتماد و اسناد متاع غير مضرّ و استضائه به نورِ غير باشد، كه براى غير شريك هم جايز است حتى در صورت منع مالك يا شريك در صور جواز لو لا المنع، در صورتى كه منعْ عقلايى نباشد؛ و اگر عقلايى باشد و لو احتمالاً، جايز نيست على الاحوط به ملاحظه احتمالِ ضررِ حالىِ منفى به عمومِ نفى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فتح روزنه يا كوبيدن ميخ و نحو اينها، پس باقى بر منع، بدونِ اذنِ شريك است</w:t>
      </w:r>
      <w:r>
        <w:rPr>
          <w:rFonts w:eastAsia="IRNazanin" w:cs="IRNazanin"/>
          <w:color w:val="111111"/>
          <w:sz w:val="28"/>
          <w:szCs w:val="28"/>
          <w:rtl w:val="true"/>
          <w:lang w:bidi="fa-IR"/>
        </w:rPr>
        <w:t>.</w:t>
      </w:r>
    </w:p>
    <w:p>
      <w:pPr>
        <w:pStyle w:val="Heading5"/>
        <w:numPr>
          <w:ilvl w:val="4"/>
          <w:numId w:val="1"/>
        </w:numPr>
        <w:rPr/>
      </w:pPr>
      <w:bookmarkStart w:id="705" w:name="__RefHeading___Toc3597931_1067777946"/>
      <w:bookmarkStart w:id="706" w:name="_Toc286"/>
      <w:bookmarkEnd w:id="705"/>
      <w:r>
        <w:rPr>
          <w:rtl w:val="true"/>
        </w:rPr>
        <w:t>تعمير يا ساخت ديوار اشتراكى منهدم شده</w:t>
      </w:r>
      <w:bookmarkEnd w:id="70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منهدم شد ديوار مشترك، واجب نيست بر شريكْ تعمير آن، يا انفاق در آن، و لو به نسبت حق او؛ به هر سببى انهدامْ واقع شده باشد غير شخص شريك كه ذكر شد عدم وجوب بر او، اگر چه هدم كننده يكى از شركا باشد؛ و هم چنين اجبار بر تعمير، يا انفاقِ غير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تعميرِ منهدم، پس مثل احداثِ حايط است كه اگر تصرّف در ملك غير از مَقَرّ و آلات نباشد و اضرار نباشد، محتاج به استيذان از شركا نيست، وگرنه بدون اذنْ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اضرار هم رعايت مى شود آنچه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ملك شخص اگر مضرّ به جار است مثل فتح روزنه و نحو اينها جايز است، و تحمّل ضرر براى دفع اضرار غير، واجب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حرجيّت اختصاص به جار داشته باشد و تضرّر نفس هم منتفى باشد، يعنى ضرر تطلّع بر عورات غير با حرجيّت معرضيّت براى اين 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جوازِ هدمِ ديوار مختص و عدم وجوب احداث بنا با تمكّن، مسوّغ اين گونه تصرفات در ملك شخصى است</w:t>
      </w:r>
      <w:r>
        <w:rPr>
          <w:rFonts w:eastAsia="IRNazanin" w:cs="IRNazanin"/>
          <w:color w:val="111111"/>
          <w:sz w:val="28"/>
          <w:szCs w:val="28"/>
          <w:rtl w:val="true"/>
          <w:lang w:bidi="fa-IR"/>
        </w:rPr>
        <w:t>.</w:t>
      </w:r>
    </w:p>
    <w:p>
      <w:pPr>
        <w:pStyle w:val="Heading5"/>
        <w:numPr>
          <w:ilvl w:val="4"/>
          <w:numId w:val="1"/>
        </w:numPr>
        <w:rPr/>
      </w:pPr>
      <w:bookmarkStart w:id="707" w:name="__RefHeading___Toc3597933_1067777946"/>
      <w:bookmarkStart w:id="708" w:name="_Toc287"/>
      <w:bookmarkEnd w:id="707"/>
      <w:r>
        <w:rPr>
          <w:rtl w:val="true"/>
        </w:rPr>
        <w:t>لزوم رفع خطر از ديوارى كه در معرض خراب شدن است</w:t>
      </w:r>
      <w:bookmarkEnd w:id="70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ديوارِ مشرفِ به انهدام، موجب خطر شد، بر مالك است اصلاح و تعمير يا هدمِ دافعِ خطر؛ و در صورت امتناع، اجبار بر آن مى شود، و احوط مراجعه به حاكم</w:t>
      </w:r>
      <w:bookmarkStart w:id="709" w:name="pg10256_89451"/>
    </w:p>
    <w:p>
      <w:pPr>
        <w:pStyle w:val="BookText"/>
        <w:rPr/>
      </w:pPr>
      <w:bookmarkEnd w:id="709"/>
      <w:r>
        <w:rPr>
          <w:rFonts w:ascii="IRNazanin" w:hAnsi="IRNazanin" w:eastAsia="IRNazanin"/>
          <w:color w:val="111111"/>
          <w:sz w:val="28"/>
          <w:sz w:val="28"/>
          <w:szCs w:val="28"/>
          <w:rtl w:val="true"/>
          <w:lang w:bidi="fa-IR"/>
        </w:rPr>
        <w:t>شرع و مباشرت با اذن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مالك است اجرت آنچه محتاج به اجرت و عوضِ آنچه محتاج به عوض است، از اخفّ الامرين و ابعد از ضرر كه اصلاح يا هدم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فقرِ مالك، حاكم از بيت المال انجام مى دهد</w:t>
      </w:r>
      <w:r>
        <w:rPr>
          <w:rFonts w:eastAsia="IRNazanin" w:cs="IRNazanin"/>
          <w:color w:val="111111"/>
          <w:sz w:val="28"/>
          <w:szCs w:val="28"/>
          <w:rtl w:val="true"/>
          <w:lang w:bidi="fa-IR"/>
        </w:rPr>
        <w:t>.</w:t>
      </w:r>
    </w:p>
    <w:p>
      <w:pPr>
        <w:pStyle w:val="Heading5"/>
        <w:numPr>
          <w:ilvl w:val="4"/>
          <w:numId w:val="1"/>
        </w:numPr>
        <w:rPr/>
      </w:pPr>
      <w:bookmarkStart w:id="710" w:name="__RefHeading___Toc3597935_1067777946"/>
      <w:bookmarkStart w:id="711" w:name="_Toc288"/>
      <w:bookmarkEnd w:id="710"/>
      <w:r>
        <w:rPr>
          <w:rtl w:val="true"/>
        </w:rPr>
        <w:t>تخريب ديوار مشترك بدون اذن يا وجوب</w:t>
      </w:r>
      <w:bookmarkEnd w:id="71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هدم كرد شريك، ديوار مشترك را در غير صورت وجوب يا اذن شريك، ضامن ارش است براى شريك، كه عبارت از نصف اجرت تعمير تمام ديوار است؛ و واجب نيست بر او اعاده بنا بنابر اظهر، اگر چه احوط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هادمْ غيرِ شريك بود، ضامن تمام اجرت تعمير است براى دو شريك مثلاً، و آن موافق است با اعادۀ تعمير با مطالبه شريكها به حسب ماليّت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مباشرت هادم بنا را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ماليّت را ضامن است بنابر اظهر</w:t>
      </w:r>
      <w:r>
        <w:rPr>
          <w:rFonts w:eastAsia="IRNazanin" w:cs="IRNazanin"/>
          <w:color w:val="111111"/>
          <w:sz w:val="28"/>
          <w:szCs w:val="28"/>
          <w:rtl w:val="true"/>
          <w:lang w:bidi="fa-IR"/>
        </w:rPr>
        <w:t xml:space="preserve">. </w:t>
      </w:r>
      <w:bookmarkStart w:id="712" w:name="pg10256_89452"/>
    </w:p>
    <w:p>
      <w:pPr>
        <w:pStyle w:val="Heading3"/>
        <w:numPr>
          <w:ilvl w:val="2"/>
          <w:numId w:val="1"/>
        </w:numPr>
        <w:rPr/>
      </w:pPr>
      <w:bookmarkStart w:id="713" w:name="__RefHeading___Toc3597937_1067777946"/>
      <w:bookmarkStart w:id="714" w:name="_Toc289"/>
      <w:bookmarkEnd w:id="712"/>
      <w:bookmarkEnd w:id="713"/>
      <w:r>
        <w:rPr>
          <w:rtl w:val="true"/>
        </w:rPr>
        <w:t>فصل سوّم مسائل متفرقۀ تزاحم املاك</w:t>
      </w:r>
      <w:bookmarkEnd w:id="714"/>
    </w:p>
    <w:p>
      <w:pPr>
        <w:pStyle w:val="Heading4"/>
        <w:numPr>
          <w:ilvl w:val="3"/>
          <w:numId w:val="1"/>
        </w:numPr>
        <w:rPr/>
      </w:pPr>
      <w:bookmarkStart w:id="715" w:name="__RefHeading___Toc3597939_1067777946"/>
      <w:bookmarkStart w:id="716" w:name="_Toc290"/>
      <w:bookmarkEnd w:id="715"/>
      <w:r>
        <w:rPr>
          <w:rtl w:val="true"/>
        </w:rPr>
        <w:t>اصلاح قنات مشترك و امثال آن</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مثل قناتى يا ناعوره يا چاهى بين دو شريك مثلاً باشد و محتاج به اصلاح باشد، اجبار نمى شود شريك بر تعمير، بلكه با توافق و اذنِ هر دو، تعمير مى شود به نحو شركت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توافق نكردند پس احوط ارجاعِ امر است به حاكم شرع براى جمع بين حقوق كه دفع ضرر بدون اضرار نمايد؛ و اين در صورت تمكّنِ ممتنع و قصد اضرار، واضح است؛ وگرنه توصّل مى نمايد به طريقى كه در او اضرار نباشد از تخييرِ ممتنع بين بيع و اجاره، يا اعانۀ او از بيت المال به نحو اقراض يا غير آن، در صورتى كه ممتنع از مصارف، از مصلحت مسلمين و مصرف بيت المال باشد، به نحوى كه فرق بين ديوار مشترك، و چاه مشترك از منافع طرفين باشد</w:t>
      </w:r>
      <w:r>
        <w:rPr>
          <w:rFonts w:eastAsia="IRNazanin" w:cs="IRNazanin"/>
          <w:color w:val="111111"/>
          <w:sz w:val="28"/>
          <w:szCs w:val="28"/>
          <w:rtl w:val="true"/>
          <w:lang w:bidi="fa-IR"/>
        </w:rPr>
        <w:t>.</w:t>
      </w:r>
    </w:p>
    <w:p>
      <w:pPr>
        <w:pStyle w:val="Heading4"/>
        <w:numPr>
          <w:ilvl w:val="3"/>
          <w:numId w:val="1"/>
        </w:numPr>
        <w:rPr/>
      </w:pPr>
      <w:bookmarkStart w:id="717" w:name="__RefHeading___Toc3597941_1067777946"/>
      <w:bookmarkStart w:id="718" w:name="_Toc291"/>
      <w:bookmarkEnd w:id="717"/>
      <w:r>
        <w:rPr>
          <w:rtl w:val="true"/>
        </w:rPr>
        <w:t>ساخت و تعمير دو بناى عالى و سافل منهدم شده</w:t>
      </w:r>
      <w:bookmarkEnd w:id="7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بنايى مشتمل بر عالى و سافل باشد و هر كدام ملك شخصى باشد، پس منهدم شدند با هم يا آنكه هر دو شريك با هم هدم نمودند، واجب نيست بر هيچ كدام اعاده و تعمير براى مطالبۀ غير و ملك او، مگر آنكه اين تعمير، مورد استحقاق آنها به عقد لازمى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صاحب علوّ خواست تبرّعاً تعميرِ سافل نمايد، در صورتى كه مضرّ به </w:t>
      </w:r>
      <w:bookmarkStart w:id="719" w:name="pg10256_89453"/>
    </w:p>
    <w:p>
      <w:pPr>
        <w:pStyle w:val="BookText"/>
        <w:rPr/>
      </w:pPr>
      <w:bookmarkEnd w:id="719"/>
      <w:r>
        <w:rPr>
          <w:rFonts w:ascii="Amiri" w:hAnsi="Amiri" w:eastAsia="Amiri" w:cs="Amiri"/>
          <w:color w:val="111111"/>
          <w:sz w:val="28"/>
          <w:sz w:val="28"/>
          <w:szCs w:val="28"/>
          <w:rtl w:val="true"/>
          <w:lang w:bidi="ar-SA"/>
        </w:rPr>
        <w:t>صاحب سفل باشد، جايز نيست تعمير، و واجب نيست اذن دادن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صورتى كه اذن ندهد و مضرّ نباشد بر صاحب سفل و ثابت نباشد استحقاق ابقا و تعمير براى صاحب علو و متوقف باشد تعمير به تصرّف در ملك صاحب سفل كه مختص يا مشترك است، اظهر عدم جواز تعميرِ متوقف به تصرّف در ملك غير، بدون اذن او است</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3597943_1067777946"/>
      <w:bookmarkStart w:id="721" w:name="_Toc292"/>
      <w:bookmarkEnd w:id="720"/>
      <w:r>
        <w:rPr>
          <w:rtl w:val="true"/>
        </w:rPr>
        <w:t>حكم ضمان در تخريب ديوارى كه در معرض هدم است</w:t>
      </w:r>
      <w:bookmarkEnd w:id="7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چنين در صورتى كه ديوارِ مشترك، مشرف به انهدام باشد، شريك يا غير او با جواز يا وجوب هدم، ضامن ارش 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بين بردن تأليف اجزا نه اجزا مگر آنكه لازم غالبى هدم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مالك منهدم؛ و بر او واجب نيست اعادۀ بنا، مگر آنكه با شرطى مُلزَم، واجب شده باشد بر شرطكننده، چه شريك باشد يا ديگرى كه جايز يا واجب بوده بر او هدم مستهدَم</w:t>
      </w:r>
      <w:r>
        <w:rPr>
          <w:rFonts w:eastAsia="IRNazanin" w:cs="IRNazanin"/>
          <w:color w:val="111111"/>
          <w:sz w:val="28"/>
          <w:szCs w:val="28"/>
          <w:rtl w:val="true"/>
          <w:lang w:bidi="fa-IR"/>
        </w:rPr>
        <w:t>.</w:t>
      </w:r>
    </w:p>
    <w:p>
      <w:pPr>
        <w:pStyle w:val="Heading4"/>
        <w:numPr>
          <w:ilvl w:val="3"/>
          <w:numId w:val="1"/>
        </w:numPr>
        <w:rPr/>
      </w:pPr>
      <w:bookmarkStart w:id="722" w:name="__RefHeading___Toc3597945_1067777946"/>
      <w:bookmarkStart w:id="723" w:name="_Toc293"/>
      <w:bookmarkEnd w:id="722"/>
      <w:r>
        <w:rPr>
          <w:rtl w:val="true"/>
        </w:rPr>
        <w:t>اختلاف صاحب خانۀ بالا و پايين در مالكيّت ديوار خانۀ پايينى</w:t>
      </w:r>
      <w:bookmarkEnd w:id="7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نزاع كردند صاحب سافل و صاحب غرفۀ عاليه در ديوارهاى بيت سافل، حكم مى شود براى صاحب سافل با يمين او و عدم مرجّحات اختصاص و موجبات اشتراك،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حكايت شهرت بر آن شده است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ديوارهاى غرفه براى صاحب غرفه با يمين او به نحو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حكايت اتفاق بر آن شده است</w:t>
      </w:r>
      <w:r>
        <w:rPr>
          <w:rFonts w:eastAsia="IRNazanin" w:cs="IRNazanin"/>
          <w:color w:val="111111"/>
          <w:sz w:val="28"/>
          <w:szCs w:val="28"/>
          <w:rtl w:val="true"/>
          <w:lang w:bidi="fa-IR"/>
        </w:rPr>
        <w:t>).</w:t>
      </w:r>
    </w:p>
    <w:p>
      <w:pPr>
        <w:pStyle w:val="Heading4"/>
        <w:numPr>
          <w:ilvl w:val="3"/>
          <w:numId w:val="1"/>
        </w:numPr>
        <w:rPr/>
      </w:pPr>
      <w:bookmarkStart w:id="724" w:name="__RefHeading___Toc3597947_1067777946"/>
      <w:bookmarkStart w:id="725" w:name="_Toc294"/>
      <w:bookmarkEnd w:id="724"/>
      <w:r>
        <w:rPr>
          <w:rtl w:val="true"/>
        </w:rPr>
        <w:t>اختلاف در مالكيت سقف خانۀ پايين</w:t>
      </w:r>
      <w:bookmarkEnd w:id="7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نزاع كردند صاحب سافل و عالى در سقفِ بيت سافل كه زمينِ غرفه است و محتمل باشد بناى سقف بعد از بناى بيت به آنكه در داخلِ ديوارِ سافل تسقيف شده باشد، اظهر اين است كه با حلف هر دو يا نكول هر دو، حكم به اشتراك مى شود؛ و براى حالف با نكول ديگرى، حكم مى شود، به جهت استواى يد هر دو در آن؛ و اين قول اقرب و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26" w:name="pg10256_89454"/>
    </w:p>
    <w:p>
      <w:pPr>
        <w:pStyle w:val="Heading4"/>
        <w:numPr>
          <w:ilvl w:val="3"/>
          <w:numId w:val="1"/>
        </w:numPr>
        <w:rPr/>
      </w:pPr>
      <w:bookmarkStart w:id="727" w:name="__RefHeading___Toc3597949_1067777946"/>
      <w:bookmarkStart w:id="728" w:name="_Toc295"/>
      <w:bookmarkEnd w:id="726"/>
      <w:bookmarkEnd w:id="727"/>
      <w:r>
        <w:rPr>
          <w:rtl w:val="true"/>
        </w:rPr>
        <w:t>اختلاف در مالكيّت سقف غرفه</w:t>
      </w:r>
      <w:bookmarkEnd w:id="7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تنازع در سقف غرفه شده است و خصوصيتِ موجبۀ استظهار خلاف نباشد، حكم مى شود براى صاحب غرفه با يمين او؛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است</w:t>
      </w:r>
      <w:r>
        <w:rPr>
          <w:rFonts w:eastAsia="IRNazanin" w:cs="IRNazanin"/>
          <w:color w:val="111111"/>
          <w:sz w:val="28"/>
          <w:szCs w:val="28"/>
          <w:rtl w:val="true"/>
          <w:lang w:bidi="fa-IR"/>
        </w:rPr>
        <w:t>.</w:t>
      </w:r>
    </w:p>
    <w:p>
      <w:pPr>
        <w:pStyle w:val="Heading4"/>
        <w:numPr>
          <w:ilvl w:val="3"/>
          <w:numId w:val="1"/>
        </w:numPr>
        <w:rPr/>
      </w:pPr>
      <w:bookmarkStart w:id="729" w:name="__RefHeading___Toc3597951_1067777946"/>
      <w:bookmarkStart w:id="730" w:name="_Toc296"/>
      <w:bookmarkEnd w:id="729"/>
      <w:r>
        <w:rPr>
          <w:rtl w:val="true"/>
        </w:rPr>
        <w:t>حكم شاخه هاى وارد شده به ملك ديگرى</w:t>
      </w:r>
      <w:bookmarkEnd w:id="73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خارج شد اغصان درختى به سوى ملك همسايه از زمين يا هواىِ تابع، و امتناع كرد صاحبِ درخت از دفع از همسايه بنحوى، مى تواند صاحب زمين يا هوا دفع نمايد به عطف؛ و اگر ممكن يا مفيد نباشد، به قطع آن، اگر چه مضر باشد به همسايه خروج آن و بقاى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امكانِ عطف، قطع نمود، ضامن است همه مقطوع را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حاكم معتبر نيست مگر براى دفع نزاع محتمل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لزوم مطالبه دفع از مالك است؛ و اگر امتناع كرد يا غايب بود، پس احوط با غيبت، دفع با اذن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نيست در جواز اخراج بهيمۀ مملوكه، اذن مالك آن و مراجعه به او، اگر چه مضر نباشد دخول و بقاى آن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نيست بر مالك، قطع اغصان خارجه به ملك غير مگر با مطالبه جار يا مضرّ بودن بر او؛ و در مطالبه تقديريّه كه اگر مطّلع بود مطالبه مى نمود، احوط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عروق به اغصان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 اگر مولّىٰ عليه باشد، مرجع در امور او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اجرتى در عرف دارد مى تواند با اخذ اجرت، اذن در ابقا بدهد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احراق اغصانِ در حكم قطع، اگر لوازمى از قبيل سرايت نداشته باشد، جايز است براى غير مالك، در آنجا كه قطع جايز است، چنانچه گذشت</w:t>
      </w:r>
      <w:r>
        <w:rPr>
          <w:rFonts w:eastAsia="IRNazanin" w:cs="IRNazanin"/>
          <w:color w:val="111111"/>
          <w:sz w:val="28"/>
          <w:szCs w:val="28"/>
          <w:rtl w:val="true"/>
          <w:lang w:bidi="fa-IR"/>
        </w:rPr>
        <w:t xml:space="preserve">. </w:t>
      </w:r>
      <w:bookmarkStart w:id="731" w:name="pg10256_89455"/>
    </w:p>
    <w:p>
      <w:pPr>
        <w:pStyle w:val="Heading4"/>
        <w:numPr>
          <w:ilvl w:val="3"/>
          <w:numId w:val="1"/>
        </w:numPr>
        <w:rPr/>
      </w:pPr>
      <w:bookmarkStart w:id="732" w:name="__RefHeading___Toc3597953_1067777946"/>
      <w:bookmarkStart w:id="733" w:name="_Toc297"/>
      <w:bookmarkEnd w:id="731"/>
      <w:bookmarkEnd w:id="732"/>
      <w:r>
        <w:rPr>
          <w:rtl w:val="true"/>
        </w:rPr>
        <w:t>كج شدن ديوار به خانۀ همسايه</w:t>
      </w:r>
      <w:bookmarkEnd w:id="73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 جدار به هواى جار به منزله خروج اغصان است، و اضرار در جدارِ مايل، اغلب است</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3597955_1067777946"/>
      <w:bookmarkStart w:id="735" w:name="_Toc298"/>
      <w:bookmarkEnd w:id="734"/>
      <w:r>
        <w:rPr>
          <w:rtl w:val="true"/>
        </w:rPr>
        <w:t>خاكى كه در ملك غير ريخته شود</w:t>
      </w:r>
      <w:bookmarkEnd w:id="7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خاك منتقَل به ملك غير، به منزلۀ اغصان خارجه است، و تخليصِ ارضِ غير از آن، لازم است با مطالبه يا اضرار، چنانچه گذشت در اغصان</w:t>
      </w:r>
      <w:r>
        <w:rPr>
          <w:rFonts w:eastAsia="IRNazanin" w:cs="IRNazanin"/>
          <w:color w:val="111111"/>
          <w:sz w:val="28"/>
          <w:szCs w:val="28"/>
          <w:rtl w:val="true"/>
          <w:lang w:bidi="fa-IR"/>
        </w:rPr>
        <w:t>.</w:t>
      </w:r>
    </w:p>
    <w:p>
      <w:pPr>
        <w:pStyle w:val="Heading4"/>
        <w:numPr>
          <w:ilvl w:val="3"/>
          <w:numId w:val="1"/>
        </w:numPr>
        <w:rPr/>
      </w:pPr>
      <w:bookmarkStart w:id="736" w:name="__RefHeading___Toc3597957_1067777946"/>
      <w:bookmarkStart w:id="737" w:name="_Toc299"/>
      <w:bookmarkEnd w:id="736"/>
      <w:r>
        <w:rPr>
          <w:rtl w:val="true"/>
        </w:rPr>
        <w:t>حكم اخراج حيوانى كه داخل خانۀ شخصى شود</w:t>
      </w:r>
      <w:bookmarkEnd w:id="73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مالك است اخراج بهيمۀ مملوكۀ غير كه داخل خانۀ شخصى بشود اگر مستلزم اتلاف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مستلزم اتلاف آن باشد،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ولى او مى شود، و در صورت امتناعْ اخراج مى شود با تضرّر به بقاى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عدم تضرر،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اخراج است؛ و احوط مراجعه به حاكم است و با نظر او صلحى مشروع انجام داده شود كه مناسب با موارد خاصه باشد، كه از آن جمله ابقاى با اجرت حساب شده از انتفاع به بهيمه در مورد قابليت انتفاع است؛ و بالجمله با حرجيّت ابقا، جواز اخراج متلِف بى وجه نيست</w:t>
      </w:r>
      <w:r>
        <w:rPr>
          <w:rFonts w:eastAsia="IRNazanin" w:cs="IRNazanin"/>
          <w:color w:val="111111"/>
          <w:sz w:val="28"/>
          <w:szCs w:val="28"/>
          <w:rtl w:val="true"/>
          <w:lang w:bidi="fa-IR"/>
        </w:rPr>
        <w:t>.</w:t>
      </w:r>
    </w:p>
    <w:p>
      <w:pPr>
        <w:pStyle w:val="Heading4"/>
        <w:numPr>
          <w:ilvl w:val="3"/>
          <w:numId w:val="1"/>
        </w:numPr>
        <w:rPr/>
      </w:pPr>
      <w:bookmarkStart w:id="738" w:name="__RefHeading___Toc3597959_1067777946"/>
      <w:bookmarkStart w:id="739" w:name="_Toc300"/>
      <w:bookmarkEnd w:id="738"/>
      <w:r>
        <w:rPr>
          <w:rtl w:val="true"/>
        </w:rPr>
        <w:t>لزوم رفع اشغال از ملك غير</w:t>
      </w:r>
      <w:bookmarkEnd w:id="73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مالكْ واجب است تخليص ملك غير، از اشغال ملك ديگرى، چه بهيمه باشد يا غير، در صورت مطالبه يا اضرار؛ چنانچه بر مالك زمين، تسليم مالِ غيرْ به صاحبش لازم است در صورت استلزام اتلاف يا حكم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اخراج قبل از اعلام و تسليم جايز است، چنانچه گذشت؛ و احوط تسليم است اگر قبض و تصرفى نكرده باشد وگرنه واجب است</w:t>
      </w:r>
      <w:r>
        <w:rPr>
          <w:rFonts w:eastAsia="IRNazanin" w:cs="IRNazanin"/>
          <w:color w:val="111111"/>
          <w:sz w:val="28"/>
          <w:szCs w:val="28"/>
          <w:rtl w:val="true"/>
          <w:lang w:bidi="fa-IR"/>
        </w:rPr>
        <w:t>.</w:t>
      </w:r>
    </w:p>
    <w:p>
      <w:pPr>
        <w:pStyle w:val="Heading4"/>
        <w:numPr>
          <w:ilvl w:val="3"/>
          <w:numId w:val="1"/>
        </w:numPr>
        <w:rPr/>
      </w:pPr>
      <w:bookmarkStart w:id="740" w:name="__RefHeading___Toc3597961_1067777946"/>
      <w:bookmarkStart w:id="741" w:name="_Toc301"/>
      <w:bookmarkEnd w:id="740"/>
      <w:r>
        <w:rPr>
          <w:rtl w:val="true"/>
        </w:rPr>
        <w:t>مصالحۀ صاحب شاخه هاى درخت با مالك هوا يا ديوار</w:t>
      </w:r>
      <w:bookmarkEnd w:id="74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صلحِ مالكِ اغصان با مالكِ هوا يا جدار، بر ابقاى آنها به عوضى</w:t>
      </w:r>
      <w:bookmarkStart w:id="742" w:name="pg10256_89456"/>
    </w:p>
    <w:p>
      <w:pPr>
        <w:pStyle w:val="BookText"/>
        <w:rPr/>
      </w:pPr>
      <w:bookmarkEnd w:id="742"/>
      <w:r>
        <w:rPr>
          <w:rFonts w:ascii="IRNazanin" w:hAnsi="IRNazanin" w:eastAsia="IRNazanin"/>
          <w:color w:val="111111"/>
          <w:sz w:val="28"/>
          <w:sz w:val="28"/>
          <w:szCs w:val="28"/>
          <w:rtl w:val="true"/>
          <w:lang w:bidi="fa-IR"/>
        </w:rPr>
        <w:t>بنابر اظهر؛ و لازم نيست تعيين مدت اگر چه به حسب نتيجه، اجاره است؛ و ممكن است متيقّن مادام المملوكان لمالكهما باشد مگر آنكه تعيين مدت يا تصريح به دوام شده باشد؛ و استظهار دوام مطلقاً ممنوع است؛ حتى در موارد عدم جواز رجوع، تعدّى از زمان مضرّ بودنِ رجوع، ممنوع است، و محتاج است زايد به اذن يا صلح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جعل مصالَحٌ عليه، جزئى از ثمره درختِ مايل به طرف جار يا تمام آن، احوط ضميمۀ مقدار معلوم است اگر چه قليل و مشروط به مجهول الوجود و الكمّيه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كدام راضى شدند به انتفاع ديگرى به مال او، يكى به تصرفِ ديگرى در ديوار يا هواى او و ديگرى به تصرّف ديگرى در ثمرۀ درخت، جايز است تصرّف هر دو بدون ارتباط عقدى و بدون لزوم؛ پس جايز است رجوع از اذن و لو قبل از رجوع ديگرى؛ مثل آنكه كسى به ديگرى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من بنشين و در خانه تو مى نشينم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تقدير مدّت و شرط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عروقْ حكمِ اغصان است در آنچه ذكر شد، مگر در آنكه عروقْ ثمر ندارند</w:t>
      </w:r>
      <w:r>
        <w:rPr>
          <w:rFonts w:eastAsia="IRNazanin" w:cs="IRNazanin"/>
          <w:color w:val="111111"/>
          <w:sz w:val="28"/>
          <w:szCs w:val="28"/>
          <w:rtl w:val="true"/>
          <w:lang w:bidi="fa-IR"/>
        </w:rPr>
        <w:t>.</w:t>
      </w:r>
    </w:p>
    <w:p>
      <w:pPr>
        <w:pStyle w:val="Heading4"/>
        <w:numPr>
          <w:ilvl w:val="3"/>
          <w:numId w:val="1"/>
        </w:numPr>
        <w:rPr/>
      </w:pPr>
      <w:bookmarkStart w:id="743" w:name="__RefHeading___Toc3597963_1067777946"/>
      <w:bookmarkStart w:id="744" w:name="_Toc302"/>
      <w:bookmarkEnd w:id="743"/>
      <w:r>
        <w:rPr>
          <w:rtl w:val="true"/>
        </w:rPr>
        <w:t>تنازع صاحب خانه بالا با صاحب خانه پايين در راه پله</w:t>
      </w:r>
      <w:bookmarkEnd w:id="74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تنازع كردند صاحب عالى و صاحب سافل در دَرَج براى ارتقاى به عالى، حكم مى شود براى عالى با يمين او در هركجا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درج اگر ممكن باشد اختصاص بهر كدام، در حكم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زير درج، مخزن بود براى صاحب سافل، پس حكمِ درجْ حكم سقف بين عالى و سافل است كه گذشت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مخزن هم متنازعٌ فيه باشد و ممكن باشد اختصاص به هر كدام، پس مرقىٰ و مخزن در حكم سقف و مشترك است كه گذشت، مگر آنكه خصوصيت مرقىٰ‌ </w:t>
      </w:r>
      <w:bookmarkStart w:id="745" w:name="pg10256_89457"/>
    </w:p>
    <w:p>
      <w:pPr>
        <w:pStyle w:val="BookText"/>
        <w:rPr/>
      </w:pPr>
      <w:bookmarkEnd w:id="745"/>
      <w:r>
        <w:rPr>
          <w:rFonts w:ascii="Amiri" w:hAnsi="Amiri" w:eastAsia="Amiri" w:cs="Amiri"/>
          <w:color w:val="111111"/>
          <w:sz w:val="28"/>
          <w:sz w:val="28"/>
          <w:szCs w:val="28"/>
          <w:rtl w:val="true"/>
          <w:lang w:bidi="ar-SA"/>
        </w:rPr>
        <w:t>ترجيح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منقول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مى شود براى صاحب يد بر آن و كسى كه در بيت او موضوع باشد، مگر آنكه خصوصيّت آن ترجيح بدهد اختصاص به محل خاص را، و اينكه از توابع بيت عالى خاص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غير منقول است و در يد صاحب سافل است، مگر اينكه اختصاص به صاحب عالى داشته باشد كه در تصرّف و يد او باشد؛ و اين متعين است اگر كوبيده شود در موضع مرقىٰ كه به حكم غير منقول مى شود و در يد و تصرّف صاحب 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تنازع به صورت مختلفه باشد، مثل اينكه يكى ادّعاى تمام و يكى ادّعاى نصف نمايد و در يد هر دو باشد، احتمال دارد نصفْ تنصيف شود و ربعْ نصيبِ مدعىِ نصف باشد با يمين او به عدم استحقاق ديگرى تمام را، و يمين ديگرى به استحقاق شامل سه ربع؛ و احتمال دارد لغويّت يد مدّعىِ تمامْ در زايدِ بر نصف حكماً و خارج بودن از فضاى نصف براى ذو اليد بر نصف، با يمين او به عدم استحقاق طرف نصف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يمين طرف به استحقاق شامل بر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تقرير صلح در ربع مختلف به حسب دو احتمال، موافق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تنازع كرد صاحب علو و سافل در صورتى كه مرقات در نهايت خانه است در صحن خانه، مسلك مشترك مى شود بين آن دو و باقى مختص به صاحب سافل مى شود با يمين هركدام به استحقاق شامل بر مسلك از صحن خانه تا مرقات به سوى غرفه آن</w:t>
      </w:r>
      <w:r>
        <w:rPr>
          <w:rFonts w:eastAsia="IRNazanin" w:cs="IRNazanin"/>
          <w:color w:val="111111"/>
          <w:sz w:val="28"/>
          <w:szCs w:val="28"/>
          <w:rtl w:val="true"/>
          <w:lang w:bidi="fa-IR"/>
        </w:rPr>
        <w:t>.</w:t>
      </w:r>
    </w:p>
    <w:p>
      <w:pPr>
        <w:pStyle w:val="Heading4"/>
        <w:numPr>
          <w:ilvl w:val="3"/>
          <w:numId w:val="1"/>
        </w:numPr>
        <w:rPr/>
      </w:pPr>
      <w:bookmarkStart w:id="746" w:name="__RefHeading___Toc3597965_1067777946"/>
      <w:bookmarkStart w:id="747" w:name="_Toc303"/>
      <w:bookmarkEnd w:id="746"/>
      <w:r>
        <w:rPr>
          <w:rtl w:val="true"/>
        </w:rPr>
        <w:t>نزاع راكب حيوان و گيرندۀ لجام آن در ملكيّت آن حيوان</w:t>
      </w:r>
      <w:bookmarkEnd w:id="74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تنازع كرد راكب دابّه و قابض لجام آن در ملكيّت دابّه و موجب اختصاص به يكى از قراين نبود، اظهر تخصيص قابض لجام كه قوت يد او غالب است مى باشد پس مقدم است قول او با يمين او</w:t>
      </w:r>
      <w:r>
        <w:rPr>
          <w:rFonts w:eastAsia="IRNazanin" w:cs="IRNazanin"/>
          <w:color w:val="111111"/>
          <w:sz w:val="28"/>
          <w:szCs w:val="28"/>
          <w:rtl w:val="true"/>
          <w:lang w:bidi="fa-IR"/>
        </w:rPr>
        <w:t>.</w:t>
      </w:r>
      <w:bookmarkStart w:id="748" w:name="pg10256_89458"/>
    </w:p>
    <w:p>
      <w:pPr>
        <w:pStyle w:val="Heading4"/>
        <w:numPr>
          <w:ilvl w:val="3"/>
          <w:numId w:val="1"/>
        </w:numPr>
        <w:rPr/>
      </w:pPr>
      <w:bookmarkStart w:id="749" w:name="__RefHeading___Toc3597967_1067777946"/>
      <w:bookmarkStart w:id="750" w:name="_Toc304"/>
      <w:bookmarkEnd w:id="748"/>
      <w:bookmarkEnd w:id="749"/>
      <w:r>
        <w:rPr>
          <w:rtl w:val="true"/>
        </w:rPr>
        <w:t>اختلاف گيرنده اكثر لباس با اقلّ لباس در ملكيت آن</w:t>
      </w:r>
      <w:bookmarkEnd w:id="750"/>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كردند دو قابض ثوب كه يكى در يد او اكثر آن است، پس اظهر، تخصيص اكثر است به آنكه در يد او اكثر است و اقل به آنكه در يد او اقل است، با يمين مناسب هركدام؛ لكن بر حسب اتفاق منقول بر تساوى، احوط صلح است در تمام نصف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كردند لابس ثوبى با قابض آن، اظهر تقديم قول لابس است با يمين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تنازع كردند در عبدى كه در يد آنها است لكن لابسِ ثوبِ يكى از ايشان است با مساوات در ساير خصوصيات، اظهر تساوى و تنصيف است با يمين هر دو؛ و لبس، يدِ مالك لباس نيست</w:t>
      </w:r>
      <w:r>
        <w:rPr>
          <w:rFonts w:eastAsia="IRNazanin" w:cs="IRNazanin"/>
          <w:color w:val="111111"/>
          <w:sz w:val="28"/>
          <w:szCs w:val="28"/>
          <w:rtl w:val="true"/>
          <w:lang w:bidi="fa-IR"/>
        </w:rPr>
        <w:t>.</w:t>
      </w:r>
    </w:p>
    <w:p>
      <w:pPr>
        <w:pStyle w:val="Heading4"/>
        <w:numPr>
          <w:ilvl w:val="3"/>
          <w:numId w:val="1"/>
        </w:numPr>
        <w:rPr/>
      </w:pPr>
      <w:bookmarkStart w:id="751" w:name="__RefHeading___Toc3597969_1067777946"/>
      <w:bookmarkStart w:id="752" w:name="_Toc305"/>
      <w:bookmarkEnd w:id="751"/>
      <w:r>
        <w:rPr>
          <w:rtl w:val="true"/>
        </w:rPr>
        <w:t>نزاع دو نفر در حيوانى كه بارش مال يكى از آنها است</w:t>
      </w:r>
      <w:bookmarkEnd w:id="752"/>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تنازع كردند در دابّه اى كه در يد آنها على التساوى است لكن بار او از يكى از آن دو است، اظهر تساوى و اشتراك است به واسطۀ اشتراك در يد؛ و تصرفِ غيرِ كاشفِ از يَد، مرجّحِ يد واقع نمى شود؛ لكن به ملاحظۀ حكايت اتفاق، احوط صلح است بر وفق 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احتياطْ عمل بشود در صورتى كه يكى صاحب يد و ديگرى فقط صاحب حمل بر دابه است، يا آنكه هيچ كدام يدى ندارند و يكى فقط صاحب حمل است</w:t>
      </w:r>
      <w:r>
        <w:rPr>
          <w:rFonts w:eastAsia="IRNazanin" w:cs="IRNazanin"/>
          <w:color w:val="111111"/>
          <w:sz w:val="28"/>
          <w:szCs w:val="28"/>
          <w:rtl w:val="true"/>
          <w:lang w:bidi="fa-IR"/>
        </w:rPr>
        <w:t>.</w:t>
      </w:r>
    </w:p>
    <w:p>
      <w:pPr>
        <w:pStyle w:val="Heading4"/>
        <w:numPr>
          <w:ilvl w:val="3"/>
          <w:numId w:val="1"/>
        </w:numPr>
        <w:rPr/>
      </w:pPr>
      <w:bookmarkStart w:id="753" w:name="__RefHeading___Toc3597971_1067777946"/>
      <w:bookmarkStart w:id="754" w:name="_Toc306"/>
      <w:bookmarkEnd w:id="753"/>
      <w:r>
        <w:rPr>
          <w:rtl w:val="true"/>
        </w:rPr>
        <w:t>نزاع در غرفۀ بالاخانه</w:t>
      </w:r>
      <w:bookmarkEnd w:id="75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تداعى كردند در غرفه بالاى خانۀ يكى كه درب آن مفتوح به غرفۀ آن ديگرى است، مقدّم است قول صاحب بيت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 مفتوح، منحصر به طرف غرفۀ غير باشد مقدّم مى شود قول صاحب آن غرفه با يمين او بنابر اظهر</w:t>
      </w:r>
      <w:r>
        <w:rPr>
          <w:rFonts w:eastAsia="IRNazanin" w:cs="IRNazanin"/>
          <w:color w:val="111111"/>
          <w:sz w:val="28"/>
          <w:szCs w:val="28"/>
          <w:rtl w:val="true"/>
          <w:lang w:bidi="fa-IR"/>
        </w:rPr>
        <w:t>.</w:t>
      </w:r>
      <w:bookmarkStart w:id="755" w:name="pg10256_89459"/>
    </w:p>
    <w:p>
      <w:pPr>
        <w:pStyle w:val="Heading4"/>
        <w:numPr>
          <w:ilvl w:val="3"/>
          <w:numId w:val="1"/>
        </w:numPr>
        <w:rPr/>
      </w:pPr>
      <w:bookmarkStart w:id="756" w:name="__RefHeading___Toc3597973_1067777946"/>
      <w:bookmarkStart w:id="757" w:name="_Toc307"/>
      <w:bookmarkEnd w:id="755"/>
      <w:bookmarkEnd w:id="756"/>
      <w:r>
        <w:rPr>
          <w:rtl w:val="true"/>
        </w:rPr>
        <w:t>حكم مال غير بر جدار و ميزان ذو اليد بودن</w:t>
      </w:r>
      <w:bookmarkEnd w:id="75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جدار كسى ملك غير بود مثل خشب، پس اظهر عدم جواز منع از ابقا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انهدام و اختلاف در استحقاق وضع و عدم آن، مقدّم است قول صاحب جدار با يمين او به عدم استحقاق وضع كه اعمّ از عاريه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اين است كه صاحب بيت و جدار، ذو اليد است و حكم براى او مى شود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استحقاق غير و مُقِرّ به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جهل او بسببِ استحقاق، ضرر ندارد؛ و علمِ طرفْ به استحقاق، ثمر ندارد و او را ذو اليد نمى نمايد، بلكه منتفع به ملك غير بوده بدون استحقاق معلوم براى مالك جدار؛ پس با مسموعيّت دعوىٰ‌، يمين مالك به عدمِ علم به استحقاق غيرْ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الصلح و كتاب تزاحم الحقوق و الأملاك، فى ثاني ذى القعدة من </w:t>
      </w:r>
      <w:r>
        <w:rPr>
          <w:rFonts w:eastAsia="Amiri" w:cs="Amiri" w:ascii="Amiri" w:hAnsi="Amiri"/>
          <w:color w:val="111111"/>
          <w:sz w:val="28"/>
          <w:szCs w:val="28"/>
          <w:lang w:bidi="ar-SA"/>
        </w:rPr>
        <w:t>1406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 الصّلاة على محمد و آله الاُمناء الطاهرين</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8" w:name="pg10256_89461"/>
      <w:bookmarkStart w:id="759" w:name="pg10256_89461"/>
      <w:bookmarkEnd w:id="759"/>
    </w:p>
    <w:p>
      <w:pPr>
        <w:pStyle w:val="Heading2"/>
        <w:numPr>
          <w:ilvl w:val="1"/>
          <w:numId w:val="1"/>
        </w:numPr>
        <w:rPr/>
      </w:pPr>
      <w:bookmarkStart w:id="760" w:name="pg10256_89461"/>
      <w:bookmarkStart w:id="761" w:name="__RefHeading___Toc3597975_1067777946"/>
      <w:bookmarkStart w:id="762" w:name="_Toc308"/>
      <w:bookmarkEnd w:id="760"/>
      <w:bookmarkEnd w:id="761"/>
      <w:r>
        <w:rPr>
          <w:rtl w:val="true"/>
        </w:rPr>
        <w:t>كتاب الشركه</w:t>
      </w:r>
      <w:bookmarkEnd w:id="762"/>
    </w:p>
    <w:p>
      <w:pPr>
        <w:pStyle w:val="Heading3"/>
        <w:numPr>
          <w:ilvl w:val="2"/>
          <w:numId w:val="1"/>
        </w:numPr>
        <w:rPr/>
      </w:pPr>
      <w:bookmarkStart w:id="763" w:name="__RefHeading___Toc3597977_1067777946"/>
      <w:bookmarkStart w:id="764" w:name="_Toc309"/>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در اقسام شركت</w:t>
      </w:r>
    </w:p>
    <w:p>
      <w:pPr>
        <w:pStyle w:val="BookText"/>
        <w:rPr/>
      </w:pPr>
      <w:r>
        <w:rPr>
          <w:rFonts w:ascii="IRNazanin" w:hAnsi="IRNazanin" w:eastAsia="IRNazanin"/>
          <w:color w:val="111111"/>
          <w:sz w:val="28"/>
          <w:sz w:val="28"/>
          <w:szCs w:val="28"/>
          <w:rtl w:val="true"/>
          <w:lang w:bidi="fa-IR"/>
        </w:rPr>
        <w:t>در قسمت</w:t>
      </w:r>
    </w:p>
    <w:p>
      <w:pPr>
        <w:pStyle w:val="BookText"/>
        <w:rPr/>
      </w:pPr>
      <w:r>
        <w:rPr>
          <w:rFonts w:ascii="Amiri" w:hAnsi="Amiri" w:eastAsia="Amiri" w:cs="Amiri"/>
          <w:color w:val="111111"/>
          <w:sz w:val="28"/>
          <w:sz w:val="28"/>
          <w:szCs w:val="28"/>
          <w:rtl w:val="true"/>
          <w:lang w:bidi="ar-SA"/>
        </w:rPr>
        <w:t>در لواحق شركت</w:t>
      </w:r>
    </w:p>
    <w:p>
      <w:pPr>
        <w:pStyle w:val="BookText"/>
        <w:rPr/>
      </w:pPr>
      <w:r>
        <w:rPr>
          <w:rFonts w:ascii="Amiri" w:hAnsi="Amiri" w:eastAsia="Amiri" w:cs="Amiri"/>
          <w:color w:val="111111"/>
          <w:sz w:val="28"/>
          <w:sz w:val="28"/>
          <w:szCs w:val="28"/>
          <w:rtl w:val="true"/>
          <w:lang w:bidi="ar-SA"/>
        </w:rPr>
        <w:t>مسائل كتاب صلح به ترتيب مناهل، و مسائل كتاب شركت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جواهر كتابت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0256_89463"/>
      <w:bookmarkStart w:id="766" w:name="pg10256_89463"/>
      <w:bookmarkEnd w:id="766"/>
    </w:p>
    <w:p>
      <w:pPr>
        <w:pStyle w:val="Heading3"/>
        <w:numPr>
          <w:ilvl w:val="2"/>
          <w:numId w:val="1"/>
        </w:numPr>
        <w:rPr/>
      </w:pPr>
      <w:bookmarkStart w:id="767" w:name="pg10256_89463"/>
      <w:bookmarkStart w:id="768" w:name="__RefHeading___Toc3597979_1067777946"/>
      <w:bookmarkStart w:id="769" w:name="_Toc310"/>
      <w:bookmarkEnd w:id="767"/>
      <w:bookmarkEnd w:id="768"/>
      <w:r>
        <w:rPr>
          <w:rtl w:val="true"/>
        </w:rPr>
        <w:t>فصل اوّل در اقسام شركت</w:t>
      </w:r>
      <w:bookmarkEnd w:id="769"/>
    </w:p>
    <w:p>
      <w:pPr>
        <w:pStyle w:val="Heading4"/>
        <w:numPr>
          <w:ilvl w:val="3"/>
          <w:numId w:val="1"/>
        </w:numPr>
        <w:rPr/>
      </w:pPr>
      <w:bookmarkStart w:id="770" w:name="__RefHeading___Toc3597981_1067777946"/>
      <w:bookmarkStart w:id="771" w:name="_Toc311"/>
      <w:bookmarkEnd w:id="770"/>
      <w:r>
        <w:rPr>
          <w:rtl w:val="true"/>
        </w:rPr>
        <w:t>معنى شركت</w:t>
      </w:r>
      <w:bookmarkEnd w:id="771"/>
    </w:p>
    <w:p>
      <w:pPr>
        <w:pStyle w:val="BookText"/>
        <w:rPr/>
      </w:pPr>
      <w:r>
        <w:rPr>
          <w:rFonts w:ascii="Amiri" w:hAnsi="Amiri" w:eastAsia="Amiri" w:cs="Amiri"/>
          <w:color w:val="111111"/>
          <w:sz w:val="28"/>
          <w:sz w:val="28"/>
          <w:szCs w:val="28"/>
          <w:rtl w:val="true"/>
          <w:lang w:bidi="ar-SA"/>
        </w:rPr>
        <w:t xml:space="preserve">شركت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حقوق براى متعدّد بالشخص در شىء واحد شخصى به مساوات يا اختلاف، حاصل به عقد شركت يا غير آن</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3597983_1067777946"/>
      <w:bookmarkStart w:id="773" w:name="_Toc312"/>
      <w:bookmarkEnd w:id="772"/>
      <w:r>
        <w:rPr>
          <w:rtl w:val="true"/>
        </w:rPr>
        <w:t>ملك صاع از صبره معيّنه از مصاديق شركت مصطلح نيست</w:t>
      </w:r>
      <w:bookmarkEnd w:id="773"/>
    </w:p>
    <w:p>
      <w:pPr>
        <w:pStyle w:val="BookText"/>
        <w:rPr/>
      </w:pPr>
      <w:r>
        <w:rPr>
          <w:rFonts w:ascii="IRNazanin" w:hAnsi="IRNazanin" w:eastAsia="IRNazanin"/>
          <w:color w:val="111111"/>
          <w:sz w:val="28"/>
          <w:sz w:val="28"/>
          <w:szCs w:val="28"/>
          <w:rtl w:val="true"/>
          <w:lang w:bidi="fa-IR"/>
        </w:rPr>
        <w:t xml:space="preserve">و اما ملك صاع از صبرۀ معيّنه پس از قبيل 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مقتضى انتزاع كسر مشاع و عنوانيّت كسر براى مملوك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لذا قابل تبديل كسر به كسر ديگر بدون اختيار مالك است؛ بلكه عبارت از ملك متوسط بين ذمّى محض و شخص محض است، و آن كلى مضاف به خارجيّت به اضافه اى كه منتهى به توسط مذكور است و بالذّات به احد الطرفين متبدل نمى شود؛ و اتفاق در بعض احكام شركت، موجب تحقّق موضوع آن نيست</w:t>
      </w:r>
      <w:r>
        <w:rPr>
          <w:rFonts w:eastAsia="IRNazanin" w:cs="IRNazanin"/>
          <w:color w:val="111111"/>
          <w:sz w:val="28"/>
          <w:szCs w:val="28"/>
          <w:rtl w:val="true"/>
          <w:lang w:bidi="fa-IR"/>
        </w:rPr>
        <w:t>.</w:t>
      </w:r>
    </w:p>
    <w:p>
      <w:pPr>
        <w:pStyle w:val="Heading4"/>
        <w:numPr>
          <w:ilvl w:val="3"/>
          <w:numId w:val="1"/>
        </w:numPr>
        <w:rPr/>
      </w:pPr>
      <w:bookmarkStart w:id="774" w:name="__RefHeading___Toc3597985_1067777946"/>
      <w:bookmarkStart w:id="775" w:name="_Toc313"/>
      <w:bookmarkEnd w:id="774"/>
      <w:r>
        <w:rPr>
          <w:rtl w:val="true"/>
        </w:rPr>
        <w:t>شركت عقديّه و غير عقديّه</w:t>
      </w:r>
      <w:bookmarkEnd w:id="775"/>
    </w:p>
    <w:p>
      <w:pPr>
        <w:pStyle w:val="Heading5"/>
        <w:numPr>
          <w:ilvl w:val="4"/>
          <w:numId w:val="1"/>
        </w:numPr>
        <w:rPr/>
      </w:pPr>
      <w:bookmarkStart w:id="776" w:name="__RefHeading___Toc3597987_1067777946"/>
      <w:bookmarkStart w:id="777" w:name="_Toc314"/>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اما انقسام شركت به عقديّه و غير عقديّۀ حاصله به مطلق اختلاط دو مال، پس كلمات اصحاب در آن مختلف است؛ و اظهر كفايت مزج انشايىِ اختيارى در حصول شركت عقديّه است</w:t>
      </w:r>
      <w:r>
        <w:rPr>
          <w:rFonts w:eastAsia="IRNazanin" w:cs="IRNazanin"/>
          <w:color w:val="111111"/>
          <w:sz w:val="28"/>
          <w:szCs w:val="28"/>
          <w:rtl w:val="true"/>
          <w:lang w:bidi="fa-IR"/>
        </w:rPr>
        <w:t>.</w:t>
      </w:r>
    </w:p>
    <w:p>
      <w:pPr>
        <w:pStyle w:val="Heading5"/>
        <w:numPr>
          <w:ilvl w:val="4"/>
          <w:numId w:val="1"/>
        </w:numPr>
        <w:rPr/>
      </w:pPr>
      <w:bookmarkStart w:id="778" w:name="__RefHeading___Toc3597989_1067777946"/>
      <w:bookmarkStart w:id="779" w:name="_Toc315"/>
      <w:bookmarkEnd w:id="778"/>
      <w:r>
        <w:rPr>
          <w:rtl w:val="true"/>
        </w:rPr>
        <w:t>حكم مزج</w:t>
      </w:r>
      <w:bookmarkEnd w:id="7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عدم اعتبار مزج در شركت عقديه غير آنچه مذكور شد، اگر مستفاد از </w:t>
      </w:r>
      <w:bookmarkStart w:id="780" w:name="pg10256_89464"/>
    </w:p>
    <w:p>
      <w:pPr>
        <w:pStyle w:val="BookText"/>
        <w:rPr/>
      </w:pPr>
      <w:bookmarkEnd w:id="780"/>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نصف خود به نصف غير باشد، بلكه اين مطلب خالى از وجه نيست، و بر اعتبار مزج دليلى نيست؛ و حصول شركت به مزجْ اعم از اعتبار است؛ اگر چه اعتبار آن احوط است در آنچه قابل مزج باشد؛ و ازيد از ملك مشاع به نسبت قيمت مالين، مطلوب از شركت نيست؛ و مأخوذ در آن نيست تماثل فضلاً از خلط، اگر اتفاقى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شركت عقديّه ملكِ مشاع، واقعى است؛ و در غير آن، ظاهرى است، چنانچه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ظاهر مى شود كه نتيجۀ مزج، اشاعۀ ملك است؛ و آن حاصل است در عقديّه به معناى مذكور به نحو واقعيت؛ پس حاجتى به مزج نيست كه حاصل از آن غيرِ شركت ظاهريّه نيست، با آنكه شركت عقديّه به معناى واحد است در آنچه قابل مزج هست يا نيست</w:t>
      </w:r>
      <w:r>
        <w:rPr>
          <w:rFonts w:eastAsia="IRNazanin" w:cs="IRNazanin"/>
          <w:color w:val="111111"/>
          <w:sz w:val="28"/>
          <w:szCs w:val="28"/>
          <w:rtl w:val="true"/>
          <w:lang w:bidi="fa-IR"/>
        </w:rPr>
        <w:t>.</w:t>
      </w:r>
    </w:p>
    <w:p>
      <w:pPr>
        <w:pStyle w:val="Heading5"/>
        <w:numPr>
          <w:ilvl w:val="4"/>
          <w:numId w:val="1"/>
        </w:numPr>
        <w:rPr/>
      </w:pPr>
      <w:bookmarkStart w:id="781" w:name="__RefHeading___Toc3597991_1067777946"/>
      <w:bookmarkStart w:id="782" w:name="_Toc316"/>
      <w:bookmarkEnd w:id="781"/>
      <w:r>
        <w:rPr>
          <w:rtl w:val="true"/>
        </w:rPr>
        <w:t>حكم اختلاط در تعدّى</w:t>
      </w:r>
      <w:bookmarkEnd w:id="782"/>
    </w:p>
    <w:p>
      <w:pPr>
        <w:pStyle w:val="BookText"/>
        <w:rPr/>
      </w:pPr>
      <w:r>
        <w:rPr>
          <w:rFonts w:ascii="IRNazanin" w:hAnsi="IRNazanin" w:eastAsia="IRNazanin"/>
          <w:color w:val="111111"/>
          <w:sz w:val="28"/>
          <w:sz w:val="28"/>
          <w:szCs w:val="28"/>
          <w:rtl w:val="true"/>
          <w:lang w:bidi="fa-IR"/>
        </w:rPr>
        <w:t>و امّا اختلاط به تعدّى، پس موجبِ حكم شركت است و اگر بعد متبدّل شد جهل به تمييز، اظهر زوال شركت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زوال در عقديّه است اگر چه لفظيّه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اشتراكِ حاصل به ارث از شركت قهريّۀ غير عقديّه است</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3597993_1067777946"/>
      <w:bookmarkStart w:id="784" w:name="_Toc317"/>
      <w:bookmarkEnd w:id="783"/>
      <w:r>
        <w:rPr>
          <w:rtl w:val="true"/>
        </w:rPr>
        <w:t>اقسام محل شركت</w:t>
      </w:r>
      <w:bookmarkEnd w:id="784"/>
    </w:p>
    <w:p>
      <w:pPr>
        <w:pStyle w:val="BookText"/>
        <w:rPr/>
      </w:pPr>
      <w:r>
        <w:rPr>
          <w:rFonts w:ascii="IRNazanin" w:hAnsi="IRNazanin" w:eastAsia="IRNazanin"/>
          <w:color w:val="111111"/>
          <w:sz w:val="28"/>
          <w:sz w:val="28"/>
          <w:szCs w:val="28"/>
          <w:rtl w:val="true"/>
          <w:lang w:bidi="fa-IR"/>
        </w:rPr>
        <w:t>و محل شركت گاهى عين شخصيّه است؛ و گاهى دين است در ذمّه مديون؛ و گاهى منفعت است، چنانچه در اجاره و حبس و سكنى فرض مى شود؛ و گاهى حق است مثل خيار مشروط يا موروث و شفعه موروثه و حق قصاص حادث يا موروث</w:t>
      </w:r>
      <w:r>
        <w:rPr>
          <w:rFonts w:eastAsia="IRNazanin" w:cs="IRNazanin"/>
          <w:color w:val="111111"/>
          <w:sz w:val="28"/>
          <w:szCs w:val="28"/>
          <w:rtl w:val="true"/>
          <w:lang w:bidi="fa-IR"/>
        </w:rPr>
        <w:t>.</w:t>
      </w:r>
    </w:p>
    <w:p>
      <w:pPr>
        <w:pStyle w:val="Heading4"/>
        <w:numPr>
          <w:ilvl w:val="3"/>
          <w:numId w:val="1"/>
        </w:numPr>
        <w:rPr/>
      </w:pPr>
      <w:bookmarkStart w:id="785" w:name="__RefHeading___Toc3597995_1067777946"/>
      <w:bookmarkStart w:id="786" w:name="_Toc318"/>
      <w:bookmarkEnd w:id="785"/>
      <w:r>
        <w:rPr>
          <w:rtl w:val="true"/>
        </w:rPr>
        <w:t>اسباب شركت</w:t>
      </w:r>
      <w:bookmarkEnd w:id="786"/>
    </w:p>
    <w:p>
      <w:pPr>
        <w:pStyle w:val="Heading5"/>
        <w:numPr>
          <w:ilvl w:val="4"/>
          <w:numId w:val="1"/>
        </w:numPr>
        <w:rPr/>
      </w:pPr>
      <w:bookmarkStart w:id="787" w:name="__RefHeading___Toc3597997_1067777946"/>
      <w:bookmarkStart w:id="788" w:name="_Toc319"/>
      <w:bookmarkEnd w:id="787"/>
      <w:r>
        <w:rPr>
          <w:rtl w:val="true"/>
        </w:rPr>
        <w:t>ارث</w:t>
      </w:r>
      <w:bookmarkEnd w:id="7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شركت گاهى ارث است؛ </w:t>
      </w:r>
      <w:bookmarkStart w:id="789" w:name="pg10256_89465"/>
    </w:p>
    <w:p>
      <w:pPr>
        <w:pStyle w:val="Heading5"/>
        <w:numPr>
          <w:ilvl w:val="4"/>
          <w:numId w:val="1"/>
        </w:numPr>
        <w:rPr/>
      </w:pPr>
      <w:bookmarkStart w:id="790" w:name="__RefHeading___Toc3597999_1067777946"/>
      <w:bookmarkStart w:id="791" w:name="_Toc320"/>
      <w:bookmarkEnd w:id="789"/>
      <w:bookmarkEnd w:id="790"/>
      <w:r>
        <w:rPr>
          <w:rtl w:val="true"/>
        </w:rPr>
        <w:t>عقد</w:t>
      </w:r>
      <w:bookmarkEnd w:id="791"/>
    </w:p>
    <w:p>
      <w:pPr>
        <w:pStyle w:val="BookText"/>
        <w:rPr/>
      </w:pPr>
      <w:r>
        <w:rPr>
          <w:rFonts w:ascii="IRNazanin" w:hAnsi="IRNazanin" w:eastAsia="IRNazanin"/>
          <w:color w:val="111111"/>
          <w:sz w:val="28"/>
          <w:sz w:val="28"/>
          <w:szCs w:val="28"/>
          <w:rtl w:val="true"/>
          <w:lang w:bidi="fa-IR"/>
        </w:rPr>
        <w:t>و گاهى عقد است در عقد شركت يا عقدى ديگرِ موجب اشتراك در مالى مثلاً، مثل اشتراى دو نفر يا استيجار ايشان يك خانه را؛</w:t>
      </w:r>
    </w:p>
    <w:p>
      <w:pPr>
        <w:pStyle w:val="Heading5"/>
        <w:numPr>
          <w:ilvl w:val="4"/>
          <w:numId w:val="1"/>
        </w:numPr>
        <w:rPr/>
      </w:pPr>
      <w:bookmarkStart w:id="792" w:name="__RefHeading___Toc3598001_1067777946"/>
      <w:bookmarkStart w:id="793" w:name="_Toc321"/>
      <w:bookmarkEnd w:id="792"/>
      <w:r>
        <w:rPr>
          <w:rtl w:val="true"/>
        </w:rPr>
        <w:t>مزج و خلط</w:t>
      </w:r>
      <w:bookmarkEnd w:id="793"/>
    </w:p>
    <w:p>
      <w:pPr>
        <w:pStyle w:val="BookText"/>
        <w:rPr/>
      </w:pPr>
      <w:r>
        <w:rPr>
          <w:rFonts w:ascii="IRNazanin" w:hAnsi="IRNazanin" w:eastAsia="IRNazanin"/>
          <w:color w:val="111111"/>
          <w:sz w:val="28"/>
          <w:sz w:val="28"/>
          <w:szCs w:val="28"/>
          <w:rtl w:val="true"/>
          <w:lang w:bidi="fa-IR"/>
        </w:rPr>
        <w:t xml:space="preserve">و گاهى مزج و خلط است در عين يا در منفعت مملوكه بعد از مزج عينها، به نحوى كه در شركت به مزج رافع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قابلۀ مزج، در خصوص ممتزجين نزد غير نه در واقع و نفس امر، بدون اختصاص به مثليّت يا ثمن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كه مادام الجهل شركتْ محقّق و باقى است؛ حتى اگر بيش از يكى باقى نماند و معلوم شد كه مال يك نفرِ معيّن است، حكم شركت باقى است، چون تخصيص به مالك موجب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احوط ضميمه صلح به تنصيف است اگر حكم شركت در غير آن چنين بوده است</w:t>
      </w:r>
      <w:r>
        <w:rPr>
          <w:rFonts w:eastAsia="IRNazanin" w:cs="IRNazanin"/>
          <w:color w:val="111111"/>
          <w:sz w:val="28"/>
          <w:szCs w:val="28"/>
          <w:rtl w:val="true"/>
          <w:lang w:bidi="fa-IR"/>
        </w:rPr>
        <w:t>.</w:t>
      </w:r>
    </w:p>
    <w:p>
      <w:pPr>
        <w:pStyle w:val="Heading4"/>
        <w:numPr>
          <w:ilvl w:val="3"/>
          <w:numId w:val="1"/>
        </w:numPr>
        <w:rPr/>
      </w:pPr>
      <w:bookmarkStart w:id="794" w:name="__RefHeading___Toc3598003_1067777946"/>
      <w:bookmarkStart w:id="795" w:name="_Toc322"/>
      <w:bookmarkEnd w:id="794"/>
      <w:r>
        <w:rPr>
          <w:rtl w:val="true"/>
        </w:rPr>
        <w:t>اشتراك به سبب حيازت</w:t>
      </w:r>
      <w:bookmarkEnd w:id="795"/>
    </w:p>
    <w:p>
      <w:pPr>
        <w:pStyle w:val="BookText"/>
        <w:rPr/>
      </w:pPr>
      <w:r>
        <w:rPr>
          <w:rFonts w:ascii="IRNazanin" w:hAnsi="IRNazanin" w:eastAsia="IRNazanin"/>
          <w:color w:val="111111"/>
          <w:sz w:val="28"/>
          <w:sz w:val="28"/>
          <w:szCs w:val="28"/>
          <w:rtl w:val="true"/>
          <w:lang w:bidi="fa-IR"/>
        </w:rPr>
        <w:t>اما اشتراك به سبب حيازت؛ پس با رعايت بطلان شركت در ابدان و اعمال، فرض مى شود در اينكه اگر دو نفر مثلاً يك درختى را قلع نمايند، شريك در آن مى شوند؛ و هم چنين اگر هر كدام با مُصحّح عقلايى با نيّت وكالت از رفيق خودش در نصف آنچه حيازت مى شود، حيازت و تملّك نمايد شريك مى شود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صلح مى نمايند در قسم اوّل، يا آنكه شرعاً حكم به تنصيفِ صلحى مى شود در صورت عدم علم به زيادت حق هركدام از مَحوز به سبب اقوى بودن يكى يا غير آن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آنچه ذكر كرديم اين است كه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شركت مذكور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مثل قيميّات اگر اراده شركت نمايند، تمليك نصف مالى به نصف مالى ديگر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اين شركت حاصلۀ به عقد است، اگر چه عقد شركت نيست، و فاقد چيزى از خواصِ عقدِ شركت نيست جز كيفيّت اجراى صيغه</w:t>
      </w:r>
      <w:r>
        <w:rPr>
          <w:rFonts w:eastAsia="IRNazanin" w:cs="IRNazanin"/>
          <w:color w:val="111111"/>
          <w:sz w:val="28"/>
          <w:szCs w:val="28"/>
          <w:rtl w:val="true"/>
          <w:lang w:bidi="fa-IR"/>
        </w:rPr>
        <w:t xml:space="preserve">. </w:t>
      </w:r>
      <w:bookmarkStart w:id="796" w:name="pg10256_89466"/>
    </w:p>
    <w:p>
      <w:pPr>
        <w:pStyle w:val="BookText"/>
        <w:rPr/>
      </w:pPr>
      <w:bookmarkEnd w:id="796"/>
      <w:r>
        <w:rPr>
          <w:rFonts w:ascii="IRNazanin" w:hAnsi="IRNazanin" w:eastAsia="IRNazanin"/>
          <w:color w:val="111111"/>
          <w:sz w:val="28"/>
          <w:sz w:val="28"/>
          <w:szCs w:val="28"/>
          <w:rtl w:val="true"/>
          <w:lang w:bidi="fa-IR"/>
        </w:rPr>
        <w:t>و هم چنين اگر مالى را با ثمنى خريد و ديگرى را تشريك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شركتك فيه و الربح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عقدِ شركت است و متضمّن تمليك نصف مال به نصف ثمن است؛ و مماثل آن مذكور در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مراد از صيغه، متحد است با مراد از اين معامله؛ پس مزجْ مقدّمه است از براى آنكه ملك مشاع بشود، و اين در شركت عقديّه حاصل است به نحو ملكيّت اشاعيّۀ واقعيّه كه بعضى از اقسام مزج، آن را هم ندارد و اشاعه در آن ظاهرى است</w:t>
      </w:r>
      <w:r>
        <w:rPr>
          <w:rFonts w:eastAsia="IRNazanin" w:cs="IRNazanin"/>
          <w:color w:val="111111"/>
          <w:sz w:val="28"/>
          <w:szCs w:val="28"/>
          <w:rtl w:val="true"/>
          <w:lang w:bidi="fa-IR"/>
        </w:rPr>
        <w:t>.</w:t>
      </w:r>
    </w:p>
    <w:p>
      <w:pPr>
        <w:pStyle w:val="Heading4"/>
        <w:numPr>
          <w:ilvl w:val="3"/>
          <w:numId w:val="1"/>
        </w:numPr>
        <w:rPr/>
      </w:pPr>
      <w:bookmarkStart w:id="797" w:name="__RefHeading___Toc3598005_1067777946"/>
      <w:bookmarkStart w:id="798" w:name="_Toc323"/>
      <w:bookmarkEnd w:id="797"/>
      <w:r>
        <w:rPr>
          <w:rtl w:val="true"/>
        </w:rPr>
        <w:t>شرايط شركت عقديّه</w:t>
      </w:r>
      <w:bookmarkEnd w:id="798"/>
    </w:p>
    <w:p>
      <w:pPr>
        <w:pStyle w:val="BookText"/>
        <w:rPr/>
      </w:pPr>
      <w:r>
        <w:rPr>
          <w:rFonts w:ascii="Amiri" w:hAnsi="Amiri" w:eastAsia="Amiri" w:cs="Amiri"/>
          <w:color w:val="111111"/>
          <w:sz w:val="28"/>
          <w:sz w:val="28"/>
          <w:szCs w:val="28"/>
          <w:rtl w:val="true"/>
          <w:lang w:bidi="ar-SA"/>
        </w:rPr>
        <w:t xml:space="preserve">معتبر است در عقدِ شركت،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محجوريّت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اسباب حجر، مثل فلس يا سفه</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3598007_1067777946"/>
      <w:bookmarkStart w:id="800" w:name="_Toc324"/>
      <w:bookmarkEnd w:id="799"/>
      <w:r>
        <w:rPr>
          <w:rtl w:val="true"/>
        </w:rPr>
        <w:t>تصرّف در مال مشترك تابع اذن شريك است</w:t>
      </w:r>
      <w:bookmarkEnd w:id="800"/>
    </w:p>
    <w:p>
      <w:pPr>
        <w:pStyle w:val="BookText"/>
        <w:rPr/>
      </w:pPr>
      <w:r>
        <w:rPr>
          <w:rFonts w:ascii="IRNazanin" w:hAnsi="IRNazanin" w:eastAsia="IRNazanin"/>
          <w:color w:val="111111"/>
          <w:sz w:val="28"/>
          <w:sz w:val="28"/>
          <w:szCs w:val="28"/>
          <w:rtl w:val="true"/>
          <w:lang w:bidi="fa-IR"/>
        </w:rPr>
        <w:t>و تصرّف شريك در مشتركٌ فيه، تابع اذن شريك است در اصل تصرّف و سنخ آن و كيفيّت آن؛ بلى اذنِ در تصرفى، اذن در لوازم آن است؛ و هم چنين اذنِ حاصلِ از اولويت و شاهد حال، به منزلۀ تصريح به آن است</w:t>
      </w:r>
      <w:r>
        <w:rPr>
          <w:rFonts w:eastAsia="IRNazanin" w:cs="IRNazanin"/>
          <w:color w:val="111111"/>
          <w:sz w:val="28"/>
          <w:szCs w:val="28"/>
          <w:rtl w:val="true"/>
          <w:lang w:bidi="fa-IR"/>
        </w:rPr>
        <w:t>.</w:t>
      </w:r>
    </w:p>
    <w:p>
      <w:pPr>
        <w:pStyle w:val="Heading4"/>
        <w:numPr>
          <w:ilvl w:val="3"/>
          <w:numId w:val="1"/>
        </w:numPr>
        <w:rPr/>
      </w:pPr>
      <w:bookmarkStart w:id="801" w:name="__RefHeading___Toc3598009_1067777946"/>
      <w:bookmarkStart w:id="802" w:name="_Toc325"/>
      <w:bookmarkEnd w:id="801"/>
      <w:r>
        <w:rPr>
          <w:rtl w:val="true"/>
        </w:rPr>
        <w:t>شركت عقديّه در اعمال</w:t>
      </w:r>
      <w:bookmarkEnd w:id="802"/>
    </w:p>
    <w:p>
      <w:pPr>
        <w:pStyle w:val="BookText"/>
        <w:rPr/>
      </w:pPr>
      <w:r>
        <w:rPr>
          <w:rFonts w:ascii="Amiri" w:hAnsi="Amiri" w:eastAsia="Amiri" w:cs="Amiri"/>
          <w:color w:val="111111"/>
          <w:sz w:val="28"/>
          <w:sz w:val="28"/>
          <w:szCs w:val="28"/>
          <w:rtl w:val="true"/>
          <w:lang w:bidi="ar-SA"/>
        </w:rPr>
        <w:t>شركت عقديّه در اعمال، نزد ما صحيح نيست بلكه هر عاملى مستحقّ اجرت خاصۀ عمل خودش است در اعمال متوافقه در صنف يا متخالفه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دو عامل تسليم نمود بابت اجرت عملهاى ايشان، مال واحدى را كه متضمن ماليّت اجرت ايشان باشد، هر دو شريك مى شوند در همان مال به نسبت دو اجرت با مجموع، از قبيل شركت در اموال؛ و قهريّه مى شود در صورتى كه تسليم و برائت منوط به رضاى مستحِق نباشد، و اختياريّه مى شود در صورت اناطه؛ و با ملاحظۀ نسبت اجرت بعض به مجموع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مجهول باشد مقدار </w:t>
      </w:r>
      <w:bookmarkStart w:id="803" w:name="pg10256_89467"/>
    </w:p>
    <w:p>
      <w:pPr>
        <w:pStyle w:val="BookText"/>
        <w:rPr/>
      </w:pPr>
      <w:bookmarkEnd w:id="803"/>
      <w:r>
        <w:rPr>
          <w:rFonts w:ascii="IRNazanin" w:hAnsi="IRNazanin" w:eastAsia="IRNazanin"/>
          <w:color w:val="111111"/>
          <w:sz w:val="28"/>
          <w:sz w:val="28"/>
          <w:szCs w:val="28"/>
          <w:rtl w:val="true"/>
          <w:lang w:bidi="fa-IR"/>
        </w:rPr>
        <w:t>اجرت هر عملى و نسبت آن با مجموع پس مصالحه مى نمايند؛ و در صورت عدم و احتمال تساوى، صلح مى نمايد حاكم بين ايشان به تنصيف، يا هر چه احتمال آن اقرب است، يا از آن احتمال اقرب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براى عملِ واحدى، دو نفر را اجير نمود، هر دو شريكِ در اجرت مسمّاه مى شوند به شركت حاصلۀ به اجاره</w:t>
      </w:r>
      <w:r>
        <w:rPr>
          <w:rFonts w:eastAsia="IRNazanin" w:cs="IRNazanin"/>
          <w:color w:val="111111"/>
          <w:sz w:val="28"/>
          <w:szCs w:val="28"/>
          <w:rtl w:val="true"/>
          <w:lang w:bidi="fa-IR"/>
        </w:rPr>
        <w:t>.</w:t>
      </w:r>
    </w:p>
    <w:p>
      <w:pPr>
        <w:pStyle w:val="Heading4"/>
        <w:numPr>
          <w:ilvl w:val="3"/>
          <w:numId w:val="1"/>
        </w:numPr>
        <w:rPr/>
      </w:pPr>
      <w:bookmarkStart w:id="804" w:name="__RefHeading___Toc3598011_1067777946"/>
      <w:bookmarkStart w:id="805" w:name="_Toc326"/>
      <w:bookmarkEnd w:id="804"/>
      <w:r>
        <w:rPr>
          <w:rtl w:val="true"/>
        </w:rPr>
        <w:t>شركت عقديّه بر وجوه</w:t>
      </w:r>
      <w:bookmarkEnd w:id="805"/>
    </w:p>
    <w:p>
      <w:pPr>
        <w:pStyle w:val="BookText"/>
        <w:rPr/>
      </w:pPr>
      <w:r>
        <w:rPr>
          <w:rFonts w:ascii="IRNazanin" w:hAnsi="IRNazanin" w:eastAsia="IRNazanin"/>
          <w:color w:val="111111"/>
          <w:sz w:val="28"/>
          <w:sz w:val="28"/>
          <w:szCs w:val="28"/>
          <w:rtl w:val="true"/>
          <w:lang w:bidi="fa-IR"/>
        </w:rPr>
        <w:t>و شركت بر وجوه، صحيح نيست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متيقن از آن، توافق دو نفرْ وجيه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مال، بر بيع وشراءِ در ذمّه تا مدت معلومه بدون مال موجود، كه آنچه حاصل از نتيجۀ عمل آن دو مى شود بين آنها باشد؛ چنانچه مقتضاى تقابل با شركت در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اموال طرفين كه شركت عنان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وجوه طرفين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مى شود اشكالش به توكيل هر يك ديگرى را به نحوى كه حاصلِ در معاملهْ مشترك باشد بين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اين صورت كه متيقن است، اظهر شمولِ عمومِ مقتضى صحّت شركت است آن را، اگر چه به معونۀ اصلِ عدمِ اشتراط مشكوك است با احراز صدق عرفىِ شركت و موافقت عرف در تأثير و وقوع شك در اشتراط شرعى، كه در سبب جارى است و مقدّم است بر اصالة الفساد</w:t>
      </w:r>
      <w:r>
        <w:rPr>
          <w:rFonts w:eastAsia="IRNazanin" w:cs="IRNazanin"/>
          <w:color w:val="111111"/>
          <w:sz w:val="28"/>
          <w:szCs w:val="28"/>
          <w:rtl w:val="true"/>
          <w:lang w:bidi="fa-IR"/>
        </w:rPr>
        <w:t>.</w:t>
      </w:r>
    </w:p>
    <w:p>
      <w:pPr>
        <w:pStyle w:val="Heading4"/>
        <w:numPr>
          <w:ilvl w:val="3"/>
          <w:numId w:val="1"/>
        </w:numPr>
        <w:rPr/>
      </w:pPr>
      <w:bookmarkStart w:id="806" w:name="__RefHeading___Toc3598013_1067777946"/>
      <w:bookmarkStart w:id="807" w:name="_Toc327"/>
      <w:bookmarkEnd w:id="806"/>
      <w:r>
        <w:rPr>
          <w:rtl w:val="true"/>
        </w:rPr>
        <w:t>شركت عقديّه در مفاوضه</w:t>
      </w:r>
      <w:bookmarkEnd w:id="8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صحيح نيست شركت در مفاوضه،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به عقد لفظى شركت در مطلق استفادات و خسارات، چه اختيارى باشد يا غير اختيارى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استثناى قوت يوم و ليله و جامه هاى بدن و خادم كه سريّه باشد، يا با اضافه بذل خلع و صداق و جنايت بر حرّ</w:t>
      </w:r>
      <w:r>
        <w:rPr>
          <w:rFonts w:eastAsia="IRNazanin" w:cs="IRNazanin"/>
          <w:color w:val="111111"/>
          <w:sz w:val="28"/>
          <w:szCs w:val="28"/>
          <w:rtl w:val="true"/>
          <w:lang w:bidi="fa-IR"/>
        </w:rPr>
        <w:t xml:space="preserve">. </w:t>
      </w:r>
      <w:bookmarkStart w:id="808" w:name="pg10256_89468"/>
    </w:p>
    <w:p>
      <w:pPr>
        <w:pStyle w:val="Heading4"/>
        <w:numPr>
          <w:ilvl w:val="3"/>
          <w:numId w:val="1"/>
        </w:numPr>
        <w:rPr/>
      </w:pPr>
      <w:bookmarkStart w:id="809" w:name="__RefHeading___Toc3598015_1067777946"/>
      <w:bookmarkStart w:id="810" w:name="_Toc328"/>
      <w:bookmarkEnd w:id="808"/>
      <w:bookmarkEnd w:id="809"/>
      <w:r>
        <w:rPr>
          <w:rtl w:val="true"/>
        </w:rPr>
        <w:t>مسائل شركت</w:t>
      </w:r>
      <w:bookmarkEnd w:id="810"/>
    </w:p>
    <w:p>
      <w:pPr>
        <w:pStyle w:val="Heading5"/>
        <w:numPr>
          <w:ilvl w:val="4"/>
          <w:numId w:val="1"/>
        </w:numPr>
        <w:rPr/>
      </w:pPr>
      <w:bookmarkStart w:id="811" w:name="__RefHeading___Toc3598017_1067777946"/>
      <w:bookmarkStart w:id="812" w:name="_Toc329"/>
      <w:bookmarkEnd w:id="811"/>
      <w:r>
        <w:rPr>
          <w:rtl w:val="true"/>
        </w:rPr>
        <w:t>نحوۀ محاسبۀ سود و زيان</w:t>
      </w:r>
      <w:bookmarkEnd w:id="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شريك متساوى هستند در ربح و خسران با تساوى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در مال، به نسبت اختلاف، مختلف مى شود ربح و خسارت ايشان در صورت مساوات در عمل يا ترك عمل يا اختلاف در عمل، مگر آنكه شرط شود صريحاً يا با قرينۀ مقام، زيادتى ربح براى عامل، يا آن كه عمل او بيشتر است كه به مناسبت اختصاص عمل به يكى يا زيادتى آن، شبيه به مضاربه مى شود كه عامل در آن يكى است، به خلاف شركت كه چنين نيست كه عمل از يكى باشد فقط؛ و در اين صورت، لازم نيست كه زيادتى مشروطه، كسرى از ربح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هم خسارت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تابع حدّ مال است و ربح با شرط مختلف است؛ و موافقت زيادتى ربح با شرط، با مزيد عليه، در نسبت به مال، با ملاحظۀ ماليّت عمل زايد، لازم نيست</w:t>
      </w:r>
      <w:r>
        <w:rPr>
          <w:rFonts w:eastAsia="IRNazanin" w:cs="IRNazanin"/>
          <w:color w:val="111111"/>
          <w:sz w:val="28"/>
          <w:szCs w:val="28"/>
          <w:rtl w:val="true"/>
          <w:lang w:bidi="fa-IR"/>
        </w:rPr>
        <w:t>.</w:t>
      </w:r>
    </w:p>
    <w:p>
      <w:pPr>
        <w:pStyle w:val="Heading5"/>
        <w:numPr>
          <w:ilvl w:val="4"/>
          <w:numId w:val="1"/>
        </w:numPr>
        <w:rPr/>
      </w:pPr>
      <w:bookmarkStart w:id="813" w:name="__RefHeading___Toc3598019_1067777946"/>
      <w:bookmarkStart w:id="814" w:name="_Toc330"/>
      <w:bookmarkEnd w:id="813"/>
      <w:r>
        <w:rPr>
          <w:rtl w:val="true"/>
        </w:rPr>
        <w:t>صحّت شرط زيادتى ربح با تساوى مال و عمل</w:t>
      </w:r>
      <w:bookmarkEnd w:id="814"/>
    </w:p>
    <w:p>
      <w:pPr>
        <w:pStyle w:val="BookText"/>
        <w:rPr/>
      </w:pPr>
      <w:r>
        <w:rPr>
          <w:rFonts w:ascii="IRNazanin" w:hAnsi="IRNazanin" w:eastAsia="IRNazanin"/>
          <w:color w:val="111111"/>
          <w:sz w:val="28"/>
          <w:sz w:val="28"/>
          <w:szCs w:val="28"/>
          <w:rtl w:val="true"/>
          <w:lang w:bidi="fa-IR"/>
        </w:rPr>
        <w:t xml:space="preserve">و اما شرط زيادتى ربح با تساوى در مال و عمل، يا با اختلاف عمل و شرط براى اقلّ عملاً، يا براى غير عامل با شرط زيادتى با عدم عمل يكى از آنها با فرض استرباح بدون عمل، مثل نمائات، پس اظهر صحّت آن است با عقلايى بودن شركت با اين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مقتضاى دليلِ نفوذ شرط است، و 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اشتراط رأس المال براى يكى از دو شريك، و ربح و خسران براى ديگرى، و روايت شركت در جاريه با شرط ربح مشتركاً براى يكى نه خسران؛ وگرنه شركتْ صحيح و مؤثّرِ در حكم 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از نسبت مالين است و معمولٌ به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لغو است، مگر آنكه مقصود وحدت داشته باشد و آن واحد غير عقلايى باشد</w:t>
      </w:r>
      <w:r>
        <w:rPr>
          <w:rFonts w:eastAsia="IRNazanin" w:cs="IRNazanin"/>
          <w:color w:val="111111"/>
          <w:sz w:val="28"/>
          <w:szCs w:val="28"/>
          <w:rtl w:val="true"/>
          <w:lang w:bidi="fa-IR"/>
        </w:rPr>
        <w:t>.</w:t>
      </w:r>
    </w:p>
    <w:p>
      <w:pPr>
        <w:pStyle w:val="Heading5"/>
        <w:numPr>
          <w:ilvl w:val="4"/>
          <w:numId w:val="1"/>
        </w:numPr>
        <w:rPr/>
      </w:pPr>
      <w:bookmarkStart w:id="815" w:name="__RefHeading___Toc3598021_1067777946"/>
      <w:bookmarkStart w:id="816" w:name="_Toc331"/>
      <w:bookmarkEnd w:id="815"/>
      <w:r>
        <w:rPr>
          <w:rtl w:val="true"/>
        </w:rPr>
        <w:t>صورت فساد عقد شركت</w:t>
      </w:r>
      <w:bookmarkEnd w:id="8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فساد عقدِ شركت و فضولى بودن تصرفات و عدم لحوق اجازه،</w:t>
      </w:r>
      <w:bookmarkStart w:id="817" w:name="pg10256_89469"/>
    </w:p>
    <w:p>
      <w:pPr>
        <w:pStyle w:val="BookText"/>
        <w:rPr/>
      </w:pPr>
      <w:bookmarkEnd w:id="817"/>
      <w:r>
        <w:rPr>
          <w:rFonts w:ascii="IRNazanin" w:hAnsi="IRNazanin" w:eastAsia="IRNazanin"/>
          <w:color w:val="111111"/>
          <w:sz w:val="28"/>
          <w:sz w:val="28"/>
          <w:szCs w:val="28"/>
          <w:rtl w:val="true"/>
          <w:lang w:bidi="fa-IR"/>
        </w:rPr>
        <w:t>استرباح كالعدم است و چيزى براى شريكين نيست، به خلاف صورت لحوق اجازۀ كاشفه</w:t>
      </w:r>
      <w:r>
        <w:rPr>
          <w:rFonts w:eastAsia="IRNazanin" w:cs="IRNazanin"/>
          <w:color w:val="111111"/>
          <w:sz w:val="28"/>
          <w:szCs w:val="28"/>
          <w:rtl w:val="true"/>
          <w:lang w:bidi="fa-IR"/>
        </w:rPr>
        <w:t>.</w:t>
      </w:r>
    </w:p>
    <w:p>
      <w:pPr>
        <w:pStyle w:val="Heading5"/>
        <w:numPr>
          <w:ilvl w:val="4"/>
          <w:numId w:val="1"/>
        </w:numPr>
        <w:rPr/>
      </w:pPr>
      <w:bookmarkStart w:id="818" w:name="__RefHeading___Toc3598023_1067777946"/>
      <w:bookmarkStart w:id="819" w:name="_Toc332"/>
      <w:bookmarkEnd w:id="818"/>
      <w:r>
        <w:rPr>
          <w:rtl w:val="true"/>
        </w:rPr>
        <w:t>اجرت عامل با اشتراط زيادتى ربع و عدم آن</w:t>
      </w:r>
      <w:bookmarkEnd w:id="8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عمل صاحب عمل از آنها پس با شرط زيادتى ربح براى عامل، مضمون است به اجرت المثل؛ و با عدم اشتراط، پس تبرّع و مجانى بودن با اعتقاد صحّتِ شركت، محقّق نيست؛ و ضمان آن، خالى از وجه نيست مگر آنكه عملْ مشروط نباشد و به اختيار عامل به جا آورده شود</w:t>
      </w:r>
      <w:r>
        <w:rPr>
          <w:rFonts w:eastAsia="IRNazanin" w:cs="IRNazanin"/>
          <w:color w:val="111111"/>
          <w:sz w:val="28"/>
          <w:szCs w:val="28"/>
          <w:rtl w:val="true"/>
          <w:lang w:bidi="fa-IR"/>
        </w:rPr>
        <w:t>.</w:t>
      </w:r>
    </w:p>
    <w:p>
      <w:pPr>
        <w:pStyle w:val="Heading5"/>
        <w:numPr>
          <w:ilvl w:val="4"/>
          <w:numId w:val="1"/>
        </w:numPr>
        <w:rPr/>
      </w:pPr>
      <w:bookmarkStart w:id="820" w:name="__RefHeading___Toc3598025_1067777946"/>
      <w:bookmarkStart w:id="821" w:name="_Toc333"/>
      <w:bookmarkEnd w:id="820"/>
      <w:r>
        <w:rPr>
          <w:rtl w:val="true"/>
        </w:rPr>
        <w:t>خارج بودن عمل از اصل شركت</w:t>
      </w:r>
      <w:bookmarkEnd w:id="8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شركت در اموال، عملْ خارج از شركت است و اصل آن و مجانيّت، تابع شرط يا اذن است؛ پس با شرط عمل يا اذن در آن و عدم اشتراط و تقييد به مجانيّت، رجوع عامل به اجرت عمل نسبت به مال شريك و قدر آن، بر او ثابت است بدون فرق بين صورت وحدت عامل يا تعدد او؛ بلى در بعض صور، تهاتر بين دو اجرت دو عمل واقع مى شود</w:t>
      </w:r>
      <w:r>
        <w:rPr>
          <w:rFonts w:eastAsia="IRNazanin" w:cs="IRNazanin"/>
          <w:color w:val="111111"/>
          <w:sz w:val="28"/>
          <w:szCs w:val="28"/>
          <w:rtl w:val="true"/>
          <w:lang w:bidi="fa-IR"/>
        </w:rPr>
        <w:t>.</w:t>
      </w:r>
    </w:p>
    <w:p>
      <w:pPr>
        <w:pStyle w:val="Heading5"/>
        <w:numPr>
          <w:ilvl w:val="4"/>
          <w:numId w:val="1"/>
        </w:numPr>
        <w:rPr/>
      </w:pPr>
      <w:bookmarkStart w:id="822" w:name="__RefHeading___Toc3598027_1067777946"/>
      <w:bookmarkStart w:id="823" w:name="_Toc334"/>
      <w:bookmarkEnd w:id="822"/>
      <w:r>
        <w:rPr>
          <w:rtl w:val="true"/>
        </w:rPr>
        <w:t>اذن در تصرّف در شركت عقديّه و قهريّه</w:t>
      </w:r>
      <w:bookmarkEnd w:id="8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شركت اختياريۀ عقديّه، اذن در تصرفْ‌، تابعِ مستفاد از عقد است؛ و خصوصيات آن، تابع خصوصياتِ مستفادۀ از عقد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شركت قهريه، جواز تصرّف شريك، تابع اذن شركا است در اصل آن و خصوصيات مأذون؛ و عدم اختصاص در مأذون، تابع اطلاق اذن و عدم تخصص آن است؛ و جواز استصحاب مال در سفر، تابع اذن مطلق يا مصرَّحٌ به با عدم انصراف اطلاق از آن به جهت مخاطرۀ حاصله در آن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جميع خصوصيات تصرّف كه مشتمل بر مخاطره باشد فضلا از مضارّه، بايد تصريح يا اطلاق قوى در اذن باشد با ملاحظه خصوصيات زمانيّه و </w:t>
      </w:r>
      <w:bookmarkStart w:id="824" w:name="pg10256_89470"/>
    </w:p>
    <w:p>
      <w:pPr>
        <w:pStyle w:val="BookText"/>
        <w:rPr/>
      </w:pPr>
      <w:bookmarkEnd w:id="824"/>
      <w:r>
        <w:rPr>
          <w:rFonts w:ascii="Amiri" w:hAnsi="Amiri" w:eastAsia="Amiri" w:cs="Amiri"/>
          <w:color w:val="111111"/>
          <w:sz w:val="28"/>
          <w:sz w:val="28"/>
          <w:szCs w:val="28"/>
          <w:rtl w:val="true"/>
          <w:lang w:bidi="ar-SA"/>
        </w:rPr>
        <w:t>مكانيّه و حاليّه و شخصيّه در اطراف شركت و مشترك، تا محكوم به جواز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در صورت تناول اطلاق، كفايت عدم مفسده بر شريكِ در مال او است، و انتظار مصلحتْ لازم نيست؛ كما اينكه با وجود مصلحت، شكى در اطلاق نيست؛ و مفسدۀ مانعه، اعمّ از عاجله و آجله و از معلومه و مظنونه بلكه محتمله به احتمال عقلايى است كه معارَض به احتمال مصلحت ملزمه نباشد</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3598029_1067777946"/>
      <w:bookmarkStart w:id="826" w:name="_Toc335"/>
      <w:bookmarkEnd w:id="825"/>
      <w:r>
        <w:rPr>
          <w:rtl w:val="true"/>
        </w:rPr>
        <w:t>ثبوت ضمان در صورت تعدّى از مورد خاص معيّن</w:t>
      </w:r>
      <w:bookmarkEnd w:id="8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صورت تعيين سفرى يا تجارتى بالخصوص، تعدّى از خاص، موجب انتفاى اذن و موجب ضمان است در جميع تصرفات، در تلف و اتلاف و هر چه مورد تضمين است، و معاملات فضوليّه خواهد بود؛ بلكه ضمان تجارت در صورت عدم امكان استرداد يا مضى وقت به سبب طول مسافرت غير مأذونه يا تجارت غير مأذونه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صنف يا زمان يا مكان يا طرف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تعيين مفروض، خالى از وجه نيست</w:t>
      </w:r>
      <w:r>
        <w:rPr>
          <w:rFonts w:eastAsia="IRNazanin" w:cs="IRNazanin"/>
          <w:color w:val="111111"/>
          <w:sz w:val="28"/>
          <w:szCs w:val="28"/>
          <w:rtl w:val="true"/>
          <w:lang w:bidi="fa-IR"/>
        </w:rPr>
        <w:t>.</w:t>
      </w:r>
    </w:p>
    <w:p>
      <w:pPr>
        <w:pStyle w:val="Heading5"/>
        <w:numPr>
          <w:ilvl w:val="4"/>
          <w:numId w:val="1"/>
        </w:numPr>
        <w:rPr/>
      </w:pPr>
      <w:bookmarkStart w:id="827" w:name="__RefHeading___Toc3598031_1067777946"/>
      <w:bookmarkStart w:id="828" w:name="_Toc336"/>
      <w:bookmarkEnd w:id="827"/>
      <w:r>
        <w:rPr>
          <w:rtl w:val="true"/>
        </w:rPr>
        <w:t>جواز رجوع در شركت عقديّه</w:t>
      </w:r>
      <w:bookmarkEnd w:id="82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شركت عقديّه، جايز است رجوع از آن براى هر كدام، و به مجرّد فسخِ هر كدام، منفسخ مى شود عقد 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جايز است مطالبۀ قسمت در مشاع به سبب عقد شركت يا شركت قهريه؛ به خلاف عزل از وكالت در تصرّف يا مانع شدن از تصرّف كه مبطل شركت نيست و عازل به مأذونيّت خودش باقى است</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598033_1067777946"/>
      <w:bookmarkStart w:id="830" w:name="_Toc337"/>
      <w:bookmarkEnd w:id="829"/>
      <w:r>
        <w:rPr>
          <w:rtl w:val="true"/>
        </w:rPr>
        <w:t>تفصيل در نفوذ اشتراط تأجيل در عقد شركت</w:t>
      </w:r>
      <w:bookmarkEnd w:id="83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اشتراط تاجيل در عقد شركت اگر مرجعش به تجديد اذن در تصرّف باشد كه بعد از اجلْ اذن نباشد و بايد استيذان جديد حاصل شود، مانعى از نفوذ شرط نيست؛ و اگر مرجعش به تجديد جواز رجوع باشد كه قبل از اجل هست و بعد از آن نيست، پس ظاهرْ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رجوع در شركت عقديه، دائماً ثابت است،</w:t>
      </w:r>
      <w:bookmarkStart w:id="831" w:name="pg10256_89471"/>
    </w:p>
    <w:p>
      <w:pPr>
        <w:pStyle w:val="BookText"/>
        <w:rPr/>
      </w:pPr>
      <w:bookmarkEnd w:id="831"/>
      <w:r>
        <w:rPr>
          <w:rFonts w:ascii="Amiri" w:hAnsi="Amiri" w:eastAsia="Amiri" w:cs="Amiri"/>
          <w:color w:val="111111"/>
          <w:sz w:val="28"/>
          <w:sz w:val="28"/>
          <w:szCs w:val="28"/>
          <w:rtl w:val="true"/>
          <w:lang w:bidi="ar-SA"/>
        </w:rPr>
        <w:t>و هميشه جايز است فسخ آن براى هركدام در عقديّه، و مطالبه قسمت وافر از در جميع اقسام شركت</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3598035_1067777946"/>
      <w:bookmarkStart w:id="833" w:name="_Toc338"/>
      <w:bookmarkEnd w:id="832"/>
      <w:r>
        <w:rPr>
          <w:rtl w:val="true"/>
        </w:rPr>
        <w:t>امين بودن شريك و مسموع بودن قول او باليمين</w:t>
      </w:r>
      <w:bookmarkEnd w:id="83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شريك چون امين است، ضامن نيست آنچه در يد او تلف مى شود، مگر با تعدّى و تفريط در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 مسموع است با يمين او در ادّعاى تلف به سبب ظاهر يا خفىّ‌؛ و با يمين او در دعواى خيانت و تفريط، قول او مقبول است</w:t>
      </w:r>
      <w:r>
        <w:rPr>
          <w:rFonts w:eastAsia="IRNazanin" w:cs="IRNazanin"/>
          <w:color w:val="111111"/>
          <w:sz w:val="28"/>
          <w:szCs w:val="28"/>
          <w:rtl w:val="true"/>
          <w:lang w:bidi="fa-IR"/>
        </w:rPr>
        <w:t>.</w:t>
      </w:r>
    </w:p>
    <w:p>
      <w:pPr>
        <w:pStyle w:val="Heading5"/>
        <w:numPr>
          <w:ilvl w:val="4"/>
          <w:numId w:val="1"/>
        </w:numPr>
        <w:rPr/>
      </w:pPr>
      <w:bookmarkStart w:id="834" w:name="__RefHeading___Toc3598037_1067777946"/>
      <w:bookmarkStart w:id="835" w:name="_Toc339"/>
      <w:bookmarkEnd w:id="834"/>
      <w:r>
        <w:rPr>
          <w:rtl w:val="true"/>
        </w:rPr>
        <w:t>بطلان شركت به زوال اهليّت اذن</w:t>
      </w:r>
      <w:bookmarkEnd w:id="83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اذن در تصرّف باطل مى شود به زوال اهليّت اذن به مثل جنون يا موت يا اغما و نحو اينها، مثل محجوريّت به اسباب آن، و اصل شركت و قسمت باقى مى ماند و امر آن راجع به وارث يا ولىِّ مولّىٰ عليه است، و اللّٰه العالم</w:t>
      </w:r>
      <w:r>
        <w:rPr>
          <w:rFonts w:eastAsia="Amiri" w:cs="Amiri" w:ascii="Amiri" w:hAnsi="Amiri"/>
          <w:color w:val="111111"/>
          <w:sz w:val="28"/>
          <w:szCs w:val="28"/>
          <w:rtl w:val="true"/>
          <w:lang w:bidi="ar-SA"/>
        </w:rPr>
        <w:t>.</w:t>
      </w:r>
      <w:bookmarkStart w:id="836" w:name="pg10256_89472"/>
    </w:p>
    <w:p>
      <w:pPr>
        <w:pStyle w:val="Heading3"/>
        <w:numPr>
          <w:ilvl w:val="2"/>
          <w:numId w:val="1"/>
        </w:numPr>
        <w:rPr/>
      </w:pPr>
      <w:bookmarkStart w:id="837" w:name="__RefHeading___Toc3598039_1067777946"/>
      <w:bookmarkStart w:id="838" w:name="_Toc340"/>
      <w:bookmarkEnd w:id="836"/>
      <w:bookmarkEnd w:id="837"/>
      <w:r>
        <w:rPr>
          <w:rtl w:val="true"/>
        </w:rPr>
        <w:t>فصل دوّم در قسمت</w:t>
      </w:r>
      <w:bookmarkEnd w:id="838"/>
    </w:p>
    <w:p>
      <w:pPr>
        <w:pStyle w:val="Heading4"/>
        <w:numPr>
          <w:ilvl w:val="3"/>
          <w:numId w:val="1"/>
        </w:numPr>
        <w:rPr/>
      </w:pPr>
      <w:bookmarkStart w:id="839" w:name="__RefHeading___Toc3598041_1067777946"/>
      <w:bookmarkStart w:id="840" w:name="_Toc341"/>
      <w:bookmarkEnd w:id="839"/>
      <w:r>
        <w:rPr>
          <w:rtl w:val="true"/>
        </w:rPr>
        <w:t>تعريف قسمت</w:t>
      </w:r>
      <w:bookmarkEnd w:id="840"/>
    </w:p>
    <w:p>
      <w:pPr>
        <w:pStyle w:val="BookText"/>
        <w:rPr/>
      </w:pP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تخصيص حقوق و املاك مشتركه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آنچه در عبارات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تمييز حق از غير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بيع يا ساير معاوضات معهوده نيست و احكام آنها را ندارد اگر چه به حسب دقت و اجزاى غير متجزّيه، معاوضه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با اتفاق شركا باشد تا صحيح باشد مگر آنچه در قسمتِ اجبار، مذكور مى شود</w:t>
      </w:r>
      <w:r>
        <w:rPr>
          <w:rFonts w:eastAsia="IRNazanin" w:cs="IRNazanin"/>
          <w:color w:val="111111"/>
          <w:sz w:val="28"/>
          <w:szCs w:val="28"/>
          <w:rtl w:val="true"/>
          <w:lang w:bidi="fa-IR"/>
        </w:rPr>
        <w:t>.</w:t>
      </w:r>
    </w:p>
    <w:p>
      <w:pPr>
        <w:pStyle w:val="Heading4"/>
        <w:numPr>
          <w:ilvl w:val="3"/>
          <w:numId w:val="1"/>
        </w:numPr>
        <w:rPr/>
      </w:pPr>
      <w:bookmarkStart w:id="841" w:name="__RefHeading___Toc3598043_1067777946"/>
      <w:bookmarkStart w:id="842" w:name="_Toc342"/>
      <w:bookmarkEnd w:id="841"/>
      <w:r>
        <w:rPr>
          <w:rtl w:val="true"/>
        </w:rPr>
        <w:t>قسمت مشتمل بر عدم ضرر</w:t>
      </w:r>
      <w:bookmarkEnd w:id="842"/>
    </w:p>
    <w:p>
      <w:pPr>
        <w:pStyle w:val="BookText"/>
        <w:rPr/>
      </w:pPr>
      <w:r>
        <w:rPr>
          <w:rFonts w:ascii="IRNazanin" w:hAnsi="IRNazanin" w:eastAsia="IRNazanin"/>
          <w:color w:val="111111"/>
          <w:sz w:val="28"/>
          <w:sz w:val="28"/>
          <w:szCs w:val="28"/>
          <w:rtl w:val="true"/>
          <w:lang w:bidi="fa-IR"/>
        </w:rPr>
        <w:t>و آنچه در قسمت آن ضررى بر شريك نيست اگر چه به جهت حاجت به رد باشد، اجبار مى شود شريك بر آن با خواستن شريك يا ولى او قسمت را، مثل مثليات يا قيميّاتى كه در قسمت آنها ضررى نباشد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متوافق القيمه باشند، قسمت با تعديل سهام به اجزا به حسب كيل يا وزن يا زرع يا شماره به عدد نصيبها مى شود؛ و اگر مختلف القيمه باشند، تعديل، با مساوى كردن قيمتهاىِ اجزا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با تعديل و قرعه، قسمت، محقّق مى شود</w:t>
      </w:r>
      <w:r>
        <w:rPr>
          <w:rFonts w:eastAsia="IRNazanin" w:cs="IRNazanin"/>
          <w:color w:val="111111"/>
          <w:sz w:val="28"/>
          <w:szCs w:val="28"/>
          <w:rtl w:val="true"/>
          <w:lang w:bidi="fa-IR"/>
        </w:rPr>
        <w:t xml:space="preserve">. </w:t>
      </w:r>
      <w:bookmarkStart w:id="843" w:name="pg10256_89473"/>
    </w:p>
    <w:p>
      <w:pPr>
        <w:pStyle w:val="Heading4"/>
        <w:numPr>
          <w:ilvl w:val="3"/>
          <w:numId w:val="1"/>
        </w:numPr>
        <w:rPr/>
      </w:pPr>
      <w:bookmarkStart w:id="844" w:name="__RefHeading___Toc3598045_1067777946"/>
      <w:bookmarkStart w:id="845" w:name="_Toc343"/>
      <w:bookmarkEnd w:id="843"/>
      <w:bookmarkEnd w:id="844"/>
      <w:r>
        <w:rPr>
          <w:rtl w:val="true"/>
        </w:rPr>
        <w:t>كيفيّت قسمت با قرعه در صورت اتفاق سهام و يا اختلاف آنها</w:t>
      </w:r>
      <w:bookmarkEnd w:id="845"/>
    </w:p>
    <w:p>
      <w:pPr>
        <w:pStyle w:val="BookText"/>
        <w:rPr/>
      </w:pPr>
      <w:r>
        <w:rPr>
          <w:rFonts w:ascii="IRNazanin" w:hAnsi="IRNazanin" w:eastAsia="IRNazanin"/>
          <w:color w:val="111111"/>
          <w:sz w:val="28"/>
          <w:sz w:val="28"/>
          <w:szCs w:val="28"/>
          <w:rtl w:val="true"/>
          <w:lang w:bidi="fa-IR"/>
        </w:rPr>
        <w:t>و كيفيّت تعيين با قرعه اين است كه اسماى شركا يا سهام هر يكى را، در ورقه اى ثبت و كتابت نمايند و ضبط و حفظ و تشويش نمايند و بگويند كسى كه مطلع نباشد از خصوصيات آنها، اخراج نمايد آنها را به اسم بعض شركا يا بعض سهام، در صورت اتفاق 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صورت اختلاف، تقسيم بر اقل سهام مى شود، و اسماى مشتركين، كتابت مى شود و براى سهام، اولْ قرار داده مى شود به حسب قصد مشتركين، و اخراج مى شود اسامى، اولى براى اولْ مقصود اخراج مى شود؛ و در صورت حاجت، تكميل سهم او به ترتيب اولْ مقصود و ما بعد آن به ترتيب مقصود مى شود</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3598047_1067777946"/>
      <w:bookmarkStart w:id="847" w:name="_Toc344"/>
      <w:bookmarkEnd w:id="846"/>
      <w:r>
        <w:rPr>
          <w:rtl w:val="true"/>
        </w:rPr>
        <w:t>مثال براى صورت اختلاف</w:t>
      </w:r>
      <w:bookmarkEnd w:id="84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سهام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و ثلث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تقسيم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اسداس مرتّبۀ مقصوده ترتيب داده مى شود؛ و خارج شدۀ اوّلى، براى او، سهم اوّل است و با ما بعد او تكميل مى شود در صورت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خارج، اسم صاحبِ سُدس بود متعيّن مى شود براى او اوّلْ سُدسِ مرتّب به قصد؛ پس اسم ديگرى براى سهم دوّم اخراج مى شود، پس اگر اسم صاحب ثلث، خارج شد سهم دوّم و سوّمِ مرتّب به قصد، براى او متعيّن مى شود و بقيّه مخصوص به صاحب نصف مى شود بدون حاجت به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خارج شد در دفعۀ ثانيه، اسم صاحب نصف، ثانى و ثالث و رابعِ مرتّب، مال او مى شود و بقيّه مال صاحب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خارج در دفعه اوّل، اسم صاحب ثلث بود، اوّل و ثانى، مخصوص او مى شود و دفعۀ دوّم براى سهم دوّم اخراج مى شود؛ پس اگر خارج، اسم صاحب سدس بود، سهم سومى مال او مى شود و بقيّه مال صاحب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دفعه دوّم اسم صاحب نصف بود، سوّم و چهارم و پنجم مال او مى شود و بقيّه مال صاحب سدس مى شود</w:t>
      </w:r>
      <w:r>
        <w:rPr>
          <w:rFonts w:eastAsia="IRNazanin" w:cs="IRNazanin"/>
          <w:color w:val="111111"/>
          <w:sz w:val="28"/>
          <w:szCs w:val="28"/>
          <w:rtl w:val="true"/>
          <w:lang w:bidi="fa-IR"/>
        </w:rPr>
        <w:t xml:space="preserve">. </w:t>
      </w:r>
      <w:bookmarkStart w:id="848" w:name="pg10256_89474"/>
    </w:p>
    <w:p>
      <w:pPr>
        <w:pStyle w:val="Heading4"/>
        <w:numPr>
          <w:ilvl w:val="3"/>
          <w:numId w:val="1"/>
        </w:numPr>
        <w:rPr/>
      </w:pPr>
      <w:bookmarkStart w:id="849" w:name="__RefHeading___Toc3598049_1067777946"/>
      <w:bookmarkStart w:id="850" w:name="_Toc345"/>
      <w:bookmarkEnd w:id="848"/>
      <w:bookmarkEnd w:id="849"/>
      <w:r>
        <w:rPr>
          <w:rtl w:val="true"/>
        </w:rPr>
        <w:t>عدم خصوصيت كتابت در قرعه</w:t>
      </w:r>
      <w:bookmarkEnd w:id="850"/>
    </w:p>
    <w:p>
      <w:pPr>
        <w:pStyle w:val="BookText"/>
        <w:rPr/>
      </w:pPr>
      <w:r>
        <w:rPr>
          <w:rFonts w:ascii="Amiri" w:hAnsi="Amiri" w:eastAsia="Amiri" w:cs="Amiri"/>
          <w:color w:val="111111"/>
          <w:sz w:val="28"/>
          <w:sz w:val="28"/>
          <w:szCs w:val="28"/>
          <w:rtl w:val="true"/>
          <w:lang w:bidi="ar-SA"/>
        </w:rPr>
        <w:t>و مكتوب و كتابت خصوصيت ندارند، بلكه هر مقدمه كه مقصود و معلوم متقاسمين باشد و نتيجه منوط به غيب باشد و معلوم ايشان نباشد، كافى است</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598051_1067777946"/>
      <w:bookmarkStart w:id="852" w:name="_Toc346"/>
      <w:bookmarkEnd w:id="851"/>
      <w:r>
        <w:rPr>
          <w:rtl w:val="true"/>
        </w:rPr>
        <w:t>قسمت به افراز و قسمت به تعديل</w:t>
      </w:r>
      <w:bookmarkEnd w:id="852"/>
    </w:p>
    <w:p>
      <w:pPr>
        <w:pStyle w:val="BookText"/>
        <w:rPr/>
      </w:pPr>
      <w:r>
        <w:rPr>
          <w:rFonts w:ascii="IRNazanin" w:hAnsi="IRNazanin" w:eastAsia="IRNazanin"/>
          <w:color w:val="111111"/>
          <w:sz w:val="28"/>
          <w:sz w:val="28"/>
          <w:szCs w:val="28"/>
          <w:rtl w:val="true"/>
          <w:lang w:bidi="fa-IR"/>
        </w:rPr>
        <w:t>گاهى قسمتِ اموال، به افرازْ متعيّن است، مثل مثليات از جنس واحد؛ و گاهى متعيّن به تعديل قيمتها است، مانند قيميّات و گاهى تعديل منوط به ضميمۀ رد است تا قيمتها متساوى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مثل دو جنس از مثلى مختلف القيمة و المقدار نسبت به همديگر؛ پس قسمتِ مجموع، به تعديل؛ و قسمتِ هر يك، به افراز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تعديل احتياج به رد باشد، جمع مى شود افراز نسبت به هر يك و تعديل با رد نسبت به مجموع، و صور ديگرى ايضاً متصور است</w:t>
      </w:r>
      <w:r>
        <w:rPr>
          <w:rFonts w:eastAsia="IRNazanin" w:cs="IRNazanin"/>
          <w:color w:val="111111"/>
          <w:sz w:val="28"/>
          <w:szCs w:val="28"/>
          <w:rtl w:val="true"/>
          <w:lang w:bidi="fa-IR"/>
        </w:rPr>
        <w:t>.</w:t>
      </w:r>
    </w:p>
    <w:p>
      <w:pPr>
        <w:pStyle w:val="Heading4"/>
        <w:numPr>
          <w:ilvl w:val="3"/>
          <w:numId w:val="1"/>
        </w:numPr>
        <w:rPr/>
      </w:pPr>
      <w:bookmarkStart w:id="853" w:name="__RefHeading___Toc3598053_1067777946"/>
      <w:bookmarkStart w:id="854" w:name="_Toc347"/>
      <w:bookmarkEnd w:id="853"/>
      <w:r>
        <w:rPr>
          <w:rtl w:val="true"/>
        </w:rPr>
        <w:t>اعتبار قرعه در لزوم قسمت در اعيان</w:t>
      </w:r>
      <w:bookmarkEnd w:id="854"/>
    </w:p>
    <w:p>
      <w:pPr>
        <w:pStyle w:val="BookText"/>
        <w:rPr/>
      </w:pPr>
      <w:r>
        <w:rPr>
          <w:rFonts w:ascii="IRNazanin" w:hAnsi="IRNazanin" w:eastAsia="IRNazanin"/>
          <w:color w:val="111111"/>
          <w:sz w:val="28"/>
          <w:sz w:val="28"/>
          <w:szCs w:val="28"/>
          <w:rtl w:val="true"/>
          <w:lang w:bidi="fa-IR"/>
        </w:rPr>
        <w:t>با ايقاع قرعه بعد از افراز يا تعديلِ سهام اگر چه مشتمل بر رد باشد، در صورت مقرونيّت به رضاى شركا يا وقوع در قسمتِ اجبارِ مشروع، احتياج به رضاى بعد از قرعه نيست، و قسمتْ صحيح و لازمْ واقع مى شود، و نقض آن به فسخْ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لزوم قسمت با تعديل سهام يا افراز از روى رضاى شركا بدون ايقاع قرعه، تأمل است؛ و احوط اعتبار قرعه در لزوم قسمت است اگر چه از روى رضاى شركا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نتيجۀ قسمت لازمه، به مصالحۀ لازمه حاصل شود بدون احتياج به قرعه</w:t>
      </w:r>
      <w:r>
        <w:rPr>
          <w:rFonts w:eastAsia="IRNazanin" w:cs="IRNazanin"/>
          <w:color w:val="111111"/>
          <w:sz w:val="28"/>
          <w:szCs w:val="28"/>
          <w:rtl w:val="true"/>
          <w:lang w:bidi="fa-IR"/>
        </w:rPr>
        <w:t>.</w:t>
      </w:r>
    </w:p>
    <w:p>
      <w:pPr>
        <w:pStyle w:val="Heading4"/>
        <w:numPr>
          <w:ilvl w:val="3"/>
          <w:numId w:val="1"/>
        </w:numPr>
        <w:rPr/>
      </w:pPr>
      <w:bookmarkStart w:id="855" w:name="__RefHeading___Toc3598055_1067777946"/>
      <w:bookmarkStart w:id="856" w:name="_Toc348"/>
      <w:bookmarkEnd w:id="855"/>
      <w:r>
        <w:rPr>
          <w:rtl w:val="true"/>
        </w:rPr>
        <w:t>قسمت مشتمل بر ضرر</w:t>
      </w:r>
      <w:bookmarkEnd w:id="85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ضرر حاصل مى شود بر همه شركا يا بعض آنها از قسمت، مثل دو كفۀ ترازو و دو عِدل يك باب و جوهر و شمشير، اجبار بر قسمت در آنها نمى شود ممتنعِ از </w:t>
      </w:r>
      <w:bookmarkStart w:id="857" w:name="pg10256_89475"/>
    </w:p>
    <w:p>
      <w:pPr>
        <w:pStyle w:val="BookText"/>
        <w:rPr/>
      </w:pPr>
      <w:bookmarkEnd w:id="857"/>
      <w:r>
        <w:rPr>
          <w:rFonts w:ascii="IRNazanin" w:hAnsi="IRNazanin" w:eastAsia="IRNazanin"/>
          <w:color w:val="111111"/>
          <w:sz w:val="28"/>
          <w:sz w:val="28"/>
          <w:szCs w:val="28"/>
          <w:rtl w:val="true"/>
          <w:lang w:bidi="fa-IR"/>
        </w:rPr>
        <w:t>آن، اگر متضرّر مى شود؛ بلكه مطلقاً صحيح نيست قسمت آنها اگر عقلايى نباشد با خصوصيات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ضررى كه با اقدامْ جايز است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نقص غير فاحش قيمت در مقابل عدم انتفاع 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طالب قسمت، مقدِم در ضرر به معناى نقص قيمت شد و مطلوب منه غير متضرّر باشد به جهت خصوصيت اتفاقيّه مورد، محل اجبارِ ممتنع است</w:t>
      </w:r>
      <w:r>
        <w:rPr>
          <w:rFonts w:eastAsia="IRNazanin" w:cs="IRNazanin"/>
          <w:color w:val="111111"/>
          <w:sz w:val="28"/>
          <w:szCs w:val="28"/>
          <w:rtl w:val="true"/>
          <w:lang w:bidi="fa-IR"/>
        </w:rPr>
        <w:t>.</w:t>
      </w:r>
    </w:p>
    <w:p>
      <w:pPr>
        <w:pStyle w:val="Heading4"/>
        <w:numPr>
          <w:ilvl w:val="3"/>
          <w:numId w:val="1"/>
        </w:numPr>
        <w:rPr/>
      </w:pPr>
      <w:bookmarkStart w:id="858" w:name="__RefHeading___Toc3598057_1067777946"/>
      <w:bookmarkStart w:id="859" w:name="_Toc349"/>
      <w:bookmarkEnd w:id="858"/>
      <w:r>
        <w:rPr>
          <w:rtl w:val="true"/>
        </w:rPr>
        <w:t xml:space="preserve">مهايات </w:t>
      </w:r>
      <w:r>
        <w:rPr>
          <w:rtl w:val="true"/>
        </w:rPr>
        <w:t>(</w:t>
      </w:r>
      <w:r>
        <w:rPr>
          <w:rtl w:val="true"/>
        </w:rPr>
        <w:t>قسمت منافع</w:t>
      </w:r>
      <w:r>
        <w:rPr>
          <w:rtl w:val="true"/>
        </w:rPr>
        <w:t>)</w:t>
      </w:r>
      <w:bookmarkEnd w:id="859"/>
    </w:p>
    <w:p>
      <w:pPr>
        <w:pStyle w:val="BookText"/>
        <w:rPr/>
      </w:pPr>
      <w:r>
        <w:rPr>
          <w:rFonts w:ascii="Amiri" w:hAnsi="Amiri" w:eastAsia="Amiri" w:cs="Amiri"/>
          <w:color w:val="111111"/>
          <w:sz w:val="28"/>
          <w:sz w:val="28"/>
          <w:szCs w:val="28"/>
          <w:rtl w:val="true"/>
          <w:lang w:bidi="ar-SA"/>
        </w:rPr>
        <w:t xml:space="preserve">و مهايات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منافع به اجزاى شىء و زمان در شركت در 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 قسمت اعيان را ندارد در لزوم، بلكه در صحّت قسمت؛ بلى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تراضى دارند، تصرفات موافقۀ تراضى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رجوع براى هركدام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فرقى بين مورد امكان قسمت و اجبار بر آن و غير، نيست</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598059_1067777946"/>
      <w:bookmarkStart w:id="861" w:name="_Toc350"/>
      <w:bookmarkEnd w:id="860"/>
      <w:r>
        <w:rPr>
          <w:rtl w:val="true"/>
        </w:rPr>
        <w:t>حكم صورت امتناع قسمت و دوام تنازع</w:t>
      </w:r>
      <w:bookmarkEnd w:id="861"/>
    </w:p>
    <w:p>
      <w:pPr>
        <w:pStyle w:val="BookText"/>
        <w:rPr/>
      </w:pPr>
      <w:r>
        <w:rPr>
          <w:rFonts w:ascii="IRNazanin" w:hAnsi="IRNazanin" w:eastAsia="IRNazanin"/>
          <w:color w:val="111111"/>
          <w:sz w:val="28"/>
          <w:sz w:val="28"/>
          <w:szCs w:val="28"/>
          <w:rtl w:val="true"/>
          <w:lang w:bidi="fa-IR"/>
        </w:rPr>
        <w:t>و در صورت امتناع قسمت و عدم جواز اجبار و عدم توافق بر چيزى و دوام تنازع، حاكمْ صلح مى نمايد بين آنها يا به بيع يا اجاره يا مهايات؛ و به هر كدام تراضى شد، متعيّن است؛ و اگر بر هيچ يك تراضى نيست، حاكم اختيار مى نمايد يكى را كه اقل محذوراً باشد، يا آنكه اشدّ محذوراً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منافع مشتركه به مهايات مذكوره مى شود، بلكه راه ديگرى براى افراز نيست مگر آنكه هر كدام منفعت نصف خاصِ عين را به ديگرى تمليك به اجرت نمايد كه با اجارۀ لازمه، نتيجۀ قسمتِ مهايات، تحصيل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دوام نزاع، تعيين مهايات يا اجاره، با حاكم است</w:t>
      </w:r>
      <w:r>
        <w:rPr>
          <w:rFonts w:eastAsia="IRNazanin" w:cs="IRNazanin"/>
          <w:color w:val="111111"/>
          <w:sz w:val="28"/>
          <w:szCs w:val="28"/>
          <w:rtl w:val="true"/>
          <w:lang w:bidi="fa-IR"/>
        </w:rPr>
        <w:t>.</w:t>
      </w:r>
    </w:p>
    <w:p>
      <w:pPr>
        <w:pStyle w:val="Heading4"/>
        <w:numPr>
          <w:ilvl w:val="3"/>
          <w:numId w:val="1"/>
        </w:numPr>
        <w:rPr/>
      </w:pPr>
      <w:bookmarkStart w:id="862" w:name="__RefHeading___Toc3598061_1067777946"/>
      <w:bookmarkStart w:id="863" w:name="_Toc351"/>
      <w:bookmarkEnd w:id="862"/>
      <w:r>
        <w:rPr>
          <w:rtl w:val="true"/>
        </w:rPr>
        <w:t>ميزان در عدم جواز اجبار بر قسمت</w:t>
      </w:r>
      <w:bookmarkEnd w:id="86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در ضررى كه با آن اجبار بر قسمت نمى شود، نقصان قسمت است به نحوى كه غالباً تسامح نمى شود در آن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موافق است غالباً با آنكه منفعت ظاهرۀ در </w:t>
      </w:r>
      <w:bookmarkStart w:id="864" w:name="pg10256_89476"/>
    </w:p>
    <w:p>
      <w:pPr>
        <w:pStyle w:val="BookText"/>
        <w:rPr/>
      </w:pPr>
      <w:bookmarkEnd w:id="864"/>
      <w:r>
        <w:rPr>
          <w:rFonts w:ascii="IRNazanin" w:hAnsi="IRNazanin" w:eastAsia="IRNazanin"/>
          <w:color w:val="111111"/>
          <w:sz w:val="28"/>
          <w:sz w:val="28"/>
          <w:szCs w:val="28"/>
          <w:rtl w:val="true"/>
          <w:lang w:bidi="fa-IR"/>
        </w:rPr>
        <w:t>حال اجتماع، حاصل نمى شود در حال انفراد به قسمت، اگر چه فى الجمله منتفعٌ به مى شود، مثل اتاق كوچك كه نصف آن مسكون نمى شود؛ و اگر رأساً از انتفاع ساقط است، پس قسمتْ جايز نيست مگر آنكه عقلايى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طالبْ متضرّر است به ضررى كه اقدام، مسوغ آن است، بر مطلوبٌ منه غيرِ متضرر، قسمت لازم است؛ و بر متضرّر جايز است در صورت عقلايى بودن، نه مطلقاً</w:t>
      </w:r>
      <w:r>
        <w:rPr>
          <w:rFonts w:eastAsia="IRNazanin" w:cs="IRNazanin"/>
          <w:color w:val="111111"/>
          <w:sz w:val="28"/>
          <w:szCs w:val="28"/>
          <w:rtl w:val="true"/>
          <w:lang w:bidi="fa-IR"/>
        </w:rPr>
        <w:t>.</w:t>
      </w:r>
    </w:p>
    <w:p>
      <w:pPr>
        <w:pStyle w:val="Heading4"/>
        <w:numPr>
          <w:ilvl w:val="3"/>
          <w:numId w:val="1"/>
        </w:numPr>
        <w:rPr/>
      </w:pPr>
      <w:bookmarkStart w:id="865" w:name="__RefHeading___Toc3598063_1067777946"/>
      <w:bookmarkStart w:id="866" w:name="_Toc352"/>
      <w:bookmarkEnd w:id="865"/>
      <w:r>
        <w:rPr>
          <w:rtl w:val="true"/>
        </w:rPr>
        <w:t>حكم تعارض ضرر يكى به قسمت و ضرر ديگرى به افراز</w:t>
      </w:r>
      <w:bookmarkEnd w:id="866"/>
    </w:p>
    <w:p>
      <w:pPr>
        <w:pStyle w:val="BookText"/>
        <w:rPr/>
      </w:pPr>
      <w:r>
        <w:rPr>
          <w:rFonts w:ascii="IRNazanin" w:hAnsi="IRNazanin" w:eastAsia="IRNazanin"/>
          <w:color w:val="111111"/>
          <w:sz w:val="28"/>
          <w:sz w:val="28"/>
          <w:szCs w:val="28"/>
          <w:rtl w:val="true"/>
          <w:lang w:bidi="fa-IR"/>
        </w:rPr>
        <w:t>و اگر فرض شود ضرر يكى از شريكين به بقاى قسمت، و ضرر ديگرى به افراز، و مرجّحى نباشد، به منزلۀ عدم ضرر در جوازِ اجبارِ متضرّر نيست، و محتمل است صلحِ حاكم به بيع يا اجاره يا مهايات يا تعيين با قرعه؛ و هم چنين امين حاكم؛ و اگر نبود، عدل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رجوع به حاكم يا عدل، در صورت امتناع شريك از قسمت جايزه بدون ضرر، و در صورت غيبت او تا زمانى كه صبر در آن، ضررى است بر شريك و ضررى در قسمت بر غايب نيست</w:t>
      </w:r>
      <w:r>
        <w:rPr>
          <w:rFonts w:eastAsia="IRNazanin" w:cs="IRNazanin"/>
          <w:color w:val="111111"/>
          <w:sz w:val="28"/>
          <w:szCs w:val="28"/>
          <w:rtl w:val="true"/>
          <w:lang w:bidi="fa-IR"/>
        </w:rPr>
        <w:t>.</w:t>
      </w:r>
    </w:p>
    <w:p>
      <w:pPr>
        <w:pStyle w:val="Heading4"/>
        <w:numPr>
          <w:ilvl w:val="3"/>
          <w:numId w:val="1"/>
        </w:numPr>
        <w:rPr/>
      </w:pPr>
      <w:bookmarkStart w:id="867" w:name="__RefHeading___Toc3598065_1067777946"/>
      <w:bookmarkStart w:id="868" w:name="_Toc353"/>
      <w:bookmarkEnd w:id="867"/>
      <w:r>
        <w:rPr>
          <w:rtl w:val="true"/>
        </w:rPr>
        <w:t>فرض متضرّر شدن هر دو از قسمت</w:t>
      </w:r>
      <w:bookmarkEnd w:id="868"/>
    </w:p>
    <w:p>
      <w:pPr>
        <w:pStyle w:val="BookText"/>
        <w:rPr/>
      </w:pPr>
      <w:r>
        <w:rPr>
          <w:rFonts w:ascii="IRNazanin" w:hAnsi="IRNazanin" w:eastAsia="IRNazanin"/>
          <w:color w:val="111111"/>
          <w:sz w:val="28"/>
          <w:sz w:val="28"/>
          <w:szCs w:val="28"/>
          <w:rtl w:val="true"/>
          <w:lang w:bidi="fa-IR"/>
        </w:rPr>
        <w:t>و اگر در قسمت، ضرر بر هر دو باشد، ممتنعِ از قسمت، اجبار نمى شود در صورت صحّت قسمت؛ چنانكه اگر يكى متضرّر است از قسمت، اجبار بر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بين ضرر در نفس قسمت و ترتب ضرر خارجى بر قسمت شخصيّه است</w:t>
      </w:r>
      <w:r>
        <w:rPr>
          <w:rFonts w:eastAsia="IRNazanin" w:cs="IRNazanin"/>
          <w:color w:val="111111"/>
          <w:sz w:val="28"/>
          <w:szCs w:val="28"/>
          <w:rtl w:val="true"/>
          <w:lang w:bidi="fa-IR"/>
        </w:rPr>
        <w:t>.</w:t>
      </w:r>
    </w:p>
    <w:p>
      <w:pPr>
        <w:pStyle w:val="Heading4"/>
        <w:numPr>
          <w:ilvl w:val="3"/>
          <w:numId w:val="1"/>
        </w:numPr>
        <w:rPr/>
      </w:pPr>
      <w:bookmarkStart w:id="869" w:name="__RefHeading___Toc3598067_1067777946"/>
      <w:bookmarkStart w:id="870" w:name="_Toc354"/>
      <w:bookmarkEnd w:id="869"/>
      <w:r>
        <w:rPr>
          <w:rtl w:val="true"/>
        </w:rPr>
        <w:t>اگر قسمت مستلزم رد عوض باشد</w:t>
      </w:r>
      <w:bookmarkEnd w:id="8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قسمت مستلزم رد عوض باشد، معاوضه است و موقوف به رضاى شريك است، و اجبار بر آن نمى شود مگر در صورت ضرريّت بقاى شركت و انحصار طريق قسمت به رد و احتياج به مداخلۀ حاكم شرع كه مى تواند رفع تنازع به قسمت مشروعه نمايد</w:t>
      </w:r>
      <w:r>
        <w:rPr>
          <w:rFonts w:eastAsia="IRNazanin" w:cs="IRNazanin"/>
          <w:color w:val="111111"/>
          <w:sz w:val="28"/>
          <w:szCs w:val="28"/>
          <w:rtl w:val="true"/>
          <w:lang w:bidi="fa-IR"/>
        </w:rPr>
        <w:t xml:space="preserve">. </w:t>
      </w:r>
      <w:bookmarkStart w:id="871" w:name="pg10256_89477"/>
    </w:p>
    <w:p>
      <w:pPr>
        <w:pStyle w:val="Heading4"/>
        <w:numPr>
          <w:ilvl w:val="3"/>
          <w:numId w:val="1"/>
        </w:numPr>
        <w:rPr/>
      </w:pPr>
      <w:bookmarkStart w:id="872" w:name="__RefHeading___Toc3598069_1067777946"/>
      <w:bookmarkStart w:id="873" w:name="_Toc355"/>
      <w:bookmarkEnd w:id="871"/>
      <w:bookmarkEnd w:id="872"/>
      <w:r>
        <w:rPr>
          <w:rtl w:val="true"/>
        </w:rPr>
        <w:t>مرجع اجبار بر قسمت</w:t>
      </w:r>
      <w:bookmarkEnd w:id="873"/>
    </w:p>
    <w:p>
      <w:pPr>
        <w:pStyle w:val="BookText"/>
        <w:rPr/>
      </w:pPr>
      <w:r>
        <w:rPr>
          <w:rFonts w:ascii="IRNazanin" w:hAnsi="IRNazanin" w:eastAsia="IRNazanin"/>
          <w:color w:val="111111"/>
          <w:sz w:val="28"/>
          <w:sz w:val="28"/>
          <w:szCs w:val="28"/>
          <w:rtl w:val="true"/>
          <w:lang w:bidi="fa-IR"/>
        </w:rPr>
        <w:t>امر قسمتِ اجبار، راجع به حاكم شرع و امين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امكان وصول به او بدون تضرر، عدول مؤمنين متصدّى مى شوند، و شريكِ مطالِب قسمت، خودِ او، داخلِ در عدول مؤمنين مى شود در صورت امتناع شريك ديگر يا غيبت او تا حد اضرار</w:t>
      </w:r>
      <w:r>
        <w:rPr>
          <w:rFonts w:eastAsia="IRNazanin" w:cs="IRNazanin"/>
          <w:color w:val="111111"/>
          <w:sz w:val="28"/>
          <w:szCs w:val="28"/>
          <w:rtl w:val="true"/>
          <w:lang w:bidi="fa-IR"/>
        </w:rPr>
        <w:t>.</w:t>
      </w:r>
    </w:p>
    <w:p>
      <w:pPr>
        <w:pStyle w:val="Heading4"/>
        <w:numPr>
          <w:ilvl w:val="3"/>
          <w:numId w:val="1"/>
        </w:numPr>
        <w:rPr/>
      </w:pPr>
      <w:bookmarkStart w:id="874" w:name="__RefHeading___Toc3598071_1067777946"/>
      <w:bookmarkStart w:id="875" w:name="_Toc356"/>
      <w:bookmarkEnd w:id="874"/>
      <w:r>
        <w:rPr>
          <w:rtl w:val="true"/>
        </w:rPr>
        <w:t>ملاك ضرر موجب عدم اجبار بر قسمت</w:t>
      </w:r>
      <w:bookmarkEnd w:id="875"/>
    </w:p>
    <w:p>
      <w:pPr>
        <w:pStyle w:val="BookText"/>
        <w:rPr/>
      </w:pPr>
      <w:r>
        <w:rPr>
          <w:rFonts w:ascii="Amiri" w:hAnsi="Amiri" w:eastAsia="Amiri" w:cs="Amiri"/>
          <w:color w:val="111111"/>
          <w:sz w:val="28"/>
          <w:sz w:val="28"/>
          <w:szCs w:val="28"/>
          <w:rtl w:val="true"/>
          <w:lang w:bidi="ar-SA"/>
        </w:rPr>
        <w:t>ضررى كه اجبار نمى شود متضرّر به آن بر قسمت، نقص قيمت است به حدى كه اشدّ از ضرر بقاى شركت باشد بر مطالبه كنندۀ قسمت</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3598073_1067777946"/>
      <w:bookmarkStart w:id="877" w:name="_Toc357"/>
      <w:bookmarkEnd w:id="876"/>
      <w:r>
        <w:rPr>
          <w:rtl w:val="true"/>
        </w:rPr>
        <w:t>مجبور بر قسمت در مال محجور و محلّ اخذ اجرت قاسم</w:t>
      </w:r>
      <w:bookmarkEnd w:id="877"/>
    </w:p>
    <w:p>
      <w:pPr>
        <w:pStyle w:val="BookText"/>
        <w:rPr/>
      </w:pPr>
      <w:r>
        <w:rPr>
          <w:rFonts w:ascii="Amiri" w:hAnsi="Amiri" w:eastAsia="Amiri" w:cs="Amiri"/>
          <w:color w:val="111111"/>
          <w:sz w:val="28"/>
          <w:sz w:val="28"/>
          <w:szCs w:val="28"/>
          <w:rtl w:val="true"/>
          <w:lang w:bidi="ar-SA"/>
        </w:rPr>
        <w:t>ولى عام و خاص براى مجنون و سفيه و طفل، مثل اب و جدّ ابى، اجبار بر قسمت مى شود در موضعى كه مولّى عليهِ كامل، اجبار مى شود؛ و دور نيست اجرت قاسم از مال مولّىٰ عليه مأخوذ شود در صورتى كه در قسمت اجبار و نحو آن از خود كامل مأخوذ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هم مطالبه قسمت مى كند در صورت غبطۀ مولّىٰ عليه، و اخذ اجرتِ قاسم از مال مولّىٰ عليه در صورت مذكوره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وكيل عامْ تابع اطلاق اذن مستفاد از وكالت خاصه اى كه مطلقا يا با غبطه يا حدى از مصلحت، مطالبۀ قسمت نمايد؛ بلكه فى الجمله خودش قسمت نمايد در صورتى كه موكِّل خودش قسمت مى نمود</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3598075_1067777946"/>
      <w:bookmarkStart w:id="879" w:name="_Toc358"/>
      <w:bookmarkEnd w:id="878"/>
      <w:r>
        <w:rPr>
          <w:rtl w:val="true"/>
        </w:rPr>
        <w:t>مسائل قسمت</w:t>
      </w:r>
      <w:bookmarkEnd w:id="879"/>
    </w:p>
    <w:p>
      <w:pPr>
        <w:pStyle w:val="Heading5"/>
        <w:numPr>
          <w:ilvl w:val="4"/>
          <w:numId w:val="1"/>
        </w:numPr>
        <w:rPr/>
      </w:pPr>
      <w:bookmarkStart w:id="880" w:name="__RefHeading___Toc3598077_1067777946"/>
      <w:bookmarkStart w:id="881" w:name="_Toc359"/>
      <w:bookmarkEnd w:id="880"/>
      <w:r>
        <w:rPr>
          <w:rtl w:val="true"/>
        </w:rPr>
        <w:t>اگر بعد از تقسيم تركه، بدهى ميّت معلوم شود</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قسمت كردنِ ورثه، تركه را، ظاهر شد دينِ غيرِ مستوعبِ ميّت، پس اگر ادا نمودند ورثه دين را، ابطال نمى شود قسمت؛ وگرنه، پس اگر همه امتناع نمودند</w:t>
      </w:r>
      <w:bookmarkStart w:id="882" w:name="pg10256_89478"/>
    </w:p>
    <w:p>
      <w:pPr>
        <w:pStyle w:val="BookText"/>
        <w:rPr/>
      </w:pPr>
      <w:bookmarkEnd w:id="882"/>
      <w:r>
        <w:rPr>
          <w:rFonts w:ascii="IRNazanin" w:hAnsi="IRNazanin" w:eastAsia="IRNazanin"/>
          <w:color w:val="111111"/>
          <w:sz w:val="28"/>
          <w:sz w:val="28"/>
          <w:szCs w:val="28"/>
          <w:rtl w:val="true"/>
          <w:lang w:bidi="fa-IR"/>
        </w:rPr>
        <w:t>از اداى دين، ابطال مى شود قسمت، به جهت سبق دين بر ارث و قسمت آن؛ و اگر مختلف بودند، حصۀ ممتنع به قدر نصيب او از دين، بيع مى شود بر او و با آنْ تأديه بعض دين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دينْ مستوعب بود، پس با امتناع از اداى دين، همه تركهْ بيع مى شود در اداى همه دين</w:t>
      </w:r>
      <w:r>
        <w:rPr>
          <w:rFonts w:eastAsia="IRNazanin" w:cs="IRNazanin"/>
          <w:color w:val="111111"/>
          <w:sz w:val="28"/>
          <w:szCs w:val="28"/>
          <w:rtl w:val="true"/>
          <w:lang w:bidi="fa-IR"/>
        </w:rPr>
        <w:t>.</w:t>
      </w:r>
    </w:p>
    <w:p>
      <w:pPr>
        <w:pStyle w:val="Heading5"/>
        <w:numPr>
          <w:ilvl w:val="4"/>
          <w:numId w:val="1"/>
        </w:numPr>
        <w:rPr/>
      </w:pPr>
      <w:bookmarkStart w:id="883" w:name="__RefHeading___Toc3598079_1067777946"/>
      <w:bookmarkStart w:id="884" w:name="_Toc360"/>
      <w:bookmarkEnd w:id="883"/>
      <w:r>
        <w:rPr>
          <w:rtl w:val="true"/>
        </w:rPr>
        <w:t>اگر قسمتى از مال مقسوم، مال غير باشد</w:t>
      </w:r>
      <w:bookmarkEnd w:id="8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قسمتْ ظاهر شد كه بعضِ معيّنِ مقسوم، مال غير بوده و در نصيبِ يكى از شركا يا بيش از يكى واقع شده، قسمت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بعض معيّن تنصيف در دو شريك يا تثليث در دو شريك بوده و بقيّه نصيبها در بقاياى تركه بوده، اصل قسمت باطل نمى شود، بلكه توسعۀ آن به مستحَق غير، زايل مى شود و تعديلْ در ساير متروكات باقى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به واسطۀ رد مالِ غير و اخراج آن، نقصى و تفاوتى در نصيب بعض شركا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راه آبِ يكى بالخصوص مسدود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بطلان قسمت است، به جهت انتفاى تعديل</w:t>
      </w:r>
      <w:r>
        <w:rPr>
          <w:rFonts w:eastAsia="IRNazanin" w:cs="IRNazanin"/>
          <w:color w:val="111111"/>
          <w:sz w:val="28"/>
          <w:szCs w:val="28"/>
          <w:rtl w:val="true"/>
          <w:lang w:bidi="fa-IR"/>
        </w:rPr>
        <w:t>.</w:t>
      </w:r>
    </w:p>
    <w:p>
      <w:pPr>
        <w:pStyle w:val="Heading5"/>
        <w:numPr>
          <w:ilvl w:val="4"/>
          <w:numId w:val="1"/>
        </w:numPr>
        <w:rPr/>
      </w:pPr>
      <w:bookmarkStart w:id="885" w:name="__RefHeading___Toc3598081_1067777946"/>
      <w:bookmarkStart w:id="886" w:name="_Toc361"/>
      <w:bookmarkEnd w:id="885"/>
      <w:r>
        <w:rPr>
          <w:rtl w:val="true"/>
        </w:rPr>
        <w:t>ظهور مالكيّت غير به گونۀ اشاعه</w:t>
      </w:r>
      <w:bookmarkEnd w:id="8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قسمتْ ظاهر شد كه بعضِ مشاع مستحق للغير است، اظهر صحّت قسمت است در غير بعض مستحَق، مثل صورت تعين مستحَق، 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تاثير استحقاق در زيادتى و نقيصه، حاصل است، نه در جابه جا شدن مقسوم به سبب احتمال مخالفت قرعۀ جديده با سابقه؛ و ملزمى ندارد قرعه مگر وقتِ اراده تقسيم با مستحِق بالنسبه به خصوصِ مستحَق؛ پس اگر اشترا كردند حصۀ مستحِق را، تجديد قسمت لازم نيست، اگر چه احوط اعادۀ قسمت بعد از فسخ متقاسمين است با همه شركا، كه مستحِق، از آنها است</w:t>
      </w:r>
      <w:r>
        <w:rPr>
          <w:rFonts w:eastAsia="IRNazanin" w:cs="IRNazanin"/>
          <w:color w:val="111111"/>
          <w:sz w:val="28"/>
          <w:szCs w:val="28"/>
          <w:rtl w:val="true"/>
          <w:lang w:bidi="fa-IR"/>
        </w:rPr>
        <w:t>.</w:t>
      </w:r>
      <w:bookmarkStart w:id="887" w:name="pg10256_89479"/>
    </w:p>
    <w:p>
      <w:pPr>
        <w:pStyle w:val="Heading5"/>
        <w:numPr>
          <w:ilvl w:val="4"/>
          <w:numId w:val="1"/>
        </w:numPr>
        <w:rPr/>
      </w:pPr>
      <w:bookmarkStart w:id="888" w:name="__RefHeading___Toc3598083_1067777946"/>
      <w:bookmarkStart w:id="889" w:name="_Toc362"/>
      <w:bookmarkEnd w:id="887"/>
      <w:bookmarkEnd w:id="888"/>
      <w:r>
        <w:rPr>
          <w:rtl w:val="true"/>
        </w:rPr>
        <w:t>عدم صحّت فسخ مگر با رضايت شركا</w:t>
      </w:r>
      <w:bookmarkEnd w:id="8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 اين است كه بعد از تحقق قسمتِ صحيحه با رضاى متقاسمين، حاجتى به رضاى بعد از قسمت نيست و فسخ آن براى هيچ يك جايز نيست؛ و اما فسخ با رضاى شركا، دور نيست نفوذ آن</w:t>
      </w:r>
      <w:r>
        <w:rPr>
          <w:rFonts w:eastAsia="IRNazanin" w:cs="IRNazanin"/>
          <w:color w:val="111111"/>
          <w:sz w:val="28"/>
          <w:szCs w:val="28"/>
          <w:rtl w:val="true"/>
          <w:lang w:bidi="fa-IR"/>
        </w:rPr>
        <w:t>.</w:t>
      </w:r>
    </w:p>
    <w:p>
      <w:pPr>
        <w:pStyle w:val="Heading5"/>
        <w:numPr>
          <w:ilvl w:val="4"/>
          <w:numId w:val="1"/>
        </w:numPr>
        <w:rPr/>
      </w:pPr>
      <w:bookmarkStart w:id="890" w:name="__RefHeading___Toc3598085_1067777946"/>
      <w:bookmarkStart w:id="891" w:name="_Toc363"/>
      <w:bookmarkEnd w:id="890"/>
      <w:r>
        <w:rPr>
          <w:rtl w:val="true"/>
        </w:rPr>
        <w:t>ظهور اشتباه و غلط در قسمت</w:t>
      </w:r>
      <w:bookmarkEnd w:id="89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قسمت، غلطى در آن ظاهر شد، بايد به طور صحيحْ اعادۀ قسمت شود و قسمت سابقه، كالعدم است</w:t>
      </w:r>
      <w:r>
        <w:rPr>
          <w:rFonts w:eastAsia="IRNazanin" w:cs="IRNazanin"/>
          <w:color w:val="111111"/>
          <w:sz w:val="28"/>
          <w:szCs w:val="28"/>
          <w:rtl w:val="true"/>
          <w:lang w:bidi="fa-IR"/>
        </w:rPr>
        <w:t>.</w:t>
      </w:r>
    </w:p>
    <w:p>
      <w:pPr>
        <w:pStyle w:val="Heading5"/>
        <w:numPr>
          <w:ilvl w:val="4"/>
          <w:numId w:val="1"/>
        </w:numPr>
        <w:rPr/>
      </w:pPr>
      <w:bookmarkStart w:id="892" w:name="__RefHeading___Toc3598087_1067777946"/>
      <w:bookmarkStart w:id="893" w:name="_Toc364"/>
      <w:bookmarkEnd w:id="892"/>
      <w:r>
        <w:rPr>
          <w:rtl w:val="true"/>
        </w:rPr>
        <w:t>ادعاى غلط در قسمت</w:t>
      </w:r>
      <w:bookmarkEnd w:id="89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قسمت، بعضى از شركا مدّعىِ غلط و نقص مأخوذ او از حق او شد، پس اگر بيّنه اقامه كرد، مسموع مى شود و اعادۀ قسمت مى شود؛ وگرنه مسموع نيست در مقابل اصاله الصّحه در قسمت، مثل ساير عقود و ايقاعات مربوطه به غير واحد</w:t>
      </w:r>
      <w:r>
        <w:rPr>
          <w:rFonts w:eastAsia="IRNazanin" w:cs="IRNazanin"/>
          <w:color w:val="111111"/>
          <w:sz w:val="28"/>
          <w:szCs w:val="28"/>
          <w:rtl w:val="true"/>
          <w:lang w:bidi="fa-IR"/>
        </w:rPr>
        <w:t>.</w:t>
      </w:r>
    </w:p>
    <w:p>
      <w:pPr>
        <w:pStyle w:val="Heading5"/>
        <w:numPr>
          <w:ilvl w:val="4"/>
          <w:numId w:val="1"/>
        </w:numPr>
        <w:rPr/>
      </w:pPr>
      <w:bookmarkStart w:id="894" w:name="__RefHeading___Toc3598089_1067777946"/>
      <w:bookmarkStart w:id="895" w:name="_Toc365"/>
      <w:bookmarkEnd w:id="894"/>
      <w:r>
        <w:rPr>
          <w:rtl w:val="true"/>
        </w:rPr>
        <w:t>اگر در وقت قسمت، تركه ميت عين مال بعض طلبكاران موجود باشد</w:t>
      </w:r>
      <w:bookmarkEnd w:id="89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موت انسان، غرماى او خواستند تقسيم اموال او نمايند براى اخذ ديون خودشان، و عين مالِ بعضى موجود بود، و تركه كافى براى تمام ديون نبود، پس مشهور و مروى در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اختصاص صاحب عين است به آن، و او مثل ساير غرما است، پس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بر غيرِ صورت عدمِ كفايت تركه به اداى تمام ديون، يا غير اين محمل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تركه كافى به اداى همه ديون بود، پس اظهر جواز اخذ عين مال است به نحو لزوم يا جواز، و ثانى اظهر است؛ پس مى تواند استيفاى دين از غير عين مال خودش بنمايد</w:t>
      </w:r>
      <w:r>
        <w:rPr>
          <w:rFonts w:eastAsia="IRNazanin" w:cs="IRNazanin"/>
          <w:color w:val="111111"/>
          <w:sz w:val="28"/>
          <w:szCs w:val="28"/>
          <w:rtl w:val="true"/>
          <w:lang w:bidi="fa-IR"/>
        </w:rPr>
        <w:t xml:space="preserve">. </w:t>
      </w:r>
      <w:bookmarkStart w:id="896" w:name="pg10256_89480"/>
    </w:p>
    <w:p>
      <w:pPr>
        <w:pStyle w:val="Heading5"/>
        <w:numPr>
          <w:ilvl w:val="4"/>
          <w:numId w:val="1"/>
        </w:numPr>
        <w:rPr/>
      </w:pPr>
      <w:bookmarkStart w:id="897" w:name="__RefHeading___Toc3598091_1067777946"/>
      <w:bookmarkStart w:id="898" w:name="_Toc366"/>
      <w:bookmarkEnd w:id="896"/>
      <w:bookmarkEnd w:id="897"/>
      <w:r>
        <w:rPr>
          <w:rtl w:val="true"/>
        </w:rPr>
        <w:t>جواز اخذ عين مال از محجور عليه و مفلس در مقام قسمت</w:t>
      </w:r>
      <w:bookmarkEnd w:id="89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محجور عليه و مفلس اگر بعض غرماى ايشان عين مال خودش را در اموال مديون ديد، مى تواند اخذ نمايد و با غرماى ديگر، مساوى نيست، چه آنكه اموال به تمام ديونْ وافى باشد يا نه، و اين مدلول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منسوب به عمل مشهور است</w:t>
      </w:r>
      <w:r>
        <w:rPr>
          <w:rFonts w:eastAsia="IRNazanin" w:cs="IRNazanin"/>
          <w:color w:val="111111"/>
          <w:sz w:val="28"/>
          <w:szCs w:val="28"/>
          <w:rtl w:val="true"/>
          <w:lang w:bidi="fa-IR"/>
        </w:rPr>
        <w:t>.</w:t>
      </w:r>
    </w:p>
    <w:p>
      <w:pPr>
        <w:pStyle w:val="Heading5"/>
        <w:numPr>
          <w:ilvl w:val="4"/>
          <w:numId w:val="1"/>
        </w:numPr>
        <w:rPr/>
      </w:pPr>
      <w:bookmarkStart w:id="899" w:name="__RefHeading___Toc3598093_1067777946"/>
      <w:bookmarkStart w:id="900" w:name="_Toc367"/>
      <w:bookmarkEnd w:id="899"/>
      <w:r>
        <w:rPr>
          <w:rtl w:val="true"/>
        </w:rPr>
        <w:t>موارد جواز و عدم جواز قسمت وقف</w:t>
      </w:r>
      <w:bookmarkEnd w:id="90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وقفْ بين اهل آن، جايز نيست مگر در صورتى كه بيعِ وقف، جايز باشد به مقتضاى اولويت قسمت از بيع فى الجمله و به اقتضاى موجبات جواز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وقف از طلق جايز است؛ و قسمت وقف از وقف به سبب تعدّد واقف بدون غرض مصحِّح، با وحدت موقوف عليهم و مصرف،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تعدد موقوف عليهم و يا تعدد مصرف، جايز است با غرض صحيح اگر چه واقفْ متحد باشد به جهت تعدد وقف 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متصدى قسمت، موجودين از موقوف عليهم و ولى ساير طبقات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وقف از طلق كه مستلزم رد از موقوف عليهم است، جايز است؛ پس اگر رد در مقابل وصف جودت است، حكم معلوم است؛ و اگر در مقابل اجزاى خارجيه است، محكوم به ملكيّت است، خصوص مقابل معيّن باشد يا مشاع، بنا بر اظهر</w:t>
      </w:r>
      <w:r>
        <w:rPr>
          <w:rFonts w:eastAsia="IRNazanin" w:cs="IRNazanin"/>
          <w:color w:val="111111"/>
          <w:sz w:val="28"/>
          <w:szCs w:val="28"/>
          <w:rtl w:val="true"/>
          <w:lang w:bidi="fa-IR"/>
        </w:rPr>
        <w:t>.</w:t>
      </w:r>
    </w:p>
    <w:p>
      <w:pPr>
        <w:pStyle w:val="Heading5"/>
        <w:numPr>
          <w:ilvl w:val="4"/>
          <w:numId w:val="1"/>
        </w:numPr>
        <w:rPr/>
      </w:pPr>
      <w:bookmarkStart w:id="901" w:name="__RefHeading___Toc3598095_1067777946"/>
      <w:bookmarkStart w:id="902" w:name="_Toc368"/>
      <w:bookmarkEnd w:id="901"/>
      <w:r>
        <w:rPr>
          <w:rtl w:val="true"/>
        </w:rPr>
        <w:t>مسائلى از شركت</w:t>
      </w:r>
      <w:bookmarkEnd w:id="902"/>
    </w:p>
    <w:p>
      <w:pPr>
        <w:pStyle w:val="Heading5"/>
        <w:numPr>
          <w:ilvl w:val="4"/>
          <w:numId w:val="1"/>
        </w:numPr>
        <w:rPr/>
      </w:pPr>
      <w:bookmarkStart w:id="903" w:name="__RefHeading___Toc3598097_1067777946"/>
      <w:bookmarkStart w:id="904" w:name="_Toc369"/>
      <w:bookmarkEnd w:id="903"/>
      <w:r>
        <w:rPr>
          <w:rtl w:val="true"/>
        </w:rPr>
        <w:t>جايز بودن عقد شركت</w:t>
      </w:r>
      <w:bookmarkEnd w:id="9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شركت جايز است رجوع از آن براى طرفين؛ و هركدام فسخ كردند، منفسخ مى شود، چنانكه عقدى نباشد، لكن زوال اصل شركت، موقوف به قسمت و نحو آن است؛ و هم چنين عقد، به جنون و موت و اغما و حجر، منفسخ مى شود و اصل شركت باقى است تا افراز</w:t>
      </w:r>
      <w:r>
        <w:rPr>
          <w:rFonts w:eastAsia="IRNazanin" w:cs="IRNazanin"/>
          <w:color w:val="111111"/>
          <w:sz w:val="28"/>
          <w:szCs w:val="28"/>
          <w:rtl w:val="true"/>
          <w:lang w:bidi="fa-IR"/>
        </w:rPr>
        <w:t>.</w:t>
      </w:r>
      <w:bookmarkStart w:id="905" w:name="pg10256_89481"/>
    </w:p>
    <w:p>
      <w:pPr>
        <w:pStyle w:val="Heading5"/>
        <w:numPr>
          <w:ilvl w:val="4"/>
          <w:numId w:val="1"/>
        </w:numPr>
        <w:rPr/>
      </w:pPr>
      <w:bookmarkStart w:id="906" w:name="__RefHeading___Toc3598099_1067777946"/>
      <w:bookmarkStart w:id="907" w:name="_Toc370"/>
      <w:bookmarkEnd w:id="905"/>
      <w:bookmarkEnd w:id="906"/>
      <w:r>
        <w:rPr>
          <w:rtl w:val="true"/>
        </w:rPr>
        <w:t>امين بودن شريك</w:t>
      </w:r>
      <w:bookmarkEnd w:id="90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شريك امين است و قول او مسموع است در ادّعاى تلف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شريك ادّعاى تعدّى يا تفريط كرد، منكر با يمين او مسموع است قول او</w:t>
      </w:r>
      <w:r>
        <w:rPr>
          <w:rFonts w:eastAsia="IRNazanin" w:cs="IRNazanin"/>
          <w:color w:val="111111"/>
          <w:sz w:val="28"/>
          <w:szCs w:val="28"/>
          <w:rtl w:val="true"/>
          <w:lang w:bidi="fa-IR"/>
        </w:rPr>
        <w:t>.</w:t>
      </w:r>
    </w:p>
    <w:p>
      <w:pPr>
        <w:pStyle w:val="Heading5"/>
        <w:numPr>
          <w:ilvl w:val="4"/>
          <w:numId w:val="1"/>
        </w:numPr>
        <w:rPr/>
      </w:pPr>
      <w:bookmarkStart w:id="908" w:name="__RefHeading___Toc3598101_1067777946"/>
      <w:bookmarkStart w:id="909" w:name="_Toc371"/>
      <w:bookmarkEnd w:id="908"/>
      <w:r>
        <w:rPr>
          <w:rtl w:val="true"/>
        </w:rPr>
        <w:t>تأجيل شركت و حكم شرط عدم رجوع</w:t>
      </w:r>
      <w:bookmarkEnd w:id="9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تأجيل شركت، در عقد آن، بى اثر است مگر آنكه شرط، در ضمن عقدِ لازمى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عدم رجوع شود، اقرب تاثير رجوع در انفساخ شركت است اگر چه به سبب اين فسخ، مخالفت شرط در آن عقدِ لازم مى شود، و حكمِ تخلفِ شرط در ثبوت خيار فسخ در آن را دارد</w:t>
      </w:r>
      <w:r>
        <w:rPr>
          <w:rFonts w:eastAsia="IRNazanin" w:cs="IRNazanin"/>
          <w:color w:val="111111"/>
          <w:sz w:val="28"/>
          <w:szCs w:val="28"/>
          <w:rtl w:val="true"/>
          <w:lang w:bidi="fa-IR"/>
        </w:rPr>
        <w:t>.</w:t>
      </w:r>
      <w:bookmarkStart w:id="910" w:name="pg10256_89482"/>
    </w:p>
    <w:p>
      <w:pPr>
        <w:pStyle w:val="Heading3"/>
        <w:numPr>
          <w:ilvl w:val="2"/>
          <w:numId w:val="1"/>
        </w:numPr>
        <w:rPr/>
      </w:pPr>
      <w:bookmarkStart w:id="911" w:name="__RefHeading___Toc3598103_1067777946"/>
      <w:bookmarkStart w:id="912" w:name="_Toc372"/>
      <w:bookmarkEnd w:id="910"/>
      <w:bookmarkEnd w:id="911"/>
      <w:r>
        <w:rPr>
          <w:rtl w:val="true"/>
        </w:rPr>
        <w:t>فصل سوّم در لواحق شركت</w:t>
      </w:r>
      <w:bookmarkEnd w:id="912"/>
    </w:p>
    <w:p>
      <w:pPr>
        <w:pStyle w:val="Heading4"/>
        <w:numPr>
          <w:ilvl w:val="3"/>
          <w:numId w:val="1"/>
        </w:numPr>
        <w:rPr/>
      </w:pPr>
      <w:bookmarkStart w:id="913" w:name="__RefHeading___Toc3598105_1067777946"/>
      <w:bookmarkStart w:id="914" w:name="_Toc373"/>
      <w:bookmarkEnd w:id="913"/>
      <w:r>
        <w:rPr>
          <w:rtl w:val="true"/>
        </w:rPr>
        <w:t>جواز شركت در منفعت بين مالك دابّه و سقّا</w:t>
      </w:r>
      <w:bookmarkEnd w:id="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دابه را داد به سقّا كه با آن عمل نمايد و در حاصل، شريك باشند، اظهر صحّت اين معامله است كه مشمول اجماع در شركت در اعمال نيست به جهت عدم تعدّد در عمل؛ پس ملاحظۀ اجرت عمل و اجرت دابه و نسبت آنها به مجموع و موافقت با شركت در حاصل، مانعى از نفوذ اين شركت عقلاييّه نيست؛ چنانچه مى تواند با استيجار نمودن صاحب دابه عامل را يا به عكس، معامله را با اجرت مسمات به صورت اجاره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جهالتى در اجرت عمل يا دابه باشد، مى توانند به صورت مصالحه، اخذِ نتيجه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مالكيّت خصوص سقّاى آب را با غير آن، در مقدار اجرت عمل و محسوبيّت در نسبت آن با حاصل، ملحوظ در شركت است، نه در صحّت اصل معامله به يكى از دو نحو مذكور</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598107_1067777946"/>
      <w:bookmarkStart w:id="916" w:name="_Toc374"/>
      <w:bookmarkEnd w:id="915"/>
      <w:r>
        <w:rPr>
          <w:rtl w:val="true"/>
        </w:rPr>
        <w:t>اگر شركت فقط در عين آب بود</w:t>
      </w:r>
      <w:bookmarkEnd w:id="9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فرضاً شركت در مجموعِ عمل و عين، صحيح يا مقصود نبود، و فقط اشتراك در عين آبى باشد كه به حيازت براى همه، مملوك همه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كه با اين نيّت، اثر حيازت مالكيّت مقصودين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به نسبت اجرت المثل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دابه و </w:t>
      </w:r>
      <w:bookmarkStart w:id="917" w:name="pg10256_89483"/>
    </w:p>
    <w:p>
      <w:pPr>
        <w:pStyle w:val="BookText"/>
        <w:rPr/>
      </w:pPr>
      <w:bookmarkEnd w:id="917"/>
      <w:r>
        <w:rPr>
          <w:rFonts w:ascii="Amiri" w:hAnsi="Amiri" w:eastAsia="Amiri" w:cs="Amiri"/>
          <w:color w:val="111111"/>
          <w:sz w:val="28"/>
          <w:sz w:val="28"/>
          <w:szCs w:val="28"/>
          <w:rtl w:val="true"/>
          <w:lang w:bidi="ar-SA"/>
        </w:rPr>
        <w:t xml:space="preserve">مشك در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آب و ثمن آن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تقديرى كه مالك آبْ حايز بالمباشره است يا به جهت عدم نيّت خلاف يا عدم تاثير نيّت خلاف، بر او است اجرت المثل دابه و مشك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هر تقدير مى تواند هر يك از صاحب عمل و دابه و مشك، ديگران را به طرفيّت اجارۀ صحيحه، ايقاع عقد و اخذ نتيجه نمايد؛ و بر او است اجرت مسمّات در مدت مقرّره براى آن دو؛ و در اين صورتْ شركتى نيست؛ و مى توانند دو نفر 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عمل را اجير نمايند با شركت دو نفر مذكور در حاصل، با شرطى در آب در صورت حاجت؛ و بر آنها است اجرت مسمات براى 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فرض كثرت شركا يا قلّت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صحّت شركت يا فساد آن، يا وقوع استيجار صحيح يا حكم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مهم در معرفت حكم شرعى ندارد</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598109_1067777946"/>
      <w:bookmarkStart w:id="919" w:name="_Toc375"/>
      <w:bookmarkEnd w:id="918"/>
      <w:r>
        <w:rPr>
          <w:rtl w:val="true"/>
        </w:rPr>
        <w:t>احكام وكالت در حيازت</w:t>
      </w:r>
      <w:bookmarkEnd w:id="9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قبول حيازت مباحات براى وكالت و اذن است، پس حيازت اجير براى موجر، مملّكِ موجر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اعتبار نيّت تملّك و اختصاص است در حيازت و تملك به آن سبب؛ و يد معتبره، امارۀ ملكيت و شروط آن است با احتمال؛ پس علم به قصد ذى اليد لازم نيست؛ و علم به عدم قصد تملّك در مملوك، و اختصاص در موارد حق اختصاص، موجب حمل بر اصل اباحه است</w:t>
      </w:r>
      <w:r>
        <w:rPr>
          <w:rFonts w:eastAsia="IRNazanin" w:cs="IRNazanin"/>
          <w:color w:val="111111"/>
          <w:sz w:val="28"/>
          <w:szCs w:val="28"/>
          <w:rtl w:val="true"/>
          <w:lang w:bidi="fa-IR"/>
        </w:rPr>
        <w:t>.</w:t>
      </w:r>
    </w:p>
    <w:p>
      <w:pPr>
        <w:pStyle w:val="Heading4"/>
        <w:numPr>
          <w:ilvl w:val="3"/>
          <w:numId w:val="1"/>
        </w:numPr>
        <w:rPr/>
      </w:pPr>
      <w:bookmarkStart w:id="920" w:name="__RefHeading___Toc3598111_1067777946"/>
      <w:bookmarkStart w:id="921" w:name="_Toc376"/>
      <w:bookmarkEnd w:id="920"/>
      <w:r>
        <w:rPr>
          <w:rtl w:val="true"/>
        </w:rPr>
        <w:t>جواز اختصاص عامل به سود بيشتر در مال مشترك به تنصيف</w:t>
      </w:r>
      <w:bookmarkEnd w:id="9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مالى از ملك دو نفر به تنصيف، در دست يكى از آنها بود كه مأذون از شريك در تجارت باشد، بر اينكه ربحْ مشتركٌ فيه باشد و ربع آن مال آمر و سه ربع مال عامل باشد، صحيح است بنا بر اقرب، به عنوان شركت اصطلاحيّه اگر چه عمل از دو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مى شود به عنوان مضاربۀ مقصوده در صورت مساعد بودن مال،</w:t>
      </w:r>
      <w:bookmarkStart w:id="922" w:name="pg10256_89484"/>
    </w:p>
    <w:p>
      <w:pPr>
        <w:pStyle w:val="BookText"/>
        <w:rPr/>
      </w:pPr>
      <w:bookmarkEnd w:id="922"/>
      <w:r>
        <w:rPr>
          <w:rFonts w:ascii="Amiri" w:hAnsi="Amiri" w:eastAsia="Amiri" w:cs="Amiri"/>
          <w:color w:val="111111"/>
          <w:sz w:val="28"/>
          <w:sz w:val="28"/>
          <w:szCs w:val="28"/>
          <w:rtl w:val="true"/>
          <w:lang w:bidi="ar-SA"/>
        </w:rPr>
        <w:t>كانّه مدفوعْ نصف مال است براى آنكه ربعِ ربحِ مجموع، مال عامل باشد، و اللّٰه العالم</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3598113_1067777946"/>
      <w:bookmarkStart w:id="924" w:name="_Toc377"/>
      <w:bookmarkEnd w:id="923"/>
      <w:r>
        <w:rPr>
          <w:rtl w:val="true"/>
        </w:rPr>
        <w:t>موارد تقديم قول خريدار يا شريك</w:t>
      </w:r>
      <w:bookmarkEnd w:id="9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شريكْ متاعى را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ادّعا نمود كه براى هر دو شريك خريده است و خريدار منكر شد، قول خريدار با يمين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ادّعاى خريد براى هر دو كرد و شريك منكر شود، ايضاً قول خريدار در نيّت خودش به شراءْ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نزاع در تصريح در ضمن عقد بود، قول خريدار در فعل خودش با يمين او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ادّعاى شريكْ خريدِ براى شركت را، يدْ موافق ادّعاى خريدارْ اختصاص ثمن را به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ادّعاى قسمت كرد و خلوص ملكيت را، با اعتراف به شركت سابقه،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قولِ منكرِ قسمت است تا بيّنه بر قسمتْ اقامه شود؛ و اين در صورت تساوى شريكين در يد و مالكيّت به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 اختصاص يد به يكى از دو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واسطۀ وقوع نزاع در كيفيّت استيلاء به نحو اختصاص يا امانتى، در نصف مال است؛ و مقتضاى استصحابْ عدم انقلاب يد است از وصف ائتمان سابق؛ پس منافات ندارد با كاشفيت يد از مالكيّت و از اختصاص راجع به مالكيّت نصف ثانى ايضاً، در مقابل اشاعه و مالكيّت ديگرى، نه در مقابل زوال مالكيّت ديگرى نصف را</w:t>
      </w:r>
      <w:r>
        <w:rPr>
          <w:rFonts w:eastAsia="IRNazanin" w:cs="IRNazanin"/>
          <w:color w:val="111111"/>
          <w:sz w:val="28"/>
          <w:szCs w:val="28"/>
          <w:rtl w:val="true"/>
          <w:lang w:bidi="fa-IR"/>
        </w:rPr>
        <w:t>.</w:t>
      </w:r>
    </w:p>
    <w:p>
      <w:pPr>
        <w:pStyle w:val="Heading4"/>
        <w:numPr>
          <w:ilvl w:val="3"/>
          <w:numId w:val="1"/>
        </w:numPr>
        <w:rPr/>
      </w:pPr>
      <w:bookmarkStart w:id="925" w:name="__RefHeading___Toc3598115_1067777946"/>
      <w:bookmarkStart w:id="926" w:name="_Toc378"/>
      <w:bookmarkEnd w:id="925"/>
      <w:r>
        <w:rPr>
          <w:rtl w:val="true"/>
        </w:rPr>
        <w:t>فروض اختلاف در قبض ثمن توسط مشترى</w:t>
      </w:r>
      <w:bookmarkEnd w:id="9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از دو شريكْ متاعى را از هر دو بيع كرد با وكالت در معامله و قبض ثمن، پس مشترى ادّعاى تسليم ثمن به او كرد و شريك تصديق كرد مشترى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شريكِ معترف برىء مى شود به سبب اقرار؛ و از حق شريكِ متخاصم هم</w:t>
      </w:r>
    </w:p>
    <w:p>
      <w:pPr>
        <w:pStyle w:val="BookText"/>
        <w:rPr/>
      </w:pPr>
      <w:r>
        <w:rPr>
          <w:rFonts w:ascii="Amiri" w:hAnsi="Amiri" w:eastAsia="Amiri" w:cs="Amiri"/>
          <w:color w:val="111111"/>
          <w:sz w:val="28"/>
          <w:sz w:val="28"/>
          <w:szCs w:val="28"/>
          <w:rtl w:val="true"/>
          <w:lang w:bidi="ar-SA"/>
        </w:rPr>
        <w:t>برىء مى شود با بيّنه بر تسليم كه يك جزء آنْ شريك معترف است به سبب بيّنه در جزء تحليلى شهادت، در صورت تقدم اين خصومت بر خصومت بين دو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مشترى بيّنۀ تامّه نداشت، بايع ايقاع حلف مى نمايد و نصيب خود را مى گيرد از مشترى؛ و اگر نكول نمود از حلف، رد يمين به مشترى مى شود و با حلف او، حق مطالبه از او زايل است؛ چنانچه اگر نكول نمود، نصيب بايع، از او مأخوذ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مشترى اقامۀ بيّنه تامّه بر اقباضِ جميع ثمن كرد، مى تواند اذن دهنده در قبض ثمن، مطالبۀ حق خود را از شريك خودش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سبب شاهد و يمين يا به سبب يمين مردوده اقباضْ ثابت شد، آيا مى تواند مطالبه حق خودش را نمايد از بايع، يا آنكه سببِ زوال مطالبۀ بايع است از مشترى‌؟</w:t>
      </w:r>
    </w:p>
    <w:p>
      <w:pPr>
        <w:pStyle w:val="BookText"/>
        <w:rPr/>
      </w:pPr>
      <w:r>
        <w:rPr>
          <w:rFonts w:ascii="IRNazanin" w:hAnsi="IRNazanin" w:eastAsia="IRNazanin"/>
          <w:color w:val="111111"/>
          <w:sz w:val="28"/>
          <w:sz w:val="28"/>
          <w:szCs w:val="28"/>
          <w:rtl w:val="true"/>
          <w:lang w:bidi="fa-IR"/>
        </w:rPr>
        <w:t>و مى تواند شريك، احلافِ بايع نمايد بر عدم قبض نصيب شريك؛ پس اگر ايقاع حلف كرد، مطالبه از او ساقط است؛ و اگر نكول كرد، شريك ايقاع حلف مى نمايد به يمين مردوده و حق خود را از بايع مى گيرد، و بايع حق رجوع بر مشترى ندارد، كه از ناحيه او به ظلم در اعتقاد بايع مستخلص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مقدّم، خصومت با شريك بود و منتهى به اخذ حق به يمين شريك يا عدم آن به يمين بايع شد، پس در خصومت ثانيه، جرّ نفعى به سوى شريك در شهادت بر عليه بايع نيست، چه در خصومت اوّلى محكوم يا محكوم له بوده باشد، و قبول شهادت او بى وجه نيست؛ به خلاف مشترى كه مدّعى اقباض است در خصومت آتيه؛ و منافات آن با شهادت بر بايع در خصومت فعليّه، واضح نيست مگر به سبب جرّ نفع به سبب شهادت در خصومت سابقه براى امكان انتفاع در خصومت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ترتيب متقدّم، نكول در يك خصومت با حلف در خصومت ديگر از شخص واحد در امر واحد منافات ندارد، و به حكم حالف يا ناكل در شخص آن خصومت محكوم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ادّعا كرد مشترى تسليم ثمن را به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اذن دهنده بايع بوده </w:t>
      </w:r>
      <w:r>
        <w:rPr>
          <w:rFonts w:eastAsia="IRNazanin" w:cs="IRNazanin"/>
          <w:color w:val="111111"/>
          <w:sz w:val="28"/>
          <w:szCs w:val="28"/>
          <w:rtl w:val="true"/>
          <w:lang w:bidi="fa-IR"/>
        </w:rPr>
        <w:t xml:space="preserve">- </w:t>
      </w:r>
      <w:bookmarkStart w:id="927" w:name="pg10256_89486"/>
    </w:p>
    <w:p>
      <w:pPr>
        <w:pStyle w:val="BookText"/>
        <w:rPr/>
      </w:pPr>
      <w:bookmarkEnd w:id="927"/>
      <w:r>
        <w:rPr>
          <w:rFonts w:ascii="IRNazanin" w:hAnsi="IRNazanin" w:eastAsia="IRNazanin"/>
          <w:color w:val="111111"/>
          <w:sz w:val="28"/>
          <w:sz w:val="28"/>
          <w:szCs w:val="28"/>
          <w:rtl w:val="true"/>
          <w:lang w:bidi="fa-IR"/>
        </w:rPr>
        <w:t>و بايع تصديق كرد مشترى را، مشترى، برىء مى شود از بايع در صورت اذن به شريك، به سبب اقرار؛ و چنانچه بيّنه اى باشد كه بايع جزء آن ممكن است بشود، از حق شريك هم برىء مى شود به سبب بيّنه</w:t>
      </w:r>
      <w:r>
        <w:rPr>
          <w:rFonts w:eastAsia="IRNazanin" w:cs="IRNazanin"/>
          <w:color w:val="111111"/>
          <w:sz w:val="28"/>
          <w:szCs w:val="28"/>
          <w:rtl w:val="true"/>
          <w:lang w:bidi="fa-IR"/>
        </w:rPr>
        <w:t>.</w:t>
      </w:r>
    </w:p>
    <w:p>
      <w:pPr>
        <w:pStyle w:val="Heading4"/>
        <w:numPr>
          <w:ilvl w:val="3"/>
          <w:numId w:val="1"/>
        </w:numPr>
        <w:rPr/>
      </w:pPr>
      <w:bookmarkStart w:id="928" w:name="__RefHeading___Toc3598117_1067777946"/>
      <w:bookmarkStart w:id="929" w:name="_Toc379"/>
      <w:bookmarkEnd w:id="928"/>
      <w:r>
        <w:rPr>
          <w:rtl w:val="true"/>
        </w:rPr>
        <w:t>اگر شريك مأذون از بايع نباشد</w:t>
      </w:r>
      <w:bookmarkEnd w:id="929"/>
    </w:p>
    <w:p>
      <w:pPr>
        <w:pStyle w:val="BookText"/>
        <w:rPr/>
      </w:pPr>
      <w:r>
        <w:rPr>
          <w:rFonts w:ascii="IRNazanin" w:hAnsi="IRNazanin" w:eastAsia="IRNazanin"/>
          <w:color w:val="111111"/>
          <w:sz w:val="28"/>
          <w:sz w:val="28"/>
          <w:szCs w:val="28"/>
          <w:rtl w:val="true"/>
          <w:lang w:bidi="fa-IR"/>
        </w:rPr>
        <w:t xml:space="preserve">و اگر شريكْ مأذون از بايع نباشد برىء از حق بايع نمى شود، و لكن از حق شريك در صورت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بايع جزء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برىء مى شود بنابر آنچه گذشت، مگر آنكه متهم باشد به اراده اختصاص به مأخوذ از مشترى، در صورت عدم اذن به شريك، كه اگر بيّنه تمام نشود، مأخوذ مشترك بين دو شريك مى شد؛ و اين تهمت در صورت آذن بودن بايع شريك را مفقود است؛ چنانچه تهمت در فرع سابق در صورت آذن بودن شريك بايع را مفقود بوده در شهادت خصومت لاحقۀ ثانيه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خصومت با شريك، سابقه باشد، پس شهادت بايع بر شريك براى مشترى، بى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تهمت مندفع باشد به مثلِ ابراى بايع مشترى را، كه محلى براى خصومت بايع و مشترى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يمين متوجه است بر شريك در خصومت با شريك به عدم قبض خود از او، در صورت عدم بيّنه براى مشترى بر اقباض؛ چنانچه در خصومت با شريكِ بايع، متوجه است به عدم موجب اشتراك در مأخوذ، چون به عنوان بايعْ مأخوذ شده بوده و فرض بكنيم تماميّت اين تسليم را، پس ايقاع حلف مى نمايد بر عدم اخذ حق خودش از مشترى و عدم تماميّت اخذ بايع نصيب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نزاع در اخذ بايع باشد در صورتى كه اگر اخذ كرده بود مشترك مى شدند دو شريك در آن، حلف بر بايع است نه بر مشترى؛ و اگر از بايع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مشترى نمى نمايد</w:t>
      </w:r>
      <w:r>
        <w:rPr>
          <w:rFonts w:eastAsia="IRNazanin" w:cs="IRNazanin"/>
          <w:color w:val="111111"/>
          <w:sz w:val="28"/>
          <w:szCs w:val="28"/>
          <w:rtl w:val="true"/>
          <w:lang w:bidi="fa-IR"/>
        </w:rPr>
        <w:t>.</w:t>
      </w:r>
    </w:p>
    <w:p>
      <w:pPr>
        <w:pStyle w:val="Heading4"/>
        <w:numPr>
          <w:ilvl w:val="3"/>
          <w:numId w:val="1"/>
        </w:numPr>
        <w:rPr/>
      </w:pPr>
      <w:bookmarkStart w:id="930" w:name="__RefHeading___Toc3598119_1067777946"/>
      <w:bookmarkStart w:id="931" w:name="_Toc380"/>
      <w:bookmarkEnd w:id="930"/>
      <w:r>
        <w:rPr>
          <w:rtl w:val="true"/>
        </w:rPr>
        <w:t>صحّت بيع دو شيء مختلف القيمه به ثمن واحد</w:t>
      </w:r>
      <w:bookmarkEnd w:id="9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عبدى باشند متفاوت القيمه و هر كدام از شخصى،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bookmarkStart w:id="932" w:name="pg10256_89487"/>
    </w:p>
    <w:p>
      <w:pPr>
        <w:pStyle w:val="BookText"/>
        <w:rPr/>
      </w:pPr>
      <w:bookmarkEnd w:id="9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 به ثمنِ واحدِ معلوم فروختند، بيع صحيح است و ثمن مشترك مى شود بين دو مالك بنسبت قيمت مملوك او از مجموع ثمن؛ و جهالت به ثمن مبيع به بيع انشايى، منتفى است؛ بلكه جهالت به ثمن مبيع به بيع تحليلى هم منتفى است؛ و ثمن همان است كه نسبت آن به آنچه ثمن مجموع مى شود مثلاً، اين است؛ و با تساوى قيمتِ دو عبد، اشكال جهالت ثمن بى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نفر در دو عبد مشترك بودند، مشترك در ثمن مى شود به نسبت اشتراك در 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اگر دو نفر اجاره بدهند خودشان را به يك اجرت مسمات، با تفاوت اجرت المثل براى عمل، هركدام شريك در اجرت مسمات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اجرت هركدام با اجرت مجموع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Heading4"/>
        <w:numPr>
          <w:ilvl w:val="3"/>
          <w:numId w:val="1"/>
        </w:numPr>
        <w:rPr/>
      </w:pPr>
      <w:bookmarkStart w:id="933" w:name="__RefHeading___Toc3598121_1067777946"/>
      <w:bookmarkStart w:id="934" w:name="_Toc381"/>
      <w:bookmarkEnd w:id="933"/>
      <w:r>
        <w:rPr>
          <w:rtl w:val="true"/>
        </w:rPr>
        <w:t>بطلان شركت در ابدان و صحّت اجارۀ آن</w:t>
      </w:r>
      <w:bookmarkEnd w:id="93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اگر عقد شركت اعمال كردند به اين عنوان صحّت ندارد؛ پس اگر اجاره دادند خود را به اجرتى بعد از شركت، عنوانِ شركت كالعدم است و اجاره به عنوان خودش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اجرتى اجاره دادند دو نفر خودشان را و تسميۀ اجرتْ براى عملِ مجموع نمودند، نه براى بعض خاص، ملاحظۀ نسبت اجرة المثلِ عملِ يكى با اجرت المثل عملِ مجموع مى شود و به همان نسبت از اجرت مسمات بعد از توزيع، اخذ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تسميه نشد و اجاره صحيحه نبود، هركدام مستحق اجرت المثل واقعى عمل خودش است كانّه ديگرى نبوده است در آنجايى كه عملْ ارتباطى نيست؛ پس اجارۀ صحيحه و غير مفترق، در ملاحظه نسبت با مسمات در اولى مى شود، نه در دومى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صلح، پس مورد آن، صورت عدم تميز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مساوات نه معلوم و نه مقتضاى اصل باشد، و تفاوتْ محتمل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bookmarkStart w:id="935" w:name="pg10256_89488"/>
    </w:p>
    <w:p>
      <w:pPr>
        <w:pStyle w:val="BookText"/>
        <w:rPr/>
      </w:pPr>
      <w:bookmarkEnd w:id="935"/>
      <w:r>
        <w:rPr>
          <w:rFonts w:ascii="Amiri" w:hAnsi="Amiri" w:eastAsia="Amiri" w:cs="Amiri"/>
          <w:color w:val="111111"/>
          <w:sz w:val="28"/>
          <w:sz w:val="28"/>
          <w:szCs w:val="28"/>
          <w:rtl w:val="true"/>
          <w:lang w:bidi="ar-SA"/>
        </w:rPr>
        <w:t>زيادتى محتمله در كدام طرف است، غير معلوم باشد، كه صلح مى نمايند در صورت عدم امكان مراجعه به اهل خبره و معرفت راجح يا مساوى، يا عدم اراده مراجعه و اراده ضم عمل به صلح از طرفين، يا آنكه حاكم صلح مى نمايد</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3598123_1067777946"/>
      <w:bookmarkStart w:id="937" w:name="_Toc382"/>
      <w:bookmarkEnd w:id="936"/>
      <w:r>
        <w:rPr>
          <w:rtl w:val="true"/>
        </w:rPr>
        <w:t>حكم شركت در ما فى الذّمة</w:t>
      </w:r>
      <w:bookmarkEnd w:id="9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سببى شريك شدند در ما فى الذمۀ شخصى، پس ايصال كرد به بعض شركا مقدار نصيب او را، پس اگر به عنوان مال الشركه، اعطا و اخذ بود، پس واصلْ براى همه و تالفْ از همه است، و واصلْ مختص به قابض نمى شود، چه مأذون از شريك بوده يا نه؛ و اگر مأذون از شريك نباشد، شريك مخيّر است بين رجوع به حق خودش به قابض در نصفِ مقبوض، و به غريم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عنوان نصيب خاص قابض، اعطا و اخذ بوده، پس محمول بر صلح معاطاتى و مماثل و اعطاءِ مسبوق به صلح لفظى است و مخصوص به قابض است و براى شريك در آن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متعلق اذن شريك، قبض مشترك باشد، يا قبض خاص قابض باشد به تخيل صحّت قسمت، پس عبرت به قصد دافع و قابض است در آنچه ذكر شد، و اجازۀ شريك، قبضِ سابق و كيفيّت آن را، به منزلۀ اذن سابق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مشكوك حمل بر اوّل است كانّه تغييرى در ما فى الذمه نشده است مگر به خارجيّت بعضى و فى الجمله؛ و با امارات شخصيۀ معتبرۀ مفيدۀ علم و نحو آن ممكن است تعيين يكى از دو قسم بشود</w:t>
      </w:r>
      <w:r>
        <w:rPr>
          <w:rFonts w:eastAsia="IRNazanin" w:cs="IRNazanin"/>
          <w:color w:val="111111"/>
          <w:sz w:val="28"/>
          <w:szCs w:val="28"/>
          <w:rtl w:val="true"/>
          <w:lang w:bidi="fa-IR"/>
        </w:rPr>
        <w:t>.</w:t>
      </w:r>
    </w:p>
    <w:p>
      <w:pPr>
        <w:pStyle w:val="Heading4"/>
        <w:numPr>
          <w:ilvl w:val="3"/>
          <w:numId w:val="1"/>
        </w:numPr>
        <w:rPr/>
      </w:pPr>
      <w:bookmarkStart w:id="938" w:name="__RefHeading___Toc3598125_1067777946"/>
      <w:bookmarkStart w:id="939" w:name="_Toc383"/>
      <w:bookmarkEnd w:id="938"/>
      <w:r>
        <w:rPr>
          <w:rtl w:val="true"/>
        </w:rPr>
        <w:t>صحّت مالكيّت با حيازت اجير به نيّت مستأجر</w:t>
      </w:r>
      <w:bookmarkEnd w:id="93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استيجار كرد شخصى را براى احتطاب و احتشاش يا اصطياد در مدت معينه به اجرت معينه، اجاره صحيح است و مستأجرْ مالك مى شود آنچه را كه اجير حيازت در مدت معينه مى نمايد بنابر اظهر از صحّت نيابت و توكيل در حيازت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نيّت نفس، حيازت نمايد محتمل است از ترك عمل به مستأجرٌ عليه </w:t>
      </w:r>
    </w:p>
    <w:p>
      <w:pPr>
        <w:pStyle w:val="BookText"/>
        <w:rPr/>
      </w:pPr>
      <w:r>
        <w:rPr>
          <w:rFonts w:ascii="IRNazanin" w:hAnsi="IRNazanin" w:eastAsia="IRNazanin"/>
          <w:color w:val="111111"/>
          <w:sz w:val="28"/>
          <w:sz w:val="28"/>
          <w:szCs w:val="28"/>
          <w:rtl w:val="true"/>
          <w:lang w:bidi="fa-IR"/>
        </w:rPr>
        <w:t>باشد و رجوع به بدل عمل در مدت بشود، و ممكن است لغويت نيّت؛ و مملوكيت مال به تبعيت مملوكيت عمل در مدت اولى، خالى از رجحان نيست؛ و اگر عمل مستأجَر، صيد خاص باشد، اجاره باطل است در صورت غرريّت و عدم وثوق به تحقّق مستأجر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 الصلاة على سيد انبيائه و آله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10256_89491"/>
      <w:bookmarkStart w:id="941" w:name="pg10256_89491"/>
      <w:bookmarkEnd w:id="941"/>
    </w:p>
    <w:p>
      <w:pPr>
        <w:pStyle w:val="Heading2"/>
        <w:numPr>
          <w:ilvl w:val="1"/>
          <w:numId w:val="1"/>
        </w:numPr>
        <w:rPr/>
      </w:pPr>
      <w:bookmarkStart w:id="942" w:name="pg10256_89491"/>
      <w:bookmarkStart w:id="943" w:name="__RefHeading___Toc3598127_1067777946"/>
      <w:bookmarkStart w:id="944" w:name="_Toc384"/>
      <w:bookmarkEnd w:id="942"/>
      <w:bookmarkEnd w:id="943"/>
      <w:r>
        <w:rPr>
          <w:rtl w:val="true"/>
        </w:rPr>
        <w:t>كتاب مضاربه</w:t>
      </w:r>
      <w:bookmarkEnd w:id="944"/>
    </w:p>
    <w:p>
      <w:pPr>
        <w:pStyle w:val="Heading3"/>
        <w:numPr>
          <w:ilvl w:val="2"/>
          <w:numId w:val="1"/>
        </w:numPr>
        <w:rPr/>
      </w:pPr>
      <w:bookmarkStart w:id="945" w:name="__RefHeading___Toc3598129_1067777946"/>
      <w:bookmarkStart w:id="946" w:name="_Toc385"/>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عقد مضاربه و شرايط آن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تعميم مال القراض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7" w:name="pg10256_89493"/>
      <w:bookmarkStart w:id="948" w:name="pg10256_89493"/>
      <w:bookmarkEnd w:id="948"/>
    </w:p>
    <w:p>
      <w:pPr>
        <w:pStyle w:val="Heading3"/>
        <w:numPr>
          <w:ilvl w:val="2"/>
          <w:numId w:val="1"/>
        </w:numPr>
        <w:rPr/>
      </w:pPr>
      <w:bookmarkStart w:id="949" w:name="pg10256_89493"/>
      <w:bookmarkStart w:id="950" w:name="__RefHeading___Toc3598131_1067777946"/>
      <w:bookmarkStart w:id="951" w:name="_Toc386"/>
      <w:bookmarkEnd w:id="949"/>
      <w:bookmarkEnd w:id="950"/>
      <w:r>
        <w:rPr>
          <w:rtl w:val="true"/>
        </w:rPr>
        <w:t>فصل اوّل عقد مضاربه و شرايط آن</w:t>
      </w:r>
      <w:bookmarkEnd w:id="951"/>
    </w:p>
    <w:p>
      <w:pPr>
        <w:pStyle w:val="Heading4"/>
        <w:numPr>
          <w:ilvl w:val="3"/>
          <w:numId w:val="1"/>
        </w:numPr>
        <w:rPr/>
      </w:pPr>
      <w:bookmarkStart w:id="952" w:name="__RefHeading___Toc3598133_1067777946"/>
      <w:bookmarkStart w:id="953" w:name="_Toc387"/>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فصل اوّل عقد مضاربه و شرايط آن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أنبيائه و على آله سادة الأوصياء الطاهرين</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3598135_1067777946"/>
      <w:bookmarkStart w:id="955" w:name="_Toc388"/>
      <w:bookmarkEnd w:id="954"/>
      <w:r>
        <w:rPr>
          <w:rtl w:val="true"/>
        </w:rPr>
        <w:t>مراد از مضاربه و فرق آن با قرض و بضاعت</w:t>
      </w:r>
      <w:bookmarkEnd w:id="9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خاصّى بين دو نفر به اين قرار كه سرمايه از يكىِ معيّن و عمل از ديگرى باشد و ربح بين آن دو به نسبت معلومه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مترتب مى شود بر آن، دفع مال براى تجارت و تكسب، در مقابل حصّه اى از ربح آن براى عامل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به حسب قرار، ربح بين مالك و عامل به حسب نسبت معلومه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مضاربۀ عقديه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همۀ ربح به حسب قصد و قرار، براى عامل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 قصد آن؛ و اگر همه براى مالك بود به حسب قرار،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شرطى غير از دفع براى عمل نباشد، محمول بر بضاعت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عامل مستحق اجرت المثلِ عمل است اگر اذن در عمل، فعلى و مطلق باشد و مبنى بر مجانيّت و تبرّع نباشد</w:t>
      </w:r>
      <w:r>
        <w:rPr>
          <w:rFonts w:eastAsia="IRNazanin" w:cs="IRNazanin"/>
          <w:color w:val="111111"/>
          <w:sz w:val="28"/>
          <w:szCs w:val="28"/>
          <w:rtl w:val="true"/>
          <w:lang w:bidi="fa-IR"/>
        </w:rPr>
        <w:t xml:space="preserve">. </w:t>
      </w:r>
      <w:bookmarkStart w:id="956" w:name="pg10256_89494"/>
    </w:p>
    <w:p>
      <w:pPr>
        <w:pStyle w:val="BookText"/>
        <w:rPr/>
      </w:pPr>
      <w:bookmarkEnd w:id="956"/>
      <w:r>
        <w:rPr>
          <w:rFonts w:ascii="Amiri" w:hAnsi="Amiri" w:eastAsia="Amiri" w:cs="Amiri"/>
          <w:color w:val="111111"/>
          <w:sz w:val="28"/>
          <w:sz w:val="28"/>
          <w:szCs w:val="28"/>
          <w:rtl w:val="true"/>
          <w:lang w:bidi="ar-SA"/>
        </w:rPr>
        <w:t>و مضاربه، محل اجتماع يا تبادل احكام متعدده است؛ زيرا عامل با صحّت عقد مضاربه و عدم ظهور ربح وَدَعىّ امين است؛ و با ظهور ربح، شريك است در ربح، و در تصرفات، وكيل است، و با تعدّى، غاصب است، و با فساد عقد اجير است</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3598137_1067777946"/>
      <w:bookmarkStart w:id="958" w:name="_Toc389"/>
      <w:bookmarkEnd w:id="957"/>
      <w:r>
        <w:rPr>
          <w:rtl w:val="true"/>
        </w:rPr>
        <w:t>صيغۀ مضاربه</w:t>
      </w:r>
      <w:bookmarkEnd w:id="958"/>
    </w:p>
    <w:p>
      <w:pPr>
        <w:pStyle w:val="BookText"/>
        <w:rPr/>
      </w:pPr>
      <w:r>
        <w:rPr>
          <w:rFonts w:ascii="IRNazanin" w:hAnsi="IRNazanin" w:eastAsia="IRNazanin"/>
          <w:color w:val="111111"/>
          <w:sz w:val="28"/>
          <w:sz w:val="28"/>
          <w:szCs w:val="28"/>
          <w:rtl w:val="true"/>
          <w:lang w:bidi="fa-IR"/>
        </w:rPr>
        <w:t>و اشكالى نيست در عقد مضاربه اى كه جامع شروط و فاقد موانع باشد، در عقد لفظى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كافى است در عقد لفظى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قارضتك هذا المال على هذا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مفيد اين مفاد باشد در ايجاب و آنچه مفيد قبول اين است در قبول</w:t>
      </w:r>
      <w:r>
        <w:rPr>
          <w:rFonts w:eastAsia="IRNazanin" w:cs="IRNazanin"/>
          <w:color w:val="111111"/>
          <w:sz w:val="28"/>
          <w:szCs w:val="28"/>
          <w:rtl w:val="true"/>
          <w:lang w:bidi="fa-IR"/>
        </w:rPr>
        <w:t>.</w:t>
      </w:r>
    </w:p>
    <w:p>
      <w:pPr>
        <w:pStyle w:val="Heading4"/>
        <w:numPr>
          <w:ilvl w:val="3"/>
          <w:numId w:val="1"/>
        </w:numPr>
        <w:rPr/>
      </w:pPr>
      <w:bookmarkStart w:id="959" w:name="__RefHeading___Toc3598139_1067777946"/>
      <w:bookmarkStart w:id="960" w:name="_Toc390"/>
      <w:bookmarkEnd w:id="959"/>
      <w:r>
        <w:rPr>
          <w:rtl w:val="true"/>
        </w:rPr>
        <w:t>جريان معاطات در مضاربه</w:t>
      </w:r>
      <w:bookmarkEnd w:id="960"/>
    </w:p>
    <w:p>
      <w:pPr>
        <w:pStyle w:val="BookText"/>
        <w:rPr/>
      </w:pPr>
      <w:r>
        <w:rPr>
          <w:rFonts w:ascii="IRNazanin" w:hAnsi="IRNazanin" w:eastAsia="IRNazanin"/>
          <w:color w:val="111111"/>
          <w:sz w:val="28"/>
          <w:sz w:val="28"/>
          <w:szCs w:val="28"/>
          <w:rtl w:val="true"/>
          <w:lang w:bidi="fa-IR"/>
        </w:rPr>
        <w:t>و اقرب جريان معاطات در انعقاد مضاربه است؛ پس حاصل مى شود به ايجاب و قبول فعليين، مثل لفظيين، و به مختلفين؛ بلى بايد در دلالت بر مقصود، مثل لفظ ظهور فعلى داشته باشد</w:t>
      </w:r>
      <w:r>
        <w:rPr>
          <w:rFonts w:eastAsia="IRNazanin" w:cs="IRNazanin"/>
          <w:color w:val="111111"/>
          <w:sz w:val="28"/>
          <w:szCs w:val="28"/>
          <w:rtl w:val="true"/>
          <w:lang w:bidi="fa-IR"/>
        </w:rPr>
        <w:t>.</w:t>
      </w:r>
    </w:p>
    <w:p>
      <w:pPr>
        <w:pStyle w:val="Heading4"/>
        <w:numPr>
          <w:ilvl w:val="3"/>
          <w:numId w:val="1"/>
        </w:numPr>
        <w:rPr/>
      </w:pPr>
      <w:bookmarkStart w:id="961" w:name="__RefHeading___Toc3598141_1067777946"/>
      <w:bookmarkStart w:id="962" w:name="_Toc391"/>
      <w:bookmarkEnd w:id="961"/>
      <w:r>
        <w:rPr>
          <w:rtl w:val="true"/>
        </w:rPr>
        <w:t>اعتبار هر چه در وحدت فعليّۀ معامله معتبر است</w:t>
      </w:r>
      <w:bookmarkEnd w:id="962"/>
    </w:p>
    <w:p>
      <w:pPr>
        <w:pStyle w:val="BookText"/>
        <w:rPr/>
      </w:pPr>
      <w:r>
        <w:rPr>
          <w:rFonts w:ascii="IRNazanin" w:hAnsi="IRNazanin" w:eastAsia="IRNazanin"/>
          <w:color w:val="111111"/>
          <w:sz w:val="28"/>
          <w:sz w:val="28"/>
          <w:szCs w:val="28"/>
          <w:rtl w:val="true"/>
          <w:lang w:bidi="fa-IR"/>
        </w:rPr>
        <w:t xml:space="preserve">و آنچه در وحدت فعليۀ عرفيّۀ قرار معاملۀ فعليّه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تواصل بين ايجاب و قبول به هر كاشف ظاهرى باشد و تنجيز قرار معاملى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معتبر است به نحوى كه بعد از تمام و انجام، خاطر جمع از وقوع اختلاف و تنازع بوده باشند و از معاملۀ صحيحه فارغ شده باشند، نه آنكه مكتفى به جواز عقد از طرفين حتّى در لفظىِ آن باشند</w:t>
      </w:r>
      <w:r>
        <w:rPr>
          <w:rFonts w:eastAsia="IRNazanin" w:cs="IRNazanin"/>
          <w:color w:val="111111"/>
          <w:sz w:val="28"/>
          <w:szCs w:val="28"/>
          <w:rtl w:val="true"/>
          <w:lang w:bidi="fa-IR"/>
        </w:rPr>
        <w:t>.</w:t>
      </w:r>
    </w:p>
    <w:p>
      <w:pPr>
        <w:pStyle w:val="Heading4"/>
        <w:numPr>
          <w:ilvl w:val="3"/>
          <w:numId w:val="1"/>
        </w:numPr>
        <w:rPr/>
      </w:pPr>
      <w:bookmarkStart w:id="963" w:name="__RefHeading___Toc3598143_1067777946"/>
      <w:bookmarkStart w:id="964" w:name="_Toc392"/>
      <w:bookmarkEnd w:id="963"/>
      <w:r>
        <w:rPr>
          <w:rtl w:val="true"/>
        </w:rPr>
        <w:t>جايز بودن عقد مضاربه</w:t>
      </w:r>
      <w:bookmarkEnd w:id="9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مضاربه، همه اقسام از صحيح آن، جايز است از طرفين در همه حال و جايز است فسخ عقد براى هر يك از مالك و عامل، چه آنكه مال ناضّ باشد و به درهم و </w:t>
      </w:r>
      <w:bookmarkStart w:id="965" w:name="pg10256_89495"/>
    </w:p>
    <w:p>
      <w:pPr>
        <w:pStyle w:val="BookText"/>
        <w:rPr/>
      </w:pPr>
      <w:bookmarkEnd w:id="965"/>
      <w:r>
        <w:rPr>
          <w:rFonts w:ascii="IRNazanin" w:hAnsi="IRNazanin" w:eastAsia="IRNazanin"/>
          <w:color w:val="111111"/>
          <w:sz w:val="28"/>
          <w:sz w:val="28"/>
          <w:szCs w:val="28"/>
          <w:rtl w:val="true"/>
          <w:lang w:bidi="fa-IR"/>
        </w:rPr>
        <w:t>دينار تبديل شده باشد، يا آنكه در آن عرض و متاع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درهمه حال بعد از عمل و فسخْ قبل از ظهور ربح، مستحق اجرت المثل عمل است تا زمان فسخ، چه آنكه فاسخْ خودش باشد يا مالك</w:t>
      </w:r>
      <w:r>
        <w:rPr>
          <w:rFonts w:eastAsia="IRNazanin" w:cs="IRNazanin"/>
          <w:color w:val="111111"/>
          <w:sz w:val="28"/>
          <w:szCs w:val="28"/>
          <w:rtl w:val="true"/>
          <w:lang w:bidi="fa-IR"/>
        </w:rPr>
        <w:t>.</w:t>
      </w:r>
    </w:p>
    <w:p>
      <w:pPr>
        <w:pStyle w:val="Heading4"/>
        <w:numPr>
          <w:ilvl w:val="3"/>
          <w:numId w:val="1"/>
        </w:numPr>
        <w:rPr/>
      </w:pPr>
      <w:bookmarkStart w:id="966" w:name="__RefHeading___Toc3598145_1067777946"/>
      <w:bookmarkStart w:id="967" w:name="_Toc393"/>
      <w:bookmarkEnd w:id="966"/>
      <w:r>
        <w:rPr>
          <w:rtl w:val="true"/>
        </w:rPr>
        <w:t>بعضى از شروط ضمن عقد مضاربه و احكام آن</w:t>
      </w:r>
      <w:bookmarkEnd w:id="967"/>
    </w:p>
    <w:p>
      <w:pPr>
        <w:pStyle w:val="BookText"/>
        <w:rPr/>
      </w:pPr>
      <w:r>
        <w:rPr>
          <w:rFonts w:ascii="IRNazanin" w:hAnsi="IRNazanin" w:eastAsia="IRNazanin"/>
          <w:color w:val="111111"/>
          <w:sz w:val="28"/>
          <w:sz w:val="28"/>
          <w:szCs w:val="28"/>
          <w:rtl w:val="true"/>
          <w:lang w:bidi="fa-IR"/>
        </w:rPr>
        <w:t>اگر شرط اجل در عقد مضاربه شد، تبديل به لازم نمى شود تا اجل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صحّت عقد و شرط و احتياج ما بعد از اجل به تجديد اذن در تصرفات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كرد لازم بودن در ما قبل اجل را، باطل است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عقد، محتمل است در فرض، اگر چه اقرب صحّت اصل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شرط عدم نفوذ رجوع در عقد جايز، اگر چه شرط در ضمن عقد لازم ديگرى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شرط عدم حصّه از ربح براى عامل با فرض مضاربۀ حقيقيه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عدم رجوع و عدم فسخ نمايد و اختيار شود تأثير اشتراط در تكليف، دور نيست صحّت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شرط خسارت يا وضيعه يا مقدارى از آن را بر عامل، اظهر صحّت شرط است، اگر چه مقتضاى عدم اشتراط و اطلاق، عدم ضمان خسارت و عدم ثبوت وضيعه بر عامل است</w:t>
      </w:r>
      <w:r>
        <w:rPr>
          <w:rFonts w:eastAsia="IRNazanin" w:cs="IRNazanin"/>
          <w:color w:val="111111"/>
          <w:sz w:val="28"/>
          <w:szCs w:val="28"/>
          <w:rtl w:val="true"/>
          <w:lang w:bidi="fa-IR"/>
        </w:rPr>
        <w:t>.</w:t>
      </w:r>
    </w:p>
    <w:p>
      <w:pPr>
        <w:pStyle w:val="Heading4"/>
        <w:numPr>
          <w:ilvl w:val="3"/>
          <w:numId w:val="1"/>
        </w:numPr>
        <w:rPr/>
      </w:pPr>
      <w:bookmarkStart w:id="968" w:name="__RefHeading___Toc3598147_1067777946"/>
      <w:bookmarkStart w:id="969" w:name="_Toc394"/>
      <w:bookmarkEnd w:id="968"/>
      <w:r>
        <w:rPr>
          <w:rtl w:val="true"/>
        </w:rPr>
        <w:t>آنچه در عقد مضاربه معتبر است</w:t>
      </w:r>
      <w:bookmarkEnd w:id="969"/>
    </w:p>
    <w:p>
      <w:pPr>
        <w:pStyle w:val="BookText"/>
        <w:rPr/>
      </w:pPr>
      <w:r>
        <w:rPr>
          <w:rFonts w:ascii="Amiri" w:hAnsi="Amiri" w:eastAsia="Amiri" w:cs="Amiri"/>
          <w:color w:val="111111"/>
          <w:sz w:val="28"/>
          <w:sz w:val="28"/>
          <w:szCs w:val="28"/>
          <w:rtl w:val="true"/>
          <w:lang w:bidi="ar-SA"/>
        </w:rPr>
        <w:t xml:space="preserve">معتبر است در 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كمال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اكراه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رأس المال در مضاربه معتبر است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منفعت و نه دين، مگر آنكه بعد از تعيين و قبض آن انشاءِ عقد مضاربه بشود؛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مسكوكين؛ پس با غير مسكوك از اين دو جنس و با فلوس و عروض و امتعه، صحيح نيست به حسب اجماع منقول در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 </w:t>
      </w:r>
      <w:bookmarkStart w:id="970" w:name="pg10256_89496"/>
    </w:p>
    <w:p>
      <w:pPr>
        <w:pStyle w:val="BookText"/>
        <w:rPr/>
      </w:pPr>
      <w:bookmarkEnd w:id="970"/>
      <w:r>
        <w:rPr>
          <w:rFonts w:ascii="Amiri" w:hAnsi="Amiri" w:eastAsia="Amiri" w:cs="Amiri"/>
          <w:color w:val="111111"/>
          <w:sz w:val="28"/>
          <w:sz w:val="28"/>
          <w:szCs w:val="28"/>
          <w:rtl w:val="true"/>
          <w:lang w:bidi="ar-SA"/>
        </w:rPr>
        <w:t>انعقاد با آخرين حدّ رايجِ از اثمان در عرف متعاملين زماناً و مكاناً است؛ مثل اسكناس در اين ازمنه كه به جاى نقد مسكوك، ثمنِ رايج و داير است و تحديدِ اثمانْ به آن مى شود؛ و در مسيسِ حاجت و خاطر جمعى متعاملين و معلوميّت تحديد به آن، مثل نقد مسكوك، بلكه به جاى آن است و بدل آن است در اين ازمنه، نه آنكه معاملات عقلاييۀ سابقه منقطع شده و به اضطرار عمل به اين اثمان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مبهم؛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اين دو 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معلوم از اندازه طلاى يا نقره مسكوكين يا نازل منزلۀ آنها است، مگر در صورت عقلايى بودن معامله به اين قسم؛ 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كسور باشد، نه معيّن به عدد درهم يا دينار يا مشتمل بر مشاعِ منضمّ به معيّن عددى</w:t>
      </w:r>
      <w:r>
        <w:rPr>
          <w:rFonts w:eastAsia="IRNazanin" w:cs="IRNazanin"/>
          <w:color w:val="111111"/>
          <w:sz w:val="28"/>
          <w:szCs w:val="28"/>
          <w:rtl w:val="true"/>
          <w:lang w:bidi="fa-IR"/>
        </w:rPr>
        <w:t>.</w:t>
      </w:r>
    </w:p>
    <w:p>
      <w:pPr>
        <w:pStyle w:val="Heading4"/>
        <w:numPr>
          <w:ilvl w:val="3"/>
          <w:numId w:val="1"/>
        </w:numPr>
        <w:rPr/>
      </w:pPr>
      <w:bookmarkStart w:id="971" w:name="__RefHeading___Toc3598149_1067777946"/>
      <w:bookmarkStart w:id="972" w:name="_Toc395"/>
      <w:bookmarkEnd w:id="971"/>
      <w:r>
        <w:rPr>
          <w:rtl w:val="true"/>
        </w:rPr>
        <w:t>چند مسأله</w:t>
      </w:r>
      <w:bookmarkEnd w:id="972"/>
    </w:p>
    <w:p>
      <w:pPr>
        <w:pStyle w:val="Heading5"/>
        <w:numPr>
          <w:ilvl w:val="4"/>
          <w:numId w:val="1"/>
        </w:numPr>
        <w:rPr/>
      </w:pPr>
      <w:bookmarkStart w:id="973" w:name="__RefHeading___Toc3598151_1067777946"/>
      <w:bookmarkStart w:id="974" w:name="_Toc396"/>
      <w:bookmarkEnd w:id="973"/>
      <w:r>
        <w:rPr>
          <w:rtl w:val="true"/>
        </w:rPr>
        <w:t>موارد فسخ و عدم فسخ شرط به فسخ اصل مضاربه</w:t>
      </w:r>
      <w:bookmarkEnd w:id="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كرد در ضمن مضاربه، بر عامل، مضاربۀ در مال ديگر مالك را يا اخذ بضاعتى از مالك با قرض دادن يا خدمت نمودن براى مالك، يا به عكس، پس اگر واقعاً و لُبّا تابع عقد مضاربه باشد، در صحّت و جواز تبعيّت دارد و به فسخِ مضاربه، منفسخ مى شود از زمان فسخ؛ و اگر عمل نموده و ربح ظاهر شده، مستحق حصه مى شود 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مالكيّت مالى به نحو شرط نتيجه، در صورت استقلال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براى سقوط به فسخ عقد مضاربه در آن نيست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مستقل واقعى بود و در واقع ابتدايى بود اگر چه در ضمن عقد مضاربه واقع شده باشد، پس در سقوط، به رجوع در مضاربه و فسخ آن تبعيت ندارد، و لزوم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شرط ابتدايى مطلق، يا در ضمن عقد ديگرى كه ثبوتاً تبعيت داشته باشد نه در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وجه نيست</w:t>
      </w:r>
      <w:r>
        <w:rPr>
          <w:rFonts w:eastAsia="IRNazanin" w:cs="IRNazanin"/>
          <w:color w:val="111111"/>
          <w:sz w:val="28"/>
          <w:szCs w:val="28"/>
          <w:rtl w:val="true"/>
          <w:lang w:bidi="fa-IR"/>
        </w:rPr>
        <w:t xml:space="preserve">. </w:t>
      </w:r>
      <w:bookmarkStart w:id="975" w:name="pg10256_89497"/>
    </w:p>
    <w:p>
      <w:pPr>
        <w:pStyle w:val="Heading5"/>
        <w:numPr>
          <w:ilvl w:val="4"/>
          <w:numId w:val="1"/>
        </w:numPr>
        <w:rPr/>
      </w:pPr>
      <w:bookmarkStart w:id="976" w:name="__RefHeading___Toc3598153_1067777946"/>
      <w:bookmarkStart w:id="977" w:name="_Toc397"/>
      <w:bookmarkEnd w:id="975"/>
      <w:bookmarkEnd w:id="976"/>
      <w:r>
        <w:rPr>
          <w:rtl w:val="true"/>
        </w:rPr>
        <w:t>بعضى از شروط جايز ضمن عقد</w:t>
      </w:r>
      <w:bookmarkEnd w:id="9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نافذ است در عقد مضاربه، اشتراط اينكه اشتراى از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بر عامل؛ يا آنكه بيع به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آنكه اشترا به خصوص ثوب خاص باشد، يا از ثمرۀ بستان مخصوص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شرط كرد بر عامل، خريدن اصلى را كه در نماى آن و در ارتفاع قيمتِ آن شريك باشند، با تعيين حصۀ عامل،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شرط كرد تعيين حصۀ مشترىٰ از ارتفاع قيمت آن در مقدار معيّن از نماى آن كه مثل عين مال، مالك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صحّت است اگر محذورى ديگر فرض نشود</w:t>
      </w:r>
      <w:r>
        <w:rPr>
          <w:rFonts w:eastAsia="IRNazanin" w:cs="IRNazanin"/>
          <w:color w:val="111111"/>
          <w:sz w:val="28"/>
          <w:szCs w:val="28"/>
          <w:rtl w:val="true"/>
          <w:lang w:bidi="fa-IR"/>
        </w:rPr>
        <w:t>.</w:t>
      </w:r>
    </w:p>
    <w:p>
      <w:pPr>
        <w:pStyle w:val="Heading5"/>
        <w:numPr>
          <w:ilvl w:val="4"/>
          <w:numId w:val="1"/>
        </w:numPr>
        <w:rPr/>
      </w:pPr>
      <w:bookmarkStart w:id="978" w:name="__RefHeading___Toc3598155_1067777946"/>
      <w:bookmarkStart w:id="979" w:name="_Toc398"/>
      <w:bookmarkEnd w:id="978"/>
      <w:r>
        <w:rPr>
          <w:rtl w:val="true"/>
        </w:rPr>
        <w:t>انصراف اطلاق اذن، به تجارات معموله</w:t>
      </w:r>
      <w:bookmarkEnd w:id="9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مى شود با اطلاقِ اذن در تصرّف، معتادِ در تجارت خاصه، از حيث مقدمات و كيفيات و لوازم و استيجار در طريق آن تكسب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معتادْ مباشرت است، پس استيجار نمود، ضامن اجرت است؛ و اگر معتادْ استيجار است، پس مباشرت نمود، مستحق اجرت نيست در صورت قصد تبرّع، به خلاف عدم آن قصد يا قصد اجرت</w:t>
      </w:r>
      <w:r>
        <w:rPr>
          <w:rFonts w:eastAsia="IRNazanin" w:cs="IRNazanin"/>
          <w:color w:val="111111"/>
          <w:sz w:val="28"/>
          <w:szCs w:val="28"/>
          <w:rtl w:val="true"/>
          <w:lang w:bidi="fa-IR"/>
        </w:rPr>
        <w:t>.</w:t>
      </w:r>
    </w:p>
    <w:p>
      <w:pPr>
        <w:pStyle w:val="Heading5"/>
        <w:numPr>
          <w:ilvl w:val="4"/>
          <w:numId w:val="1"/>
        </w:numPr>
        <w:rPr/>
      </w:pPr>
      <w:bookmarkStart w:id="980" w:name="__RefHeading___Toc3598157_1067777946"/>
      <w:bookmarkStart w:id="981" w:name="_Toc399"/>
      <w:bookmarkEnd w:id="980"/>
      <w:r>
        <w:rPr>
          <w:rtl w:val="true"/>
        </w:rPr>
        <w:t>هزينۀ عامل</w:t>
      </w:r>
      <w:bookmarkEnd w:id="9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نفقۀ عامل، تابع شرط است؛ بلى اگر شرطى و تعارف خاصى نبود و معلوم از خصوصيت مالك و عامل و مضاربۀ خاصه نبود، آنچه نفقه تجارت در سفر عرفى است در صورتى كه مضاربه براى آن بالخصوص بوده، اگر چه از آن جهت كه عمل خاص، شغل سفرى باشد كه مضاربه براى آن عمل شده است، از اصل مال مأخوذ مى شود؛ و بر مالك است به حسب متعارف و معتاد در كميّت و كيفيّت، و به حسب لوازم سفر و آنچه لازم آن است از اقامت در طريق، نه زايد از آن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اقامت براى دو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مسافرت، مى تواند از مال قراض اخذ </w:t>
      </w:r>
      <w:bookmarkStart w:id="982" w:name="pg10256_89498"/>
    </w:p>
    <w:p>
      <w:pPr>
        <w:pStyle w:val="BookText"/>
        <w:rPr/>
      </w:pPr>
      <w:bookmarkEnd w:id="982"/>
      <w:r>
        <w:rPr>
          <w:rFonts w:ascii="Amiri" w:hAnsi="Amiri" w:eastAsia="Amiri" w:cs="Amiri"/>
          <w:color w:val="111111"/>
          <w:sz w:val="28"/>
          <w:sz w:val="28"/>
          <w:szCs w:val="28"/>
          <w:rtl w:val="true"/>
          <w:lang w:bidi="ar-SA"/>
        </w:rPr>
        <w:t>نمايد، نه در صورتى كه هر كدام جزء علت بوده است كه توزيع، اقرب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مربوط به تجارت نيست، بلكه مربوط به شخص تاجر است، از ضيافتها و جوايز و عطايا، محسوب از مال قراض نيست مگر با شرط در عقد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مؤونۀ نفس تجارت خاصه است، در هر تقدير، از اصل مال مأخوذ مى شود، مگر با شرط خلاف در خصوص مورد شرط با دلالت اقوىٰ از آنچه مرتكز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 مضاربه سفرى نباشد و داخل در عموم مأذون فيه باشد، پس در استحقاق نفقۀ مختص به سفر، فضلاً از نفقۀ مشترك بين سفر و حضر، بر مالك، تأمل است، و عدم آن اقرب است مگر با شرط و تعيين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زياده روى از اقتصادِ لازم نمود، زيادتى بر عامل محسوب است؛ و اگر اقتار نمود و كمتر از جايز صرف نمود، براى عامل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اشتراط عدم نفقه بر مالك بود، جايز نيست حساب بر مالك و اشتراط نفقه،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نفقه، از اصل مال مأخوذ مى شود در صورت عدم ربح، و جبران خسارت آن به ربح مى شود بعد از حصول ربح، و پس از آن، حقِ عامل محسوب و اخراج مى شود، مگر آنكه با شرط، تعيين خلاف اين ترتيب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نفقۀ لازمۀ در خصوص مرض و موت كه ارتباط به عمل و تجارت در مضاربه نيست، بر مالك نيست مگر با شرط و تعيين، چه آنكه مرضْ مانع از عمل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مسافرتهاى شخصيه كه ارتباط به مضاربه ندارند، چنانچه واضح است</w:t>
      </w:r>
      <w:r>
        <w:rPr>
          <w:rFonts w:eastAsia="IRNazanin" w:cs="IRNazanin"/>
          <w:color w:val="111111"/>
          <w:sz w:val="28"/>
          <w:szCs w:val="28"/>
          <w:rtl w:val="true"/>
          <w:lang w:bidi="fa-IR"/>
        </w:rPr>
        <w:t>.</w:t>
      </w:r>
    </w:p>
    <w:p>
      <w:pPr>
        <w:pStyle w:val="Heading5"/>
        <w:numPr>
          <w:ilvl w:val="4"/>
          <w:numId w:val="1"/>
        </w:numPr>
        <w:rPr/>
      </w:pPr>
      <w:bookmarkStart w:id="983" w:name="__RefHeading___Toc3598159_1067777946"/>
      <w:bookmarkStart w:id="984" w:name="_Toc400"/>
      <w:bookmarkEnd w:id="983"/>
      <w:r>
        <w:rPr>
          <w:rtl w:val="true"/>
        </w:rPr>
        <w:t>توزيع هزينه در مسافرتِ به دو مقصود</w:t>
      </w:r>
      <w:bookmarkEnd w:id="9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عامل يا غير او، در نزد او مال ديگرى بود كه عمل مقصود در آن هم، متوقّف بر مسافرت با مال بود، تقسيط مى شود نفقه در سفر براى دو شغل، بر هر دو مال و مالك آنها، به نسبت دو عمل متوقف بر مؤونۀ سفر، نه به نسبت مالها در كمى و زيادتى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كه توقف بود، مؤونه سفر بر مالك مال است، چنانچه گذشت</w:t>
      </w:r>
      <w:r>
        <w:rPr>
          <w:rFonts w:eastAsia="IRNazanin" w:cs="IRNazanin"/>
          <w:color w:val="111111"/>
          <w:sz w:val="28"/>
          <w:szCs w:val="28"/>
          <w:rtl w:val="true"/>
          <w:lang w:bidi="fa-IR"/>
        </w:rPr>
        <w:t>.</w:t>
      </w:r>
      <w:bookmarkStart w:id="985" w:name="pg10256_89499"/>
    </w:p>
    <w:p>
      <w:pPr>
        <w:pStyle w:val="Heading5"/>
        <w:numPr>
          <w:ilvl w:val="4"/>
          <w:numId w:val="1"/>
        </w:numPr>
        <w:rPr/>
      </w:pPr>
      <w:bookmarkStart w:id="986" w:name="__RefHeading___Toc3598161_1067777946"/>
      <w:bookmarkStart w:id="987" w:name="_Toc401"/>
      <w:bookmarkEnd w:id="985"/>
      <w:bookmarkEnd w:id="986"/>
      <w:r>
        <w:rPr>
          <w:rtl w:val="true"/>
        </w:rPr>
        <w:t>شرط نفقه و كمال نفقه</w:t>
      </w:r>
      <w:bookmarkEnd w:id="987"/>
    </w:p>
    <w:p>
      <w:pPr>
        <w:pStyle w:val="BookText"/>
        <w:rPr/>
      </w:pPr>
      <w:r>
        <w:rPr>
          <w:rFonts w:ascii="IRNazanin" w:hAnsi="IRNazanin" w:eastAsia="IRNazanin"/>
          <w:color w:val="111111"/>
          <w:sz w:val="28"/>
          <w:sz w:val="28"/>
          <w:szCs w:val="28"/>
          <w:rtl w:val="true"/>
          <w:lang w:bidi="fa-IR"/>
        </w:rPr>
        <w:t>و گذشت كه شرط نفقه، مؤكِّد است و مثلِ عدم اشتراط آن است؛ و شرط كمال نفقه به منزلۀ شرط زيادتى بر لازمِ اتفاقى است؛ پس با انفاق از هر دو به نحو متقدّم، چيزى به سبب شرط مذكور براى عامل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انفاق از مال مشروط عليه، استحقاق مقدار نفقه از مال ديگر كه در آن اين شرط نبوده، ندارد؛ و فرقى بين علم شارط به مال ديگر و يا قراض ديگر و عدم علم نيست</w:t>
      </w:r>
      <w:r>
        <w:rPr>
          <w:rFonts w:eastAsia="IRNazanin" w:cs="IRNazanin"/>
          <w:color w:val="111111"/>
          <w:sz w:val="28"/>
          <w:szCs w:val="28"/>
          <w:rtl w:val="true"/>
          <w:lang w:bidi="fa-IR"/>
        </w:rPr>
        <w:t>.</w:t>
      </w:r>
    </w:p>
    <w:p>
      <w:pPr>
        <w:pStyle w:val="Heading5"/>
        <w:numPr>
          <w:ilvl w:val="4"/>
          <w:numId w:val="1"/>
        </w:numPr>
        <w:rPr/>
      </w:pPr>
      <w:bookmarkStart w:id="988" w:name="__RefHeading___Toc3598163_1067777946"/>
      <w:bookmarkStart w:id="989" w:name="_Toc402"/>
      <w:bookmarkEnd w:id="988"/>
      <w:r>
        <w:rPr>
          <w:rtl w:val="true"/>
        </w:rPr>
        <w:t>هزينۀ عود عامل بر فرض فسخ مضاربه</w:t>
      </w:r>
      <w:bookmarkEnd w:id="9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سفر انفاق كرد در صورتى كه نفقه بر مالك بوده، پس در سفر انتزاع مال خودش كرد به قصد فسخ مضاربه، نه تحديد اذن در تصرّف به غير آن زمان، و ضميمه نباشد موجبات غرور در سابق، پس نفقۀ عود به محل عامل، بر خود عامل است، نه بر فسخ كنندۀ عقد جايز</w:t>
      </w:r>
      <w:r>
        <w:rPr>
          <w:rFonts w:eastAsia="IRNazanin" w:cs="IRNazanin"/>
          <w:color w:val="111111"/>
          <w:sz w:val="28"/>
          <w:szCs w:val="28"/>
          <w:rtl w:val="true"/>
          <w:lang w:bidi="fa-IR"/>
        </w:rPr>
        <w:t>.</w:t>
      </w:r>
    </w:p>
    <w:p>
      <w:pPr>
        <w:pStyle w:val="Heading5"/>
        <w:numPr>
          <w:ilvl w:val="4"/>
          <w:numId w:val="1"/>
        </w:numPr>
        <w:rPr/>
      </w:pPr>
      <w:bookmarkStart w:id="990" w:name="__RefHeading___Toc3598165_1067777946"/>
      <w:bookmarkStart w:id="991" w:name="_Toc403"/>
      <w:bookmarkEnd w:id="990"/>
      <w:r>
        <w:rPr>
          <w:rtl w:val="true"/>
        </w:rPr>
        <w:t>نفوذ تصرّف عامل، تابع مصلحت و يا اذن مالك</w:t>
      </w:r>
      <w:bookmarkEnd w:id="99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براى عامل است ابتياع معيب و رد به عيب و اخذ ارش، در موارد غبطه و مصلحت و هر عملى كه در طريق استرباح مقصود از مضاربه است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اطلاق، نفوذِ تصرّف تابع مصلحت است در تعدّى از آنچه نوعاً مصلحت در آن است، از بيع به ثمن المثل نقداً و به نقد بلد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تضييق و توسعه از حد مصلحت، تابع مستفاد از كلام او در اذن در تصرفات است، غير از اطلاق منصرف به مورد ثبوت مصلحت كه ذكر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عامل مخالفت اذن مالك نمود در صور متقدمه، پس بيع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نيست مگر با لحوق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لحوق، معامله صحيح است و موجب ضمانى براى عامل نيست؛ مثل صورت عدم اشتراط آنچه مخالفت شده است، بلكه اجازه كاشف است از عدول از اشتراط در مورد خاص</w:t>
      </w:r>
      <w:r>
        <w:rPr>
          <w:rFonts w:eastAsia="IRNazanin" w:cs="IRNazanin"/>
          <w:color w:val="111111"/>
          <w:sz w:val="28"/>
          <w:szCs w:val="28"/>
          <w:rtl w:val="true"/>
          <w:lang w:bidi="fa-IR"/>
        </w:rPr>
        <w:t xml:space="preserve">. </w:t>
      </w:r>
      <w:bookmarkStart w:id="992" w:name="pg10256_89500"/>
    </w:p>
    <w:p>
      <w:pPr>
        <w:pStyle w:val="Heading5"/>
        <w:numPr>
          <w:ilvl w:val="4"/>
          <w:numId w:val="1"/>
        </w:numPr>
        <w:rPr/>
      </w:pPr>
      <w:bookmarkStart w:id="993" w:name="__RefHeading___Toc3598167_1067777946"/>
      <w:bookmarkStart w:id="994" w:name="_Toc404"/>
      <w:bookmarkEnd w:id="992"/>
      <w:bookmarkEnd w:id="993"/>
      <w:r>
        <w:rPr>
          <w:rtl w:val="true"/>
        </w:rPr>
        <w:t>لزوم معاملۀ عامل به عين و مسأله خريد به ذمّه</w:t>
      </w:r>
      <w:bookmarkEnd w:id="99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بايد عاملْ اشترا بنمايد به عين مال المضاربه، نه در ذمۀ خودش كه لازم الدفع بشود و لو با تلف مال مضاربه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مقتضى براى اتحاد ذمۀ مالك و عامل نيست، مگر آنچه متعارف است از عدم اختصاص به خصوص مالى با حلول ثمن و با ارادۀ از مال مضاربه كه به منزلۀ شراى به عين است در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شراء با ذمّه به نحو مؤجّل بود و مالك اجازه كرد و تاديه از غير مال مضاربه كرد، مشترىٰ داخل در مال المضاربه خواهد بود و حدّ آن اوسع از سابق مى شود با اين معامله؛ كما اينكه اگر شراء به ذمّه به نحو متعارف بود، پس تلف شد اتفاقاً مال مضاربه، تأديه از مال ديگر مالك به مباشرت مالك خواهد بود؛ مثل ضياع و تلف مال مضاربه بعد از شراء چيزى مأذون فيه و قبل از تأديه به ما يتسامح فيه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اشتراءِ در ذمّه نمود بدون اذن و اجازۀ لاحقه و ذكر مالك در معامله ننمود بدون نيّت مالك يا خودش، محمول بر شراء لنفسه مى شود به حسب ظهور فعل، و در ظاهرْ ثمن بر او است و مى تواند بعد از تأديۀ ثمن، مقاصّه از مال بايع نمايد فى الجمله</w:t>
      </w:r>
      <w:r>
        <w:rPr>
          <w:rFonts w:eastAsia="IRNazanin" w:cs="IRNazanin"/>
          <w:color w:val="111111"/>
          <w:sz w:val="28"/>
          <w:szCs w:val="28"/>
          <w:rtl w:val="true"/>
          <w:lang w:bidi="fa-IR"/>
        </w:rPr>
        <w:t>.</w:t>
      </w:r>
    </w:p>
    <w:p>
      <w:pPr>
        <w:pStyle w:val="Heading5"/>
        <w:numPr>
          <w:ilvl w:val="4"/>
          <w:numId w:val="1"/>
        </w:numPr>
        <w:rPr/>
      </w:pPr>
      <w:bookmarkStart w:id="995" w:name="__RefHeading___Toc3598169_1067777946"/>
      <w:bookmarkStart w:id="996" w:name="_Toc405"/>
      <w:bookmarkEnd w:id="995"/>
      <w:r>
        <w:rPr>
          <w:rtl w:val="true"/>
        </w:rPr>
        <w:t>نهى و امر مالك مال</w:t>
      </w:r>
      <w:bookmarkEnd w:id="99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نهى كرد از مسافرت با مال مضاربه يا از مسافرت خاصه پس مخالفت كرد، ضامن تلف مال قراض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معامله كرد پس مورد اجازۀ مالك بود، نافذ است و ربح مشترك و خسارت بر مالك است؛ و اگر اجازه نكرد، اظهر عدم صحّت معامله است، پس ربح و خسارت بى محل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نهى، استظهار حفظ مال از مخاطره و تلف شد فقط، اظهر اشتراك در ربح و اختصاص مالك به خسارت و اختصاص عامل به ضمان مال تالف است</w:t>
      </w:r>
      <w:r>
        <w:rPr>
          <w:rFonts w:eastAsia="IRNazanin" w:cs="IRNazanin"/>
          <w:color w:val="111111"/>
          <w:sz w:val="28"/>
          <w:szCs w:val="28"/>
          <w:rtl w:val="true"/>
          <w:lang w:bidi="fa-IR"/>
        </w:rPr>
        <w:t xml:space="preserve">. </w:t>
      </w:r>
      <w:bookmarkStart w:id="997" w:name="pg10256_89501"/>
    </w:p>
    <w:p>
      <w:pPr>
        <w:pStyle w:val="BookText"/>
        <w:rPr/>
      </w:pPr>
      <w:bookmarkEnd w:id="997"/>
      <w:r>
        <w:rPr>
          <w:rFonts w:ascii="IRNazanin" w:hAnsi="IRNazanin" w:eastAsia="IRNazanin"/>
          <w:color w:val="111111"/>
          <w:sz w:val="28"/>
          <w:sz w:val="28"/>
          <w:szCs w:val="28"/>
          <w:rtl w:val="true"/>
          <w:lang w:bidi="fa-IR"/>
        </w:rPr>
        <w:t>و هم چنين اگر امر كرد به ابتياع متاعى پس غير مأمور به را ابتياع نمود، ضامن مال مضاربه است، مگر آنكه اجازه بدهد ابتياع را، پس ربح مشترك است و خسارت مختص به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خصوص صورت استرباح اجازه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غالباً با استرباح مجاز مى شود اگر چه مخالفت شرط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خسران، معامله صحيح نيست و ضمان مال مضاربه بر عامل است، و اللّٰه العالم</w:t>
      </w:r>
      <w:r>
        <w:rPr>
          <w:rFonts w:eastAsia="IRNazanin" w:cs="IRNazanin"/>
          <w:color w:val="111111"/>
          <w:sz w:val="28"/>
          <w:szCs w:val="28"/>
          <w:rtl w:val="true"/>
          <w:lang w:bidi="fa-IR"/>
        </w:rPr>
        <w:t>.</w:t>
      </w:r>
    </w:p>
    <w:p>
      <w:pPr>
        <w:pStyle w:val="Heading5"/>
        <w:numPr>
          <w:ilvl w:val="4"/>
          <w:numId w:val="1"/>
        </w:numPr>
        <w:rPr/>
      </w:pPr>
      <w:bookmarkStart w:id="998" w:name="__RefHeading___Toc3598171_1067777946"/>
      <w:bookmarkStart w:id="999" w:name="_Toc406"/>
      <w:bookmarkEnd w:id="998"/>
      <w:r>
        <w:rPr>
          <w:rtl w:val="true"/>
        </w:rPr>
        <w:t>جواز مضاربۀ عامل با عامل ديگر با اذن مالك</w:t>
      </w:r>
      <w:bookmarkEnd w:id="99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با اذن مالك مى تواند مضاربه با عاملى ديگر نمايد، چه آنكه فسخ نمايد مضاربۀ قبلى را و تجديد نمايد مضاربۀ دومى را كه عامل دوّمْ عاملِ مالك بشود و عاملِ اولى، وكيل و مأذون از مالك در مضاربه با مال او باشد به حسب قرار و اذن، يا آنكه مضاربۀ دومى از طرق تكسب عامل اوّلى باشد؛ مثلاً اگر مستحق نصف بوده، مضاربه نمايد با عاملى كه مستحق ثلث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دوّم، عاملِ عاملِ اوّل است، نه عامل مالك؛ پس بنا بر اظهر با اذن خاص يا مطلق به نحو واضح مى تواند هر دو قسم را انجام دهد</w:t>
      </w:r>
      <w:r>
        <w:rPr>
          <w:rFonts w:eastAsia="IRNazanin" w:cs="IRNazanin"/>
          <w:color w:val="111111"/>
          <w:sz w:val="28"/>
          <w:szCs w:val="28"/>
          <w:rtl w:val="true"/>
          <w:lang w:bidi="fa-IR"/>
        </w:rPr>
        <w:t>.</w:t>
      </w:r>
    </w:p>
    <w:p>
      <w:pPr>
        <w:pStyle w:val="Heading5"/>
        <w:numPr>
          <w:ilvl w:val="4"/>
          <w:numId w:val="1"/>
        </w:numPr>
        <w:rPr/>
      </w:pPr>
      <w:bookmarkStart w:id="1000" w:name="__RefHeading___Toc3598173_1067777946"/>
      <w:bookmarkStart w:id="1001" w:name="_Toc407"/>
      <w:bookmarkEnd w:id="1000"/>
      <w:r>
        <w:rPr>
          <w:rtl w:val="true"/>
        </w:rPr>
        <w:t>جواز توكيل عامل در اخذ دين و ايقاع عقد مضاربه</w:t>
      </w:r>
      <w:bookmarkEnd w:id="100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 دَينى بر شخصى دارد، مى تواند عامل را وكيل در استيفاى دَين و ايقاع عقد مضاربه بعد از استيفاى از جانب مالك نمايد؛ حتّى اگر مأذون، مديونِ مالك است مى تواند وكيل شود در استيفاى از خودش براى مالك و تعين آن و ايقاع مضاربه به وكالت از مالك و اصالت از خودش بر حسب خصوصيت اذن در خصوصيت ربح و كمّيت آن</w:t>
      </w:r>
      <w:r>
        <w:rPr>
          <w:rFonts w:eastAsia="IRNazanin" w:cs="IRNazanin"/>
          <w:color w:val="111111"/>
          <w:sz w:val="28"/>
          <w:szCs w:val="28"/>
          <w:rtl w:val="true"/>
          <w:lang w:bidi="fa-IR"/>
        </w:rPr>
        <w:t>.</w:t>
      </w:r>
    </w:p>
    <w:p>
      <w:pPr>
        <w:pStyle w:val="Heading5"/>
        <w:numPr>
          <w:ilvl w:val="4"/>
          <w:numId w:val="1"/>
        </w:numPr>
        <w:rPr/>
      </w:pPr>
      <w:bookmarkStart w:id="1002" w:name="__RefHeading___Toc3598175_1067777946"/>
      <w:bookmarkStart w:id="1003" w:name="_Toc408"/>
      <w:bookmarkEnd w:id="1002"/>
      <w:r>
        <w:rPr>
          <w:rtl w:val="true"/>
        </w:rPr>
        <w:t>اصطياد با شبكه به عقد مضاربه فاسده و با شبكه مغصوبه</w:t>
      </w:r>
      <w:bookmarkEnd w:id="100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شبكه اى را دفع كرد كه نصف واقعِ در آن براى عامل باشد، مضاربه نخواهد بود؛ بلكه تمام سَمك واقع، مال مالك است، و براى عاملْ اجرت المثل است در</w:t>
      </w:r>
      <w:bookmarkStart w:id="1004" w:name="pg10256_89502"/>
    </w:p>
    <w:p>
      <w:pPr>
        <w:pStyle w:val="BookText"/>
        <w:rPr/>
      </w:pPr>
      <w:bookmarkEnd w:id="1004"/>
      <w:r>
        <w:rPr>
          <w:rFonts w:ascii="IRNazanin" w:hAnsi="IRNazanin" w:eastAsia="IRNazanin"/>
          <w:color w:val="111111"/>
          <w:sz w:val="28"/>
          <w:sz w:val="28"/>
          <w:szCs w:val="28"/>
          <w:rtl w:val="true"/>
          <w:lang w:bidi="fa-IR"/>
        </w:rPr>
        <w:t>صورتى كه جرى بر مضاربۀ فاسده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غصب كرد شبكه اى را و اصطياد براى خودش نمود، متجه است اختصاص صائد به صيد؛ و براى مالك اجرت مغصوب است تا زمان رد با ضمان تلف عين اگر تالف بشود</w:t>
      </w:r>
      <w:r>
        <w:rPr>
          <w:rFonts w:eastAsia="IRNazanin" w:cs="IRNazanin"/>
          <w:color w:val="111111"/>
          <w:sz w:val="28"/>
          <w:szCs w:val="28"/>
          <w:rtl w:val="true"/>
          <w:lang w:bidi="fa-IR"/>
        </w:rPr>
        <w:t>.</w:t>
      </w:r>
    </w:p>
    <w:p>
      <w:pPr>
        <w:pStyle w:val="Heading5"/>
        <w:numPr>
          <w:ilvl w:val="4"/>
          <w:numId w:val="1"/>
        </w:numPr>
        <w:rPr/>
      </w:pPr>
      <w:bookmarkStart w:id="1005" w:name="__RefHeading___Toc3598177_1067777946"/>
      <w:bookmarkStart w:id="1006" w:name="_Toc409"/>
      <w:bookmarkEnd w:id="1005"/>
      <w:r>
        <w:rPr>
          <w:rtl w:val="true"/>
        </w:rPr>
        <w:t>جواز تعدد عامل يا مالك در عقد مضاربه</w:t>
      </w:r>
      <w:bookmarkEnd w:id="100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مال واحدْ ممكن است تعدّد عامل با شرط مساوات عاملها در ربح يا اختلاف، با تساوى در عمل يا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عكس با وحدت عامل و تعدد مالك يا اختلاف حصۀ دو مالك يا اتحاد آنها، با تساوى در حصه اى از عين يا اختلاف؛ مثلاً در حصۀ يك مالك، عامل مستحق ثلث و در حصۀ ديگرى ربع باشد</w:t>
      </w:r>
      <w:r>
        <w:rPr>
          <w:rFonts w:eastAsia="IRNazanin" w:cs="IRNazanin"/>
          <w:color w:val="111111"/>
          <w:sz w:val="28"/>
          <w:szCs w:val="28"/>
          <w:rtl w:val="true"/>
          <w:lang w:bidi="fa-IR"/>
        </w:rPr>
        <w:t>.</w:t>
      </w:r>
    </w:p>
    <w:p>
      <w:pPr>
        <w:pStyle w:val="Heading5"/>
        <w:numPr>
          <w:ilvl w:val="4"/>
          <w:numId w:val="1"/>
        </w:numPr>
        <w:rPr/>
      </w:pPr>
      <w:bookmarkStart w:id="1007" w:name="__RefHeading___Toc3598179_1067777946"/>
      <w:bookmarkStart w:id="1008" w:name="_Toc410"/>
      <w:bookmarkEnd w:id="1007"/>
      <w:r>
        <w:rPr>
          <w:rtl w:val="true"/>
        </w:rPr>
        <w:t>نحوۀ جبران خسارت در مال المضاربه</w:t>
      </w:r>
      <w:bookmarkEnd w:id="100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در مال مضاربه، جبران به ربح آن مى شود، و ملكيتِ حصه، متزلزل است تا آخر و مراعىٰ است به عدم خسران، و استقرار آن به فسخ قبل از خسران و نحو آن است، چه انضاض شده باشد يا نه، چه قسمت شده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جبران ربح به تلف و سرقت و ضياع بدون تفريط، تأمل است، و مقتضاى قاعده، عدم جبران است؛ و هر قدر از مال باقى باشد، استرباح در آن موجب تملك حصه مربوطۀ به آن است اگر خلاف آن اتفاقى نباشد</w:t>
      </w:r>
      <w:r>
        <w:rPr>
          <w:rFonts w:eastAsia="IRNazanin" w:cs="IRNazanin"/>
          <w:color w:val="111111"/>
          <w:sz w:val="28"/>
          <w:szCs w:val="28"/>
          <w:rtl w:val="true"/>
          <w:lang w:bidi="fa-IR"/>
        </w:rPr>
        <w:t>.</w:t>
      </w:r>
    </w:p>
    <w:p>
      <w:pPr>
        <w:pStyle w:val="Heading5"/>
        <w:numPr>
          <w:ilvl w:val="4"/>
          <w:numId w:val="1"/>
        </w:numPr>
        <w:rPr/>
      </w:pPr>
      <w:bookmarkStart w:id="1009" w:name="__RefHeading___Toc3598181_1067777946"/>
      <w:bookmarkStart w:id="1010" w:name="_Toc411"/>
      <w:bookmarkEnd w:id="1009"/>
      <w:r>
        <w:rPr>
          <w:rtl w:val="true"/>
        </w:rPr>
        <w:t>حكم تحصيل مالى كه دين و در ذمۀ ديگران است با فسخ مالك يا عامل</w:t>
      </w:r>
      <w:bookmarkEnd w:id="101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تجارتِ عامل، بعض مالْ دَين و در ذمۀ ديگران باشد، پس واجب نيست بر عامل بعد از فسخِ مالكِ عالمِ به آن ديون، تحصيل آنها و جمع آنها بعد از فسخ يا انفساخ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فاسخْ عامل باشد و مال در مخاطره باشد با ترك سعى عامل بالخصوص، پس وجوب تحصيل اگر چه با انتظار حلول باشد با طلب مالك، موافق احتياط است</w:t>
      </w:r>
      <w:r>
        <w:rPr>
          <w:rFonts w:eastAsia="IRNazanin" w:cs="IRNazanin"/>
          <w:color w:val="111111"/>
          <w:sz w:val="28"/>
          <w:szCs w:val="28"/>
          <w:rtl w:val="true"/>
          <w:lang w:bidi="fa-IR"/>
        </w:rPr>
        <w:t xml:space="preserve">. </w:t>
      </w:r>
      <w:bookmarkStart w:id="1011" w:name="pg10256_89503"/>
    </w:p>
    <w:p>
      <w:pPr>
        <w:pStyle w:val="Heading5"/>
        <w:numPr>
          <w:ilvl w:val="4"/>
          <w:numId w:val="1"/>
        </w:numPr>
        <w:rPr/>
      </w:pPr>
      <w:bookmarkStart w:id="1012" w:name="__RefHeading___Toc3598183_1067777946"/>
      <w:bookmarkStart w:id="1013" w:name="_Toc412"/>
      <w:bookmarkEnd w:id="1011"/>
      <w:bookmarkEnd w:id="1012"/>
      <w:r>
        <w:rPr>
          <w:rtl w:val="true"/>
        </w:rPr>
        <w:t>حكم ايصال مال به مالك بعد از فسخ يا انفساخ</w:t>
      </w:r>
      <w:bookmarkEnd w:id="101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فسخ يا انفساخ، تخليه بين مالك و همۀ مال او لازم است بر عامل، و آيا ايصال هم لازم است؛ و اگر محتاج به بذل اجرت باشد آيا بر عامل است يا نه‌؟ اقرب لزوم آن است، در صورتى كه مسافرت به استدعاى مالك يا اقتضاى تجارت نباشد به نحوى كه نفقه سفر بر عامل باشد، نه در غير اين صورت</w:t>
      </w:r>
      <w:r>
        <w:rPr>
          <w:rFonts w:eastAsia="IRNazanin" w:cs="IRNazanin"/>
          <w:color w:val="111111"/>
          <w:sz w:val="28"/>
          <w:szCs w:val="28"/>
          <w:rtl w:val="true"/>
          <w:lang w:bidi="fa-IR"/>
        </w:rPr>
        <w:t>.</w:t>
      </w:r>
    </w:p>
    <w:p>
      <w:pPr>
        <w:pStyle w:val="Heading5"/>
        <w:numPr>
          <w:ilvl w:val="4"/>
          <w:numId w:val="1"/>
        </w:numPr>
        <w:rPr/>
      </w:pPr>
      <w:bookmarkStart w:id="1014" w:name="__RefHeading___Toc3598185_1067777946"/>
      <w:bookmarkStart w:id="1015" w:name="_Toc413"/>
      <w:bookmarkEnd w:id="1014"/>
      <w:r>
        <w:rPr>
          <w:rtl w:val="true"/>
        </w:rPr>
        <w:t>حكم سود و ضمان و نفقۀ در سفر در مضاربۀ فاسد</w:t>
      </w:r>
      <w:bookmarkEnd w:id="101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مضاربه فاسد باشد، تمام ربحْ مال مالك است با اجازۀ معاملات عامل؛ هر دو، عالم به فساد باشند، يا جاهل، يا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عامل اجرت المثل عمل او است در صورت جهل او به فساد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ضمان عامل، تلف و نقص را، پس با ائتمانْ ضامن نيست؛ و در صورت جهل مالك به فساد، ائتمان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ضمان خسران معاملى عامل، پس با عدم اجازۀ لاحقه، محلى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با اجازۀ لاحقه يا اذن سابق از مالكِ عالم به فساد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نفقه در سفر در آن صورتى كه بر مالك است، در اينجا بر مالكِ عالم به فساد است، نه جاهل به آن</w:t>
      </w:r>
      <w:r>
        <w:rPr>
          <w:rFonts w:eastAsia="IRNazanin" w:cs="IRNazanin"/>
          <w:color w:val="111111"/>
          <w:sz w:val="28"/>
          <w:szCs w:val="28"/>
          <w:rtl w:val="true"/>
          <w:lang w:bidi="fa-IR"/>
        </w:rPr>
        <w:t>.</w:t>
      </w:r>
    </w:p>
    <w:p>
      <w:pPr>
        <w:pStyle w:val="Heading5"/>
        <w:numPr>
          <w:ilvl w:val="4"/>
          <w:numId w:val="1"/>
        </w:numPr>
        <w:rPr/>
      </w:pPr>
      <w:bookmarkStart w:id="1016" w:name="__RefHeading___Toc3598187_1067777946"/>
      <w:bookmarkStart w:id="1017" w:name="_Toc414"/>
      <w:bookmarkEnd w:id="1016"/>
      <w:r>
        <w:rPr>
          <w:rtl w:val="true"/>
        </w:rPr>
        <w:t>مضاربۀ فضولى</w:t>
      </w:r>
      <w:bookmarkEnd w:id="101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مضاربه كرد با مال غير، بدون اذن و توكيل و ولايت، پس فضولى است؛ و با اجازۀ مالكْ صحيح مى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 مترتب مى شود اينكه خسارت بر مالك و ربح بين او و عامل است به ترتيب مقرّر در عقد مضاربه كه مُجاز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رد نمود قبل از عمل، پس واجب است بر عامل، رد مال به مالك در صورت مطالبه؛ و تلف و تعيب آن مضمون است بر مضارب و عامل كه وضع يد او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بوده است؛ پس اگر رجوع كرد بر اوّلى، مرجوع اليهْ رجوع به دومى نمى كند در صورت علم اولى به عدم صحّت </w:t>
      </w:r>
      <w:bookmarkStart w:id="1018" w:name="pg10256_89504"/>
    </w:p>
    <w:p>
      <w:pPr>
        <w:pStyle w:val="BookText"/>
        <w:rPr/>
      </w:pPr>
      <w:bookmarkEnd w:id="1018"/>
      <w:r>
        <w:rPr>
          <w:rFonts w:ascii="IRNazanin" w:hAnsi="IRNazanin" w:eastAsia="IRNazanin"/>
          <w:color w:val="111111"/>
          <w:sz w:val="28"/>
          <w:sz w:val="28"/>
          <w:szCs w:val="28"/>
          <w:rtl w:val="true"/>
          <w:lang w:bidi="fa-IR"/>
        </w:rPr>
        <w:t>و جهل دومى به 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رجوع كرد به دومى، رجوع مى كند به اولى با جهل دومى به عدم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رد كرد مضاربه را بعد از وقوع عمل و معاملات، پس آنها فضولى واقع شده است و مختار است در اجازه و رد آنها؛ و احكام فضوليّت در دو صورت مترتب مى شود، پس با اجازۀ هر معامله، ربح آنْ مخصوصِ مالك و خسارت آن مخصوصِ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اختلاف معاملات در اجازه و ردّ، و در اجازۀ رابحه و رد غير رابحه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رد هر معامله، مال خودش را از واضعِ يد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مضارب 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مى نمايد به نحو متقدّم؛ و هم چنين بدل تالف يا متعيب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عامل اگر ندانست كه مضاربه به مال غير و غيرِ صحيح بوده، مستحق است بر مضارب، اجرت المثل عمل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صور، به خلاف صورتى كه مى دانست بطلان مضاربه را، يا آنكه عملى به جا نياورده باشد كه اجرت داشته باشد</w:t>
      </w:r>
      <w:r>
        <w:rPr>
          <w:rFonts w:eastAsia="IRNazanin" w:cs="IRNazanin"/>
          <w:color w:val="111111"/>
          <w:sz w:val="28"/>
          <w:szCs w:val="28"/>
          <w:rtl w:val="true"/>
          <w:lang w:bidi="fa-IR"/>
        </w:rPr>
        <w:t>.</w:t>
      </w:r>
    </w:p>
    <w:p>
      <w:pPr>
        <w:pStyle w:val="Heading5"/>
        <w:numPr>
          <w:ilvl w:val="4"/>
          <w:numId w:val="1"/>
        </w:numPr>
        <w:rPr/>
      </w:pPr>
      <w:bookmarkStart w:id="1019" w:name="__RefHeading___Toc3598189_1067777946"/>
      <w:bookmarkStart w:id="1020" w:name="_Toc415"/>
      <w:bookmarkEnd w:id="1019"/>
      <w:r>
        <w:rPr>
          <w:rtl w:val="true"/>
        </w:rPr>
        <w:t>حكم نسيه به اذن مالك</w:t>
      </w:r>
      <w:bookmarkEnd w:id="102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مضاربۀ صحيحه اگر اشتراى عامل، نسيه و به اذن مالك باشد، ثمنْ دينِ در ذمّۀ مالك است براى بايع و مى تواند رجوع به هر كدام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حال را، رجوع به خصوص عامل مى نمايد؛ و در صورت رجوع به عامل، مالكْ مرجوع اليهِ عامل است، مگر آنكه در اذن، تقييد اداى به مال قراض نموده باشد و آن مال به قدر اداى دين باقى باشد</w:t>
      </w:r>
      <w:r>
        <w:rPr>
          <w:rFonts w:eastAsia="IRNazanin" w:cs="IRNazanin"/>
          <w:color w:val="111111"/>
          <w:sz w:val="28"/>
          <w:szCs w:val="28"/>
          <w:rtl w:val="true"/>
          <w:lang w:bidi="fa-IR"/>
        </w:rPr>
        <w:t>.</w:t>
      </w:r>
    </w:p>
    <w:p>
      <w:pPr>
        <w:pStyle w:val="Heading5"/>
        <w:numPr>
          <w:ilvl w:val="4"/>
          <w:numId w:val="1"/>
        </w:numPr>
        <w:rPr/>
      </w:pPr>
      <w:bookmarkStart w:id="1021" w:name="__RefHeading___Toc3598191_1067777946"/>
      <w:bookmarkStart w:id="1022" w:name="_Toc416"/>
      <w:bookmarkEnd w:id="1021"/>
      <w:r>
        <w:rPr>
          <w:rtl w:val="true"/>
        </w:rPr>
        <w:t>دو مضاربه با دو مال از يك مالك و عامل</w:t>
      </w:r>
      <w:bookmarkEnd w:id="102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مضاربه با دو مال از يك مالك و عامل، احكام تعدّد دارد و ربح يكى جبران خسارت ديگرى نمى كند مگر با فسخ اولى و تجديد مضاربه در مجموع، كه در زمان فسخ و تجديد، وحدت مضاربه ثابت و محفوظ خواهد بود و احكام وحدت آن</w:t>
      </w:r>
      <w:r>
        <w:rPr>
          <w:rFonts w:eastAsia="IRNazanin" w:cs="IRNazanin"/>
          <w:color w:val="111111"/>
          <w:sz w:val="28"/>
          <w:szCs w:val="28"/>
          <w:rtl w:val="true"/>
          <w:lang w:bidi="fa-IR"/>
        </w:rPr>
        <w:t>.</w:t>
      </w:r>
      <w:bookmarkStart w:id="1023" w:name="pg10256_89505"/>
    </w:p>
    <w:p>
      <w:pPr>
        <w:pStyle w:val="Heading5"/>
        <w:numPr>
          <w:ilvl w:val="4"/>
          <w:numId w:val="1"/>
        </w:numPr>
        <w:rPr/>
      </w:pPr>
      <w:bookmarkStart w:id="1024" w:name="__RefHeading___Toc3598193_1067777946"/>
      <w:bookmarkStart w:id="1025" w:name="_Toc417"/>
      <w:bookmarkEnd w:id="1023"/>
      <w:bookmarkEnd w:id="1024"/>
      <w:r>
        <w:rPr>
          <w:rtl w:val="true"/>
        </w:rPr>
        <w:t>مضاربه دو نفر يا دو مال با يك عامل و فسخ يكى</w:t>
      </w:r>
      <w:bookmarkEnd w:id="102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با دو مال، مضاربه با يك عامل نمودند، پس يكى در اثناى عمل يا قبل از آن فسخ نمود، عقد نسبت به مالك ديگر با عامل منفسخ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با يك عامل، شخص واحدى دو مضاربه با دو مال ممتاز نمود كه براى هر مالى عملى تعيين نمود پس فسخ نمود يكى را، مضاربه نسبت به مال ديگر منفسخ نمى شود؛ بلى اگر عامل بخواهد، مى تواند فسخ نمايد مضاربۀ باقيه را</w:t>
      </w:r>
      <w:r>
        <w:rPr>
          <w:rFonts w:eastAsia="IRNazanin" w:cs="IRNazanin"/>
          <w:color w:val="111111"/>
          <w:sz w:val="28"/>
          <w:szCs w:val="28"/>
          <w:rtl w:val="true"/>
          <w:lang w:bidi="fa-IR"/>
        </w:rPr>
        <w:t>.</w:t>
      </w:r>
    </w:p>
    <w:p>
      <w:pPr>
        <w:pStyle w:val="Heading5"/>
        <w:numPr>
          <w:ilvl w:val="4"/>
          <w:numId w:val="1"/>
        </w:numPr>
        <w:rPr/>
      </w:pPr>
      <w:bookmarkStart w:id="1026" w:name="__RefHeading___Toc3598195_1067777946"/>
      <w:bookmarkStart w:id="1027" w:name="_Toc418"/>
      <w:bookmarkEnd w:id="1026"/>
      <w:r>
        <w:rPr>
          <w:rtl w:val="true"/>
        </w:rPr>
        <w:t>مسائل تنازع</w:t>
      </w:r>
      <w:bookmarkEnd w:id="1027"/>
    </w:p>
    <w:p>
      <w:pPr>
        <w:pStyle w:val="Heading5"/>
        <w:numPr>
          <w:ilvl w:val="4"/>
          <w:numId w:val="1"/>
        </w:numPr>
        <w:rPr/>
      </w:pPr>
      <w:bookmarkStart w:id="1028" w:name="__RefHeading___Toc3598197_1067777946"/>
      <w:bookmarkStart w:id="1029" w:name="_Toc419"/>
      <w:bookmarkEnd w:id="1028"/>
      <w:r>
        <w:rPr>
          <w:rtl w:val="true"/>
        </w:rPr>
        <w:t>منازعۀ مالك با عامل در مقدار سرمايه</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منازعۀ مالك با عامل در مقدار رأس المال، مقدّم است با عدم بيّنه، قول عامل، اگر چه تالف مضمون بر تقدير 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عامل ادّعاى تلف مال، يا خسارت در معامله را، يا وصول شدن مطالبات بر مردم بدون موجب ضمان خصوص او، و مالك ادّعاى خلاف كرد، با عدم بيّنه قول عامل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تلف محقّق يا خسران محقّق اگر ادّعا كرد مالك، تعدّى و تفريط عامل را، يا خيانت را و بيّنه نداشت، قول عامل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اختلاف در اشتراط چيزى، يا در مخالفت با شرط محقّق، قول عامل، با عدم بيّنه مالكِ مدعىِ اشتراط يا مخالفت شرط، مقدّم است</w:t>
      </w:r>
      <w:r>
        <w:rPr>
          <w:rFonts w:eastAsia="IRNazanin" w:cs="IRNazanin"/>
          <w:color w:val="111111"/>
          <w:sz w:val="28"/>
          <w:szCs w:val="28"/>
          <w:rtl w:val="true"/>
          <w:lang w:bidi="fa-IR"/>
        </w:rPr>
        <w:t>.</w:t>
      </w:r>
    </w:p>
    <w:p>
      <w:pPr>
        <w:pStyle w:val="Heading5"/>
        <w:numPr>
          <w:ilvl w:val="4"/>
          <w:numId w:val="1"/>
        </w:numPr>
        <w:rPr/>
      </w:pPr>
      <w:bookmarkStart w:id="1030" w:name="__RefHeading___Toc3598199_1067777946"/>
      <w:bookmarkStart w:id="1031" w:name="_Toc420"/>
      <w:bookmarkEnd w:id="1030"/>
      <w:r>
        <w:rPr>
          <w:rtl w:val="true"/>
        </w:rPr>
        <w:t>اختلاف در كمى و زيادى نصيب عامل</w:t>
      </w:r>
      <w:bookmarkEnd w:id="10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نصيب عامل، اختلاف در كمى و زيادى آن شد، كه ثلث است از ربح مثلاً يا نصف، قول مالك مقدم است</w:t>
      </w:r>
      <w:r>
        <w:rPr>
          <w:rFonts w:eastAsia="IRNazanin" w:cs="IRNazanin"/>
          <w:color w:val="111111"/>
          <w:sz w:val="28"/>
          <w:szCs w:val="28"/>
          <w:rtl w:val="true"/>
          <w:lang w:bidi="fa-IR"/>
        </w:rPr>
        <w:t>.</w:t>
      </w:r>
    </w:p>
    <w:p>
      <w:pPr>
        <w:pStyle w:val="Heading5"/>
        <w:numPr>
          <w:ilvl w:val="4"/>
          <w:numId w:val="1"/>
        </w:numPr>
        <w:rPr/>
      </w:pPr>
      <w:bookmarkStart w:id="1032" w:name="__RefHeading___Toc3598201_1067777946"/>
      <w:bookmarkStart w:id="1033" w:name="_Toc421"/>
      <w:bookmarkEnd w:id="1032"/>
      <w:r>
        <w:rPr>
          <w:rtl w:val="true"/>
        </w:rPr>
        <w:t>اختلاف در صدور اذن</w:t>
      </w:r>
      <w:bookmarkEnd w:id="10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عملى به مقتضاى عقد نبوده و محتاج به اذن خصوصى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مسافرت با</w:t>
      </w:r>
      <w:bookmarkStart w:id="1034" w:name="pg10256_89506"/>
    </w:p>
    <w:p>
      <w:pPr>
        <w:pStyle w:val="BookText"/>
        <w:rPr/>
      </w:pPr>
      <w:bookmarkEnd w:id="1034"/>
      <w:r>
        <w:rPr>
          <w:rFonts w:ascii="IRNazanin" w:hAnsi="IRNazanin" w:eastAsia="IRNazanin"/>
          <w:color w:val="111111"/>
          <w:sz w:val="28"/>
          <w:sz w:val="28"/>
          <w:szCs w:val="28"/>
          <w:rtl w:val="true"/>
          <w:lang w:bidi="fa-IR"/>
        </w:rPr>
        <w:t xml:space="preserve">مال، يا فروختن آن به نسيه در تقدير احتياج به اذن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صدور اذن اختلاف شد، قول منكر اذن با عدم بيّنه، مقدم است</w:t>
      </w:r>
      <w:r>
        <w:rPr>
          <w:rFonts w:eastAsia="IRNazanin" w:cs="IRNazanin"/>
          <w:color w:val="111111"/>
          <w:sz w:val="28"/>
          <w:szCs w:val="28"/>
          <w:rtl w:val="true"/>
          <w:lang w:bidi="fa-IR"/>
        </w:rPr>
        <w:t>.</w:t>
      </w:r>
    </w:p>
    <w:p>
      <w:pPr>
        <w:pStyle w:val="Heading5"/>
        <w:numPr>
          <w:ilvl w:val="4"/>
          <w:numId w:val="1"/>
        </w:numPr>
        <w:rPr/>
      </w:pPr>
      <w:bookmarkStart w:id="1035" w:name="__RefHeading___Toc3598203_1067777946"/>
      <w:bookmarkStart w:id="1036" w:name="_Toc422"/>
      <w:bookmarkEnd w:id="1035"/>
      <w:r>
        <w:rPr>
          <w:rtl w:val="true"/>
        </w:rPr>
        <w:t>اختلاف در ردّ مال به مالك</w:t>
      </w:r>
      <w:bookmarkEnd w:id="10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عامل ادّعاى رد مال به مالك نمود و مالك انكار نمود، با عدم بيّنه، قول مالك مقدم است</w:t>
      </w:r>
      <w:r>
        <w:rPr>
          <w:rFonts w:eastAsia="IRNazanin" w:cs="IRNazanin"/>
          <w:color w:val="111111"/>
          <w:sz w:val="28"/>
          <w:szCs w:val="28"/>
          <w:rtl w:val="true"/>
          <w:lang w:bidi="fa-IR"/>
        </w:rPr>
        <w:t>.</w:t>
      </w:r>
    </w:p>
    <w:p>
      <w:pPr>
        <w:pStyle w:val="Heading5"/>
        <w:numPr>
          <w:ilvl w:val="4"/>
          <w:numId w:val="1"/>
        </w:numPr>
        <w:rPr/>
      </w:pPr>
      <w:bookmarkStart w:id="1037" w:name="__RefHeading___Toc3598205_1067777946"/>
      <w:bookmarkStart w:id="1038" w:name="_Toc423"/>
      <w:bookmarkEnd w:id="1037"/>
      <w:r>
        <w:rPr>
          <w:rtl w:val="true"/>
        </w:rPr>
        <w:t>اختلاف در معاملۀ مالى</w:t>
      </w:r>
      <w:bookmarkEnd w:id="10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معاملۀ مالى اختلاف شد، پس مضارب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بوده، و عامل مدّعى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بوده، در صورت ربح يا به عكس در صورت خسران، قول عامل با يمين او مقدم است</w:t>
      </w:r>
      <w:r>
        <w:rPr>
          <w:rFonts w:eastAsia="IRNazanin" w:cs="IRNazanin"/>
          <w:color w:val="111111"/>
          <w:sz w:val="28"/>
          <w:szCs w:val="28"/>
          <w:rtl w:val="true"/>
          <w:lang w:bidi="fa-IR"/>
        </w:rPr>
        <w:t>.</w:t>
      </w:r>
    </w:p>
    <w:p>
      <w:pPr>
        <w:pStyle w:val="Heading5"/>
        <w:numPr>
          <w:ilvl w:val="4"/>
          <w:numId w:val="1"/>
        </w:numPr>
        <w:rPr/>
      </w:pPr>
      <w:bookmarkStart w:id="1039" w:name="__RefHeading___Toc3598207_1067777946"/>
      <w:bookmarkStart w:id="1040" w:name="_Toc424"/>
      <w:bookmarkEnd w:id="1039"/>
      <w:r>
        <w:rPr>
          <w:rtl w:val="true"/>
        </w:rPr>
        <w:t>اختلاف در اقراض يا مقارضه و مضاربه</w:t>
      </w:r>
      <w:bookmarkEnd w:id="104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مالى تلف شد يا در معامله با آن خسران بود، پس اختلاف شد در اقراض يا مقارضه و مضاربه، قول مالك مقدم است بنابر اظهر؛ به جهت استصحاب ملكيت تا زمان وضع يد عامل و استصحاب عدم ائتمان تا آن زمان نسبت به شخص آن مال، پس مملوك غير مؤتمن به اين دو استصحاب، محكوم به تضمين است با تلف يا خسرانى وجدانى در شخص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ربح در معامله با مالى للمالك بود و اختلاف در قرض يا مضاربه بود، مقدم است قول مالك به جهت استصحاب ملكيت تا زمان وقوع معامله براى مالك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حصول ربح، اختلاف در بضاعت يا مضاربه بود و بيّنه نبود، قول مالك با يمين او بر عدم مضاربه، مقدم است، پس تمام ربح راجع به او است، و اگر عمل اجرتى دارد براى عامل است</w:t>
      </w:r>
      <w:r>
        <w:rPr>
          <w:rFonts w:eastAsia="IRNazanin" w:cs="IRNazanin"/>
          <w:color w:val="111111"/>
          <w:sz w:val="28"/>
          <w:szCs w:val="28"/>
          <w:rtl w:val="true"/>
          <w:lang w:bidi="fa-IR"/>
        </w:rPr>
        <w:t>.</w:t>
      </w:r>
    </w:p>
    <w:p>
      <w:pPr>
        <w:pStyle w:val="Heading4"/>
        <w:numPr>
          <w:ilvl w:val="3"/>
          <w:numId w:val="1"/>
        </w:numPr>
        <w:rPr/>
      </w:pPr>
      <w:bookmarkStart w:id="1041" w:name="__RefHeading___Toc3598209_1067777946"/>
      <w:bookmarkStart w:id="1042" w:name="_Toc425"/>
      <w:bookmarkEnd w:id="1041"/>
      <w:r>
        <w:rPr>
          <w:rtl w:val="true"/>
        </w:rPr>
        <w:t>چند مسأله</w:t>
      </w:r>
      <w:bookmarkEnd w:id="1042"/>
    </w:p>
    <w:p>
      <w:pPr>
        <w:pStyle w:val="Heading5"/>
        <w:numPr>
          <w:ilvl w:val="4"/>
          <w:numId w:val="1"/>
        </w:numPr>
        <w:rPr/>
      </w:pPr>
      <w:bookmarkStart w:id="1043" w:name="__RefHeading___Toc3598211_1067777946"/>
      <w:bookmarkStart w:id="1044" w:name="_Toc426"/>
      <w:bookmarkEnd w:id="1043"/>
      <w:r>
        <w:rPr>
          <w:rtl w:val="true"/>
        </w:rPr>
        <w:t>اخذ نتيجۀ مضاربه به ايقاع جعاله و يا به عقد شركت</w:t>
      </w:r>
      <w:bookmarkEnd w:id="10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است اخذ نتيجۀ مضاربه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تجارت</w:t>
      </w:r>
      <w:bookmarkStart w:id="1045" w:name="pg10256_89507"/>
    </w:p>
    <w:p>
      <w:pPr>
        <w:pStyle w:val="BookText"/>
        <w:rPr/>
      </w:pPr>
      <w:bookmarkEnd w:id="1045"/>
      <w:r>
        <w:rPr>
          <w:rFonts w:ascii="IRNazanin" w:hAnsi="IRNazanin" w:eastAsia="IRNazanin"/>
          <w:color w:val="111111"/>
          <w:sz w:val="28"/>
          <w:sz w:val="28"/>
          <w:szCs w:val="28"/>
          <w:rtl w:val="true"/>
          <w:lang w:bidi="fa-IR"/>
        </w:rPr>
        <w:t>با اين مال كردى نصف ربح را به عنوان جُعل مستحق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آثار با مضاربه مشترك است، و چون ايقاع است شروط عقد مضاربه در آن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اتفاق محكى بر اعتبار نقدين در مضاربه، جارى در جعاله مذكوره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به اختلاف در استحقاق ربح با تساوى در مال و اختصاص عمل به يكى از شريكين، و امثال اين فرض، به نحوى كه در كتاب شركت مذكور است</w:t>
      </w:r>
      <w:r>
        <w:rPr>
          <w:rFonts w:eastAsia="IRNazanin" w:cs="IRNazanin"/>
          <w:color w:val="111111"/>
          <w:sz w:val="28"/>
          <w:szCs w:val="28"/>
          <w:rtl w:val="true"/>
          <w:lang w:bidi="fa-IR"/>
        </w:rPr>
        <w:t>.</w:t>
      </w:r>
    </w:p>
    <w:p>
      <w:pPr>
        <w:pStyle w:val="Heading5"/>
        <w:numPr>
          <w:ilvl w:val="4"/>
          <w:numId w:val="1"/>
        </w:numPr>
        <w:rPr/>
      </w:pPr>
      <w:bookmarkStart w:id="1046" w:name="__RefHeading___Toc3598213_1067777946"/>
      <w:bookmarkStart w:id="1047" w:name="_Toc427"/>
      <w:bookmarkEnd w:id="1046"/>
      <w:r>
        <w:rPr>
          <w:rtl w:val="true"/>
        </w:rPr>
        <w:t>جواز مضاربۀ ولى با مال صغير با مراعات غبطه</w:t>
      </w:r>
      <w:bookmarkEnd w:id="10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 و جدّ ابىِ صغير مى توانند مضاربه با مال صغير نمايند با غبطه و مصلحت؛ وهم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ايشان؛ و بعد از اينها حاكم شرع با رعايت عدم مفسده و وجود مصلحت</w:t>
      </w:r>
      <w:r>
        <w:rPr>
          <w:rFonts w:eastAsia="IRNazanin" w:cs="IRNazanin"/>
          <w:color w:val="111111"/>
          <w:sz w:val="28"/>
          <w:szCs w:val="28"/>
          <w:rtl w:val="true"/>
          <w:lang w:bidi="fa-IR"/>
        </w:rPr>
        <w:t>.</w:t>
      </w:r>
    </w:p>
    <w:p>
      <w:pPr>
        <w:pStyle w:val="Heading5"/>
        <w:numPr>
          <w:ilvl w:val="4"/>
          <w:numId w:val="1"/>
        </w:numPr>
        <w:rPr/>
      </w:pPr>
      <w:bookmarkStart w:id="1048" w:name="__RefHeading___Toc3598215_1067777946"/>
      <w:bookmarkStart w:id="1049" w:name="_Toc428"/>
      <w:bookmarkEnd w:id="1048"/>
      <w:r>
        <w:rPr>
          <w:rtl w:val="true"/>
        </w:rPr>
        <w:t>مضاربۀ وصىّ ميّت در ثلث</w:t>
      </w:r>
      <w:bookmarkEnd w:id="1049"/>
    </w:p>
    <w:p>
      <w:pPr>
        <w:pStyle w:val="BookText"/>
        <w:rPr/>
      </w:pPr>
      <w:r>
        <w:rPr>
          <w:rFonts w:ascii="IRNazanin" w:hAnsi="IRNazanin" w:eastAsia="IRNazanin"/>
          <w:color w:val="111111"/>
          <w:sz w:val="28"/>
          <w:sz w:val="28"/>
          <w:szCs w:val="28"/>
          <w:rtl w:val="true"/>
          <w:lang w:bidi="fa-IR"/>
        </w:rPr>
        <w:t>و هم چنين وصىّ ميّت مى تواند در ثلث كه موصىٰ به است، مضاربه نمايد با تعيين موصىٖ يا تخيير وصى در عملِ در آن به صلاحديد خود و مصلحت در آن دانست</w:t>
      </w:r>
      <w:r>
        <w:rPr>
          <w:rFonts w:eastAsia="IRNazanin" w:cs="IRNazanin"/>
          <w:color w:val="111111"/>
          <w:sz w:val="28"/>
          <w:szCs w:val="28"/>
          <w:rtl w:val="true"/>
          <w:lang w:bidi="fa-IR"/>
        </w:rPr>
        <w:t>.</w:t>
      </w:r>
    </w:p>
    <w:p>
      <w:pPr>
        <w:pStyle w:val="Heading5"/>
        <w:numPr>
          <w:ilvl w:val="4"/>
          <w:numId w:val="1"/>
        </w:numPr>
        <w:rPr/>
      </w:pPr>
      <w:bookmarkStart w:id="1050" w:name="__RefHeading___Toc3598217_1067777946"/>
      <w:bookmarkStart w:id="1051" w:name="_Toc429"/>
      <w:bookmarkEnd w:id="1050"/>
      <w:r>
        <w:rPr>
          <w:rtl w:val="true"/>
        </w:rPr>
        <w:t>وفات عامل</w:t>
      </w:r>
      <w:bookmarkEnd w:id="10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عاملْ وفات كرد و در نزد او مال مضاربه بود، پس اگر معلوم است تعيناً، پس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تعيناً معلوم نيست، پس دور نيست تعيّن آن به تعيين وارث كه ذو اليد باشد؛ و بعد از آن با عدم تعيين ذو اليد، اگر مضارب تعيين مى نمايد و معارضى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تعيين او، احوط مصالحه است بين اطراف شبهه، چه يكى باشد، مثل مال مضاربه و مال عامل، يا ازيد، مثل وجود ساير ودايع و امانات نزد عامل يا مضاربه هاى ديگر با ديگران ايضاً؛ و اظهر حصول شركت قهريه است با اتحاد جنس و وصف؛ و احتمال حصول در مطلق اختلاط و عدم تمييز، ثابت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معلوم نباشد اصل وجود مال غير عامل و لكن محتمل است، محكوم به </w:t>
      </w:r>
    </w:p>
    <w:p>
      <w:pPr>
        <w:pStyle w:val="BookText"/>
        <w:rPr/>
      </w:pPr>
      <w:r>
        <w:rPr>
          <w:rFonts w:ascii="IRNazanin" w:hAnsi="IRNazanin" w:eastAsia="IRNazanin"/>
          <w:color w:val="111111"/>
          <w:sz w:val="28"/>
          <w:sz w:val="28"/>
          <w:szCs w:val="28"/>
          <w:rtl w:val="true"/>
          <w:lang w:bidi="fa-IR"/>
        </w:rPr>
        <w:t>مال ميّت مى شود تا ثابت نمايند وجود عين مملوكۀ غير در اموال ميّت را، يا اشتغال ذمّۀ ميّت به اموال ديگران كه قبلاً نزد او به عنوان مضاربه يا عنوان ديگر چيزى داشته اند، و محتمل است رد به مُلاّك كرده بوده يا نزد او بدون ضمان يا با ضمان، تلف شده بود، محتاج به اثبات حق بر ميّت است؛ مگر آنكه بدانند وارث، كه مال غير، داخل اموال ميّت قبل از موت بوده، با علم به تعيين يا بدون آن، كه به مقتضاى استصحاب باقى بر ملكيّت سابقه است، و بايد خروج از حق مستصحب المالكيّه نمايد به اداى متيقن يا مصالحه با اداى معلوم تفصيلى تعيينى؛ و با اشتمال بر هر دو، معيّن را رد نمايند و در غير، عمل به يقين يا مصالحه يا احتياط نمايند،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وحده و الصلاة علىٰ سيد انبيائه محمد و آله سادة الاوصياء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العبد محمد تقى البهجة الجيلانى</w:t>
      </w:r>
      <w:r>
        <w:rPr>
          <w:rFonts w:eastAsia="Amiri" w:cs="Amiri" w:ascii="Amiri" w:hAnsi="Amiri"/>
          <w:color w:val="111111"/>
          <w:sz w:val="28"/>
          <w:szCs w:val="28"/>
          <w:rtl w:val="true"/>
          <w:lang w:bidi="ar-SA"/>
        </w:rPr>
        <w:t xml:space="preserve">. </w:t>
      </w:r>
      <w:bookmarkStart w:id="1052" w:name="pg10256_89509"/>
    </w:p>
    <w:p>
      <w:pPr>
        <w:pStyle w:val="Heading3"/>
        <w:numPr>
          <w:ilvl w:val="2"/>
          <w:numId w:val="1"/>
        </w:numPr>
        <w:rPr/>
      </w:pPr>
      <w:bookmarkStart w:id="1053" w:name="__RefHeading___Toc3598219_1067777946"/>
      <w:bookmarkStart w:id="1054" w:name="_Toc430"/>
      <w:bookmarkEnd w:id="1052"/>
      <w:bookmarkEnd w:id="1053"/>
      <w:r>
        <w:rPr>
          <w:rtl w:val="true"/>
        </w:rPr>
        <w:t>فصل دوّم فى تعميم مال القراض</w:t>
      </w:r>
      <w:bookmarkEnd w:id="1054"/>
    </w:p>
    <w:p>
      <w:pPr>
        <w:pStyle w:val="Heading4"/>
        <w:numPr>
          <w:ilvl w:val="3"/>
          <w:numId w:val="1"/>
        </w:numPr>
        <w:rPr/>
      </w:pPr>
      <w:bookmarkStart w:id="1055" w:name="__RefHeading___Toc3598221_1067777946"/>
      <w:bookmarkStart w:id="1056" w:name="_Toc431"/>
      <w:bookmarkEnd w:id="1055"/>
      <w:r>
        <w:rPr>
          <w:rtl w:val="true"/>
        </w:rPr>
        <w:t>مسألة</w:t>
      </w:r>
      <w:r>
        <w:rPr>
          <w:rtl w:val="true"/>
        </w:rPr>
        <w:t>:</w:t>
      </w:r>
      <w:bookmarkEnd w:id="1056"/>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مال القراض غير الدرهم و الدينار ممّا يتمحّض في الثّمنية في زمان المعاملة تمحضهما فيها في الأزمنة السابقة، فإنّه الموافق للإطلاقات بعد إلغاء الخصوصيات في أطراف العقود و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المانع عن ذلك ليس إلا الإجماع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 أنّ المراد من معقده، هو ما يتمحّض في الثمنيّة، و هو الّذي يعيّن الربح بالقياس إليه، حتى أنّ العرض لا يعلم فيه الربح إلاّ إذا قيس إلى ما يروج المعاملة به من الدرهم و الدينار الرائج بهما المعاملة؛ فلذا لا يجوز بالعروض و لا بالدرهم المهجور في المعاملات، لاحتياجهما إلى القياس إلى ما يروج به المعاملة في زمانها، و كذلك الفلوس المفهوم حكمها من اعتبار الدرهم مع عدم مناسبتها مع المضاربة الواقعة غالباً في المعاملات المهمة الغير المناسبة للفلوس إلاّ مع القياس إلى الدرهم و الدينار المشترك بينها و بين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باب المعاملات، طريقه الإرشاد إلى المعاملات العقلائية و المعلوم منها ذلك و أنّ العرض لمكان عدم خلوّه عن التشاجر و التنازع، منع عنه هنا، كما في كثير من نظائره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يعلم حكاية إجماع في الفلوس مستقل غير مرتبط بالإجماع في الدرهم و الدينار، كما في العروض؛ كما يظهر من المحكىّ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عدم </w:t>
      </w:r>
    </w:p>
    <w:p>
      <w:pPr>
        <w:pStyle w:val="BookText"/>
        <w:rPr/>
      </w:pPr>
      <w:r>
        <w:rPr>
          <w:rFonts w:ascii="Amiri" w:hAnsi="Amiri" w:eastAsia="Amiri" w:cs="Amiri"/>
          <w:color w:val="111111"/>
          <w:sz w:val="28"/>
          <w:sz w:val="28"/>
          <w:szCs w:val="28"/>
          <w:rtl w:val="true"/>
          <w:lang w:bidi="ar-SA"/>
        </w:rPr>
        <w:t>الجواز في الفلوس كان دليله الإجماع و أنّه عروض، فإنّ الظاهر منه أنّ دليل الكلّ هو الإجماع علىٰ اعتبار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استظهار أنّ أصل التّقويم، النقد و أنّ غيره حتى الفلوس، يتقوّم بالنقد و ملاحظته، لا العكس، كما هو واضح، و لا أنّهما أصلان، لأنّ النقد المسكوك، هو العمدة في التقويمات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شمول دليل الوفاء بالعقود و التجارة عن تراض للمضاربة بالفلوس لو صحّ مانع عمّا فيها بعنوان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يلزم القول باعتبار الدرهم في المضاربة من أنّ اللاّزم مع هجر المعاملة بالدرهم و الدينار رأساً انتفاء شرعيّة المضاربة مع ثبوت عرفيّتها لمسيس الحاجة إليها مطلقاً، كان الثمن درهماً أو غيره ممّا له تمحّض في الثمنية، و هو كما ترى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كما لاٰ تصحّ المضاربة بالدينار المهجور للانصراف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الإشكال قبل تقريب الجواز، و الأقرب عدم الجواز، لما عرفت، و لما يقتضيه المناسبة بين الموضوع 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عدم صحّتها بالمسكوك الذي لاٰ يروج المعاملة به، كما في هذه الأزمنة، حيث لا بدّ من ملاحظته مع ما يروج المعاملة به فعلاً؛ فلا بدّ من الالتزام بعدم صحّة المضاربة بالدرهم و الدينار في مثل زماننا ممّا هجرت فيه ثمنيّة النقدين؛ و ليس الالتزام به أشدّ مخالفة لما حكى عليه الإجماع من الالتزام به جواز المضاربة بكل رائج الثمنية المحضة و أنّ المراد من النقدين ذلك و إن كانا منحصرين في عصر الروايات برواج الثّمنية؛ و لازم ذلك انّ القيديّة مخصوصة به زمان رواج الثّمنية، لاٰ أنّها مطلقة و المضاربة منتفية رأساً في غير ذلك الزمان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المضاربة العرفيّة لا بد من الردع عنها، و لا يصلح هذا الإجماع للرّدع عمّا لم يكن، و لا الاتّفاق في الفلوس المظنون تفريعه علىٰ ذلك الإجماع، و إلاّ شمله مثل </w:t>
      </w:r>
      <w:bookmarkStart w:id="1057" w:name="pg10256_89511"/>
    </w:p>
    <w:p>
      <w:pPr>
        <w:pStyle w:val="BookText"/>
        <w:rPr/>
      </w:pPr>
      <w:bookmarkEnd w:id="10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البناء علىٰ عدم صحة الاستناد إلى عمومات المضاربة الواردة في مقام 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ترتب أثر المضاربة حيث كان مسبّباً عن الشك في الإناطة شرعاً بالدرهم و الدينار، للوضع الذي يتفرّع عليه التكليف لا لنفس التكليف، و هذه الإناطة الجعليّة الشرعية مجهولة منتفية بالأصل فلا يجرى استصحاب عدم الأثر، و المضاربة العرفيّة معلومة و لذا لم يتوقّف العرف بما أنّهم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هجر المسكوك من النقدين عن المضاربة الّتى هي عملهم فعلاً يقيناً، فلا حاجة إلى الاحتيال ببعض أقسام الشركة أو التوكيل في المعاملة و في الأخذ للأكثر من الاُجرة و الثلث مثلاً بعد المعاملة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ليس شيئاً مخالفاً للإجماع المنقول، بل مبنىّ على تحقيق مفاد المحكي عليه الإجماع</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3598223_1067777946"/>
      <w:bookmarkStart w:id="1059" w:name="_Toc432"/>
      <w:bookmarkEnd w:id="1058"/>
      <w:r>
        <w:rPr>
          <w:rtl w:val="true"/>
        </w:rPr>
        <w:t>صحّت مضاربه با اسكناس متداول</w:t>
      </w:r>
      <w:bookmarkEnd w:id="1059"/>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صحّت مضاربه به اسكناس متداول نيست مگر نقل اجماع بر اشتراط درهم و دينار، يعنى مسكوك به سكّۀ معامله از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تعبير در شرط مذكور، ارادۀ آنچه متمحّض در ثمنيّت در معامله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ثمنيّت، از طلا و نقره سلب شد به طورى كه حكم عروض و امتعه را داشتند و متمحّض در ثمن اسكناس شد بدون رجوع در مقوّم و منشأ اعتبار به خصوص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عصر ما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مضاربه است، نه لغو بودن اين غرض معاملى كه حاجت به آن قديماً و حديثاً، مساس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فتوى به عدم صحّت در آنها، مستفاد از شرطيت دينار و درهم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اجماع بر اعتبار، بى اصل نيست، لكن الغاى خصوصيت، اقتضاى تعميم دارد؛ بلكه اقوى از الغا، به مناسبت لغويّت ثمنيّت در طلا و نقره، و تمحّض ثمنيت </w:t>
      </w:r>
    </w:p>
    <w:p>
      <w:pPr>
        <w:pStyle w:val="BookText"/>
        <w:rPr/>
      </w:pPr>
      <w:r>
        <w:rPr>
          <w:rFonts w:ascii="Amiri" w:hAnsi="Amiri" w:eastAsia="Amiri" w:cs="Amiri"/>
          <w:color w:val="111111"/>
          <w:sz w:val="28"/>
          <w:sz w:val="28"/>
          <w:szCs w:val="28"/>
          <w:rtl w:val="true"/>
          <w:lang w:bidi="ar-SA"/>
        </w:rPr>
        <w:t>در اسكناس، و تمحّض اسكناس در ثمنيت در غير معاملۀ اسكناس به مثل، مثلِ معامله نقدين در 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مقتضاى دليلِ وفا و دليل تجارت و ارتكاز، موافقت بين انواع متمحّضۀ در ثمنيت به طورى كه تجويزِ بعض، مستلزم تجويزِ بعض ديگر است؛ و فهم عرف مغايرتِ بين عروض ممنوعه و اثمان متبادله، صحّت معاملۀ مضاربه با مطلق اثمان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مغشوش از نقدين با تعامل به آنها، صحيح است مضاربه با آنها حتى نزد مانعين از مضاربه با غير درهم و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مقتضاى قاعده، لحوق فلوس به نقدين است، نه به عروض؛ و نقل اتفاق امرى است متفرع بر اتفاق در اعتبار نقدين و فهم از آن است، نه بر سبيل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نفى در عروض، اتفاقى بودن آن، تفريع بر شرطيّت نقدين است، نه اتفاق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راهنمايى موارد شك، طريقۀ عرفيّه و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اعتبار اين شرط، الغاى اين معاملۀ عرفيه است در صورت عدم تعامل نوعى به طلا و نقره؛ و لازمۀ آن خروج اين معامله در شرع از ارشاد به طريقۀ عرف عقلاء است و آنكه اين معامله از مخترعات شرعيّه باشد؛ و اين واضح است فسادش نزد مطّلع از طريقۀ شرع در معاملات كه هيچ گونه شروط تعبديّه مسلّمه، منافات با تخطئه و تصويب شارع، طريقۀ عرف را، ندارد؛</w:t>
      </w:r>
    </w:p>
    <w:p>
      <w:pPr>
        <w:pStyle w:val="BookText"/>
        <w:rPr/>
      </w:pPr>
      <w:r>
        <w:rPr>
          <w:rFonts w:ascii="IRNazanin" w:hAnsi="IRNazanin" w:eastAsia="IRNazanin"/>
          <w:color w:val="111111"/>
          <w:sz w:val="28"/>
          <w:sz w:val="28"/>
          <w:szCs w:val="28"/>
          <w:rtl w:val="true"/>
          <w:lang w:bidi="fa-IR"/>
        </w:rPr>
        <w:t>و نقض نمى شود به ربا كه عرفيت آن ممنوع است، بلكه مستقبح است افراد مهمّۀ آن، بلكه جريان سوق براى استرباح، ضدّ عرفيّت ربا است، چنانچه واضح است بر متأمّل؛ با آنكه ردعِ عرف از نوعى، غير اختراعِ نوعى از معامله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تقييد شارع در مقام امضا، مربوط به احتياط عقلايى يا محذور شرعى است و در نوع مواردش مفهومِ عرف متشرعه است؛ و در مقام، مفهوم، فرق بين نقدين و عروض و تعدّى از نقدين به اثمان متمحّضه در ثمنيّت است، خصوصاً بعد از هجر نقدين از تعامل و ثمنيّت</w:t>
      </w:r>
      <w:r>
        <w:rPr>
          <w:rFonts w:eastAsia="Amiri" w:cs="Amiri" w:ascii="Amiri" w:hAnsi="Amiri"/>
          <w:color w:val="111111"/>
          <w:sz w:val="28"/>
          <w:szCs w:val="28"/>
          <w:rtl w:val="true"/>
          <w:lang w:bidi="ar-SA"/>
        </w:rPr>
        <w:t xml:space="preserve">. </w:t>
      </w:r>
      <w:bookmarkStart w:id="1060" w:name="pg10256_89513"/>
    </w:p>
    <w:p>
      <w:pPr>
        <w:pStyle w:val="Heading2"/>
        <w:numPr>
          <w:ilvl w:val="1"/>
          <w:numId w:val="1"/>
        </w:numPr>
        <w:rPr/>
      </w:pPr>
      <w:bookmarkStart w:id="1061" w:name="__RefHeading___Toc3598225_1067777946"/>
      <w:bookmarkStart w:id="1062" w:name="_Toc433"/>
      <w:bookmarkEnd w:id="1060"/>
      <w:bookmarkEnd w:id="1061"/>
      <w:r>
        <w:rPr>
          <w:rtl w:val="true"/>
        </w:rPr>
        <w:t>كتاب مزارعه</w:t>
      </w:r>
      <w:bookmarkEnd w:id="1062"/>
    </w:p>
    <w:p>
      <w:pPr>
        <w:pStyle w:val="Heading3"/>
        <w:numPr>
          <w:ilvl w:val="2"/>
          <w:numId w:val="1"/>
        </w:numPr>
        <w:rPr/>
      </w:pPr>
      <w:bookmarkStart w:id="1063" w:name="__RefHeading___Toc3598227_1067777946"/>
      <w:bookmarkStart w:id="1064" w:name="_Toc434"/>
      <w:bookmarkEnd w:id="1063"/>
      <w:r>
        <w:rPr>
          <w:rtl w:val="true"/>
        </w:rPr>
        <w:t>اشاره</w:t>
      </w:r>
      <w:bookmarkEnd w:id="1064"/>
    </w:p>
    <w:p>
      <w:pPr>
        <w:pStyle w:val="BookText"/>
        <w:rPr/>
      </w:pPr>
      <w:r>
        <w:rPr>
          <w:rFonts w:ascii="Amiri" w:hAnsi="Amiri" w:eastAsia="Amiri" w:cs="Amiri"/>
          <w:color w:val="111111"/>
          <w:sz w:val="28"/>
          <w:sz w:val="28"/>
          <w:szCs w:val="28"/>
          <w:rtl w:val="true"/>
          <w:lang w:bidi="ar-SA"/>
        </w:rPr>
        <w:t>مزارعه و شرايط آن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مزارعه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5" w:name="pg10256_89515"/>
      <w:bookmarkStart w:id="1066" w:name="pg10256_89515"/>
      <w:bookmarkEnd w:id="1066"/>
    </w:p>
    <w:p>
      <w:pPr>
        <w:pStyle w:val="Heading3"/>
        <w:numPr>
          <w:ilvl w:val="2"/>
          <w:numId w:val="1"/>
        </w:numPr>
        <w:rPr/>
      </w:pPr>
      <w:bookmarkStart w:id="1067" w:name="pg10256_89515"/>
      <w:bookmarkStart w:id="1068" w:name="__RefHeading___Toc3598229_1067777946"/>
      <w:bookmarkStart w:id="1069" w:name="_Toc435"/>
      <w:bookmarkEnd w:id="1067"/>
      <w:bookmarkEnd w:id="1068"/>
      <w:r>
        <w:rPr>
          <w:rtl w:val="true"/>
        </w:rPr>
        <w:t>فصل اوّل مزارعه و شرايط آن</w:t>
      </w:r>
      <w:bookmarkEnd w:id="1069"/>
    </w:p>
    <w:p>
      <w:pPr>
        <w:pStyle w:val="Heading4"/>
        <w:numPr>
          <w:ilvl w:val="3"/>
          <w:numId w:val="1"/>
        </w:numPr>
        <w:rPr/>
      </w:pPr>
      <w:bookmarkStart w:id="1070" w:name="__RefHeading___Toc3598231_1067777946"/>
      <w:bookmarkStart w:id="1071" w:name="_Toc436"/>
      <w:bookmarkEnd w:id="1070"/>
      <w:r>
        <w:rPr>
          <w:rtl w:val="true"/>
        </w:rPr>
        <w:t>تعريف مزارعه</w:t>
      </w:r>
      <w:bookmarkEnd w:id="1071"/>
    </w:p>
    <w:p>
      <w:pPr>
        <w:pStyle w:val="BookText"/>
        <w:rPr/>
      </w:pPr>
      <w:r>
        <w:rPr>
          <w:rFonts w:ascii="IRNazanin" w:hAnsi="IRNazanin" w:eastAsia="IRNazanin"/>
          <w:color w:val="111111"/>
          <w:sz w:val="28"/>
          <w:sz w:val="28"/>
          <w:szCs w:val="28"/>
          <w:rtl w:val="true"/>
          <w:lang w:bidi="fa-IR"/>
        </w:rPr>
        <w:t>و آن، معامله اى است بر زمين مزروعى در مقابل حصه اى از حاصل زراعت در آن؛ پس مشترك است با اجارۀ زمين براى زراعت؛ و مفترق است در جعل اجرت حصه اى از نماى آن در 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مزارِع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زمين باشد در شرع، در تصرّف به مزارعه با عامل؛ و فرقى نيست بين اختصاص هر يك از بذر و عوامل به يكى از دو طرفِ عقد مزارعه، يا اشتراك بين آن دو</w:t>
      </w:r>
      <w:r>
        <w:rPr>
          <w:rFonts w:eastAsia="IRNazanin" w:cs="IRNazanin"/>
          <w:color w:val="111111"/>
          <w:sz w:val="28"/>
          <w:szCs w:val="28"/>
          <w:rtl w:val="true"/>
          <w:lang w:bidi="fa-IR"/>
        </w:rPr>
        <w:t>.</w:t>
      </w:r>
    </w:p>
    <w:p>
      <w:pPr>
        <w:pStyle w:val="Heading4"/>
        <w:numPr>
          <w:ilvl w:val="3"/>
          <w:numId w:val="1"/>
        </w:numPr>
        <w:rPr/>
      </w:pPr>
      <w:bookmarkStart w:id="1072" w:name="__RefHeading___Toc3598233_1067777946"/>
      <w:bookmarkStart w:id="1073" w:name="_Toc437"/>
      <w:bookmarkEnd w:id="1072"/>
      <w:r>
        <w:rPr>
          <w:rtl w:val="true"/>
        </w:rPr>
        <w:t>عقد مزارعه</w:t>
      </w:r>
      <w:bookmarkEnd w:id="1073"/>
    </w:p>
    <w:p>
      <w:pPr>
        <w:pStyle w:val="BookText"/>
        <w:rPr/>
      </w:pPr>
      <w:r>
        <w:rPr>
          <w:rFonts w:ascii="Amiri" w:hAnsi="Amiri" w:eastAsia="Amiri" w:cs="Amiri"/>
          <w:color w:val="111111"/>
          <w:sz w:val="28"/>
          <w:sz w:val="28"/>
          <w:szCs w:val="28"/>
          <w:rtl w:val="true"/>
          <w:lang w:bidi="ar-SA"/>
        </w:rPr>
        <w:t xml:space="preserve">و ايجاب آن، محقّق مى شود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 هذه الأرض مدّة معلومة بحصّة معيّنة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آن مثل قبول اجاره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خصوصيّاتِ عقد و معاطات و لوازم و شروط و احكام، مشترك است با اجاره</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3598235_1067777946"/>
      <w:bookmarkStart w:id="1075" w:name="_Toc438"/>
      <w:bookmarkEnd w:id="1074"/>
      <w:r>
        <w:rPr>
          <w:rtl w:val="true"/>
        </w:rPr>
        <w:t>لزوم عقد مزارعه</w:t>
      </w:r>
      <w:bookmarkEnd w:id="10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مزارعه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عقود لازمه است، و منفسخ به اختيار نمى شود مگر با شرط، و هم چنين به غير اختيار مگر با خروج زمين از قابليت زراعت؛ و با موت يكى از متعاقدين باطل نمى شود، بلكه وارثِ ميّت، قائم مقام او مى شود در ملك و استحقاق عمل يا حصه، مگر در فرض موت هر دو و اتحاد وارث هر دو، كه ملكِ عمل يا حصه بر خودش منتفى است</w:t>
      </w:r>
      <w:r>
        <w:rPr>
          <w:rFonts w:eastAsia="IRNazanin" w:cs="IRNazanin"/>
          <w:color w:val="111111"/>
          <w:sz w:val="28"/>
          <w:szCs w:val="28"/>
          <w:rtl w:val="true"/>
          <w:lang w:bidi="fa-IR"/>
        </w:rPr>
        <w:t xml:space="preserve">. </w:t>
      </w:r>
      <w:bookmarkStart w:id="1076" w:name="pg10256_89516"/>
    </w:p>
    <w:p>
      <w:pPr>
        <w:pStyle w:val="Heading4"/>
        <w:numPr>
          <w:ilvl w:val="3"/>
          <w:numId w:val="1"/>
        </w:numPr>
        <w:rPr/>
      </w:pPr>
      <w:bookmarkStart w:id="1077" w:name="__RefHeading___Toc3598237_1067777946"/>
      <w:bookmarkStart w:id="1078" w:name="_Toc439"/>
      <w:bookmarkEnd w:id="1076"/>
      <w:bookmarkEnd w:id="1077"/>
      <w:r>
        <w:rPr>
          <w:rtl w:val="true"/>
        </w:rPr>
        <w:t>شرط مباشرت در عقد مزارعه</w:t>
      </w:r>
      <w:bookmarkEnd w:id="1078"/>
    </w:p>
    <w:p>
      <w:pPr>
        <w:pStyle w:val="BookText"/>
        <w:rPr/>
      </w:pPr>
      <w:r>
        <w:rPr>
          <w:rFonts w:ascii="IRNazanin" w:hAnsi="IRNazanin" w:eastAsia="IRNazanin"/>
          <w:color w:val="111111"/>
          <w:sz w:val="28"/>
          <w:sz w:val="28"/>
          <w:szCs w:val="28"/>
          <w:rtl w:val="true"/>
          <w:lang w:bidi="fa-IR"/>
        </w:rPr>
        <w:t>و اگر شرط كرد در عقد، مباشرتِ طرف را به عمل، پس وفات كرد قبل از عمل، اختيار فسخ با شرطكننده است و بطلان عقد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مقدارى از عمل را به جا آورد به مباشرت، پس از آن وفات نمود، پس اگر مشروط، مجموع عمل مباشرى در مجموع زمين به نحو وحدت باشد، پس از قبيل تخلّف شرط و موجب خيار فسخ است در تمام متعلّق عقد؛ و اگر مشروط، عمل مباشرى در جميع به نحو انحلال باشد، پس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اختيار فسخ عقد در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صورت، فرقى بين خروج بعض ثمره و عدم آن با تحقّق عمل به نحو لازم در يك قسم و عدم تحقّق آن در قسم ديگر نيست بنابر اظهر</w:t>
      </w:r>
      <w:r>
        <w:rPr>
          <w:rFonts w:eastAsia="IRNazanin" w:cs="IRNazanin"/>
          <w:color w:val="111111"/>
          <w:sz w:val="28"/>
          <w:szCs w:val="28"/>
          <w:rtl w:val="true"/>
          <w:lang w:bidi="fa-IR"/>
        </w:rPr>
        <w:t>.</w:t>
      </w:r>
    </w:p>
    <w:p>
      <w:pPr>
        <w:pStyle w:val="Heading4"/>
        <w:numPr>
          <w:ilvl w:val="3"/>
          <w:numId w:val="1"/>
        </w:numPr>
        <w:rPr/>
      </w:pPr>
      <w:bookmarkStart w:id="1079" w:name="__RefHeading___Toc3598239_1067777946"/>
      <w:bookmarkStart w:id="1080" w:name="_Toc440"/>
      <w:bookmarkEnd w:id="1079"/>
      <w:r>
        <w:rPr>
          <w:rtl w:val="true"/>
        </w:rPr>
        <w:t>اگر متعلق عقد، عمل شخص به نحو دخولِ اضافه و تقيّد باشد</w:t>
      </w:r>
      <w:bookmarkEnd w:id="1080"/>
    </w:p>
    <w:p>
      <w:pPr>
        <w:pStyle w:val="BookText"/>
        <w:rPr/>
      </w:pPr>
      <w:r>
        <w:rPr>
          <w:rFonts w:ascii="IRNazanin" w:hAnsi="IRNazanin" w:eastAsia="IRNazanin"/>
          <w:color w:val="111111"/>
          <w:sz w:val="28"/>
          <w:sz w:val="28"/>
          <w:szCs w:val="28"/>
          <w:rtl w:val="true"/>
          <w:lang w:bidi="fa-IR"/>
        </w:rPr>
        <w:t>و آنچه ذكر شد، در صورتى است كه متعلّق عقدِ مزارعه، عمل زراعت باشد و مباشرت، مورد التزام شرطى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متعلّق عقد، عمل شخص باشد به نحو دخول اضافه و تقيّد، پس با موت، امكان تحقق ندارد، و بطلان مزارعه در صورتى كه وفات قبل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اثناى عمل، وفاتِ عامل واقع شد، پس بطلان در بعضِ مستقبل متجه است، و خيار تبعّض نسبت به بقيه، محتمل است در مثل تعدّد اعتبارى اعمال، به تعدّد زمينهاى مورد مزارعه، به نحو جمع در عقد؛ و ثبوت بطلان در كل در صورت وحدت عملها به وحدت اتّصالى و اعتبارىِ زمينِ مورد مزارعه، محتمل است، و اللّٰه العالم</w:t>
      </w:r>
      <w:r>
        <w:rPr>
          <w:rFonts w:eastAsia="IRNazanin" w:cs="IRNazanin"/>
          <w:color w:val="111111"/>
          <w:sz w:val="28"/>
          <w:szCs w:val="28"/>
          <w:rtl w:val="true"/>
          <w:lang w:bidi="fa-IR"/>
        </w:rPr>
        <w:t>.</w:t>
      </w:r>
    </w:p>
    <w:p>
      <w:pPr>
        <w:pStyle w:val="Heading4"/>
        <w:numPr>
          <w:ilvl w:val="3"/>
          <w:numId w:val="1"/>
        </w:numPr>
        <w:rPr/>
      </w:pPr>
      <w:bookmarkStart w:id="1081" w:name="__RefHeading___Toc3598241_1067777946"/>
      <w:bookmarkStart w:id="1082" w:name="_Toc441"/>
      <w:bookmarkEnd w:id="1081"/>
      <w:r>
        <w:rPr>
          <w:rtl w:val="true"/>
        </w:rPr>
        <w:t>در شروط مزارعه است</w:t>
      </w:r>
      <w:bookmarkEnd w:id="1082"/>
    </w:p>
    <w:p>
      <w:pPr>
        <w:pStyle w:val="Heading5"/>
        <w:numPr>
          <w:ilvl w:val="4"/>
          <w:numId w:val="1"/>
        </w:numPr>
        <w:rPr/>
      </w:pPr>
      <w:bookmarkStart w:id="1083" w:name="__RefHeading___Toc3598243_1067777946"/>
      <w:bookmarkStart w:id="1084" w:name="_Toc442"/>
      <w:bookmarkEnd w:id="1083"/>
      <w:r>
        <w:rPr/>
        <w:t>1</w:t>
      </w:r>
      <w:r>
        <w:rPr>
          <w:rtl w:val="true"/>
        </w:rPr>
        <w:t xml:space="preserve">. </w:t>
      </w:r>
      <w:r>
        <w:rPr>
          <w:rtl w:val="true"/>
        </w:rPr>
        <w:t>مشاع بودن نما، بين طرفين</w:t>
      </w:r>
      <w:bookmarkEnd w:id="1084"/>
    </w:p>
    <w:p>
      <w:pPr>
        <w:pStyle w:val="Heading6"/>
        <w:numPr>
          <w:ilvl w:val="5"/>
          <w:numId w:val="1"/>
        </w:numPr>
        <w:rPr/>
      </w:pPr>
      <w:bookmarkStart w:id="1085" w:name="__RefHeading___Toc3598245_1067777946"/>
      <w:bookmarkStart w:id="1086" w:name="_Toc443"/>
      <w:bookmarkEnd w:id="1085"/>
      <w:r>
        <w:rPr>
          <w:rtl w:val="true"/>
        </w:rPr>
        <w:t>اشاره</w:t>
      </w:r>
      <w:bookmarkEnd w:id="10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اين است كه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طرفين مزارعه باشد، چه متساوى باشد يا مختلف؛ پس با اختصاص نما به يك طرف، يا اختصاص نماءِ بعض زمين به يك </w:t>
      </w:r>
      <w:bookmarkStart w:id="1087" w:name="pg10256_89517"/>
    </w:p>
    <w:p>
      <w:pPr>
        <w:pStyle w:val="BookText"/>
        <w:rPr/>
      </w:pPr>
      <w:bookmarkEnd w:id="1087"/>
      <w:r>
        <w:rPr>
          <w:rFonts w:ascii="IRNazanin" w:hAnsi="IRNazanin" w:eastAsia="IRNazanin"/>
          <w:color w:val="111111"/>
          <w:sz w:val="28"/>
          <w:sz w:val="28"/>
          <w:szCs w:val="28"/>
          <w:rtl w:val="true"/>
          <w:lang w:bidi="fa-IR"/>
        </w:rPr>
        <w:t>طرف، يا اختصاص قسمى از نما به طرفى و قسم ديگر به طرف ديگر، صحيح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مقدارى از نما را مخصوص به يكى و بقيه را مشاع قرار بدهند، پس اگر به طريق شرط در عقد مزارعۀ واقعه بر نماءِ مشاع باشد، به نحو شرط تمليك نسبت به بعضى از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تعلّق به خارج از نما، از درهم يا دينار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اگر داخل در عقد مزارعه به طور استثنا يا شرط نتيجه باشد، اظهر صحّت است بنابر صحّت شرط نتيجه در صورت عدم غرريّت در معامله و عقد مزارعه</w:t>
      </w:r>
      <w:r>
        <w:rPr>
          <w:rFonts w:eastAsia="IRNazanin" w:cs="IRNazanin"/>
          <w:color w:val="111111"/>
          <w:sz w:val="28"/>
          <w:szCs w:val="28"/>
          <w:rtl w:val="true"/>
          <w:lang w:bidi="fa-IR"/>
        </w:rPr>
        <w:t>.</w:t>
      </w:r>
    </w:p>
    <w:p>
      <w:pPr>
        <w:pStyle w:val="Heading6"/>
        <w:numPr>
          <w:ilvl w:val="5"/>
          <w:numId w:val="1"/>
        </w:numPr>
        <w:rPr/>
      </w:pPr>
      <w:bookmarkStart w:id="1088" w:name="__RefHeading___Toc3598247_1067777946"/>
      <w:bookmarkStart w:id="1089" w:name="_Toc444"/>
      <w:bookmarkEnd w:id="1088"/>
      <w:r>
        <w:rPr>
          <w:rtl w:val="true"/>
        </w:rPr>
        <w:t>كراهت اجارۀ زمين در صورت عوض قرار دادن گندم حاصل از همان زمين</w:t>
      </w:r>
      <w:bookmarkEnd w:id="1089"/>
    </w:p>
    <w:p>
      <w:pPr>
        <w:pStyle w:val="BookText"/>
        <w:rPr/>
      </w:pPr>
      <w:r>
        <w:rPr>
          <w:rFonts w:ascii="IRNazanin" w:hAnsi="IRNazanin" w:eastAsia="IRNazanin"/>
          <w:color w:val="111111"/>
          <w:sz w:val="28"/>
          <w:sz w:val="28"/>
          <w:szCs w:val="28"/>
          <w:rtl w:val="true"/>
          <w:lang w:bidi="fa-IR"/>
        </w:rPr>
        <w:t>مكروه است اجارۀ زمين براى زراعت گندم مثلاً، در صورتى كه عوض را گندم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گندمِ خارج از زراعت همان زمين را اجرت قرار دهد، احوط منع است؛ و هم چنين گندم خارج از زمين شخصى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گندم را در ذمّه قرار دهد و شرط نمايد اخراج آن را از زمين معيّنِ همان مورد اجاره يا غير آن، اظهر جواز است</w:t>
      </w:r>
      <w:r>
        <w:rPr>
          <w:rFonts w:eastAsia="IRNazanin" w:cs="IRNazanin"/>
          <w:color w:val="111111"/>
          <w:sz w:val="28"/>
          <w:szCs w:val="28"/>
          <w:rtl w:val="true"/>
          <w:lang w:bidi="fa-IR"/>
        </w:rPr>
        <w:t>.</w:t>
      </w:r>
    </w:p>
    <w:p>
      <w:pPr>
        <w:pStyle w:val="Heading5"/>
        <w:numPr>
          <w:ilvl w:val="4"/>
          <w:numId w:val="1"/>
        </w:numPr>
        <w:rPr/>
      </w:pPr>
      <w:bookmarkStart w:id="1090" w:name="__RefHeading___Toc3598249_1067777946"/>
      <w:bookmarkStart w:id="1091" w:name="_Toc445"/>
      <w:bookmarkEnd w:id="1090"/>
      <w:r>
        <w:rPr/>
        <w:t>2</w:t>
      </w:r>
      <w:r>
        <w:rPr>
          <w:rtl w:val="true"/>
        </w:rPr>
        <w:t xml:space="preserve">. </w:t>
      </w:r>
      <w:r>
        <w:rPr>
          <w:rtl w:val="true"/>
        </w:rPr>
        <w:t>تعيين مدّت</w:t>
      </w:r>
      <w:bookmarkEnd w:id="1091"/>
    </w:p>
    <w:p>
      <w:pPr>
        <w:pStyle w:val="Heading6"/>
        <w:numPr>
          <w:ilvl w:val="5"/>
          <w:numId w:val="1"/>
        </w:numPr>
        <w:rPr/>
      </w:pPr>
      <w:bookmarkStart w:id="1092" w:name="__RefHeading___Toc3598251_1067777946"/>
      <w:bookmarkStart w:id="1093" w:name="_Toc446"/>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 xml:space="preserve">و شرط است در صحّت مزارعه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ايام و شهور و سنين، به نحوى كه مقارن يا متأخّر از ادراك زرع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اكتفاى به تعيين مزروع و ادراك آن در صورت عادت غالبه در مدت آن بنحوى كه خالى از غرر باشد، خالى از وجه نيست</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3598253_1067777946"/>
      <w:bookmarkStart w:id="1095" w:name="_Toc447"/>
      <w:bookmarkEnd w:id="1094"/>
      <w:r>
        <w:rPr>
          <w:rtl w:val="true"/>
        </w:rPr>
        <w:t>فرض مضىّ مدّت و عدم ادراك زرع</w:t>
      </w:r>
      <w:bookmarkEnd w:id="109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حسب اتفاق، مدت مزارعۀ معينۀ به وقت خاصّ گذشت و زرع ادراك نشد پس در جواز ازالۀ مالك زمين، زرع را، اشكال است؛ و اظهر در صورت قصد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مفروض مزارعه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 و در صورتى كه وقوع تأخير ادراك به سبب تفريط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است جواز ازاله و تفريغ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تأمّل در بقاى استحقاق حصّه كه تفويت آن با تأخير عامل و ازالۀ مالك شده است؛ بلى در </w:t>
      </w:r>
      <w:bookmarkStart w:id="1096" w:name="pg10256_89518"/>
    </w:p>
    <w:p>
      <w:pPr>
        <w:pStyle w:val="BookText"/>
        <w:rPr/>
      </w:pPr>
      <w:bookmarkEnd w:id="1096"/>
      <w:r>
        <w:rPr>
          <w:rFonts w:ascii="IRNazanin" w:hAnsi="IRNazanin" w:eastAsia="IRNazanin"/>
          <w:color w:val="111111"/>
          <w:sz w:val="28"/>
          <w:sz w:val="28"/>
          <w:szCs w:val="28"/>
          <w:rtl w:val="true"/>
          <w:lang w:bidi="fa-IR"/>
        </w:rPr>
        <w:t>صورت رضاى مالك به بقاى زرع تا ادراك، با اجرت استحقاق آن از عامل تفريطكننده، متجه است نسبت به تمام زرع نه خصوص حصّۀ مالك؛ چنانچه مى تواند مجّاناً رضايت به ابقاى آن بدهد به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بقاى زرع ادراك شده كه جايز است تفريغ بعد از مطالبه و امتناع عامل و اذن حاكم يا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ازالۀ مالك بعد از تأخير ادراك با تفريط عامل، محتمل است استحقاق مالك، اجرة المثل زمين را در مدّت ماضيه؛ بلكه ثبوت استحقاق اجرت و انتفاى استحقاق حصّه كه منتفى است به سبب تضييع عامل و تضرّر مالك به بقا، خالى از وجه نيست</w:t>
      </w:r>
      <w:r>
        <w:rPr>
          <w:rFonts w:eastAsia="IRNazanin" w:cs="IRNazanin"/>
          <w:color w:val="111111"/>
          <w:sz w:val="28"/>
          <w:szCs w:val="28"/>
          <w:rtl w:val="true"/>
          <w:lang w:bidi="fa-IR"/>
        </w:rPr>
        <w:t>.</w:t>
      </w:r>
    </w:p>
    <w:p>
      <w:pPr>
        <w:pStyle w:val="Heading6"/>
        <w:numPr>
          <w:ilvl w:val="5"/>
          <w:numId w:val="1"/>
        </w:numPr>
        <w:rPr/>
      </w:pPr>
      <w:bookmarkStart w:id="1097" w:name="__RefHeading___Toc3598255_1067777946"/>
      <w:bookmarkStart w:id="1098" w:name="_Toc448"/>
      <w:bookmarkEnd w:id="1097"/>
      <w:r>
        <w:rPr>
          <w:rtl w:val="true"/>
        </w:rPr>
        <w:t>نقص فاحش حاصل به تفريط عامل</w:t>
      </w:r>
      <w:bookmarkEnd w:id="1098"/>
    </w:p>
    <w:p>
      <w:pPr>
        <w:pStyle w:val="BookText"/>
        <w:rPr/>
      </w:pPr>
      <w:r>
        <w:rPr>
          <w:rFonts w:ascii="IRNazanin" w:hAnsi="IRNazanin" w:eastAsia="IRNazanin"/>
          <w:color w:val="111111"/>
          <w:sz w:val="28"/>
          <w:sz w:val="28"/>
          <w:szCs w:val="28"/>
          <w:rtl w:val="true"/>
          <w:lang w:bidi="fa-IR"/>
        </w:rPr>
        <w:t xml:space="preserve">و اگر به سبب تفريطِ عامل، نقص فاحشى در حاصل شد، پس ثبوت ارش براى حصّۀ مالك، محتمل است، 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 سبب نقص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چيزى نيست</w:t>
      </w:r>
      <w:r>
        <w:rPr>
          <w:rFonts w:eastAsia="IRNazanin" w:cs="IRNazanin"/>
          <w:color w:val="111111"/>
          <w:sz w:val="28"/>
          <w:szCs w:val="28"/>
          <w:rtl w:val="true"/>
          <w:lang w:bidi="fa-IR"/>
        </w:rPr>
        <w:t>.</w:t>
      </w:r>
    </w:p>
    <w:p>
      <w:pPr>
        <w:pStyle w:val="Heading6"/>
        <w:numPr>
          <w:ilvl w:val="5"/>
          <w:numId w:val="1"/>
        </w:numPr>
        <w:rPr/>
      </w:pPr>
      <w:bookmarkStart w:id="1099" w:name="__RefHeading___Toc3598257_1067777946"/>
      <w:bookmarkStart w:id="1100" w:name="_Toc449"/>
      <w:bookmarkEnd w:id="1099"/>
      <w:r>
        <w:rPr>
          <w:rtl w:val="true"/>
        </w:rPr>
        <w:t>اتفاق طرفين بر ابقاى زرع بعد از مدّت اجاره</w:t>
      </w:r>
      <w:bookmarkEnd w:id="1100"/>
    </w:p>
    <w:p>
      <w:pPr>
        <w:pStyle w:val="BookText"/>
        <w:rPr/>
      </w:pPr>
      <w:r>
        <w:rPr>
          <w:rFonts w:ascii="IRNazanin" w:hAnsi="IRNazanin" w:eastAsia="IRNazanin"/>
          <w:color w:val="111111"/>
          <w:sz w:val="28"/>
          <w:sz w:val="28"/>
          <w:szCs w:val="28"/>
          <w:rtl w:val="true"/>
          <w:lang w:bidi="fa-IR"/>
        </w:rPr>
        <w:t>اگر مالك و عامل اتّفاق كردند بر ابقاى زرع بعد از مدّت اجاره و قبل از ادراك، در صورت عدم استحقاق، ابقا جايز است اگر چه به عوض باشد و مجّانى نباشد؛ و اگر تعيين عوض شد با عقد اجاره، بايد مدت ابقا، معيَّن باشد؛ و اگر با صلح شد، تعيين مدّت لازم نيست؛ و اگر تعيينِ عوض نشد، اجرة المثل يا آنچه بر آن توافق در ظرف اداى حق مى 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استحقاق قلع، اظهر عدم استحقاق اجرت بر ابقا است تا زمان ادراك</w:t>
      </w:r>
      <w:r>
        <w:rPr>
          <w:rFonts w:eastAsia="IRNazanin" w:cs="IRNazanin"/>
          <w:color w:val="111111"/>
          <w:sz w:val="28"/>
          <w:szCs w:val="28"/>
          <w:rtl w:val="true"/>
          <w:lang w:bidi="fa-IR"/>
        </w:rPr>
        <w:t>.</w:t>
      </w:r>
    </w:p>
    <w:p>
      <w:pPr>
        <w:pStyle w:val="Heading6"/>
        <w:numPr>
          <w:ilvl w:val="5"/>
          <w:numId w:val="1"/>
        </w:numPr>
        <w:rPr/>
      </w:pPr>
      <w:bookmarkStart w:id="1101" w:name="__RefHeading___Toc3598259_1067777946"/>
      <w:bookmarkStart w:id="1102" w:name="_Toc450"/>
      <w:bookmarkEnd w:id="1101"/>
      <w:r>
        <w:rPr>
          <w:rtl w:val="true"/>
        </w:rPr>
        <w:t>شرط استحقاق ابقا يا عدم قلع در عقد مزارعه</w:t>
      </w:r>
      <w:bookmarkEnd w:id="11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ضمن عقد مزارعه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تعيين مدّت به نحو مصحَّح در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شد استحقاق ابقا بعد از مدّت بر تقدير عدم ادراك، يا عدم قلع در رأس مدّت، با اجرت معيّنه يا غير معيّنه، يا بدون اجرت، اظهر نفوذ شرط و عدم استحقاق قلع حتى در صورت تفريط عامل است؛ و در صورت تعلّق شرط به عدم مجانيّت، </w:t>
      </w:r>
      <w:bookmarkStart w:id="1103" w:name="pg10256_89519"/>
    </w:p>
    <w:p>
      <w:pPr>
        <w:pStyle w:val="BookText"/>
        <w:rPr/>
      </w:pPr>
      <w:bookmarkEnd w:id="1103"/>
      <w:r>
        <w:rPr>
          <w:rFonts w:ascii="IRNazanin" w:hAnsi="IRNazanin" w:eastAsia="IRNazanin"/>
          <w:color w:val="111111"/>
          <w:sz w:val="28"/>
          <w:sz w:val="28"/>
          <w:szCs w:val="28"/>
          <w:rtl w:val="true"/>
          <w:lang w:bidi="fa-IR"/>
        </w:rPr>
        <w:t>استحقاق اجرة المثل يا اجرت معيّنه،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متعلّق به ابقاى تا مدّت معيّنه بعد از مدّت مزارعه، به نحو عقلايى تعلّق بگيرد</w:t>
      </w:r>
      <w:r>
        <w:rPr>
          <w:rFonts w:eastAsia="IRNazanin" w:cs="IRNazanin"/>
          <w:color w:val="111111"/>
          <w:sz w:val="28"/>
          <w:szCs w:val="28"/>
          <w:rtl w:val="true"/>
          <w:lang w:bidi="fa-IR"/>
        </w:rPr>
        <w:t>.</w:t>
      </w:r>
    </w:p>
    <w:p>
      <w:pPr>
        <w:pStyle w:val="Heading6"/>
        <w:numPr>
          <w:ilvl w:val="5"/>
          <w:numId w:val="1"/>
        </w:numPr>
        <w:rPr/>
      </w:pPr>
      <w:bookmarkStart w:id="1104" w:name="__RefHeading___Toc3598261_1067777946"/>
      <w:bookmarkStart w:id="1105" w:name="_Toc451"/>
      <w:bookmarkEnd w:id="1104"/>
      <w:r>
        <w:rPr>
          <w:rtl w:val="true"/>
        </w:rPr>
        <w:t>اگر عامل زراعت را ترك نمايد و يا به مالك تسليم نكند</w:t>
      </w:r>
      <w:bookmarkEnd w:id="1105"/>
    </w:p>
    <w:p>
      <w:pPr>
        <w:pStyle w:val="BookText"/>
        <w:rPr/>
      </w:pPr>
      <w:r>
        <w:rPr>
          <w:rFonts w:ascii="IRNazanin" w:hAnsi="IRNazanin" w:eastAsia="IRNazanin"/>
          <w:color w:val="111111"/>
          <w:sz w:val="28"/>
          <w:sz w:val="28"/>
          <w:szCs w:val="28"/>
          <w:rtl w:val="true"/>
          <w:lang w:bidi="fa-IR"/>
        </w:rPr>
        <w:t>اگر عامل كه مستأجر باشد، از روى اختيار، ترك زراعت كرد تا گذشتن مدّت معيّنه، بر او است اجرت معيّنه در عقد اگر استيجار شده بوده؛ و اگر عقد مزارعه يا اجاره واقع نشده بوده بلكه مأذون در عمل به اجرت در مدّت معيّنه بوده، بر او است اجرة المثل زمين در آن مدّت، و مالك، مختص به آن است در هر دو عقد با فرض عدم عمل، در صورتى كه تسليم زمين و تمكين از عمل در آن كرده بوده است، وگرنه حقّى بر عامل ندارد؛ بلكه عامل، مستحق بدل آنچه تفويت بر او شده است، بر مالك است در صورتى كه حاضر براى عمل بوده، و مطالبۀ تسليم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عقد مزارعه ترك عمل كرد از روى اختيار با تسليم زمين، استحقاق اجرة المثل براى مالك، مثل اجاره اگر متعقّب به ترك باشد، بى وجه نيست</w:t>
      </w:r>
      <w:r>
        <w:rPr>
          <w:rFonts w:eastAsia="IRNazanin" w:cs="IRNazanin"/>
          <w:color w:val="111111"/>
          <w:sz w:val="28"/>
          <w:szCs w:val="28"/>
          <w:rtl w:val="true"/>
          <w:lang w:bidi="fa-IR"/>
        </w:rPr>
        <w:t>.</w:t>
      </w:r>
    </w:p>
    <w:p>
      <w:pPr>
        <w:pStyle w:val="Heading6"/>
        <w:numPr>
          <w:ilvl w:val="5"/>
          <w:numId w:val="1"/>
        </w:numPr>
        <w:rPr/>
      </w:pPr>
      <w:bookmarkStart w:id="1106" w:name="__RefHeading___Toc3598263_1067777946"/>
      <w:bookmarkStart w:id="1107" w:name="_Toc452"/>
      <w:bookmarkEnd w:id="1106"/>
      <w:r>
        <w:rPr>
          <w:rtl w:val="true"/>
        </w:rPr>
        <w:t>ارش نقص زمين در فرض مسأله</w:t>
      </w:r>
      <w:bookmarkEnd w:id="1107"/>
    </w:p>
    <w:p>
      <w:pPr>
        <w:pStyle w:val="BookText"/>
        <w:rPr/>
      </w:pPr>
      <w:r>
        <w:rPr>
          <w:rFonts w:ascii="IRNazanin" w:hAnsi="IRNazanin" w:eastAsia="IRNazanin"/>
          <w:color w:val="111111"/>
          <w:sz w:val="28"/>
          <w:sz w:val="28"/>
          <w:szCs w:val="28"/>
          <w:rtl w:val="true"/>
          <w:lang w:bidi="fa-IR"/>
        </w:rPr>
        <w:t>و اگر نقصى در زمين حاصل شده به واسطۀ ترك عمل در يك سال با تفريط عامل، استحقاق مالك، ارش آن را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استحقاق اجرت و ارش مذكور است در صورت عدم تفريط عامل در مقابل تفريط مالك، نه در مقابل جواز تكليفى بر عامل؛ پس تفريط عامل با جواز ترك عمل تكليفاً منافى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فرق بين اجاره و مزارعه در حكم متقدّم است؛ يعنى در ضمان اجرة المثل و ارش نقص در صورت تفريط عامل، و عدم آنها در صورت تفريط مالك،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3598265_1067777946"/>
      <w:bookmarkStart w:id="1109" w:name="_Toc453"/>
      <w:bookmarkEnd w:id="1108"/>
      <w:r>
        <w:rPr/>
        <w:t>3</w:t>
      </w:r>
      <w:r>
        <w:rPr>
          <w:rtl w:val="true"/>
        </w:rPr>
        <w:t xml:space="preserve">. </w:t>
      </w:r>
      <w:r>
        <w:rPr>
          <w:rtl w:val="true"/>
        </w:rPr>
        <w:t>امكان انتفاع از زمين</w:t>
      </w:r>
      <w:bookmarkEnd w:id="1109"/>
    </w:p>
    <w:p>
      <w:pPr>
        <w:pStyle w:val="Heading6"/>
        <w:numPr>
          <w:ilvl w:val="5"/>
          <w:numId w:val="1"/>
        </w:numPr>
        <w:rPr/>
      </w:pPr>
      <w:bookmarkStart w:id="1110" w:name="__RefHeading___Toc3598267_1067777946"/>
      <w:bookmarkStart w:id="1111" w:name="_Toc454"/>
      <w:bookmarkEnd w:id="1110"/>
      <w:r>
        <w:rPr>
          <w:rtl w:val="true"/>
        </w:rPr>
        <w:t>اشاره</w:t>
      </w:r>
      <w:bookmarkEnd w:id="111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است در صحّت عقد مزارعه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غالب در عمل مقصود </w:t>
      </w:r>
      <w:bookmarkStart w:id="1112" w:name="pg10256_89520"/>
    </w:p>
    <w:p>
      <w:pPr>
        <w:pStyle w:val="BookText"/>
        <w:rPr/>
      </w:pPr>
      <w:bookmarkEnd w:id="1112"/>
      <w:r>
        <w:rPr>
          <w:rFonts w:ascii="IRNazanin" w:hAnsi="IRNazanin" w:eastAsia="IRNazanin"/>
          <w:color w:val="111111"/>
          <w:sz w:val="28"/>
          <w:sz w:val="28"/>
          <w:szCs w:val="28"/>
          <w:rtl w:val="true"/>
          <w:lang w:bidi="fa-IR"/>
        </w:rPr>
        <w:t>به مزارعه؛ به مثل داشتن آب به طريق معتاد در آن زمين؛ پس مشكل است اكتفاى به احتمال غير غالب به نحوى كه موجب غرريّت معامله باشد، اگر چه قابل صحّت به مثل صلح يا شرط در ضمنِ عقد لازم باشد؛ و هم چنين صورت واقعيّت امكان انتفاع و وسايل آن با جهل متعاملين به آن، به خلاف آنكه در اعتقاد، ممكن الانتفاع در حين عقد بوده، پس از آن كشف امتناع شده و قبل از عمل، امكان، متجدّد باشد، كه صحّت آن بى وجه نيست</w:t>
      </w:r>
      <w:r>
        <w:rPr>
          <w:rFonts w:eastAsia="IRNazanin" w:cs="IRNazanin"/>
          <w:color w:val="111111"/>
          <w:sz w:val="28"/>
          <w:szCs w:val="28"/>
          <w:rtl w:val="true"/>
          <w:lang w:bidi="fa-IR"/>
        </w:rPr>
        <w:t>.</w:t>
      </w:r>
    </w:p>
    <w:p>
      <w:pPr>
        <w:pStyle w:val="Heading6"/>
        <w:numPr>
          <w:ilvl w:val="5"/>
          <w:numId w:val="1"/>
        </w:numPr>
        <w:rPr/>
      </w:pPr>
      <w:bookmarkStart w:id="1113" w:name="__RefHeading___Toc3598269_1067777946"/>
      <w:bookmarkStart w:id="1114" w:name="_Toc455"/>
      <w:bookmarkEnd w:id="1113"/>
      <w:r>
        <w:rPr>
          <w:rtl w:val="true"/>
        </w:rPr>
        <w:t>انكشاف عدم امكان انتفاع</w:t>
      </w:r>
      <w:bookmarkEnd w:id="1114"/>
    </w:p>
    <w:p>
      <w:pPr>
        <w:pStyle w:val="BookText"/>
        <w:rPr/>
      </w:pPr>
      <w:r>
        <w:rPr>
          <w:rFonts w:ascii="IRNazanin" w:hAnsi="IRNazanin" w:eastAsia="IRNazanin"/>
          <w:color w:val="111111"/>
          <w:sz w:val="28"/>
          <w:sz w:val="28"/>
          <w:szCs w:val="28"/>
          <w:rtl w:val="true"/>
          <w:lang w:bidi="fa-IR"/>
        </w:rPr>
        <w:t>و اگر به اعتقاد داشتن آب و امكان آن، عقد مزارعه يا اجارۀ زراعت نمودند، پس از عقد معلوم شد عدم امكان، پس در صحّت عقد با خيار فسخ، يا بطلان آن به جهت انتفاى مقوّم مورد معامله واقعاً، تردّد است و راجح، دوّم است</w:t>
      </w:r>
      <w:r>
        <w:rPr>
          <w:rFonts w:eastAsia="IRNazanin" w:cs="IRNazanin"/>
          <w:color w:val="111111"/>
          <w:sz w:val="28"/>
          <w:szCs w:val="28"/>
          <w:rtl w:val="true"/>
          <w:lang w:bidi="fa-IR"/>
        </w:rPr>
        <w:t>.</w:t>
      </w:r>
    </w:p>
    <w:p>
      <w:pPr>
        <w:pStyle w:val="Heading6"/>
        <w:numPr>
          <w:ilvl w:val="5"/>
          <w:numId w:val="1"/>
        </w:numPr>
        <w:rPr/>
      </w:pPr>
      <w:bookmarkStart w:id="1115" w:name="__RefHeading___Toc3598271_1067777946"/>
      <w:bookmarkStart w:id="1116" w:name="_Toc456"/>
      <w:bookmarkEnd w:id="1115"/>
      <w:r>
        <w:rPr>
          <w:rtl w:val="true"/>
        </w:rPr>
        <w:t>انقطاع آب در اثناى مدّت و عمل</w:t>
      </w:r>
      <w:bookmarkEnd w:id="1116"/>
    </w:p>
    <w:p>
      <w:pPr>
        <w:pStyle w:val="BookText"/>
        <w:rPr/>
      </w:pPr>
      <w:r>
        <w:rPr>
          <w:rFonts w:ascii="IRNazanin" w:hAnsi="IRNazanin" w:eastAsia="IRNazanin"/>
          <w:color w:val="111111"/>
          <w:sz w:val="28"/>
          <w:sz w:val="28"/>
          <w:szCs w:val="28"/>
          <w:rtl w:val="true"/>
          <w:lang w:bidi="fa-IR"/>
        </w:rPr>
        <w:t xml:space="preserve">اگر در اثناى مدت و عمل، انقطاع ماء شد، بنحوى كه ممكن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تضرر عامل به نحو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مخصوصه، پس در اجاره، انفساخ در باقىِ مدّت در صورت عدم امكان، و خيار فسخِ عاملِ جاهل در صورت تضرّر، متّجه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انفساخ يا فسخ در بقيّه، قسط ماضى از مدّت از اجرت براى مالك است؛ و در مزارعه، بطلان عقد متّجه است در صورت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خيار فسخ در تمام مدّت در صورت امكان با تضرّر، متّجه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مالك اجرة المثل زمين را در مدّت ماضيه، محل تأمّل است</w:t>
      </w:r>
      <w:r>
        <w:rPr>
          <w:rFonts w:eastAsia="IRNazanin" w:cs="IRNazanin"/>
          <w:color w:val="111111"/>
          <w:sz w:val="28"/>
          <w:szCs w:val="28"/>
          <w:rtl w:val="true"/>
          <w:lang w:bidi="fa-IR"/>
        </w:rPr>
        <w:t>.</w:t>
      </w:r>
    </w:p>
    <w:p>
      <w:pPr>
        <w:pStyle w:val="Heading6"/>
        <w:numPr>
          <w:ilvl w:val="5"/>
          <w:numId w:val="1"/>
        </w:numPr>
        <w:rPr/>
      </w:pPr>
      <w:bookmarkStart w:id="1117" w:name="__RefHeading___Toc3598273_1067777946"/>
      <w:bookmarkStart w:id="1118" w:name="_Toc457"/>
      <w:bookmarkEnd w:id="1117"/>
      <w:r>
        <w:rPr>
          <w:rtl w:val="true"/>
        </w:rPr>
        <w:t>اختيار تعيين نوع زرع</w:t>
      </w:r>
      <w:bookmarkEnd w:id="11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 عدم تقييد و تعيين در عقد مزارعه، اختيار تعيين زرع به حسب نوع و خصوصيات، با عامل است در صورت عدم انصراف يا قرينه بر نوع مخصوص و 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صورتى كه قرار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بذر با يكى از مالك يا عامل </w:t>
      </w:r>
      <w:bookmarkStart w:id="1119" w:name="pg10256_89521"/>
    </w:p>
    <w:p>
      <w:pPr>
        <w:pStyle w:val="BookText"/>
        <w:rPr/>
      </w:pPr>
      <w:bookmarkEnd w:id="1119"/>
      <w:r>
        <w:rPr>
          <w:rFonts w:ascii="Amiri" w:hAnsi="Amiri" w:eastAsia="Amiri" w:cs="Amiri"/>
          <w:color w:val="111111"/>
          <w:sz w:val="28"/>
          <w:sz w:val="28"/>
          <w:szCs w:val="28"/>
          <w:rtl w:val="true"/>
          <w:lang w:bidi="ar-SA"/>
        </w:rPr>
        <w:t>باشد، اختيار نوع با او است</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3598275_1067777946"/>
      <w:bookmarkStart w:id="1121" w:name="_Toc458"/>
      <w:bookmarkEnd w:id="1120"/>
      <w:r>
        <w:rPr>
          <w:rtl w:val="true"/>
        </w:rPr>
        <w:t>تعيين زرع مخصوص در ضمن عقد و تخلّف از آن</w:t>
      </w:r>
      <w:bookmarkEnd w:id="1121"/>
    </w:p>
    <w:p>
      <w:pPr>
        <w:pStyle w:val="BookText"/>
        <w:rPr/>
      </w:pPr>
      <w:r>
        <w:rPr>
          <w:rFonts w:ascii="IRNazanin" w:hAnsi="IRNazanin" w:eastAsia="IRNazanin"/>
          <w:color w:val="111111"/>
          <w:sz w:val="28"/>
          <w:sz w:val="28"/>
          <w:szCs w:val="28"/>
          <w:rtl w:val="true"/>
          <w:lang w:bidi="fa-IR"/>
        </w:rPr>
        <w:t>و اگر در ضمن عقد، تعيين زرع مخصوصى شد، پس اگر به نحو دخول اضافه در طرف عقد باشد، با زرع غير آن استحقاق حصه ندارد، بلكه مستحق اجرة المثل است با ارش نقصِ حاصل به اضرّ بودن زرع اگر باشد؛ و اگر به نحو اشتراط در ضمن عقد باشد، اختيار فسخ معامله دارد و مطالبۀ اجرة المثل و ارش نقص اگر باشد، و در ملاحظه، داخل در اجرت نشود؛ و با عدم فسخ، استحقاق مسمّىٰ و ارش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تعيين زرع، أخفّ ضرراً بر زمين را زارع اختيار كرد، پس با احراز رضاى مالك، به اولويّت، استحقاق مسمّى ثابت است بدون خيار؛ و با عدم آن، استحقاق مسمّى ثابت نيست در مزارعه، بلكه مستحق اجرة المثل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تعيين، به نحو شرط بوده نه تمليك منفعت خاصّه، اختيار فسخ ثابت است براى مالك، و در صورت فسخ، اجرة المثل زمين را مستحق است، و در صورت امضا، اجرت مسمّات را مستحق است؛ و محتمل است صحّت عقد مزارعه در صورت تعيين منفعت خاصّه كه از روى اختيار محقّق نشده و رجوع به ماليّت حصّۀ متعذّره، مثل اجاره اگر اجرت، نوع متعذّر باشد؛ و در عقد اجاره، استحقاق اجرت مسمّات ثابت است، مثل صورت ترك انتفاع از روى اختيار</w:t>
      </w:r>
      <w:r>
        <w:rPr>
          <w:rFonts w:eastAsia="IRNazanin" w:cs="IRNazanin"/>
          <w:color w:val="111111"/>
          <w:sz w:val="28"/>
          <w:szCs w:val="28"/>
          <w:rtl w:val="true"/>
          <w:lang w:bidi="fa-IR"/>
        </w:rPr>
        <w:t>.</w:t>
      </w:r>
    </w:p>
    <w:p>
      <w:pPr>
        <w:pStyle w:val="Heading6"/>
        <w:numPr>
          <w:ilvl w:val="5"/>
          <w:numId w:val="1"/>
        </w:numPr>
        <w:rPr/>
      </w:pPr>
      <w:bookmarkStart w:id="1122" w:name="__RefHeading___Toc3598277_1067777946"/>
      <w:bookmarkStart w:id="1123" w:name="_Toc459"/>
      <w:bookmarkEnd w:id="1122"/>
      <w:r>
        <w:rPr>
          <w:rtl w:val="true"/>
        </w:rPr>
        <w:t>انكشاف عدم وجود آب در واقع</w:t>
      </w:r>
      <w:bookmarkEnd w:id="11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مزارعه يا استيجار زمين براى زراعت واقع شد و در واقع بدون آب بوده، پس با عدم امكان اجراى آب، باطل است؛ و با امكان و تضرر عامل و منتفع، خيار فسخ، ثابت است با جهل او به حال زمين از حيث آب</w:t>
      </w:r>
      <w:r>
        <w:rPr>
          <w:rFonts w:eastAsia="IRNazanin" w:cs="IRNazanin"/>
          <w:color w:val="111111"/>
          <w:sz w:val="28"/>
          <w:szCs w:val="28"/>
          <w:rtl w:val="true"/>
          <w:lang w:bidi="fa-IR"/>
        </w:rPr>
        <w:t xml:space="preserve">. </w:t>
      </w:r>
      <w:bookmarkStart w:id="1124" w:name="pg10256_89522"/>
    </w:p>
    <w:p>
      <w:pPr>
        <w:pStyle w:val="Heading6"/>
        <w:numPr>
          <w:ilvl w:val="5"/>
          <w:numId w:val="1"/>
        </w:numPr>
        <w:rPr/>
      </w:pPr>
      <w:bookmarkStart w:id="1125" w:name="__RefHeading___Toc3598279_1067777946"/>
      <w:bookmarkStart w:id="1126" w:name="_Toc460"/>
      <w:bookmarkEnd w:id="1124"/>
      <w:bookmarkEnd w:id="1125"/>
      <w:r>
        <w:rPr>
          <w:rtl w:val="true"/>
        </w:rPr>
        <w:t>عدم تقييد عقد استيجار به زراعت در فرض مسأله</w:t>
      </w:r>
      <w:bookmarkEnd w:id="1126"/>
    </w:p>
    <w:p>
      <w:pPr>
        <w:pStyle w:val="BookText"/>
        <w:rPr/>
      </w:pPr>
      <w:r>
        <w:rPr>
          <w:rFonts w:ascii="IRNazanin" w:hAnsi="IRNazanin" w:eastAsia="IRNazanin"/>
          <w:color w:val="111111"/>
          <w:sz w:val="28"/>
          <w:sz w:val="28"/>
          <w:szCs w:val="28"/>
          <w:rtl w:val="true"/>
          <w:lang w:bidi="fa-IR"/>
        </w:rPr>
        <w:t>و اگر در استيجار، تقييد به زراعت نباشد، اگر چه از طريق انصراف يا قراين خاصّه باشد، امكان انتفاع ديگرى كه مقصود از استيجار آن زمين است به حسب قرينۀ خاصّه يا انصراف، يا مطلق انتفاع در صورتى كه انصراف يا قرينه نباشد، لازم است، و اگر امكانِ هيچ انتفاعى نباشد، باطل است؛ و اگر امكان انتفاع باشد، لكن خالى از ضرر منفى مجهول در شخص معامله نباشد، صحيح و مورد خيار براى مستأجرِ جاهل است</w:t>
      </w:r>
      <w:r>
        <w:rPr>
          <w:rFonts w:eastAsia="IRNazanin" w:cs="IRNazanin"/>
          <w:color w:val="111111"/>
          <w:sz w:val="28"/>
          <w:szCs w:val="28"/>
          <w:rtl w:val="true"/>
          <w:lang w:bidi="fa-IR"/>
        </w:rPr>
        <w:t>.</w:t>
      </w:r>
    </w:p>
    <w:p>
      <w:pPr>
        <w:pStyle w:val="Heading6"/>
        <w:numPr>
          <w:ilvl w:val="5"/>
          <w:numId w:val="1"/>
        </w:numPr>
        <w:rPr/>
      </w:pPr>
      <w:bookmarkStart w:id="1127" w:name="__RefHeading___Toc3598281_1067777946"/>
      <w:bookmarkStart w:id="1128" w:name="_Toc461"/>
      <w:bookmarkEnd w:id="1127"/>
      <w:r>
        <w:rPr>
          <w:rtl w:val="true"/>
        </w:rPr>
        <w:t>فرض عدم انقطاع آب</w:t>
      </w:r>
      <w:bookmarkEnd w:id="1128"/>
    </w:p>
    <w:p>
      <w:pPr>
        <w:pStyle w:val="BookText"/>
        <w:rPr/>
      </w:pPr>
      <w:r>
        <w:rPr>
          <w:rFonts w:ascii="IRNazanin" w:hAnsi="IRNazanin" w:eastAsia="IRNazanin"/>
          <w:color w:val="111111"/>
          <w:sz w:val="28"/>
          <w:sz w:val="28"/>
          <w:szCs w:val="28"/>
          <w:rtl w:val="true"/>
          <w:lang w:bidi="fa-IR"/>
        </w:rPr>
        <w:t>و اگر زمين، مزارعه شد، يا استيجار به شرط زراعت شد، بعد معلوم شد كه آب از آن قطع نمى شود، مزارعه باطل است، و استيجار با امكان ساير انتفاعات، صحيح است و خيار تخلّف شرط در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انقطاع آب، قليل باشد و انتفاع به زراعت فى الجمله ممكن باشد، پس صحيح است مزارعه و استيجار براى زراعت، لكن با جهل به نقص انتفاع مخصوص مقصود، خيار ثابت است براى عامل و منتفع؛ و بايد مورد حكم به صحّت معامله، از غرر خارج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زايد بر مسامحه و بر معتاد زمين به ازيد از تسامح اگر اتّفاقى نباشد، معلوم باشد در معامله</w:t>
      </w:r>
      <w:r>
        <w:rPr>
          <w:rFonts w:eastAsia="IRNazanin" w:cs="IRNazanin"/>
          <w:color w:val="111111"/>
          <w:sz w:val="28"/>
          <w:szCs w:val="28"/>
          <w:rtl w:val="true"/>
          <w:lang w:bidi="fa-IR"/>
        </w:rPr>
        <w:t>.</w:t>
      </w:r>
    </w:p>
    <w:p>
      <w:pPr>
        <w:pStyle w:val="Heading6"/>
        <w:numPr>
          <w:ilvl w:val="5"/>
          <w:numId w:val="1"/>
        </w:numPr>
        <w:rPr/>
      </w:pPr>
      <w:bookmarkStart w:id="1129" w:name="__RefHeading___Toc3598283_1067777946"/>
      <w:bookmarkStart w:id="1130" w:name="_Toc462"/>
      <w:bookmarkEnd w:id="1129"/>
      <w:r>
        <w:rPr>
          <w:rtl w:val="true"/>
        </w:rPr>
        <w:t>لزوم تعيين قدر، غرس يا زرع</w:t>
      </w:r>
      <w:bookmarkEnd w:id="113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استيجار يا مزارعه، تعلّق به غرس و زرع گرفت، بايد در معامله تعيين قدر بشود بنحوى كه از غرر خارج بشود با اختلاف در ضرر وارد بر زمين، وگرنه صحيح نيست با اختلاف فاحش، مگر تصريح به عموم يا اضرّ فما دون در معامله بشود بنحوى كه معامله، عقلايى باشد؛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غرسها يا زرعها اگر به حسب انواع، اختلاف ضرر در زمين داشته باشند</w:t>
      </w:r>
      <w:r>
        <w:rPr>
          <w:rFonts w:eastAsia="IRNazanin" w:cs="IRNazanin"/>
          <w:color w:val="111111"/>
          <w:sz w:val="28"/>
          <w:szCs w:val="28"/>
          <w:rtl w:val="true"/>
          <w:lang w:bidi="fa-IR"/>
        </w:rPr>
        <w:t xml:space="preserve">. </w:t>
      </w:r>
      <w:bookmarkStart w:id="1131" w:name="pg10256_89523"/>
    </w:p>
    <w:p>
      <w:pPr>
        <w:pStyle w:val="Heading6"/>
        <w:numPr>
          <w:ilvl w:val="5"/>
          <w:numId w:val="1"/>
        </w:numPr>
        <w:rPr/>
      </w:pPr>
      <w:bookmarkStart w:id="1132" w:name="__RefHeading___Toc3598285_1067777946"/>
      <w:bookmarkStart w:id="1133" w:name="_Toc463"/>
      <w:bookmarkEnd w:id="1131"/>
      <w:bookmarkEnd w:id="1132"/>
      <w:r>
        <w:rPr>
          <w:rtl w:val="true"/>
        </w:rPr>
        <w:t>استيجار براى درختى كه بعد از مدت قرارداد باقى مى ماند</w:t>
      </w:r>
      <w:bookmarkEnd w:id="113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استيجار نمود زمينى را براى كاشتن درختى كه بعد از مدت، غالباً باقى مى ماند، صحيح است؛ و با استفادۀ اذنِ ضمنىِ اجارى در اين گونه انتفاع، اظهر لزوم ابقا است با اجرت بر مالك و اين گونه حق، الزام به قلع ندارد اگر چه ارش بدهد؛ و مى تواند مستأجر بعد از مدّت ثانياً استيجار نمايد تا مدّتى كه مى خواهد باقى باشد؛ و هم چنين است حكم مزارعه با توافق در خصوصيّات مذكوره مفروضه در اجاره</w:t>
      </w:r>
      <w:r>
        <w:rPr>
          <w:rFonts w:eastAsia="IRNazanin" w:cs="IRNazanin"/>
          <w:color w:val="111111"/>
          <w:sz w:val="28"/>
          <w:szCs w:val="28"/>
          <w:rtl w:val="true"/>
          <w:lang w:bidi="fa-IR"/>
        </w:rPr>
        <w:t xml:space="preserve">. </w:t>
      </w:r>
      <w:bookmarkStart w:id="1134" w:name="pg10256_89524"/>
    </w:p>
    <w:p>
      <w:pPr>
        <w:pStyle w:val="Heading3"/>
        <w:numPr>
          <w:ilvl w:val="2"/>
          <w:numId w:val="1"/>
        </w:numPr>
        <w:rPr/>
      </w:pPr>
      <w:bookmarkStart w:id="1135" w:name="__RefHeading___Toc3598287_1067777946"/>
      <w:bookmarkStart w:id="1136" w:name="_Toc464"/>
      <w:bookmarkEnd w:id="1134"/>
      <w:bookmarkEnd w:id="1135"/>
      <w:r>
        <w:rPr>
          <w:rtl w:val="true"/>
        </w:rPr>
        <w:t>فصل دوّم احكام مزارعه</w:t>
      </w:r>
      <w:bookmarkEnd w:id="1136"/>
    </w:p>
    <w:p>
      <w:pPr>
        <w:pStyle w:val="Heading4"/>
        <w:numPr>
          <w:ilvl w:val="3"/>
          <w:numId w:val="1"/>
        </w:numPr>
        <w:rPr/>
      </w:pPr>
      <w:bookmarkStart w:id="1137" w:name="__RefHeading___Toc3598289_1067777946"/>
      <w:bookmarkStart w:id="1138" w:name="_Toc465"/>
      <w:bookmarkEnd w:id="1137"/>
      <w:r>
        <w:rPr>
          <w:rtl w:val="true"/>
        </w:rPr>
        <w:t>جواز صور مختلف مزارعه</w:t>
      </w:r>
      <w:bookmarkEnd w:id="1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جميع صور متصوّرۀ مزارعه بين مالك و عامل، در اختصاص بذر و عوامل به يكىِ معيّن، يا تشريك در آنها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بنابر اظهر جعل عقد مزارعه بين چهار نفر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عامل و مالك و صاحب بذر و صاحب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تعيين خصوصيات در متن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محكىّ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حكايت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خلاف احتياط است با امكان وصول به نتيجه به نحو ديگر، كما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اجارۀ حقيقيّه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مجازيّه كه مقصود از آن مزارعه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اقسام با محفوظيّت حصّه در مقابل منفعت زمين، جايز نيست؛ به جهت عدم معلوميّت عوض و عدم كفايت حصّه در آن، چنانچه در مزارعه كافى است</w:t>
      </w:r>
      <w:r>
        <w:rPr>
          <w:rFonts w:eastAsia="IRNazanin" w:cs="IRNazanin"/>
          <w:color w:val="111111"/>
          <w:sz w:val="28"/>
          <w:szCs w:val="28"/>
          <w:rtl w:val="true"/>
          <w:lang w:bidi="fa-IR"/>
        </w:rPr>
        <w:t>.</w:t>
      </w:r>
    </w:p>
    <w:p>
      <w:pPr>
        <w:pStyle w:val="Heading4"/>
        <w:numPr>
          <w:ilvl w:val="3"/>
          <w:numId w:val="1"/>
        </w:numPr>
        <w:rPr/>
      </w:pPr>
      <w:bookmarkStart w:id="1139" w:name="__RefHeading___Toc3598291_1067777946"/>
      <w:bookmarkStart w:id="1140" w:name="_Toc466"/>
      <w:bookmarkEnd w:id="1139"/>
      <w:r>
        <w:rPr>
          <w:rtl w:val="true"/>
        </w:rPr>
        <w:t>تنازع طرفين مزارعه</w:t>
      </w:r>
      <w:bookmarkEnd w:id="11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تنازع طرفين مزارعه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زيادتى و نقصِ مدّت مزارعه نمودند، قولِ منكرِ زيادتىِ مدت با يمين او مقدّم است، پس منتفى مى شود تأثير عقد در اشتغال ذمّه به ازيد از متيقّن، يا ثابت مى شود زيادتى به اقرار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اختلاف در مقدار حصّه كه ربع است يا ثلث مثلاً باشد، قول صاحب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 تابع او است بر حسب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يمين او مقدم است، و به آن منتفى </w:t>
      </w:r>
      <w:bookmarkStart w:id="1141" w:name="pg10256_89525"/>
    </w:p>
    <w:p>
      <w:pPr>
        <w:pStyle w:val="BookText"/>
        <w:rPr/>
      </w:pPr>
      <w:bookmarkEnd w:id="1141"/>
      <w:r>
        <w:rPr>
          <w:rFonts w:ascii="Amiri" w:hAnsi="Amiri" w:eastAsia="Amiri" w:cs="Amiri"/>
          <w:color w:val="111111"/>
          <w:sz w:val="28"/>
          <w:sz w:val="28"/>
          <w:szCs w:val="28"/>
          <w:rtl w:val="true"/>
          <w:lang w:bidi="ar-SA"/>
        </w:rPr>
        <w:t>مى شود اشتغال ذمّۀ صاحب بذر به ازيد از متيقّن، يا آنكه اقرار او به آن زيادتى محقّق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طرفين، اقامۀ بيّنه بر مدّعاى خود نمودند، بيّنۀ خارج كه مدّعى زيادتى مدّت يا حصّۀ غير مالك بذر است،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تقديم بيّنۀ خارج</w:t>
      </w:r>
      <w:r>
        <w:rPr>
          <w:rFonts w:eastAsia="IRNazanin" w:cs="IRNazanin"/>
          <w:color w:val="111111"/>
          <w:sz w:val="28"/>
          <w:szCs w:val="28"/>
          <w:rtl w:val="true"/>
          <w:lang w:bidi="fa-IR"/>
        </w:rPr>
        <w:t>.</w:t>
      </w:r>
    </w:p>
    <w:p>
      <w:pPr>
        <w:pStyle w:val="Heading4"/>
        <w:numPr>
          <w:ilvl w:val="3"/>
          <w:numId w:val="1"/>
        </w:numPr>
        <w:rPr/>
      </w:pPr>
      <w:bookmarkStart w:id="1142" w:name="__RefHeading___Toc3598293_1067777946"/>
      <w:bookmarkStart w:id="1143" w:name="_Toc467"/>
      <w:bookmarkEnd w:id="1142"/>
      <w:r>
        <w:rPr>
          <w:rtl w:val="true"/>
        </w:rPr>
        <w:t>صور ديگر تنازع طرفين</w:t>
      </w:r>
      <w:bookmarkEnd w:id="11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زارع ادّعاى اعارۀ زمين نمود و مالك، منكر بود، تحليف مى شود مالك بر نفى اعاره و تقديم مى شود قول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مالك ادّعاى حصّه در مزارعه يا اجرت در اجاره نمود، اجرة المثل براى او ثابت است؛ پس اگر ازيد از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مساوى آن، محتاج به يمين زارع نيست؛ به جهت اعتراف مالك به عدم استحقاق ازيد از مسمّى كه مدّعاى او است در صورتى كه اختلاف در ماليّت محضه باشد؛ و اگر مدّعىٰ‌، عين شخصيّه است در اجرت اجارة، احتياج به يمين در نفى استحقاق آن ثابت است بر هر تقدير در ماليّت؛ و اگر اقل از آنها باشد، محتاج به يمين زارع بر نفى تسميۀ زايد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مفروض مسأله، مالك، كه مدّعى عقدِ لازم است، استحقاق مطالبۀ قلع زرع قبل از مدت ندارد؛ و عامل كه منكر عقد لازم است، مى تواند قلع نمايد قبل از مدّت؛ و در زمان قصيل بودن، و استحقاق او ابقاى زرع را تا ادراك آن، مبنى بر عدم جواز رجوع مالك در اعارۀ زمين براى زرع است بر حسب اعتراف عامل؛ و بر حسب نقل اتّفاق بر استحقاق عامل، ابقاى زرع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 ادراك آن، ثبوت حق ابقا براى عامل، محتمل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عامل، ادّعاى اعاره كرد و مالك، ادّعاى غصب، متوجّه است يمين بر نفى عاريه بر مالك و ثابت مى شود ضمان اجرة المثل براى او و حق ازالۀ زرع دارد؛ و براى او است ارشِ تعيّبِ زمين اگر باشد و پر كردن حفره ها به سبب غرس اشجار بعد از قلع آنها</w:t>
      </w:r>
      <w:r>
        <w:rPr>
          <w:rFonts w:eastAsia="IRNazanin" w:cs="IRNazanin"/>
          <w:color w:val="111111"/>
          <w:sz w:val="28"/>
          <w:szCs w:val="28"/>
          <w:rtl w:val="true"/>
          <w:lang w:bidi="fa-IR"/>
        </w:rPr>
        <w:t xml:space="preserve">. </w:t>
      </w:r>
      <w:bookmarkStart w:id="1144" w:name="pg10256_89526"/>
    </w:p>
    <w:p>
      <w:pPr>
        <w:pStyle w:val="Heading4"/>
        <w:numPr>
          <w:ilvl w:val="3"/>
          <w:numId w:val="1"/>
        </w:numPr>
        <w:rPr/>
      </w:pPr>
      <w:bookmarkStart w:id="1145" w:name="__RefHeading___Toc3598295_1067777946"/>
      <w:bookmarkStart w:id="1146" w:name="_Toc468"/>
      <w:bookmarkEnd w:id="1144"/>
      <w:bookmarkEnd w:id="1145"/>
      <w:r>
        <w:rPr>
          <w:rtl w:val="true"/>
        </w:rPr>
        <w:t>محدودۀ اختيار مزارع و مستأجر</w:t>
      </w:r>
      <w:bookmarkEnd w:id="11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مزارع مى تواند نقل بدهد حق و ملك خود را به غير و مى تواند شريك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اختصاص به او داشت از منفعت زمين و حصّۀ حاصله از عمل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غير، بدون اذن مالك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آنكه صاحب بذر، مالك بوده باشد يا عامل و هم چنين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حكم مستأجر در اجاره و تسليم عين بدون اذن مالك؛ در دو مقام، يك حكم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اشتراط مباشرت به عمل در مزارعه، خلاف شرط را نمى تواند انجام دهد، و منعى از مزارعۀ غير يا شركت با غير با تحفّظ بر شرط مباشرت در عمل براى مزارَع اوّل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شرط اختصاص و عدم انتقال به غير نموده باشد، شركت و مزارعه با غير، مخالف شرط است</w:t>
      </w:r>
      <w:r>
        <w:rPr>
          <w:rFonts w:eastAsia="IRNazanin" w:cs="IRNazanin"/>
          <w:color w:val="111111"/>
          <w:sz w:val="28"/>
          <w:szCs w:val="28"/>
          <w:rtl w:val="true"/>
          <w:lang w:bidi="fa-IR"/>
        </w:rPr>
        <w:t>.</w:t>
      </w:r>
    </w:p>
    <w:p>
      <w:pPr>
        <w:pStyle w:val="Heading4"/>
        <w:numPr>
          <w:ilvl w:val="3"/>
          <w:numId w:val="1"/>
        </w:numPr>
        <w:rPr/>
      </w:pPr>
      <w:bookmarkStart w:id="1147" w:name="__RefHeading___Toc3598297_1067777946"/>
      <w:bookmarkStart w:id="1148" w:name="_Toc469"/>
      <w:bookmarkEnd w:id="1147"/>
      <w:r>
        <w:rPr>
          <w:rtl w:val="true"/>
        </w:rPr>
        <w:t>خراج سلطان و ديگر مؤونه ها</w:t>
      </w:r>
      <w:bookmarkEnd w:id="11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سلطان و زيادتى خراج و اجرت زمين و مؤونۀ قابليّت زمين براى زرع از مقدمات غير متكرّرۀ در هر سال، بر مالك زمين است، نه بر عامل مزارعه، مگر آنكه شرط شود در مزارعه ثبوت آن بر عامل مزارعه يا مستأجر زمين، يا آنكه از امور معتادۀ در هر سال است كه بر زارع است به حسب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اجرت در اجارۀ متقدّمه، بر موجر در اجارۀ متأخّره است</w:t>
      </w:r>
      <w:r>
        <w:rPr>
          <w:rFonts w:eastAsia="IRNazanin" w:cs="IRNazanin"/>
          <w:color w:val="111111"/>
          <w:sz w:val="28"/>
          <w:szCs w:val="28"/>
          <w:rtl w:val="true"/>
          <w:lang w:bidi="fa-IR"/>
        </w:rPr>
        <w:t>.</w:t>
      </w:r>
    </w:p>
    <w:p>
      <w:pPr>
        <w:pStyle w:val="Heading4"/>
        <w:numPr>
          <w:ilvl w:val="3"/>
          <w:numId w:val="1"/>
        </w:numPr>
        <w:rPr/>
      </w:pPr>
      <w:bookmarkStart w:id="1149" w:name="__RefHeading___Toc3598299_1067777946"/>
      <w:bookmarkStart w:id="1150" w:name="_Toc470"/>
      <w:bookmarkEnd w:id="1149"/>
      <w:r>
        <w:rPr>
          <w:rtl w:val="true"/>
        </w:rPr>
        <w:t>حكم فساد مزارعه</w:t>
      </w:r>
      <w:bookmarkEnd w:id="115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مواردى كه مزارعه فاسد است، براى صاحب زمين، اجرة المثل زمين ثابت است در صورت عدم جهل به فساد، و بذر از هر كه باشد، حاصل، ملك او است، و اجرة المثل زمين و عمل و عوامل و آلات، مال صاحبهاى آنها است به نسبت آنها از حصّه، و بيش از آن را مستحق نيستند، و ارتباطى بين امورى كه اجرة المثل دارند</w:t>
      </w:r>
      <w:bookmarkStart w:id="1151" w:name="pg10256_89527"/>
    </w:p>
    <w:p>
      <w:pPr>
        <w:pStyle w:val="BookText"/>
        <w:rPr/>
      </w:pPr>
      <w:bookmarkEnd w:id="1151"/>
      <w:r>
        <w:rPr>
          <w:rFonts w:ascii="Amiri" w:hAnsi="Amiri" w:eastAsia="Amiri" w:cs="Amiri"/>
          <w:color w:val="111111"/>
          <w:sz w:val="28"/>
          <w:sz w:val="28"/>
          <w:szCs w:val="28"/>
          <w:rtl w:val="true"/>
          <w:lang w:bidi="ar-SA"/>
        </w:rPr>
        <w:t>نيست، و اخذ اجرتها از حاصل، لزوم شرطى ندارد، بلكه با ترك عمل از روى اختيار، اجرة المثل ثابت است بر عامل كه زمين و عوامل در دست او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بذر بين مالك و عامل به تنصيف باشد، اجرة المثلِ تمامِ عمل، بر مالك است از تمام حاصل؛ يعنى نصف اجرت از نصف حاصل مربوط به مالك است، و اجرة المثل تمام زمين بر عامل براى مالك است از تمام حاصل زمين، پس نصف آن از نصف حاصل مربوط به عامل، براى مالك است با حفظ نسبت اجرتها از حصّه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عدم حاصل، بدون تفريطِ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آفات سماويّه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ظاهر بطلان مزارعه است به واسطۀ انكشاف عدم قابليّت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زمينى كه اين طور بوده در واقع، عملِ در آن، اجرت براى مالك ندارد؛ پس بايد بطلان مزارعه، به غير اين اسباب باشد تا ثبوت اجرة المثلْ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بذر از ثالث باشد در تقدير صحّت مزارعه، حاصل، مال ثالث است، و اجرتها تمام آن بر او است از حاصل با نسبت حصّه به حاصل و نسبت بعض اجرتها به بعض ديگر از حصه</w:t>
      </w:r>
      <w:r>
        <w:rPr>
          <w:rFonts w:eastAsia="IRNazanin" w:cs="IRNazanin"/>
          <w:color w:val="111111"/>
          <w:sz w:val="28"/>
          <w:szCs w:val="28"/>
          <w:rtl w:val="true"/>
          <w:lang w:bidi="fa-IR"/>
        </w:rPr>
        <w:t>.</w:t>
      </w:r>
    </w:p>
    <w:p>
      <w:pPr>
        <w:pStyle w:val="Heading4"/>
        <w:numPr>
          <w:ilvl w:val="3"/>
          <w:numId w:val="1"/>
        </w:numPr>
        <w:rPr/>
      </w:pPr>
      <w:bookmarkStart w:id="1152" w:name="__RefHeading___Toc3598301_1067777946"/>
      <w:bookmarkStart w:id="1153" w:name="_Toc471"/>
      <w:bookmarkEnd w:id="1152"/>
      <w:r>
        <w:rPr>
          <w:rtl w:val="true"/>
        </w:rPr>
        <w:t>جواز خرص براى مالك</w:t>
      </w:r>
      <w:bookmarkEnd w:id="115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زمين مى تواند بر زارع خرص نمايد و با ظنّ و تخمين، تعيين حصّۀ خودش نمايد، و زارع مختار است در قبول و ردّ؛ و اگر قبول كرد، استقرار آن مشروط به سلامت زرع از آفات تا زمان وجوب تسليم است، پس اگر تلف شد در اين مدّت، بر زارع چيزى به سبب تخمينِ مالك ثابت نيست</w:t>
      </w:r>
      <w:r>
        <w:rPr>
          <w:rFonts w:eastAsia="IRNazanin" w:cs="IRNazanin"/>
          <w:color w:val="111111"/>
          <w:sz w:val="28"/>
          <w:szCs w:val="28"/>
          <w:rtl w:val="true"/>
          <w:lang w:bidi="fa-IR"/>
        </w:rPr>
        <w:t>.</w:t>
      </w:r>
    </w:p>
    <w:p>
      <w:pPr>
        <w:pStyle w:val="Heading4"/>
        <w:numPr>
          <w:ilvl w:val="3"/>
          <w:numId w:val="1"/>
        </w:numPr>
        <w:rPr/>
      </w:pPr>
      <w:bookmarkStart w:id="1154" w:name="__RefHeading___Toc3598303_1067777946"/>
      <w:bookmarkStart w:id="1155" w:name="_Toc472"/>
      <w:bookmarkEnd w:id="1154"/>
      <w:r>
        <w:rPr>
          <w:rtl w:val="true"/>
        </w:rPr>
        <w:t>نحوۀ تأمين بذر و ساير نفقات</w:t>
      </w:r>
      <w:bookmarkEnd w:id="115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بذر و ساير نفقات به حسب تعارف و قراين حاليّه با شخص معامله، تعيين مى شود ثبوت آنها بر مالك زمين، يا عامل، يا غيرِ ايشان؛ و اگر متعيّن نباشد، بايد تعيين شود در متن عقد مزارعه تا معامله غرريّه نشود؛ و اظهر جواز تعيين بذر يا بعض</w:t>
      </w:r>
      <w:bookmarkStart w:id="1156" w:name="pg10256_89528"/>
    </w:p>
    <w:p>
      <w:pPr>
        <w:pStyle w:val="BookText"/>
        <w:rPr/>
      </w:pPr>
      <w:bookmarkEnd w:id="1156"/>
      <w:r>
        <w:rPr>
          <w:rFonts w:ascii="IRNazanin" w:hAnsi="IRNazanin" w:eastAsia="IRNazanin"/>
          <w:color w:val="111111"/>
          <w:sz w:val="28"/>
          <w:sz w:val="28"/>
          <w:szCs w:val="28"/>
          <w:rtl w:val="true"/>
          <w:lang w:bidi="fa-IR"/>
        </w:rPr>
        <w:t>نفقات ديگر است در عقد مزارعه بر مالك، يا ثالث كه عامل نباشد اگر چه غالب، ثبوت نفقه بر عامل است</w:t>
      </w:r>
      <w:r>
        <w:rPr>
          <w:rFonts w:eastAsia="IRNazanin" w:cs="IRNazanin"/>
          <w:color w:val="111111"/>
          <w:sz w:val="28"/>
          <w:szCs w:val="28"/>
          <w:rtl w:val="true"/>
          <w:lang w:bidi="fa-IR"/>
        </w:rPr>
        <w:t>.</w:t>
      </w:r>
    </w:p>
    <w:p>
      <w:pPr>
        <w:pStyle w:val="Heading4"/>
        <w:numPr>
          <w:ilvl w:val="3"/>
          <w:numId w:val="1"/>
        </w:numPr>
        <w:rPr/>
      </w:pPr>
      <w:bookmarkStart w:id="1157" w:name="__RefHeading___Toc3598305_1067777946"/>
      <w:bookmarkStart w:id="1158" w:name="_Toc473"/>
      <w:bookmarkEnd w:id="1157"/>
      <w:r>
        <w:rPr>
          <w:rtl w:val="true"/>
        </w:rPr>
        <w:t>آنچه بعد از مدّت مزارعه باقى مى ماند</w:t>
      </w:r>
      <w:bookmarkEnd w:id="115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باقى در زمين بعد از مدّت مزارعه تا سال ديگر، كه نماى زمين و زرع متموَّل باشد، باقى است در ملك مالك بذر،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مالك زمين باشد، بر او است براى مالك زمين، اجرة المثل، و اگر مشترك بين آنها باشد، اجرت نصيب غير مالك زمين براى مالك زمين است؛ و قبل از آنكه به حدّ مذكور برسد، اگر به واسطۀ عدم معرضيّت براى زرع شدن و غلبۀ تلف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مقدار غير معتنى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عنه باشد و جايز باشد التقاط آنها و استيلاء بر آنها براى هر كسى، براى هر غرضى، اگر به خلاف غالب نموّ كرد و زرع شد، احوط عدم مزاحمت غير است با مالك اصلى بذر، به جهت انكشاف عدم خروج از ملك بواسطۀ اعراض مبنى بر اماريّت غلبه؛ و اگر مالك بذر، غير مالك زمين باشد، اداى اجرة المثل زمين به مالك يا برگذارى زرع به او، موافق احتياط است</w:t>
      </w:r>
      <w:r>
        <w:rPr>
          <w:rFonts w:eastAsia="IRNazanin" w:cs="IRNazanin"/>
          <w:color w:val="111111"/>
          <w:sz w:val="28"/>
          <w:szCs w:val="28"/>
          <w:rtl w:val="true"/>
          <w:lang w:bidi="fa-IR"/>
        </w:rPr>
        <w:t>.</w:t>
      </w:r>
    </w:p>
    <w:p>
      <w:pPr>
        <w:pStyle w:val="Heading4"/>
        <w:numPr>
          <w:ilvl w:val="3"/>
          <w:numId w:val="1"/>
        </w:numPr>
        <w:rPr/>
      </w:pPr>
      <w:bookmarkStart w:id="1159" w:name="__RefHeading___Toc3598307_1067777946"/>
      <w:bookmarkStart w:id="1160" w:name="_Toc474"/>
      <w:bookmarkEnd w:id="1159"/>
      <w:r>
        <w:rPr>
          <w:rtl w:val="true"/>
        </w:rPr>
        <w:t>عدم خروج قبالۀ زمين از مزارعه و</w:t>
      </w:r>
      <w:r>
        <w:rPr>
          <w:rtl w:val="true"/>
        </w:rPr>
        <w:t>...</w:t>
      </w:r>
      <w:bookmarkEnd w:id="116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 عدم خروج قبالۀ زمين به چيز معلوم، تا سالهاى معلومه، يا در مقابل خراج و عمارت آن، از مزارعه و اجاره و صلح است، پس رعايت شروط يكى از آنها با قصد آن نوع بايد بشود</w:t>
      </w:r>
      <w:r>
        <w:rPr>
          <w:rFonts w:eastAsia="IRNazanin" w:cs="IRNazanin"/>
          <w:color w:val="111111"/>
          <w:sz w:val="28"/>
          <w:szCs w:val="28"/>
          <w:rtl w:val="true"/>
          <w:lang w:bidi="fa-IR"/>
        </w:rPr>
        <w:t>.</w:t>
      </w:r>
    </w:p>
    <w:p>
      <w:pPr>
        <w:pStyle w:val="Heading4"/>
        <w:numPr>
          <w:ilvl w:val="3"/>
          <w:numId w:val="1"/>
        </w:numPr>
        <w:rPr/>
      </w:pPr>
      <w:bookmarkStart w:id="1161" w:name="__RefHeading___Toc3598309_1067777946"/>
      <w:bookmarkStart w:id="1162" w:name="_Toc475"/>
      <w:bookmarkEnd w:id="1161"/>
      <w:r>
        <w:rPr>
          <w:rtl w:val="true"/>
        </w:rPr>
        <w:t>حكم ضمان حقّ مستحقّين زكات در موارد قلع زرع</w:t>
      </w:r>
      <w:bookmarkEnd w:id="116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موارد قلع زرع از روى استحقاق، ضمان حق مستحقّين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قلع با بلوغ به حد تعلّق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ضمان، مستفاد از مذكور در كتاب زكات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163" w:name="pg10256_89529"/>
    </w:p>
    <w:p>
      <w:pPr>
        <w:pStyle w:val="Heading2"/>
        <w:numPr>
          <w:ilvl w:val="1"/>
          <w:numId w:val="1"/>
        </w:numPr>
        <w:rPr/>
      </w:pPr>
      <w:bookmarkStart w:id="1164" w:name="__RefHeading___Toc3598311_1067777946"/>
      <w:bookmarkStart w:id="1165" w:name="_Toc476"/>
      <w:bookmarkEnd w:id="1163"/>
      <w:bookmarkEnd w:id="1164"/>
      <w:r>
        <w:rPr>
          <w:rtl w:val="true"/>
        </w:rPr>
        <w:t>كتاب مساقات</w:t>
      </w:r>
      <w:bookmarkEnd w:id="1165"/>
    </w:p>
    <w:p>
      <w:pPr>
        <w:pStyle w:val="Heading3"/>
        <w:numPr>
          <w:ilvl w:val="2"/>
          <w:numId w:val="1"/>
        </w:numPr>
        <w:rPr/>
      </w:pPr>
      <w:bookmarkStart w:id="1166" w:name="__RefHeading___Toc3598313_1067777946"/>
      <w:bookmarkStart w:id="1167" w:name="_Toc477"/>
      <w:bookmarkEnd w:id="1166"/>
      <w:r>
        <w:rPr>
          <w:rtl w:val="true"/>
        </w:rPr>
        <w:t>اشاره</w:t>
      </w:r>
      <w:bookmarkEnd w:id="1167"/>
    </w:p>
    <w:p>
      <w:pPr>
        <w:pStyle w:val="BookText"/>
        <w:rPr/>
      </w:pPr>
      <w:r>
        <w:rPr>
          <w:rFonts w:ascii="Amiri" w:hAnsi="Amiri" w:eastAsia="Amiri" w:cs="Amiri"/>
          <w:color w:val="111111"/>
          <w:sz w:val="28"/>
          <w:sz w:val="28"/>
          <w:szCs w:val="28"/>
          <w:rtl w:val="true"/>
          <w:lang w:bidi="ar-SA"/>
        </w:rPr>
        <w:t>مساقات و شرايط آن و فايده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مساقات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8" w:name="pg10256_89531"/>
      <w:bookmarkStart w:id="1169" w:name="pg10256_89531"/>
      <w:bookmarkEnd w:id="1169"/>
    </w:p>
    <w:p>
      <w:pPr>
        <w:pStyle w:val="Heading3"/>
        <w:numPr>
          <w:ilvl w:val="2"/>
          <w:numId w:val="1"/>
        </w:numPr>
        <w:rPr/>
      </w:pPr>
      <w:bookmarkStart w:id="1170" w:name="pg10256_89531"/>
      <w:bookmarkStart w:id="1171" w:name="__RefHeading___Toc3598315_1067777946"/>
      <w:bookmarkStart w:id="1172" w:name="_Toc478"/>
      <w:bookmarkEnd w:id="1170"/>
      <w:bookmarkEnd w:id="1171"/>
      <w:r>
        <w:rPr>
          <w:rtl w:val="true"/>
        </w:rPr>
        <w:t>فصل اوّل مساقات و شرايط آن و فايده</w:t>
      </w:r>
      <w:bookmarkEnd w:id="1172"/>
    </w:p>
    <w:p>
      <w:pPr>
        <w:pStyle w:val="Heading4"/>
        <w:numPr>
          <w:ilvl w:val="3"/>
          <w:numId w:val="1"/>
        </w:numPr>
        <w:rPr/>
      </w:pPr>
      <w:bookmarkStart w:id="1173" w:name="__RefHeading___Toc3598317_1067777946"/>
      <w:bookmarkStart w:id="1174" w:name="_Toc479"/>
      <w:bookmarkEnd w:id="1173"/>
      <w:r>
        <w:rPr>
          <w:rtl w:val="true"/>
        </w:rPr>
        <w:t>تعريف مساقات</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اى است بر سقى اصول ثابتۀ اشجار، در عوض حصّه اى از حاصل آنها، و آن مشروع و لازم است، و در حكم، مثل مزارعه است؛ و افتراق آنها، به زرع وسقى است كه دو عمل متفاوت است</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3598319_1067777946"/>
      <w:bookmarkStart w:id="1176" w:name="_Toc480"/>
      <w:bookmarkEnd w:id="1175"/>
      <w:r>
        <w:rPr>
          <w:rtl w:val="true"/>
        </w:rPr>
        <w:t>عقد مساقات و لزوم آن</w:t>
      </w:r>
      <w:bookmarkEnd w:id="1176"/>
    </w:p>
    <w:p>
      <w:pPr>
        <w:pStyle w:val="BookText"/>
        <w:rPr/>
      </w:pPr>
      <w:r>
        <w:rPr>
          <w:rFonts w:ascii="IRNazanin" w:hAnsi="IRNazanin" w:eastAsia="IRNazanin"/>
          <w:color w:val="111111"/>
          <w:sz w:val="28"/>
          <w:sz w:val="28"/>
          <w:szCs w:val="28"/>
          <w:rtl w:val="true"/>
          <w:lang w:bidi="fa-IR"/>
        </w:rPr>
        <w:t xml:space="preserve">الفاظ آن مثل مزارعه و ساير عقود معاوضيّۀ لازمه، بايد صريح يا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مجموع قراين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ساقيتك على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هذه الاشجار على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حصّه اى از حاصل آنها براى عامل مساقات در عوض سقى باشد و در جريان معاطات، محكوم به حكم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مساقات مانند مزارعه و اجاره، از عقود لازمه است و قابل شرط خيار است</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3598321_1067777946"/>
      <w:bookmarkStart w:id="1178" w:name="_Toc481"/>
      <w:bookmarkEnd w:id="1177"/>
      <w:r>
        <w:rPr>
          <w:rtl w:val="true"/>
        </w:rPr>
        <w:t>صحّت مساقات قبل از ظهور ثمره</w:t>
      </w:r>
      <w:bookmarkEnd w:id="1178"/>
    </w:p>
    <w:p>
      <w:pPr>
        <w:pStyle w:val="BookText"/>
        <w:rPr/>
      </w:pPr>
      <w:r>
        <w:rPr>
          <w:rFonts w:ascii="Amiri" w:hAnsi="Amiri" w:eastAsia="Amiri" w:cs="Amiri"/>
          <w:color w:val="111111"/>
          <w:sz w:val="28"/>
          <w:sz w:val="28"/>
          <w:szCs w:val="28"/>
          <w:rtl w:val="true"/>
          <w:lang w:bidi="ar-SA"/>
        </w:rPr>
        <w:t>مساقات صحيح است قبل از ظهور ثمرۀ درخت؛ و اظهر صحّت است با موافقت آن با عرف عقلاء و احتياج ثمره در كيف يا كميت به آبيارى، نه خصوص محافظت از فساد از ساير جهات، مثل آفت و سرقت و اتلاف عدوانى</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3598323_1067777946"/>
      <w:bookmarkStart w:id="1180" w:name="_Toc482"/>
      <w:bookmarkEnd w:id="1179"/>
      <w:r>
        <w:rPr>
          <w:rtl w:val="true"/>
        </w:rPr>
        <w:t>حكم مساقات با موت مالك يا عامل</w:t>
      </w:r>
      <w:bookmarkEnd w:id="118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مساقات، به موت مالك يا عاملِ ساقى، باطل نمى شود، بلكه وارث، قائم مقام </w:t>
      </w:r>
      <w:bookmarkStart w:id="1181" w:name="pg10256_89532"/>
    </w:p>
    <w:p>
      <w:pPr>
        <w:pStyle w:val="BookText"/>
        <w:rPr/>
      </w:pPr>
      <w:bookmarkEnd w:id="1181"/>
      <w:r>
        <w:rPr>
          <w:rFonts w:ascii="IRNazanin" w:hAnsi="IRNazanin" w:eastAsia="IRNazanin"/>
          <w:color w:val="111111"/>
          <w:sz w:val="28"/>
          <w:sz w:val="28"/>
          <w:szCs w:val="28"/>
          <w:rtl w:val="true"/>
          <w:lang w:bidi="fa-IR"/>
        </w:rPr>
        <w:t>مورّث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اشتراط مباشرت در عمل، در حكم، موافق مزارعه است، چنانچه گذشت</w:t>
      </w:r>
      <w:r>
        <w:rPr>
          <w:rFonts w:eastAsia="IRNazanin" w:cs="IRNazanin"/>
          <w:color w:val="111111"/>
          <w:sz w:val="28"/>
          <w:szCs w:val="28"/>
          <w:rtl w:val="true"/>
          <w:lang w:bidi="fa-IR"/>
        </w:rPr>
        <w:t>.</w:t>
      </w:r>
    </w:p>
    <w:p>
      <w:pPr>
        <w:pStyle w:val="Heading4"/>
        <w:numPr>
          <w:ilvl w:val="3"/>
          <w:numId w:val="1"/>
        </w:numPr>
        <w:rPr/>
      </w:pPr>
      <w:bookmarkStart w:id="1182" w:name="__RefHeading___Toc3598325_1067777946"/>
      <w:bookmarkStart w:id="1183" w:name="_Toc483"/>
      <w:bookmarkEnd w:id="1182"/>
      <w:r>
        <w:rPr>
          <w:rtl w:val="true"/>
        </w:rPr>
        <w:t>در آنچه بر او مساقات واقع مى شود</w:t>
      </w:r>
      <w:bookmarkEnd w:id="1183"/>
    </w:p>
    <w:p>
      <w:pPr>
        <w:pStyle w:val="BookText"/>
        <w:rPr/>
      </w:pPr>
      <w:r>
        <w:rPr>
          <w:rFonts w:ascii="IRNazanin" w:hAnsi="IRNazanin" w:eastAsia="IRNazanin"/>
          <w:color w:val="111111"/>
          <w:sz w:val="28"/>
          <w:sz w:val="28"/>
          <w:szCs w:val="28"/>
          <w:rtl w:val="true"/>
          <w:lang w:bidi="fa-IR"/>
        </w:rPr>
        <w:t xml:space="preserve">جايز است مساقات به هر چيزى كه اصل ثابتى داشته باشد كه با بقاى آن، انتفاع به ثمرۀ آن مى شود، اگر چه ثمر مثل برگ 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ميوۀ توت ندارد، بلكه ميوه اش برگ است در بعض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الحاق آنچه معلوم است بقاى آن بيش از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متيقّن از اشجار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درخت 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مساقات است، خالى از وجه نيست؛ و هم چنين درختهاى كوچك از خرما و امثال آن اگر مدّت مساقات طولانى باشد به نحوى كه در آن مدّت غالباً ميوه مى دهند، به خلاف مدّتى كه غالباً در آن ميوه نمى دهد مثل آن</w:t>
      </w:r>
      <w:r>
        <w:rPr>
          <w:rFonts w:eastAsia="IRNazanin" w:cs="IRNazanin"/>
          <w:color w:val="111111"/>
          <w:sz w:val="28"/>
          <w:szCs w:val="28"/>
          <w:rtl w:val="true"/>
          <w:lang w:bidi="fa-IR"/>
        </w:rPr>
        <w:t>.</w:t>
      </w:r>
    </w:p>
    <w:p>
      <w:pPr>
        <w:pStyle w:val="Heading4"/>
        <w:numPr>
          <w:ilvl w:val="3"/>
          <w:numId w:val="1"/>
        </w:numPr>
        <w:rPr/>
      </w:pPr>
      <w:bookmarkStart w:id="1184" w:name="__RefHeading___Toc3598327_1067777946"/>
      <w:bookmarkStart w:id="1185" w:name="_Toc484"/>
      <w:bookmarkEnd w:id="1184"/>
      <w:r>
        <w:rPr>
          <w:rtl w:val="true"/>
        </w:rPr>
        <w:t>احكام مربوط به تلف شدن ثمره</w:t>
      </w:r>
      <w:bookmarkEnd w:id="1185"/>
    </w:p>
    <w:p>
      <w:pPr>
        <w:pStyle w:val="BookText"/>
        <w:rPr/>
      </w:pPr>
      <w:r>
        <w:rPr>
          <w:rFonts w:ascii="IRNazanin" w:hAnsi="IRNazanin" w:eastAsia="IRNazanin"/>
          <w:color w:val="111111"/>
          <w:sz w:val="28"/>
          <w:sz w:val="28"/>
          <w:szCs w:val="28"/>
          <w:rtl w:val="true"/>
          <w:lang w:bidi="fa-IR"/>
        </w:rPr>
        <w:t xml:space="preserve">و اگر تلف ثمره به آفت سماويه و نحو آن شد، كشف از بطلان عقد در مورد تلف مى نمايد، و گذشت در مزارعه، كلام در اجرة المثل؛ و اگر به اختيار عامل بود، پس بر او است حصّۀ مالك؛ يعنى ماليّت آن، يا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اقل از آنها</w:t>
      </w:r>
      <w:r>
        <w:rPr>
          <w:rFonts w:eastAsia="IRNazanin" w:cs="IRNazanin"/>
          <w:color w:val="111111"/>
          <w:sz w:val="28"/>
          <w:szCs w:val="28"/>
          <w:rtl w:val="true"/>
          <w:lang w:bidi="fa-IR"/>
        </w:rPr>
        <w:t>.</w:t>
      </w:r>
    </w:p>
    <w:p>
      <w:pPr>
        <w:pStyle w:val="Heading4"/>
        <w:numPr>
          <w:ilvl w:val="3"/>
          <w:numId w:val="1"/>
        </w:numPr>
        <w:rPr/>
      </w:pPr>
      <w:bookmarkStart w:id="1186" w:name="__RefHeading___Toc3598329_1067777946"/>
      <w:bookmarkStart w:id="1187" w:name="_Toc485"/>
      <w:bookmarkEnd w:id="1186"/>
      <w:r>
        <w:rPr>
          <w:rtl w:val="true"/>
        </w:rPr>
        <w:t>مدّت مساقات</w:t>
      </w:r>
      <w:bookmarkEnd w:id="1187"/>
    </w:p>
    <w:p>
      <w:pPr>
        <w:pStyle w:val="BookText"/>
        <w:rPr/>
      </w:pPr>
      <w:r>
        <w:rPr>
          <w:rFonts w:ascii="IRNazanin" w:hAnsi="IRNazanin" w:eastAsia="IRNazanin"/>
          <w:color w:val="111111"/>
          <w:sz w:val="28"/>
          <w:sz w:val="28"/>
          <w:szCs w:val="28"/>
          <w:rtl w:val="true"/>
          <w:lang w:bidi="fa-IR"/>
        </w:rPr>
        <w:t xml:space="preserve">معتبر است در صحّت مساقات، تعيين مدّت به يك سال يا دو سال مثلاً؛ و در اقل از سال، به مقدارى كه متجاوز يا مقارن با ادراك ثمره باشد بنابر اظهر؛ و در اكتفاى به تقدير به ادراك ثمره با غلبۀ مدّتى، وجهى است و گذشت در مزارعه،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صورت اتّفاق تأخّر ادراك، از غالب</w:t>
      </w:r>
      <w:r>
        <w:rPr>
          <w:rFonts w:eastAsia="IRNazanin" w:cs="IRNazanin"/>
          <w:color w:val="111111"/>
          <w:sz w:val="28"/>
          <w:szCs w:val="28"/>
          <w:rtl w:val="true"/>
          <w:lang w:bidi="fa-IR"/>
        </w:rPr>
        <w:t>.</w:t>
      </w:r>
    </w:p>
    <w:p>
      <w:pPr>
        <w:pStyle w:val="Heading4"/>
        <w:numPr>
          <w:ilvl w:val="3"/>
          <w:numId w:val="1"/>
        </w:numPr>
        <w:rPr/>
      </w:pPr>
      <w:bookmarkStart w:id="1188" w:name="__RefHeading___Toc3598331_1067777946"/>
      <w:bookmarkStart w:id="1189" w:name="_Toc486"/>
      <w:bookmarkEnd w:id="1188"/>
      <w:r>
        <w:rPr>
          <w:rtl w:val="true"/>
        </w:rPr>
        <w:t>مسئول عمل در مساقات</w:t>
      </w:r>
      <w:bookmarkEnd w:id="11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مساقات، اقتضا دارد كه بر عامل باشد آنچه از مقدّمات عملِ معهود در </w:t>
      </w:r>
      <w:bookmarkStart w:id="1190" w:name="pg10256_89533"/>
    </w:p>
    <w:p>
      <w:pPr>
        <w:pStyle w:val="BookText"/>
        <w:rPr/>
      </w:pPr>
      <w:bookmarkEnd w:id="1190"/>
      <w:r>
        <w:rPr>
          <w:rFonts w:ascii="IRNazanin" w:hAnsi="IRNazanin" w:eastAsia="IRNazanin"/>
          <w:color w:val="111111"/>
          <w:sz w:val="28"/>
          <w:sz w:val="28"/>
          <w:szCs w:val="28"/>
          <w:rtl w:val="true"/>
          <w:lang w:bidi="fa-IR"/>
        </w:rPr>
        <w:t>هر سال، متكرّر مى شود؛ و بر مالك باشد آنچه يك مرتبه احداث مى شود و بنا بر ادامۀ آن است به حسب غالب تا سالهاى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قبيل اوّل است، اصلاحات هر ساله و مقدمات آن، مثل كشت و آلات و عوامل و تهذيب اشجار، و آنچه دخالت در اثمار يا ازدياد آنها و مرغوبيت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عوامل، انتفاى لحوق به عوامل حرث است كه بر عامل است مگر با تعارف يا اشتراط خلاف و هم چنين مادۀ تلقيح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قبيل دوّم است، مثل بناى جدار و آلات سقى و انشاى نهر و مجارى هميشگى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 خلاف اصل غالب، مطلوب در موضع خاصى باشد، بايد به حسب اشتراط و متعارف معلوم در آن مكان، تعيين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دوران و عدم قرينه و تعارف و شرط و عدم معلوميّت حال از لحوق مساقات به مزارعه، لحوق آنچه غير زمين است در مزارعه و مساقات، به آنچه از نفقات لازمه بر عامل است، خالى از وجه نيست</w:t>
      </w:r>
      <w:r>
        <w:rPr>
          <w:rFonts w:eastAsia="IRNazanin" w:cs="IRNazanin"/>
          <w:color w:val="111111"/>
          <w:sz w:val="28"/>
          <w:szCs w:val="28"/>
          <w:rtl w:val="true"/>
          <w:lang w:bidi="fa-IR"/>
        </w:rPr>
        <w:t>.</w:t>
      </w:r>
    </w:p>
    <w:p>
      <w:pPr>
        <w:pStyle w:val="Heading4"/>
        <w:numPr>
          <w:ilvl w:val="3"/>
          <w:numId w:val="1"/>
        </w:numPr>
        <w:rPr/>
      </w:pPr>
      <w:bookmarkStart w:id="1191" w:name="__RefHeading___Toc3598333_1067777946"/>
      <w:bookmarkStart w:id="1192" w:name="_Toc487"/>
      <w:bookmarkEnd w:id="1191"/>
      <w:r>
        <w:rPr>
          <w:rtl w:val="true"/>
        </w:rPr>
        <w:t>شرط تمام يا مقدارى از عمل بر مالك در مساقات</w:t>
      </w:r>
      <w:bookmarkEnd w:id="1192"/>
    </w:p>
    <w:p>
      <w:pPr>
        <w:pStyle w:val="BookText"/>
        <w:rPr/>
      </w:pPr>
      <w:r>
        <w:rPr>
          <w:rFonts w:ascii="IRNazanin" w:hAnsi="IRNazanin" w:eastAsia="IRNazanin"/>
          <w:color w:val="111111"/>
          <w:sz w:val="28"/>
          <w:sz w:val="28"/>
          <w:szCs w:val="28"/>
          <w:rtl w:val="true"/>
          <w:lang w:bidi="fa-IR"/>
        </w:rPr>
        <w:t xml:space="preserve">اگر شرط نمايد بر مالك، تمام عمل لازم در مساقات را، باطل است، به واسطۀ مخالفت با مقتضاى عقد مساقات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حصّه براى عامل در مقابل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اعمال غير دخيله در ازدياد و مرغوبيت ثمره، صحيح است؛ و هم چنين شرط عمل بر مالك، با ابقاى چيزى از آن كه در مقابل حصّه اى از فايده است، مانعى ندارد؛ يا شرط مقدارى از عمل بر مالك با ابقاى غير آن بر عامل، در صورتى كه غررى نباشد به نحوى كه اصل مساقات را غرريّه نمايد</w:t>
      </w:r>
      <w:r>
        <w:rPr>
          <w:rFonts w:eastAsia="IRNazanin" w:cs="IRNazanin"/>
          <w:color w:val="111111"/>
          <w:sz w:val="28"/>
          <w:szCs w:val="28"/>
          <w:rtl w:val="true"/>
          <w:lang w:bidi="fa-IR"/>
        </w:rPr>
        <w:t>.</w:t>
      </w:r>
    </w:p>
    <w:p>
      <w:pPr>
        <w:pStyle w:val="Heading4"/>
        <w:numPr>
          <w:ilvl w:val="3"/>
          <w:numId w:val="1"/>
        </w:numPr>
        <w:rPr/>
      </w:pPr>
      <w:bookmarkStart w:id="1193" w:name="__RefHeading___Toc3598335_1067777946"/>
      <w:bookmarkStart w:id="1194" w:name="_Toc488"/>
      <w:bookmarkEnd w:id="1193"/>
      <w:r>
        <w:rPr>
          <w:rtl w:val="true"/>
        </w:rPr>
        <w:t>حق فسخ مالك در فرض كوتاهى عامل</w:t>
      </w:r>
      <w:bookmarkEnd w:id="11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با اخلال عامل به عمل واجب بر او به مقتضاى عقد يا شرط در ضمن آن، اختيار فسخ عقد قبل از عمل را دارد؛ و هم چنين قبل از اتمام عمل، اختيار فسخ </w:t>
      </w:r>
      <w:bookmarkStart w:id="1195" w:name="pg10256_89534"/>
    </w:p>
    <w:p>
      <w:pPr>
        <w:pStyle w:val="BookText"/>
        <w:rPr/>
      </w:pPr>
      <w:bookmarkEnd w:id="1195"/>
      <w:r>
        <w:rPr>
          <w:rFonts w:ascii="Amiri" w:hAnsi="Amiri" w:eastAsia="Amiri" w:cs="Amiri"/>
          <w:color w:val="111111"/>
          <w:sz w:val="28"/>
          <w:sz w:val="28"/>
          <w:szCs w:val="28"/>
          <w:rtl w:val="true"/>
          <w:lang w:bidi="ar-SA"/>
        </w:rPr>
        <w:t>دارد در تمام عقد با تضرر مالك به فسخ در بعض؛ و مى تواند قبل از فوت محلّ عمل، مطالبۀ عمل نمايد از عامل مساقات؛ و مى تواند بعد از فوت، ابقاى عقد نمايد و مطالبۀ اجرت عمل فوت شده تماماً يا بعضاً نمايد و استثناى ماليّتِ حصّه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عامل است اجرت نقص زمين يا ثمره اگر به سبب ترك عمل يا عمل مشروط، نقصى در آن حاصل بشود براى صاحب زمين و ثمره؛ و در صورت فسخ عقد، چيزى براى مالك نيست، و داخل است اجرت نقصها در اجرت عمل، در صورت اخذ آن با استحقاق و عدم فسخ عقد</w:t>
      </w:r>
      <w:r>
        <w:rPr>
          <w:rFonts w:eastAsia="IRNazanin" w:cs="IRNazanin"/>
          <w:color w:val="111111"/>
          <w:sz w:val="28"/>
          <w:szCs w:val="28"/>
          <w:rtl w:val="true"/>
          <w:lang w:bidi="fa-IR"/>
        </w:rPr>
        <w:t>.</w:t>
      </w:r>
    </w:p>
    <w:p>
      <w:pPr>
        <w:pStyle w:val="Heading4"/>
        <w:numPr>
          <w:ilvl w:val="3"/>
          <w:numId w:val="1"/>
        </w:numPr>
        <w:rPr/>
      </w:pPr>
      <w:bookmarkStart w:id="1196" w:name="__RefHeading___Toc3598337_1067777946"/>
      <w:bookmarkStart w:id="1197" w:name="_Toc489"/>
      <w:bookmarkEnd w:id="1196"/>
      <w:r>
        <w:rPr>
          <w:rtl w:val="true"/>
        </w:rPr>
        <w:t>شرط تشريك غير در عمل</w:t>
      </w:r>
      <w:bookmarkEnd w:id="1197"/>
    </w:p>
    <w:p>
      <w:pPr>
        <w:pStyle w:val="BookText"/>
        <w:rPr/>
      </w:pPr>
      <w:r>
        <w:rPr>
          <w:rFonts w:ascii="IRNazanin" w:hAnsi="IRNazanin" w:eastAsia="IRNazanin"/>
          <w:color w:val="111111"/>
          <w:sz w:val="28"/>
          <w:sz w:val="28"/>
          <w:szCs w:val="28"/>
          <w:rtl w:val="true"/>
          <w:lang w:bidi="fa-IR"/>
        </w:rPr>
        <w:t xml:space="preserve">اگر شرط نمايد عاملِ در مساقات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يا غلام او با او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غير غررى جايز است، و مرجع آن ثبوت حصّه و مقدارى از عمل مالك براى عامل مساقات است؛ و هم چنين اگر شرط نمايد عمل را از مالك يا غلام او در آنچه مخصوص به عامل است، كه حصّه در مقابل بعض عمل كه به مباشرت عامل مساقات است بوده باشد و عمل مالك مثل عمل عاملِ مساقات براى دو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حصّۀ مالك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مانعى ندارد در صورت عدم غرريّت، به خلاف صورت شرط تمام عمل از مالك به يكى از دو قسم كه مستحَق عامل در هر دو قسم، متّحد است</w:t>
      </w:r>
      <w:r>
        <w:rPr>
          <w:rFonts w:eastAsia="IRNazanin" w:cs="IRNazanin"/>
          <w:color w:val="111111"/>
          <w:sz w:val="28"/>
          <w:szCs w:val="28"/>
          <w:rtl w:val="true"/>
          <w:lang w:bidi="fa-IR"/>
        </w:rPr>
        <w:t>.</w:t>
      </w:r>
    </w:p>
    <w:p>
      <w:pPr>
        <w:pStyle w:val="Heading4"/>
        <w:numPr>
          <w:ilvl w:val="3"/>
          <w:numId w:val="1"/>
        </w:numPr>
        <w:rPr/>
      </w:pPr>
      <w:bookmarkStart w:id="1198" w:name="__RefHeading___Toc3598339_1067777946"/>
      <w:bookmarkStart w:id="1199" w:name="_Toc490"/>
      <w:bookmarkEnd w:id="1198"/>
      <w:r>
        <w:rPr>
          <w:rtl w:val="true"/>
        </w:rPr>
        <w:t>شرط اخذ اجرت اجير از مالك يا خروج آن از حاصل</w:t>
      </w:r>
      <w:bookmarkEnd w:id="11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عامل شرط نمايد بر مالك، اجرت اجيرها را كه كمك عامل باشند، با تعيّن آن اجرتها در صورت بقاى عملى معلوم در مقابل حصّۀ مساقات، شرط،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شرط نمايند خروج اجرت اجيرها را از حاصل در صورت مذكوره، كه بقاى عمل عامل در مقابل باشد با تعيّن همه به نحوى كه مساقات غرريّه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اشتراط اجرت جميع اعمال بر مالك، مفسد مساقات </w:t>
      </w:r>
      <w:bookmarkStart w:id="1200" w:name="pg10256_89535"/>
    </w:p>
    <w:p>
      <w:pPr>
        <w:pStyle w:val="BookText"/>
        <w:rPr/>
      </w:pPr>
      <w:bookmarkEnd w:id="12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 عمل غير عاملِ مساقات با اجرت از عامل مساقات حتى اگر مباشر با شرط، نفس مالك با اجرتى از عامل مساقات باشد، مانعى ندارد، و مباشرت عامل مساقات در آن شرط نيست، و اشتراط عدم مباشرت او مبطل نيست</w:t>
      </w:r>
      <w:r>
        <w:rPr>
          <w:rFonts w:eastAsia="IRNazanin" w:cs="IRNazanin"/>
          <w:color w:val="111111"/>
          <w:sz w:val="28"/>
          <w:szCs w:val="28"/>
          <w:rtl w:val="true"/>
          <w:lang w:bidi="fa-IR"/>
        </w:rPr>
        <w:t>.</w:t>
      </w:r>
    </w:p>
    <w:p>
      <w:pPr>
        <w:pStyle w:val="Heading4"/>
        <w:numPr>
          <w:ilvl w:val="3"/>
          <w:numId w:val="1"/>
        </w:numPr>
        <w:rPr/>
      </w:pPr>
      <w:bookmarkStart w:id="1201" w:name="__RefHeading___Toc3598341_1067777946"/>
      <w:bookmarkStart w:id="1202" w:name="_Toc491"/>
      <w:bookmarkEnd w:id="1201"/>
      <w:r>
        <w:rPr>
          <w:rtl w:val="true"/>
        </w:rPr>
        <w:t>در فايده و ثمره است</w:t>
      </w:r>
      <w:bookmarkEnd w:id="1202"/>
    </w:p>
    <w:p>
      <w:pPr>
        <w:pStyle w:val="Heading5"/>
        <w:numPr>
          <w:ilvl w:val="4"/>
          <w:numId w:val="1"/>
        </w:numPr>
        <w:rPr/>
      </w:pPr>
      <w:bookmarkStart w:id="1203" w:name="__RefHeading___Toc3598343_1067777946"/>
      <w:bookmarkStart w:id="1204" w:name="_Toc492"/>
      <w:bookmarkEnd w:id="1203"/>
      <w:r>
        <w:rPr>
          <w:rtl w:val="true"/>
        </w:rPr>
        <w:t>لزوم اختصاص مقدارى از فايده به عامل</w:t>
      </w:r>
      <w:bookmarkEnd w:id="1204"/>
    </w:p>
    <w:p>
      <w:pPr>
        <w:pStyle w:val="BookText"/>
        <w:rPr/>
      </w:pPr>
      <w:r>
        <w:rPr>
          <w:rFonts w:ascii="IRNazanin" w:hAnsi="IRNazanin" w:eastAsia="IRNazanin"/>
          <w:color w:val="111111"/>
          <w:sz w:val="28"/>
          <w:sz w:val="28"/>
          <w:szCs w:val="28"/>
          <w:rtl w:val="true"/>
          <w:lang w:bidi="fa-IR"/>
        </w:rPr>
        <w:t>بايد فايده، جزء مشاعى از آن، مخصوص عامل باشد؛ پس اگر حصّه اى براى عاملِ مساقات تعيين و مذكور نشد، يا آنكه مذكور و تمام ثمره مخصوص يكى از دو طرف مساقات شد، باطل است، چه آنكه هميشگى باشد يا در سال از اوقات مساقات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در مزارعه، حكم صورتى كه مقدار معيّنى يا مقدار موزون به وزن معيّنى براى يكى باشد و زايدْ مشاع باشد به نحو تساوى يا 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حصۀ يكى از آن دو را ثمرۀ درختهاى مخصوصى قرار بدهد و براى ديگرى بقيه را، و همۀ ثمرۀ همۀ اصول مساقاتْ مشاع بين دو نفر نباشد، بنابر اتّحاد مزارعه و مساقات در آنچه لازم است وجود يا عدمش در آنها در غير جهات معلومۀ فارقه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تواند در مساقات براى انواع مختلفه از اشجار، حصص متفاوته قرار بدهد در صورتى كه عالم به مقدار هر نوع باشد به همان نحوى كه عالم به مقدار افراد يك نوع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تفاوت در كثرت و قلّت نماى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مساقات صحيحه</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3598345_1067777946"/>
      <w:bookmarkStart w:id="1206" w:name="_Toc493"/>
      <w:bookmarkEnd w:id="1205"/>
      <w:r>
        <w:rPr>
          <w:rtl w:val="true"/>
        </w:rPr>
        <w:t>اشكال در اشتراط اختصاص حصّه اى از اصول به عامل</w:t>
      </w:r>
      <w:bookmarkEnd w:id="12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شرط كرد بر مالك با حصّه اى از نما، حصّه اى از اصول را، پس بنابر جواز جعل ضميمه از ذهب و فضه با حصه اى از نما، به عقد يا به شرط در آن، خالى از اشكال نيست، چه آنكه در ضمن عقد مساقات باشد، يا با شرط در ضمن عقد، و متعلّق به تمام اصول باشد، يا حصّه اى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مبناى اشكال، تأمل در اعتبار مالكيّت غير </w:t>
      </w:r>
      <w:bookmarkStart w:id="1207" w:name="pg10256_89536"/>
    </w:p>
    <w:p>
      <w:pPr>
        <w:pStyle w:val="BookText"/>
        <w:rPr/>
      </w:pPr>
      <w:bookmarkEnd w:id="1207"/>
      <w:r>
        <w:rPr>
          <w:rFonts w:ascii="IRNazanin" w:hAnsi="IRNazanin" w:eastAsia="IRNazanin"/>
          <w:color w:val="111111"/>
          <w:sz w:val="28"/>
          <w:sz w:val="28"/>
          <w:szCs w:val="28"/>
          <w:rtl w:val="true"/>
          <w:lang w:bidi="fa-IR"/>
        </w:rPr>
        <w:t>عامل، اصل را است در ظرف تحقّق عقد كه معيّت با تحقّق شرط دارد، اگر چه معتبر باشد مالكيّت لو لا العقد و الشرط، بدون فرق بين كل و بعض اصول، و اينكه تملك آنها به نفس عقد و به جزئيت عوض باشد يا به شرط واقع در ضمن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مساقات كرد بر نصف حصّه در تقدير سقى با ناضح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وسيلۀ آب كشيدن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ثلث در تقدير سقى با سائح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معرّفيت تعلّق اختيار به متعلّق مساقات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واضح است تعلّق و عدم آن، يا آنكه واضح مى شود به سبب آنچه مذكور است با تساوى دو قسم در ماليّت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آن، خالى از وجه نيست</w:t>
      </w:r>
      <w:r>
        <w:rPr>
          <w:rFonts w:eastAsia="IRNazanin" w:cs="IRNazanin"/>
          <w:color w:val="111111"/>
          <w:sz w:val="28"/>
          <w:szCs w:val="28"/>
          <w:rtl w:val="true"/>
          <w:lang w:bidi="fa-IR"/>
        </w:rPr>
        <w:t>.</w:t>
      </w:r>
    </w:p>
    <w:p>
      <w:pPr>
        <w:pStyle w:val="Heading5"/>
        <w:numPr>
          <w:ilvl w:val="4"/>
          <w:numId w:val="1"/>
        </w:numPr>
        <w:rPr/>
      </w:pPr>
      <w:bookmarkStart w:id="1208" w:name="__RefHeading___Toc3598347_1067777946"/>
      <w:bookmarkStart w:id="1209" w:name="_Toc494"/>
      <w:bookmarkEnd w:id="1208"/>
      <w:r>
        <w:rPr>
          <w:rtl w:val="true"/>
        </w:rPr>
        <w:t>كراهت شرط انضمام مقدارى از طلا يا نقره و</w:t>
      </w:r>
      <w:r>
        <w:rPr>
          <w:rtl w:val="true"/>
        </w:rPr>
        <w:t>...</w:t>
      </w:r>
      <w:bookmarkEnd w:id="1209"/>
    </w:p>
    <w:p>
      <w:pPr>
        <w:pStyle w:val="BookText"/>
        <w:rPr/>
      </w:pPr>
      <w:r>
        <w:rPr>
          <w:rFonts w:ascii="IRNazanin" w:hAnsi="IRNazanin" w:eastAsia="IRNazanin"/>
          <w:color w:val="111111"/>
          <w:sz w:val="28"/>
          <w:sz w:val="28"/>
          <w:szCs w:val="28"/>
          <w:rtl w:val="true"/>
          <w:lang w:bidi="fa-IR"/>
        </w:rPr>
        <w:t>مكروه است شرط كند بر عامل، با حصه، چيزى از طلا و نقره كه معيّن باشند، لكن لازم است وفا كردن اگر شرط شد و مورد قبول عامل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تلف شد ثمره بدون اختيار عامل، بر او لازم نيست عمل به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تمليك ذهب يا فضه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متعلّق اشتراط، تمليك در صورت سلامت ثمره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اشتراط ملكيت بوده به نحو شرط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صحّت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رجوع ملكيّت، مبنىّ بر حدوث بطلان به تلف ثمره، نه انكشاف بطلان اصل عقد در وقت حدوث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عامل، شرط نمايد بر مالك، تمليك يا ملكيّت مقدارى معيّن از ذهب يا فضه را بنابر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تلف بعض ثمره، انفساخ عقد در بعض و بقاى در بعض و ثبوت شرط مذكور به نسبت باقى، خالى از وجه نيست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حكم، در صورت عدم خروج فايده و عدم ادراك ثمره و تلف آن به آفتى غير اختياريه و تلف بعض،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نقص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مثل ميوه ندادن چند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كيفى در خارج، حكمى ندارد و عقد و شرط، باقى است در اين صورت، و اللّٰه العالم</w:t>
      </w:r>
      <w:r>
        <w:rPr>
          <w:rFonts w:eastAsia="IRNazanin" w:cs="IRNazanin"/>
          <w:color w:val="111111"/>
          <w:sz w:val="28"/>
          <w:szCs w:val="28"/>
          <w:rtl w:val="true"/>
          <w:lang w:bidi="fa-IR"/>
        </w:rPr>
        <w:t xml:space="preserve">. </w:t>
      </w:r>
      <w:bookmarkStart w:id="1210" w:name="pg10256_89537"/>
    </w:p>
    <w:p>
      <w:pPr>
        <w:pStyle w:val="Heading3"/>
        <w:numPr>
          <w:ilvl w:val="2"/>
          <w:numId w:val="1"/>
        </w:numPr>
        <w:rPr/>
      </w:pPr>
      <w:bookmarkStart w:id="1211" w:name="__RefHeading___Toc3598349_1067777946"/>
      <w:bookmarkStart w:id="1212" w:name="_Toc495"/>
      <w:bookmarkEnd w:id="1210"/>
      <w:bookmarkEnd w:id="1211"/>
      <w:r>
        <w:rPr>
          <w:rtl w:val="true"/>
        </w:rPr>
        <w:t>فصل دوّم احكام مساقات</w:t>
      </w:r>
      <w:bookmarkEnd w:id="1212"/>
    </w:p>
    <w:p>
      <w:pPr>
        <w:pStyle w:val="Heading4"/>
        <w:numPr>
          <w:ilvl w:val="3"/>
          <w:numId w:val="1"/>
        </w:numPr>
        <w:rPr/>
      </w:pPr>
      <w:bookmarkStart w:id="1213" w:name="__RefHeading___Toc3598351_1067777946"/>
      <w:bookmarkStart w:id="1214" w:name="_Toc496"/>
      <w:bookmarkEnd w:id="1213"/>
      <w:r>
        <w:rPr>
          <w:rtl w:val="true"/>
        </w:rPr>
        <w:t>حكم ثمره و اجرت در فرض فساد مساقات</w:t>
      </w:r>
      <w:bookmarkEnd w:id="1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مواضع فساد مساقات،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صاحب بذر مى شود، و عاملْ مستحق اجرت المثل مى شود در صورتى كه مقتضى ضمان باشد و مانعى از آن نباشد؛ پس عاملِ عالمِ به فساد، مستحقّ اجرت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فساد ناشى از اشتراطِ عدم استحقاق چيزى از ثمره باشد به نحوى كه راضى به عدم عوض باشد به طور اطلاق، نه مقيّد به صحّت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اكثريت اجرت المثل از حصه، ضمان اكثر از حصه، محل تأمل است و ضمان اقل 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حصه و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Heading4"/>
        <w:numPr>
          <w:ilvl w:val="3"/>
          <w:numId w:val="1"/>
        </w:numPr>
        <w:rPr/>
      </w:pPr>
      <w:bookmarkStart w:id="1215" w:name="__RefHeading___Toc3598353_1067777946"/>
      <w:bookmarkStart w:id="1216" w:name="_Toc497"/>
      <w:bookmarkEnd w:id="1215"/>
      <w:r>
        <w:rPr>
          <w:rtl w:val="true"/>
        </w:rPr>
        <w:t>حكم انحاى جعل اجرت از ثمره</w:t>
      </w:r>
      <w:bookmarkEnd w:id="12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اجاره، اجرت را حصه اى از ثمرۀ اشجار قرار داد قبل از ظهور ثمره، جايز نيست مگر آنكه كلّى ذمى، اجرت باشد و شرط نمايد وفا را از ثمرۀ خاصه بر تقدير ادراك؛ و اگر بعد از ظهور ثمره و قبل از بدوّ صلاح آن از آفات محتمله باشد، صحيح است اگر شرط قطع نمايد با ماليّت فعليّه و لحاظ آن در حال فعلى اگر اجرتْ جميع ثمره باشد بنابر اظهر، و هم چنين اگر ضميمه اى با حصّه باشد يا آنكه ثمرۀ دو سال، اجرت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اجرتْ بعض ثمره باشد، اظهر جواز اجاره است با انتهاى امر به حالى كه شرعاً متمكّن از قطع مشروط باشد و تمكّنْ ظاهر باشد، اگر چه شريكِ حصّۀ عامل، خودِ مستأجر نباشد بنابر اظهر</w:t>
      </w:r>
      <w:r>
        <w:rPr>
          <w:rFonts w:eastAsia="IRNazanin" w:cs="IRNazanin"/>
          <w:color w:val="111111"/>
          <w:sz w:val="28"/>
          <w:szCs w:val="28"/>
          <w:rtl w:val="true"/>
          <w:lang w:bidi="fa-IR"/>
        </w:rPr>
        <w:t>.</w:t>
      </w:r>
      <w:bookmarkStart w:id="1217" w:name="pg10256_89538"/>
    </w:p>
    <w:p>
      <w:pPr>
        <w:pStyle w:val="Heading4"/>
        <w:numPr>
          <w:ilvl w:val="3"/>
          <w:numId w:val="1"/>
        </w:numPr>
        <w:rPr/>
      </w:pPr>
      <w:bookmarkStart w:id="1218" w:name="__RefHeading___Toc3598355_1067777946"/>
      <w:bookmarkStart w:id="1219" w:name="_Toc498"/>
      <w:bookmarkEnd w:id="1217"/>
      <w:bookmarkEnd w:id="1218"/>
      <w:r>
        <w:rPr>
          <w:rtl w:val="true"/>
        </w:rPr>
        <w:t>اشتراط مساقات ديگر در ضمن عقد</w:t>
      </w:r>
      <w:bookmarkEnd w:id="12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 كردم بر اين بستان به حصه اى، به شرط اينكه مساقات نمايم بر بستان معيّن ديگر به حصۀ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صحّت مساقات و نفوذ شرط است، و تخلّف آن موجب خيار است نه بطلان؛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شرط نتيجه كه مالكيّت عمل ديگرى به حصۀ ديگرى باشد كه با شرط، مضمونِ مساقات ديگر محقّق بشود بنابر صحّت شرط نتيجه اگر چه نتايجْ عقود باشد با ترتّب آثار و احكام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عقد مساقات، به دو قطعۀ متفرّقه به دو حصّۀ متعيّنه واقع شد و به عقد واحد هر دو مساقاتْ محقّق باشد</w:t>
      </w:r>
      <w:r>
        <w:rPr>
          <w:rFonts w:eastAsia="IRNazanin" w:cs="IRNazanin"/>
          <w:color w:val="111111"/>
          <w:sz w:val="28"/>
          <w:szCs w:val="28"/>
          <w:rtl w:val="true"/>
          <w:lang w:bidi="fa-IR"/>
        </w:rPr>
        <w:t>.</w:t>
      </w:r>
    </w:p>
    <w:p>
      <w:pPr>
        <w:pStyle w:val="Heading4"/>
        <w:numPr>
          <w:ilvl w:val="3"/>
          <w:numId w:val="1"/>
        </w:numPr>
        <w:rPr/>
      </w:pPr>
      <w:bookmarkStart w:id="1220" w:name="__RefHeading___Toc3598357_1067777946"/>
      <w:bookmarkStart w:id="1221" w:name="_Toc499"/>
      <w:bookmarkEnd w:id="1220"/>
      <w:r>
        <w:rPr>
          <w:rtl w:val="true"/>
        </w:rPr>
        <w:t>صور مختلف تعدّد حصص و لزوم معلوميّت آن</w:t>
      </w:r>
      <w:bookmarkEnd w:id="12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اصول براى دو مالك باشد، پس گفتند به عامل در مقام قرار عقد مساقات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معاملۀ مساقات مى نماييم به اينكه براى تو، نصف حاصل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حصۀ مملوك زيد، نصف، و در مقابل عمل در حصۀ مملوكه عمرو،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با معلوميّت مقدار دو حصه براى طرفين، نه با جهل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مالك سه نفر بودند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عمل در اين بستان،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اگر مختلف به اختلاف مالكين قرار دادند، پس با معلوميّت حصص مملوكه و حصص مجعوله براى عمل در هر كدام، صحيح، و با مجهوليّت آنها صحيح نيست؛ و با اختلاف در معلوميّت و مجهوليّت، عقد در خصوص نصيب معلوم در مقابل حصه معينه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واحد باشد يا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غير آن باطل است</w:t>
      </w:r>
      <w:r>
        <w:rPr>
          <w:rFonts w:eastAsia="IRNazanin" w:cs="IRNazanin"/>
          <w:color w:val="111111"/>
          <w:sz w:val="28"/>
          <w:szCs w:val="28"/>
          <w:rtl w:val="true"/>
          <w:lang w:bidi="fa-IR"/>
        </w:rPr>
        <w:t>.</w:t>
      </w:r>
    </w:p>
    <w:p>
      <w:pPr>
        <w:pStyle w:val="Heading4"/>
        <w:numPr>
          <w:ilvl w:val="3"/>
          <w:numId w:val="1"/>
        </w:numPr>
        <w:rPr/>
      </w:pPr>
      <w:bookmarkStart w:id="1222" w:name="__RefHeading___Toc3598359_1067777946"/>
      <w:bookmarkStart w:id="1223" w:name="_Toc500"/>
      <w:bookmarkEnd w:id="1222"/>
      <w:r>
        <w:rPr>
          <w:rtl w:val="true"/>
        </w:rPr>
        <w:t>فرار عامل از مساقات با فرض عدم تعيّن مباشرت در عقد</w:t>
      </w:r>
      <w:bookmarkEnd w:id="12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فرار نمايد عاملى كه مباشرت او، معيّن در عقد نباشد، از عمل مساقات، پس اگر باذلى پيدا شد كه از جانب طرفْ عمل نمايد، اكتفاى به آن مى شود، و بايد عمل</w:t>
      </w:r>
      <w:bookmarkStart w:id="1224" w:name="pg10256_89539"/>
    </w:p>
    <w:p>
      <w:pPr>
        <w:pStyle w:val="BookText"/>
        <w:rPr/>
      </w:pPr>
      <w:bookmarkEnd w:id="1224"/>
      <w:r>
        <w:rPr>
          <w:rFonts w:ascii="IRNazanin" w:hAnsi="IRNazanin" w:eastAsia="IRNazanin"/>
          <w:color w:val="111111"/>
          <w:sz w:val="28"/>
          <w:sz w:val="28"/>
          <w:szCs w:val="28"/>
          <w:rtl w:val="true"/>
          <w:lang w:bidi="fa-IR"/>
        </w:rPr>
        <w:t>به قصد او انجام شود، وگرنه تابع قصد است؛ و محمول مى شود در موقع شك، بر انجام براى عامل به طورى كه مستحق اجرت است اگر با اذن مالك بوده؛ و مجرّد موافقت با آنچه در ذمّه عامل است، موجب استحقاق عاملِ مساقات مستحق حصه نمى شود، بلى ممكن است بر او اجرت المثل عمل و براى او حصه اى از عمل غير باشد، اگر چه مالكْ اجرت را به مباشر مى دهد؛ و اگر باذلى نبود مى تواند مراجعه به حاكم نمايد در احضار و اجبار بر عمل، يا استيجار از هارب از مال او يا با اقراض او در صورت تعذّر اجبار؛ و با تعذّر آن مى تواند خودش اشهاد نمايد بر استيجار بر عمل و رجوع نمايد بر طرف؛ و اگر ممكن نشد و قول او در تعذّر اشهاد و در ادّعاى استيجار قبول نشود، مى تواند فسخ نمايد عقد مساقات را، بلكه با تمكّن از مذكوراتْ حق فسخ دارد، اگر ضررى باشد بر او لزوم مذكورات</w:t>
      </w:r>
      <w:r>
        <w:rPr>
          <w:rFonts w:eastAsia="IRNazanin" w:cs="IRNazanin"/>
          <w:color w:val="111111"/>
          <w:sz w:val="28"/>
          <w:szCs w:val="28"/>
          <w:rtl w:val="true"/>
          <w:lang w:bidi="fa-IR"/>
        </w:rPr>
        <w:t>.</w:t>
      </w:r>
    </w:p>
    <w:p>
      <w:pPr>
        <w:pStyle w:val="Heading4"/>
        <w:numPr>
          <w:ilvl w:val="3"/>
          <w:numId w:val="1"/>
        </w:numPr>
        <w:rPr/>
      </w:pPr>
      <w:bookmarkStart w:id="1225" w:name="__RefHeading___Toc3598361_1067777946"/>
      <w:bookmarkStart w:id="1226" w:name="_Toc501"/>
      <w:bookmarkEnd w:id="1225"/>
      <w:r>
        <w:rPr>
          <w:rtl w:val="true"/>
        </w:rPr>
        <w:t>فرض تعيّن مباشرت</w:t>
      </w:r>
      <w:bookmarkEnd w:id="1226"/>
    </w:p>
    <w:p>
      <w:pPr>
        <w:pStyle w:val="BookText"/>
        <w:rPr/>
      </w:pPr>
      <w:r>
        <w:rPr>
          <w:rFonts w:ascii="IRNazanin" w:hAnsi="IRNazanin" w:eastAsia="IRNazanin"/>
          <w:color w:val="111111"/>
          <w:sz w:val="28"/>
          <w:sz w:val="28"/>
          <w:szCs w:val="28"/>
          <w:rtl w:val="true"/>
          <w:lang w:bidi="fa-IR"/>
        </w:rPr>
        <w:t xml:space="preserve">و اگر متعيّن باشد عمل در مباشرت طرف عقد، پس با تعذر مباشرتْ اختيار فسخ براى مالك اصل، ثابت، و عمل غير به هيچ نحوى به جاى عمل طرف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قصد عمل يا اتمام عمل به نيابت از طرف نمايد و براى مالك يا با اجرت براى خودش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رضاى مالك و اسقاط قيد مباشرت و ابقاى عقد موجب استحقاق حصّه</w:t>
      </w:r>
      <w:r>
        <w:rPr>
          <w:rFonts w:eastAsia="IRNazanin" w:cs="IRNazanin"/>
          <w:color w:val="111111"/>
          <w:sz w:val="28"/>
          <w:szCs w:val="28"/>
          <w:rtl w:val="true"/>
          <w:lang w:bidi="fa-IR"/>
        </w:rPr>
        <w:t>.</w:t>
      </w:r>
    </w:p>
    <w:p>
      <w:pPr>
        <w:pStyle w:val="Heading4"/>
        <w:numPr>
          <w:ilvl w:val="3"/>
          <w:numId w:val="1"/>
        </w:numPr>
        <w:rPr/>
      </w:pPr>
      <w:bookmarkStart w:id="1227" w:name="__RefHeading___Toc3598363_1067777946"/>
      <w:bookmarkStart w:id="1228" w:name="_Toc502"/>
      <w:bookmarkEnd w:id="1227"/>
      <w:r>
        <w:rPr>
          <w:rtl w:val="true"/>
        </w:rPr>
        <w:t>تقدم قول عامل در فرض ادّعاى خيانت يا سرقت يا تفريط از طرف مالك</w:t>
      </w:r>
      <w:bookmarkEnd w:id="12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ادّعا كرد كه عاملْ خيانت يا سرقت يا تفريط كرده و مال تلف شده، قول عاملْ مقدّم است با يمين او؛ و لزوم تعيينِ مقدار در دعوى، مبنى بر مانعيّت اين قسم جهل از سماع دعوى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تقدير اثبات خيانت با بيّنه، پس با حصول حفظ با استيجار عاملِ منضمّ به طرف و توافق در اجرتِ آنكه بر او است اجرت شريك در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خائن است بنابر 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حصول حفظ به اين</w:t>
      </w:r>
      <w:bookmarkStart w:id="1229" w:name="pg10256_89540"/>
    </w:p>
    <w:p>
      <w:pPr>
        <w:pStyle w:val="BookText"/>
        <w:rPr/>
      </w:pPr>
      <w:bookmarkEnd w:id="1229"/>
      <w:r>
        <w:rPr>
          <w:rFonts w:ascii="IRNazanin" w:hAnsi="IRNazanin" w:eastAsia="IRNazanin"/>
          <w:color w:val="111111"/>
          <w:sz w:val="28"/>
          <w:sz w:val="28"/>
          <w:szCs w:val="28"/>
          <w:rtl w:val="true"/>
          <w:lang w:bidi="fa-IR"/>
        </w:rPr>
        <w:t xml:space="preserve">طريق و حصول حفظ به استيجار مستقل در حفظ و ازالۀ يد عامل خائن و توافق در تأديه خائنْ اجرت حافظ را، نمى تواند مالك فسخ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تضرر مالك به لزوم انجام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براى او است فسخ عقد، مثل صورت فرار عامل با خصوصيّات و شروط مذكورۀ آن</w:t>
      </w:r>
      <w:r>
        <w:rPr>
          <w:rFonts w:eastAsia="IRNazanin" w:cs="IRNazanin"/>
          <w:color w:val="111111"/>
          <w:sz w:val="28"/>
          <w:szCs w:val="28"/>
          <w:rtl w:val="true"/>
          <w:lang w:bidi="fa-IR"/>
        </w:rPr>
        <w:t>.</w:t>
      </w:r>
    </w:p>
    <w:p>
      <w:pPr>
        <w:pStyle w:val="Heading4"/>
        <w:numPr>
          <w:ilvl w:val="3"/>
          <w:numId w:val="1"/>
        </w:numPr>
        <w:rPr/>
      </w:pPr>
      <w:bookmarkStart w:id="1230" w:name="__RefHeading___Toc3598365_1067777946"/>
      <w:bookmarkStart w:id="1231" w:name="_Toc503"/>
      <w:bookmarkEnd w:id="1230"/>
      <w:r>
        <w:rPr>
          <w:rtl w:val="true"/>
        </w:rPr>
        <w:t>انكشاف عدم مالكيّت مساقى</w:t>
      </w:r>
      <w:bookmarkEnd w:id="123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مساقات نمود بر اصولى، پس ظاهر شد كه مملوكِ غيرِ مساقى است، عقد باطل است بدون لحوق اجازۀ مالك؛ و در صورت عدم لحوق، ثمره، مال مالكِ اصول است، و اجرت عامل، از مال مساقى است، نه مستحق واقعى ثمره، در صورتى كه عاملْ جاهل به بطلان مساقات بوده و مساقىْ غارّ بوده، يا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عقد مفروض و ادراك ثمره، تلف شد ثمره، مالك واقعى رجوع به غاصب به بدل آن مى نمايد، و غاصبْ رجوع مى نمايد به عاملْ بدل حصه اى را كه مضمون در يد او بوده اگر چه اجرت عمل را از غاصب مى گيرد در صورت غرور يا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رجوع نمايد مالك واقعى و ظاهرى به عامل كه وضع يد بر مال غير كرده بدون رافع ضمان، پس رجوع مى نمايد عامل به غاصب در آنچه حاصل براى او بوده و رجوع مى نمايد به غاصب به اجرت عمل در صورت غرور يا مطلقاً</w:t>
      </w:r>
      <w:r>
        <w:rPr>
          <w:rFonts w:eastAsia="IRNazanin" w:cs="IRNazanin"/>
          <w:color w:val="111111"/>
          <w:sz w:val="28"/>
          <w:szCs w:val="28"/>
          <w:rtl w:val="true"/>
          <w:lang w:bidi="fa-IR"/>
        </w:rPr>
        <w:t>.</w:t>
      </w:r>
    </w:p>
    <w:p>
      <w:pPr>
        <w:pStyle w:val="Heading4"/>
        <w:numPr>
          <w:ilvl w:val="3"/>
          <w:numId w:val="1"/>
        </w:numPr>
        <w:rPr/>
      </w:pPr>
      <w:bookmarkStart w:id="1232" w:name="__RefHeading___Toc3598367_1067777946"/>
      <w:bookmarkStart w:id="1233" w:name="_Toc504"/>
      <w:bookmarkEnd w:id="1232"/>
      <w:r>
        <w:rPr>
          <w:rtl w:val="true"/>
        </w:rPr>
        <w:t>فرض جواز مساقات غير</w:t>
      </w:r>
      <w:bookmarkEnd w:id="123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 در تقدير عدم اتفاق بر خلاف، جواز مساقاتِ غير است براى مساقى، به حصۀ مماثله با عوض در عقد اوّل، يا مخالفه؛ چنانچه جايز است اجاره به اجرت معيّنه و استيجار غير در عمل، به اجرت، و مصالحه به عوض معيّنى يا به حصه اى از ثمره، و نحو آن</w:t>
      </w:r>
      <w:r>
        <w:rPr>
          <w:rFonts w:eastAsia="IRNazanin" w:cs="IRNazanin"/>
          <w:color w:val="111111"/>
          <w:sz w:val="28"/>
          <w:szCs w:val="28"/>
          <w:rtl w:val="true"/>
          <w:lang w:bidi="fa-IR"/>
        </w:rPr>
        <w:t>.</w:t>
      </w:r>
    </w:p>
    <w:p>
      <w:pPr>
        <w:pStyle w:val="Heading4"/>
        <w:numPr>
          <w:ilvl w:val="3"/>
          <w:numId w:val="1"/>
        </w:numPr>
        <w:rPr/>
      </w:pPr>
      <w:bookmarkStart w:id="1234" w:name="__RefHeading___Toc3598369_1067777946"/>
      <w:bookmarkStart w:id="1235" w:name="_Toc505"/>
      <w:bookmarkEnd w:id="1234"/>
      <w:r>
        <w:rPr>
          <w:rtl w:val="true"/>
        </w:rPr>
        <w:t>ثبوت خراج زمين بر مالك</w:t>
      </w:r>
      <w:bookmarkEnd w:id="12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زمين مغروس و غير آن، بر مالك است نه بر عامل مساقات يا مزارعه، مگر در</w:t>
      </w:r>
      <w:bookmarkStart w:id="1236" w:name="pg10256_89541"/>
    </w:p>
    <w:p>
      <w:pPr>
        <w:pStyle w:val="BookText"/>
        <w:rPr/>
      </w:pPr>
      <w:bookmarkEnd w:id="1236"/>
      <w:r>
        <w:rPr>
          <w:rFonts w:ascii="Amiri" w:hAnsi="Amiri" w:eastAsia="Amiri" w:cs="Amiri"/>
          <w:color w:val="111111"/>
          <w:sz w:val="28"/>
          <w:sz w:val="28"/>
          <w:szCs w:val="28"/>
          <w:rtl w:val="true"/>
          <w:lang w:bidi="ar-SA"/>
        </w:rPr>
        <w:t>صورت اشتراط معلّق به ثبوت آن يا حصه اى از آن بر عامل، كه حكم شرطْ محقّق مى شود</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3598371_1067777946"/>
      <w:bookmarkStart w:id="1238" w:name="_Toc506"/>
      <w:bookmarkEnd w:id="1237"/>
      <w:r>
        <w:rPr>
          <w:rtl w:val="true"/>
        </w:rPr>
        <w:t>فرض غاصبيّت مساقى و رجوع مالك</w:t>
      </w:r>
      <w:bookmarkEnd w:id="123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كدام از غاصب و عامل اگر باقى بر ادّعاى صحّت عقد و مالكيّت به سبب مساقات صحيحه باشند، پس مأخوذ به اقرار خود خواهد بود و مطالبه بر خلاف اعتراف خودش نمى نمايد اگر چه مظلوم شده باشد از جانب مدّعى مالكيّت و فساد عقد مساقات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رجوع نمايد مالك واقعى كه اثبات مالكيّت شرعيّه كرده، به هر كدام از مساقى و عامل نسبت به هر مقدارى كه حاصل براى او شده بوده، و رجوعى يكى از آن دو به ديگرى نمى نمايد مگر آنكه عاملْ اجرت المثل عمل را از مساقى مطالبه نمايد در صورت غرور يا مطلقاً، چنانچه گذشت</w:t>
      </w:r>
      <w:r>
        <w:rPr>
          <w:rFonts w:eastAsia="IRNazanin" w:cs="IRNazanin"/>
          <w:color w:val="111111"/>
          <w:sz w:val="28"/>
          <w:szCs w:val="28"/>
          <w:rtl w:val="true"/>
          <w:lang w:bidi="fa-IR"/>
        </w:rPr>
        <w:t>.</w:t>
      </w:r>
    </w:p>
    <w:p>
      <w:pPr>
        <w:pStyle w:val="Heading4"/>
        <w:numPr>
          <w:ilvl w:val="3"/>
          <w:numId w:val="1"/>
        </w:numPr>
        <w:rPr/>
      </w:pPr>
      <w:bookmarkStart w:id="1239" w:name="__RefHeading___Toc3598373_1067777946"/>
      <w:bookmarkStart w:id="1240" w:name="_Toc507"/>
      <w:bookmarkEnd w:id="1239"/>
      <w:r>
        <w:rPr>
          <w:rtl w:val="true"/>
        </w:rPr>
        <w:t>زمان مملوكيّت فايده و وجوب زكات</w:t>
      </w:r>
      <w:bookmarkEnd w:id="12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فايده مملوك مى شود براى صاحب اصل و عامل، به ظهور ثمره به نحو قابل تملّك، و متأخّر نمى شود ملكيّت آن تا بدوّ صلاح ثمره؛ پس واجب مى شود زكات بر هر دو در صورت بلوغ نصيب هر يك به نصاب زكات به واسطۀ نموّ در ملك، با ملاحظۀ آنچه مذكور در زكات است از اعتبار تمكّن از تصرّف و اخراج مؤونه</w:t>
      </w:r>
      <w:r>
        <w:rPr>
          <w:rFonts w:eastAsia="IRNazanin" w:cs="IRNazanin"/>
          <w:color w:val="111111"/>
          <w:sz w:val="28"/>
          <w:szCs w:val="28"/>
          <w:rtl w:val="true"/>
          <w:lang w:bidi="fa-IR"/>
        </w:rPr>
        <w:t>.</w:t>
      </w:r>
    </w:p>
    <w:p>
      <w:pPr>
        <w:pStyle w:val="Heading4"/>
        <w:numPr>
          <w:ilvl w:val="3"/>
          <w:numId w:val="1"/>
        </w:numPr>
        <w:rPr/>
      </w:pPr>
      <w:bookmarkStart w:id="1241" w:name="__RefHeading___Toc3598375_1067777946"/>
      <w:bookmarkStart w:id="1242" w:name="_Toc508"/>
      <w:bookmarkEnd w:id="1241"/>
      <w:r>
        <w:rPr>
          <w:rtl w:val="true"/>
        </w:rPr>
        <w:t>دفع زمين براى كاشت درخت و تنصيف درختها</w:t>
      </w:r>
      <w:bookmarkEnd w:id="124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زمينى را دفع كرد به شخصى براى غرس شجر در آن كه در تقدير اين عمل و ظهور شجر، مغروسها بين مالك زمين و عامل باشد به تنصيف مثلاً، اين عقد به اين صورت باطل است، بلكه محتاج به صلح يا اجارۀ صحيحه است تا اين نتيجه حاصل بشود؛ پس بدون عقد صحيح، مغروسْ ملك صاحب اصل آن است و صاحبِ زمينْ حق ازالۀ مغروس را دارد؛ و در صورت جهل به بطلان عقد مذكور،</w:t>
      </w:r>
    </w:p>
    <w:p>
      <w:pPr>
        <w:pStyle w:val="BookText"/>
        <w:rPr/>
      </w:pPr>
      <w:r>
        <w:rPr>
          <w:rFonts w:ascii="IRNazanin" w:hAnsi="IRNazanin" w:eastAsia="IRNazanin"/>
          <w:color w:val="111111"/>
          <w:sz w:val="28"/>
          <w:sz w:val="28"/>
          <w:szCs w:val="28"/>
          <w:rtl w:val="true"/>
          <w:lang w:bidi="fa-IR"/>
        </w:rPr>
        <w:t xml:space="preserve">استحقاق اجرت زمين را تا آخر يا تا زمان قلع دارد و هم چنين اجرت اصلاح حفره ها را؛ و بر او است بعد از ازاله، ارش نقصان مغروس و تفاوت ما بين باقى با اجرت با استحقاق قلع با اداى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بر او است از ناحيۀ 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مقلوع، كه 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از ناحيۀ قلع، براى مالك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كه مستحِقّ است،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مغروسى با غرسى ديگر، به منزلۀ اضافۀ غرس بر مغروس ديگر است در احكام، در مالكيّت نما، و در ثبوت اجرت براى صاحب زمين و اصلاح زمين، و بر او است ارش بعد از قلع، و ساير آنچه ذكر شد، در صورت علم به فساد معامله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دفع مالك زمين قيمت مغروس را براى تملّك مغروس، اجبار نمى شود صاحب غرس بر آن؛ و با دفع غارسْ اجرت زمين را، اجبار نمى شود صاحب زمين بر ابقا با اجرت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بحمده تعالى بيد العبد محمد تقى بن محمود عفى عنهما</w:t>
      </w:r>
    </w:p>
    <w:p>
      <w:pPr>
        <w:pStyle w:val="BookText"/>
        <w:rPr/>
      </w:pPr>
      <w:r>
        <w:rPr>
          <w:rFonts w:ascii="Amiri" w:hAnsi="Amiri" w:eastAsia="Amiri" w:cs="Amiri"/>
          <w:color w:val="111111"/>
          <w:sz w:val="28"/>
          <w:sz w:val="28"/>
          <w:szCs w:val="28"/>
          <w:rtl w:val="true"/>
          <w:lang w:bidi="ar-SA"/>
        </w:rPr>
        <w:t>في المشهد المقدس الرضوى صلوات اللّٰه علىٰ مشرّفه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عترته الطيّبين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243" w:name="pg10256_89543"/>
    </w:p>
    <w:p>
      <w:pPr>
        <w:pStyle w:val="Heading2"/>
        <w:numPr>
          <w:ilvl w:val="1"/>
          <w:numId w:val="1"/>
        </w:numPr>
        <w:rPr/>
      </w:pPr>
      <w:bookmarkStart w:id="1244" w:name="__RefHeading___Toc3598377_1067777946"/>
      <w:bookmarkStart w:id="1245" w:name="_Toc509"/>
      <w:bookmarkEnd w:id="1243"/>
      <w:bookmarkEnd w:id="1244"/>
      <w:r>
        <w:rPr>
          <w:rtl w:val="true"/>
        </w:rPr>
        <w:t>كتاب وديعه</w:t>
      </w:r>
      <w:bookmarkEnd w:id="1245"/>
    </w:p>
    <w:p>
      <w:pPr>
        <w:pStyle w:val="Heading3"/>
        <w:numPr>
          <w:ilvl w:val="2"/>
          <w:numId w:val="1"/>
        </w:numPr>
        <w:rPr/>
      </w:pPr>
      <w:bookmarkStart w:id="1246" w:name="__RefHeading___Toc3598379_1067777946"/>
      <w:bookmarkStart w:id="1247" w:name="_Toc510"/>
      <w:bookmarkEnd w:id="1246"/>
      <w:r>
        <w:rPr>
          <w:rtl w:val="true"/>
        </w:rPr>
        <w:t>اشاره</w:t>
      </w:r>
      <w:bookmarkEnd w:id="1247"/>
    </w:p>
    <w:p>
      <w:pPr>
        <w:pStyle w:val="BookText"/>
        <w:rPr/>
      </w:pPr>
      <w:r>
        <w:rPr>
          <w:rFonts w:ascii="Amiri" w:hAnsi="Amiri" w:eastAsia="Amiri" w:cs="Amiri"/>
          <w:color w:val="111111"/>
          <w:sz w:val="28"/>
          <w:sz w:val="28"/>
          <w:szCs w:val="28"/>
          <w:rtl w:val="true"/>
          <w:lang w:bidi="ar-SA"/>
        </w:rPr>
        <w:t>وديعه و شرايط آن</w:t>
      </w:r>
    </w:p>
    <w:p>
      <w:pPr>
        <w:pStyle w:val="BookText"/>
        <w:rPr/>
      </w:pPr>
      <w:r>
        <w:rPr>
          <w:rFonts w:ascii="Amiri" w:hAnsi="Amiri" w:eastAsia="Amiri" w:cs="Amiri"/>
          <w:color w:val="111111"/>
          <w:sz w:val="28"/>
          <w:sz w:val="28"/>
          <w:szCs w:val="28"/>
          <w:rtl w:val="true"/>
          <w:lang w:bidi="ar-SA"/>
        </w:rPr>
        <w:t>موجبات ضمان وديعه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وديعه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8" w:name="pg10256_89545"/>
      <w:bookmarkStart w:id="1249" w:name="pg10256_89545"/>
      <w:bookmarkEnd w:id="1249"/>
    </w:p>
    <w:p>
      <w:pPr>
        <w:pStyle w:val="Heading3"/>
        <w:numPr>
          <w:ilvl w:val="2"/>
          <w:numId w:val="1"/>
        </w:numPr>
        <w:rPr/>
      </w:pPr>
      <w:bookmarkStart w:id="1250" w:name="pg10256_89545"/>
      <w:bookmarkStart w:id="1251" w:name="__RefHeading___Toc3598381_1067777946"/>
      <w:bookmarkStart w:id="1252" w:name="_Toc511"/>
      <w:bookmarkEnd w:id="1250"/>
      <w:bookmarkEnd w:id="1251"/>
      <w:r>
        <w:rPr>
          <w:rtl w:val="true"/>
        </w:rPr>
        <w:t>فصل اوّل وديعه و شرايط آن</w:t>
      </w:r>
      <w:bookmarkEnd w:id="1252"/>
    </w:p>
    <w:p>
      <w:pPr>
        <w:pStyle w:val="Heading4"/>
        <w:numPr>
          <w:ilvl w:val="3"/>
          <w:numId w:val="1"/>
        </w:numPr>
        <w:rPr/>
      </w:pPr>
      <w:bookmarkStart w:id="1253" w:name="__RefHeading___Toc3598383_1067777946"/>
      <w:bookmarkStart w:id="1254" w:name="_Toc512"/>
      <w:bookmarkEnd w:id="1253"/>
      <w:r>
        <w:rPr>
          <w:rtl w:val="true"/>
        </w:rPr>
        <w:t>تعريف وديعه</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حسب مضمون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استنابه در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دالّ بر آن، به هر عبارتى باشد از ايجاب و قبول، موجب تحقّق عقد وديعه و احكام آن مى شود، بلكه كافى است در احكامِ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قبول و ايجاب، يا در هر دو، مثل ساير عقود جايزه و لازمه</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3598385_1067777946"/>
      <w:bookmarkStart w:id="1256" w:name="_Toc513"/>
      <w:bookmarkEnd w:id="1255"/>
      <w:r>
        <w:rPr>
          <w:rtl w:val="true"/>
        </w:rPr>
        <w:t>آنچه در عقد وديعه معتبر است</w:t>
      </w:r>
      <w:bookmarkEnd w:id="1256"/>
    </w:p>
    <w:p>
      <w:pPr>
        <w:pStyle w:val="BookText"/>
        <w:rPr/>
      </w:pPr>
      <w:r>
        <w:rPr>
          <w:rFonts w:ascii="IRNazanin" w:hAnsi="IRNazanin" w:eastAsia="IRNazanin"/>
          <w:color w:val="111111"/>
          <w:sz w:val="28"/>
          <w:sz w:val="28"/>
          <w:szCs w:val="28"/>
          <w:rtl w:val="true"/>
          <w:lang w:bidi="fa-IR"/>
        </w:rPr>
        <w:t>و معتبر است در دالّ در اينجا، آنچه معتبر است در ساير عقود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انشاى به ايجاب و قبول و محفوظيّت ارتباط بين آن دو؛ پس به مجرّد طرح مال نزد كسى براى حفظ، واجب نمى شود حفظ بر او در صورت عدم قبول انشايى به قول يا فعل، و ضامن آن مال نمى شود اگر چه معلوم باشد ايجاب انشايىِ وديعه با فعل، اگر چه مستحب است حفظ مال مؤمن از ضايع شدن و متأكد است در مراتب مختلفه به اختلاف موارد، و گاهى مقدّمۀ حفظ نفس مالك مى شود و واجب مى شود با قدرت به نحو كفايت</w:t>
      </w:r>
      <w:r>
        <w:rPr>
          <w:rFonts w:eastAsia="IRNazanin" w:cs="IRNazanin"/>
          <w:color w:val="111111"/>
          <w:sz w:val="28"/>
          <w:szCs w:val="28"/>
          <w:rtl w:val="true"/>
          <w:lang w:bidi="fa-IR"/>
        </w:rPr>
        <w:t>.</w:t>
      </w:r>
    </w:p>
    <w:p>
      <w:pPr>
        <w:pStyle w:val="Heading4"/>
        <w:numPr>
          <w:ilvl w:val="3"/>
          <w:numId w:val="1"/>
        </w:numPr>
        <w:rPr/>
      </w:pPr>
      <w:bookmarkStart w:id="1257" w:name="__RefHeading___Toc3598387_1067777946"/>
      <w:bookmarkStart w:id="1258" w:name="_Toc514"/>
      <w:bookmarkEnd w:id="1257"/>
      <w:r>
        <w:rPr>
          <w:rtl w:val="true"/>
        </w:rPr>
        <w:t>ضمان در وديعه</w:t>
      </w:r>
      <w:bookmarkEnd w:id="125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عدم تحقق وديعه به عقد يا معاطات، ضمانْ محقّق نمى شود؛ بلى اگر قبض </w:t>
      </w:r>
      <w:bookmarkStart w:id="1259" w:name="pg10256_89546"/>
    </w:p>
    <w:p>
      <w:pPr>
        <w:pStyle w:val="BookText"/>
        <w:rPr/>
      </w:pPr>
      <w:bookmarkEnd w:id="1259"/>
      <w:r>
        <w:rPr>
          <w:rFonts w:ascii="IRNazanin" w:hAnsi="IRNazanin" w:eastAsia="IRNazanin"/>
          <w:color w:val="111111"/>
          <w:sz w:val="28"/>
          <w:sz w:val="28"/>
          <w:szCs w:val="28"/>
          <w:rtl w:val="true"/>
          <w:lang w:bidi="fa-IR"/>
        </w:rPr>
        <w:t>نمود آن را و نه مأذون بود به عنوان وديعه يا غير آن و نه وديعه بنحوى محقّق بود، ضمان به يد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واحد از قبض يا فسخ بعد از عقد بدون قبض مأذون، محل تأمل است، اگر چه وجوب آن و عدم اناطۀ عقد به اذن جديد در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توقف حفظ بر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Heading4"/>
        <w:numPr>
          <w:ilvl w:val="3"/>
          <w:numId w:val="1"/>
        </w:numPr>
        <w:rPr/>
      </w:pPr>
      <w:bookmarkStart w:id="1260" w:name="__RefHeading___Toc3598389_1067777946"/>
      <w:bookmarkStart w:id="1261" w:name="_Toc515"/>
      <w:bookmarkEnd w:id="1260"/>
      <w:r>
        <w:rPr>
          <w:rtl w:val="true"/>
        </w:rPr>
        <w:t>اكراه بر قبول وديعه</w:t>
      </w:r>
      <w:bookmarkEnd w:id="1261"/>
    </w:p>
    <w:p>
      <w:pPr>
        <w:pStyle w:val="BookText"/>
        <w:rPr/>
      </w:pPr>
      <w:r>
        <w:rPr>
          <w:rFonts w:ascii="IRNazanin" w:hAnsi="IRNazanin" w:eastAsia="IRNazanin"/>
          <w:color w:val="111111"/>
          <w:sz w:val="28"/>
          <w:sz w:val="28"/>
          <w:szCs w:val="28"/>
          <w:rtl w:val="true"/>
          <w:lang w:bidi="fa-IR"/>
        </w:rPr>
        <w:t>اگر مكرَه شد به قبض محقِّق قبول وديعه، حكم وديعه مرتّب نمى شود مگر با لحوق رضا بعد از زوال اكراه، بعد از تحقق وديعه با ايجاب و قبول اكراهى، بنا بر اختيار كشف در اجازۀ مكرَه، يا آنكه گفته شود به عدم اعتبار مقارنت بين ايجاب و قبول در اين عقد، اگر قصد ايقاع قبول انشايى من الحين داشته باشد؛ و ثمرۀ دو طريقْ مختلف است، و ضمان تفريطِ بين عقد و رضا، ثابت است بطريق اوّل فقط و اگر بعد از زوالِ اكراه، وضع يد بر مال از روى اختيار شد بدون قصد قبول به آن يا قصد رضا به عقد اكراهى سابق، ضمان به يد ثابت مى شود</w:t>
      </w:r>
      <w:r>
        <w:rPr>
          <w:rFonts w:eastAsia="IRNazanin" w:cs="IRNazanin"/>
          <w:color w:val="111111"/>
          <w:sz w:val="28"/>
          <w:szCs w:val="28"/>
          <w:rtl w:val="true"/>
          <w:lang w:bidi="fa-IR"/>
        </w:rPr>
        <w:t>.</w:t>
      </w:r>
    </w:p>
    <w:p>
      <w:pPr>
        <w:pStyle w:val="Heading4"/>
        <w:numPr>
          <w:ilvl w:val="3"/>
          <w:numId w:val="1"/>
        </w:numPr>
        <w:rPr/>
      </w:pPr>
      <w:bookmarkStart w:id="1262" w:name="__RefHeading___Toc3598391_1067777946"/>
      <w:bookmarkStart w:id="1263" w:name="_Toc516"/>
      <w:bookmarkEnd w:id="1262"/>
      <w:r>
        <w:rPr>
          <w:rtl w:val="true"/>
        </w:rPr>
        <w:t>وجوب حفظ وديعه</w:t>
      </w:r>
      <w:bookmarkEnd w:id="1263"/>
    </w:p>
    <w:p>
      <w:pPr>
        <w:pStyle w:val="BookText"/>
        <w:rPr/>
      </w:pPr>
      <w:r>
        <w:rPr>
          <w:rFonts w:ascii="Amiri" w:hAnsi="Amiri" w:eastAsia="Amiri" w:cs="Amiri"/>
          <w:color w:val="111111"/>
          <w:sz w:val="28"/>
          <w:sz w:val="28"/>
          <w:szCs w:val="28"/>
          <w:rtl w:val="true"/>
          <w:lang w:bidi="ar-SA"/>
        </w:rPr>
        <w:t>و بعد از تحقّق وديعه با ايجاب و قبول اختيارى، حفظ آن تا رد به مالك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ضامن آن نيست اگر تلف شود بعد از قبض، بدون تعدّى و تفريط يا آنكه به قهر و اكراه از او ظالمى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حق مطالبۀ بدل در اين دو صورت ندارد، چه آنكه با اكراه، مباشر دفع به ظالم باشد يا آنكه ظالمْ مباشرِ غصب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كرد مكرِهْ مستودَع را به اتلاف، پس قرار ضمان بر مكرِه است، بلكه ضمان متلِف كه مؤتمن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اقتصار او بر مورد اكراه در كم و كيف، و جواز رجوع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و عدم آن اقرب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مستودَعْ متمكّن از دفع لايق به او ظالم را باشد، واجب است، يعنى تركِ دفعْ خيانت است؛ و اگر دفعِ مقدور و ميسورِ بدون حرج را ترك كرد، ضامن مال است </w:t>
      </w:r>
      <w:bookmarkStart w:id="1264" w:name="pg10256_89547"/>
    </w:p>
    <w:p>
      <w:pPr>
        <w:pStyle w:val="BookText"/>
        <w:rPr/>
      </w:pPr>
      <w:bookmarkEnd w:id="1264"/>
      <w:r>
        <w:rPr>
          <w:rFonts w:ascii="IRNazanin" w:hAnsi="IRNazanin" w:eastAsia="IRNazanin"/>
          <w:color w:val="111111"/>
          <w:sz w:val="28"/>
          <w:sz w:val="28"/>
          <w:szCs w:val="28"/>
          <w:rtl w:val="true"/>
          <w:lang w:bidi="fa-IR"/>
        </w:rPr>
        <w:t>اگر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شد با بعض مقدار آن مال، دفع نمايد از غصبِ بقيه، لازم است و اگر ترك دفع كرد، ضامن زايد بر آن مقدارِ حافظِ بقيه است اگر همه را غصب كرد</w:t>
      </w:r>
      <w:r>
        <w:rPr>
          <w:rFonts w:eastAsia="IRNazanin" w:cs="IRNazanin"/>
          <w:color w:val="111111"/>
          <w:sz w:val="28"/>
          <w:szCs w:val="28"/>
          <w:rtl w:val="true"/>
          <w:lang w:bidi="fa-IR"/>
        </w:rPr>
        <w:t>.</w:t>
      </w:r>
    </w:p>
    <w:p>
      <w:pPr>
        <w:pStyle w:val="Heading4"/>
        <w:numPr>
          <w:ilvl w:val="3"/>
          <w:numId w:val="1"/>
        </w:numPr>
        <w:rPr/>
      </w:pPr>
      <w:bookmarkStart w:id="1265" w:name="__RefHeading___Toc3598393_1067777946"/>
      <w:bookmarkStart w:id="1266" w:name="_Toc517"/>
      <w:bookmarkEnd w:id="1265"/>
      <w:r>
        <w:rPr>
          <w:rtl w:val="true"/>
        </w:rPr>
        <w:t>دفع مال به غاصب جهت حفظ وديعه</w:t>
      </w:r>
      <w:bookmarkEnd w:id="1266"/>
    </w:p>
    <w:p>
      <w:pPr>
        <w:pStyle w:val="BookText"/>
        <w:rPr/>
      </w:pPr>
      <w:r>
        <w:rPr>
          <w:rFonts w:ascii="IRNazanin" w:hAnsi="IRNazanin" w:eastAsia="IRNazanin"/>
          <w:color w:val="111111"/>
          <w:sz w:val="28"/>
          <w:sz w:val="28"/>
          <w:szCs w:val="28"/>
          <w:rtl w:val="true"/>
          <w:lang w:bidi="fa-IR"/>
        </w:rPr>
        <w:t>اگر متوقّف شد دفع غاصب بر بذل مال مستودَع، جايز است، بلكه اگر ضرر به حال او نداشته باشد و حرجى نباشد، واجب است بذل مال با نيّت رجوع به مالك در صورت عدم امكان استيذان او يا ولىّ او اگر چه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ضرر قليل و كثير نيست با لياقت به حال مستودَع در هر دو و نيّت رجوع در هر دو، اگر چه عدم لياقت به حال، تا زمان فعليّت رجوع و ادا باشد، مگر آنكه نيّت رجوع، بدون وثوق به ادا باشد كه در اين صورت بايد امكان اخذ بعض مالى كه وديعه است ملاحظه شود، چون فرقى بين اعطاى بعض نفس مال به ظالم و اعطاى بدل با نيّت رجوع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 مقصود غاصب، به قدر وديعه باشد، پس اگر وديعه، عينى باشد متعلق غرض خصوصىِ مودِّع، جايز و واجب است بذل مساوى براى تخليص وديعه، و اگر نه، پس جايز است و واجب نيست بذل مساوى با نيّت رجوع</w:t>
      </w:r>
      <w:r>
        <w:rPr>
          <w:rFonts w:eastAsia="IRNazanin" w:cs="IRNazanin"/>
          <w:color w:val="111111"/>
          <w:sz w:val="28"/>
          <w:szCs w:val="28"/>
          <w:rtl w:val="true"/>
          <w:lang w:bidi="fa-IR"/>
        </w:rPr>
        <w:t>.</w:t>
      </w:r>
    </w:p>
    <w:p>
      <w:pPr>
        <w:pStyle w:val="Heading4"/>
        <w:numPr>
          <w:ilvl w:val="3"/>
          <w:numId w:val="1"/>
        </w:numPr>
        <w:rPr/>
      </w:pPr>
      <w:bookmarkStart w:id="1267" w:name="__RefHeading___Toc3598395_1067777946"/>
      <w:bookmarkStart w:id="1268" w:name="_Toc518"/>
      <w:bookmarkEnd w:id="1267"/>
      <w:r>
        <w:rPr>
          <w:rtl w:val="true"/>
        </w:rPr>
        <w:t>صورت توقف حفظ وديعه بر كذب</w:t>
      </w:r>
      <w:bookmarkEnd w:id="12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متوقف شد حفظ وديعه بر كذب، با عدم تمكّن از توريه، جايز و واجب است وگرنه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متمكّن از توريه بود، واجب است و اگر اختيار كذب در مفروض كرد، آثم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منكر وديعه شد در آن مورد كه انكار لازم است، و مطالبۀ يمين شد، جايز است و لازم است به هر نحو قَسَمى كه نافع در حفظ وديعه باشد وگرنه ضامن است؛ و اگر متمكّن از توريه در مقام حلف باشد واجب است؛ و با اختيار كذب در اين صورت، عاصى است تحريم كذب را و مطيع است تحريم خيانت </w:t>
      </w:r>
      <w:bookmarkStart w:id="1269" w:name="pg10256_89548"/>
    </w:p>
    <w:p>
      <w:pPr>
        <w:pStyle w:val="BookText"/>
        <w:rPr/>
      </w:pPr>
      <w:bookmarkEnd w:id="1269"/>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حفظ وديعه كه واجب است با قدرت بر فعل بعض محرمات ديگر غير از كذب و حلف، مسوّغ آن حرام نمى شود و ملحق مى شود به عدم قدرت عقليه و عاديه</w:t>
      </w:r>
      <w:r>
        <w:rPr>
          <w:rFonts w:eastAsia="IRNazanin" w:cs="IRNazanin"/>
          <w:color w:val="111111"/>
          <w:sz w:val="28"/>
          <w:szCs w:val="28"/>
          <w:rtl w:val="true"/>
          <w:lang w:bidi="fa-IR"/>
        </w:rPr>
        <w:t>.</w:t>
      </w:r>
    </w:p>
    <w:p>
      <w:pPr>
        <w:pStyle w:val="Heading4"/>
        <w:numPr>
          <w:ilvl w:val="3"/>
          <w:numId w:val="1"/>
        </w:numPr>
        <w:rPr/>
      </w:pPr>
      <w:bookmarkStart w:id="1270" w:name="__RefHeading___Toc3598397_1067777946"/>
      <w:bookmarkStart w:id="1271" w:name="_Toc519"/>
      <w:bookmarkEnd w:id="1270"/>
      <w:r>
        <w:rPr>
          <w:rtl w:val="true"/>
        </w:rPr>
        <w:t>عقد وديعه، از عقود جايزه است و بطلان آن به موت و</w:t>
      </w:r>
      <w:r>
        <w:rPr>
          <w:rtl w:val="true"/>
        </w:rPr>
        <w:t>...</w:t>
      </w:r>
      <w:bookmarkEnd w:id="1271"/>
    </w:p>
    <w:p>
      <w:pPr>
        <w:pStyle w:val="BookText"/>
        <w:rPr/>
      </w:pPr>
      <w:r>
        <w:rPr>
          <w:rFonts w:ascii="IRNazanin" w:hAnsi="IRNazanin" w:eastAsia="IRNazanin"/>
          <w:color w:val="111111"/>
          <w:sz w:val="28"/>
          <w:sz w:val="28"/>
          <w:szCs w:val="28"/>
          <w:rtl w:val="true"/>
          <w:lang w:bidi="fa-IR"/>
        </w:rPr>
        <w:t>عقد وديعه جايز است از طرفين و لازم نيست؛ و به موت هركدام يا جنون يا اغماى از اسباب خروج از ملكيت يا اهليتِ تصرّف، باطل مى شود؛ و رد آن به اهل آن لازم مى شود؛ و مبادرت به آن لازم مى شود به حكم امانت شرعيّه؛ و احكام تأمين مالكى و وديعه، به انفساخ آن زايل مى شود حتى قبول قول ودعى در رد آن؛ و اگر مبادرت را فورا انجام نداد، ضامن است آنكه در يد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تأخير ايصال، بواسطۀ جهل به وارث يا انحصار او باشد، اقرب معذور بودن و عدم ضمان است در زمان فحص لازم، در غير متيقن الاستحقاق كه بايد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حكم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و مستحِق آن باشد؛ و بعد از فحصْ عمل به وظيفۀ شرعيۀ خود صاحب يد بر وديعه، از حيث علم يا ادّعاى آن يا جهل يا عمل به وظيفۀ جاهل مى شود؛ و ضمان و عدم آن، تابع تشخيص و عمل به وظيفه است</w:t>
      </w:r>
      <w:r>
        <w:rPr>
          <w:rFonts w:eastAsia="IRNazanin" w:cs="IRNazanin"/>
          <w:color w:val="111111"/>
          <w:sz w:val="28"/>
          <w:szCs w:val="28"/>
          <w:rtl w:val="true"/>
          <w:lang w:bidi="fa-IR"/>
        </w:rPr>
        <w:t>.</w:t>
      </w:r>
    </w:p>
    <w:p>
      <w:pPr>
        <w:pStyle w:val="Heading4"/>
        <w:numPr>
          <w:ilvl w:val="3"/>
          <w:numId w:val="1"/>
        </w:numPr>
        <w:rPr/>
      </w:pPr>
      <w:bookmarkStart w:id="1272" w:name="__RefHeading___Toc3598399_1067777946"/>
      <w:bookmarkStart w:id="1273" w:name="_Toc520"/>
      <w:bookmarkEnd w:id="1272"/>
      <w:r>
        <w:rPr>
          <w:rtl w:val="true"/>
        </w:rPr>
        <w:t>لزوم حفظ وديعه به نحو مناسب</w:t>
      </w:r>
      <w:bookmarkEnd w:id="127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وديعه حفظ شود در محلِّ معتادِ مناسبِ حفظِ شخصِ وديعه، مثل آنكه ثوب و كتاب در صندوق، و دابه در اصطبل محفوظ مى شود، بلكه كافى است آنچه معتادِ ودعى و اهل محل او اموال خودشان را كه از صنف وديعه باشند، به آن نحو محفوظ مى نمايند و با عمل به آن، در عرفْ خائن و مضيّع و مفرّط معدود نمى شود، به خلاف اكتفاى به حفظ در محل حفظ صنفى ديگر از ودايع و زمانى ديگر، و مكان ديگر از قبيل مواضع مناسبه كه صحرانشينان براى حفظ اصناف اموال تهيه مى نمايند يا صندوق مشترك يا خانه مشترك، مگر آنكه كفايت آن براى حفظ اموال مختصۀ ودعى، موثوق به باشد</w:t>
      </w:r>
      <w:r>
        <w:rPr>
          <w:rFonts w:eastAsia="IRNazanin" w:cs="IRNazanin"/>
          <w:color w:val="111111"/>
          <w:sz w:val="28"/>
          <w:szCs w:val="28"/>
          <w:rtl w:val="true"/>
          <w:lang w:bidi="fa-IR"/>
        </w:rPr>
        <w:t xml:space="preserve">. </w:t>
      </w:r>
      <w:bookmarkStart w:id="1274" w:name="pg10256_89549"/>
    </w:p>
    <w:p>
      <w:pPr>
        <w:pStyle w:val="Heading4"/>
        <w:numPr>
          <w:ilvl w:val="3"/>
          <w:numId w:val="1"/>
        </w:numPr>
        <w:rPr/>
      </w:pPr>
      <w:bookmarkStart w:id="1275" w:name="__RefHeading___Toc3598401_1067777946"/>
      <w:bookmarkStart w:id="1276" w:name="_Toc521"/>
      <w:bookmarkEnd w:id="1274"/>
      <w:bookmarkEnd w:id="1275"/>
      <w:r>
        <w:rPr>
          <w:rtl w:val="true"/>
        </w:rPr>
        <w:t>نحوۀ حفظ حيوان و شجر</w:t>
      </w:r>
      <w:bookmarkEnd w:id="1276"/>
    </w:p>
    <w:p>
      <w:pPr>
        <w:pStyle w:val="BookText"/>
        <w:rPr/>
      </w:pPr>
      <w:r>
        <w:rPr>
          <w:rFonts w:ascii="IRNazanin" w:hAnsi="IRNazanin" w:eastAsia="IRNazanin"/>
          <w:color w:val="111111"/>
          <w:sz w:val="28"/>
          <w:sz w:val="28"/>
          <w:szCs w:val="28"/>
          <w:rtl w:val="true"/>
          <w:lang w:bidi="fa-IR"/>
        </w:rPr>
        <w:t>و لازم است بر ودعى، سقى حيوان اگر وديعه باشد اگر چه غير آدمى باشد، و اطعام مناسب او اگر چه عرض علوفه باشد بر حسب معتاد؛ و احتياجى به امر خصوصى مالك ندارد لزوم آن بعد از قبول وديعه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تقصير در بعضى از اين امور، مفرّط و ضامنِ تلف بعد از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عين نفقه محتاج به بذل باشد، پس واجب است بذل آن اگر چه با نيّت رجوع باشد، با استيذان از مالك يا وكيل يا ولى او، اگر چه نوبت به حاكم شرع برسد، و در اين صورت متّبعْ طريقۀ حاكم است در امر او به بذل مال خود به نيّت رجوع بر مالك، يا آنكه خود حاكم استدانه نمايد بر مالك، يا بيعِ بعضِ وديعه نمايد براى نفقه، يا نصب امينى براى اين امر نمايد؛ و اگر متعذر شد، خودِ ودعى انفاق مى نمايد، بعد از اشهاد يا محض نيّت رجوع با تعذر اشهاد؛ و دور نيست عدم وجوب در آنچه قول ودعى مقدم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ودعى در مقدار نفقه، مقدم است، و قول مالك در زمان انفاقْ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حيوان است در لزوم سقى، اشجار محتاجه به سقى و ساير خدمات ابقائيّه براى منافع مترقّبه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ضمنِ نفقه بر حيوان، انفاق در مرض آنها است؛ پس در صورتى كه ترك آن، اهمال و ترك محافظه كارى در امانت خاصه باشد، موجب ضمان به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دفع آفاتِ اشجار با وسايل متعارفۀ ميسوره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مباشرت امور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ودعى لازم نيست اگر چه قراينْ دلالت بر عدم مباشرت ننمايد، بلكه استنابۀ امين در حفظ و لوازم آن مانعى ندارد، به خلاف غير امين كه استنابۀ او تفريط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اخراج وديعه از منزلْ گاهى متعيِّن و گاهى تفريط است، به اختلاف موارد و اختلاف ودايع، و مأمون بودن طريق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به خروج از حد تفريط است </w:t>
      </w:r>
      <w:bookmarkStart w:id="1277" w:name="pg10256_89550"/>
    </w:p>
    <w:p>
      <w:pPr>
        <w:pStyle w:val="BookText"/>
        <w:rPr/>
      </w:pPr>
      <w:bookmarkEnd w:id="1277"/>
      <w:r>
        <w:rPr>
          <w:rFonts w:ascii="IRNazanin" w:hAnsi="IRNazanin" w:eastAsia="IRNazanin"/>
          <w:color w:val="111111"/>
          <w:sz w:val="28"/>
          <w:sz w:val="28"/>
          <w:szCs w:val="28"/>
          <w:rtl w:val="true"/>
          <w:lang w:bidi="fa-IR"/>
        </w:rPr>
        <w:t>در انتفاى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يك از اخراج و ترك آن، مضر به حال وديعه باشد، بايد رعايت اقل ضررين نمايد تا مفرّط نباشد، و با مساواتْ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مالك بگويد سقى نكن حيوانى را، قبول جايز نيست، بلكه سقىْ لازم است؛ و رجوع به مالك در صورت امتناع و مراجعه به حاكم يا عدول يا اشهاد يا مباشرت با نيّت رجوع، به ترتيب در تعذر به نحو سابق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با اخلال به اين گونه امور، بعد از منع مالك از آنها، آثم است ولى ضامنِ مالك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وجوب سقى فى الجمله و عدم ضمان به ترك، در صورت منع مالك از 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اشجار محتاجه به سقى، جارى است</w:t>
      </w:r>
      <w:r>
        <w:rPr>
          <w:rFonts w:eastAsia="IRNazanin" w:cs="IRNazanin"/>
          <w:color w:val="111111"/>
          <w:sz w:val="28"/>
          <w:szCs w:val="28"/>
          <w:rtl w:val="true"/>
          <w:lang w:bidi="fa-IR"/>
        </w:rPr>
        <w:t>.</w:t>
      </w:r>
    </w:p>
    <w:p>
      <w:pPr>
        <w:pStyle w:val="Heading4"/>
        <w:numPr>
          <w:ilvl w:val="3"/>
          <w:numId w:val="1"/>
        </w:numPr>
        <w:rPr/>
      </w:pPr>
      <w:bookmarkStart w:id="1278" w:name="__RefHeading___Toc3598403_1067777946"/>
      <w:bookmarkStart w:id="1279" w:name="_Toc522"/>
      <w:bookmarkEnd w:id="1278"/>
      <w:r>
        <w:rPr>
          <w:rtl w:val="true"/>
        </w:rPr>
        <w:t>تعيين موضع حفظِ وديعه و مسائل نقل وديعه</w:t>
      </w:r>
      <w:bookmarkEnd w:id="1279"/>
    </w:p>
    <w:p>
      <w:pPr>
        <w:pStyle w:val="BookText"/>
        <w:rPr/>
      </w:pPr>
      <w:r>
        <w:rPr>
          <w:rFonts w:ascii="IRNazanin" w:hAnsi="IRNazanin" w:eastAsia="IRNazanin"/>
          <w:color w:val="111111"/>
          <w:sz w:val="28"/>
          <w:sz w:val="28"/>
          <w:szCs w:val="28"/>
          <w:rtl w:val="true"/>
          <w:lang w:bidi="fa-IR"/>
        </w:rPr>
        <w:t>و اگر مالك تعيين كرد موضع حفظ را، متعيّن مى شود و ترك آن موجب ضمان است، مگر در صورت نقل به احرز و احفظ يا مساوى بنابر اظهر در صورتى كه احرزيّت يا مساواتِ در نظر مودِع معلوم باشد نزد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نقل به ادون در نظر مالك و ودعى اگر چه حافظيّت داشته باشد، پس اظهر عدم جواز آن و ثبوت ضمان است در غير صورت خوف و ضرورت مسوّغۀ تعدّى از مذكور به طور اطلاق با عدم حرز ديگرى احرز يا مساوىِ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جواز يا وجوب نقل كه در آنها اذن مُودِع مكشوف شده است، ضمان به غير اتلاف يا تعدّىِ ديگرى منتفى است؛ و چون متعلَّق اذن، آنچه كه مساوى يا احرز يا مضطر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يقين يا ظنّ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 كشف خلاف، مخالفتى بين تكليف و وضع حاصل نمى شود و ضمان ثابت نمى شود با جواز يا وجوب نقل به حسب تكليف مستودع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در موارد استثنا كه مذكور شد، عدم فرق است بين اينكه تعيين به نحو كلى باشد يا جزئى مثل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حرز نقل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اگر منع مالك متعلق به نقل شد، پس با نقلِ جايز يا واجب، از حكم امانت مالكيّه خارج </w:t>
      </w:r>
      <w:bookmarkStart w:id="1280" w:name="pg10256_89551"/>
    </w:p>
    <w:p>
      <w:pPr>
        <w:pStyle w:val="BookText"/>
        <w:rPr/>
      </w:pPr>
      <w:bookmarkEnd w:id="1280"/>
      <w:r>
        <w:rPr>
          <w:rFonts w:ascii="IRNazanin" w:hAnsi="IRNazanin" w:eastAsia="IRNazanin"/>
          <w:color w:val="111111"/>
          <w:sz w:val="28"/>
          <w:sz w:val="28"/>
          <w:szCs w:val="28"/>
          <w:rtl w:val="true"/>
          <w:lang w:bidi="fa-IR"/>
        </w:rPr>
        <w:t xml:space="preserve">مى شود و محكوم به حكم امانت شرعيّه است؛ پس با عدم وجوب نقل، ايصال به مالك يا اعلام و كسب تكليف از او لازم است، و با وجوب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حفظ نفس مودَع از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رد به مالك جايز نيست، و فى الجمله جايز است؛ و در هر دو صورت، بدون تعدّى ديگرْ ضامن نيست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وظيفۀ فعليّه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تعيين نمايد و مفهوم مبالغه در تحفّظ باشد و قرينه بر آن از مقال يا حال باشد به طورى كه اسناد اين مقصود به او عرفى باشد، دور نيست اثم و ضمان به ترك نقل در صورت مخوف بودن بقا اگر چه نهى از نقل كرده باشد با قرينه اى كه اشاره به آن شد؛ و اگر قرينه معتبره نبود، پس در ترك نقل، اثم هست فى الجمله و ضمانِ وديعه نيست با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وجود قرينه، اظهر تصديق قول ودعى است در وجود سبب خوف در ترك نقل، اگر معذور در ترك نقل باشد يا مدّعى عذر باشد، به خلاف صورت تعدّى به ترك نقل كه ضمان ترك تعدّى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احتياج به اجرت در نقل در صورت وجود قرينه، پس با نيّت رجوع مى تواند رجوع به مالك بنمايد با ترتيب متقدّم در مراجعه به حاكم در نظير مقام</w:t>
      </w:r>
      <w:r>
        <w:rPr>
          <w:rFonts w:eastAsia="IRNazanin" w:cs="IRNazanin"/>
          <w:color w:val="111111"/>
          <w:sz w:val="28"/>
          <w:szCs w:val="28"/>
          <w:rtl w:val="true"/>
          <w:lang w:bidi="fa-IR"/>
        </w:rPr>
        <w:t>.</w:t>
      </w:r>
    </w:p>
    <w:p>
      <w:pPr>
        <w:pStyle w:val="Heading4"/>
        <w:numPr>
          <w:ilvl w:val="3"/>
          <w:numId w:val="1"/>
        </w:numPr>
        <w:rPr/>
      </w:pPr>
      <w:bookmarkStart w:id="1281" w:name="__RefHeading___Toc3598405_1067777946"/>
      <w:bookmarkStart w:id="1282" w:name="_Toc523"/>
      <w:bookmarkEnd w:id="1281"/>
      <w:r>
        <w:rPr>
          <w:rtl w:val="true"/>
        </w:rPr>
        <w:t>وديعه از طفل و مجنون و ايداع به آن دو و به معلوم الخيانة كبير</w:t>
      </w:r>
      <w:bookmarkEnd w:id="1282"/>
    </w:p>
    <w:p>
      <w:pPr>
        <w:pStyle w:val="BookText"/>
        <w:rPr/>
      </w:pPr>
      <w:r>
        <w:rPr>
          <w:rFonts w:ascii="IRNazanin" w:hAnsi="IRNazanin" w:eastAsia="IRNazanin"/>
          <w:color w:val="111111"/>
          <w:sz w:val="28"/>
          <w:sz w:val="28"/>
          <w:szCs w:val="28"/>
          <w:rtl w:val="true"/>
          <w:lang w:bidi="fa-IR"/>
        </w:rPr>
        <w:t>وديعه از طفل و مجنون نسبت به مال خودشان يا غير، با ادّعاى اذن بلكه با اذن مالك و عدم آن باطل است، بلكه اعتبار به عقد ولى يا مالك است، پس اگر حاصل بود، ممكن است قبول بعد از ارسال به واسطۀ قاصد بنابر عدم اعتبار موالات بين دو جزء عقد، و وضع يد بر مال مذكورْ موجب ضمان است، و رد به خود ايشان مبرء ذمّه نيست، بلكه به مالك يا ولى بايد مردود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حسبه به خوف تلفِ مال، محقّق بود به طورى كه يدْ سبب ضمان نباشد، جايز است تكليفاً وضع يد و اظهر عدم ضمان است در طريق ايصال و اعلام مالك يا ولى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صحيح نيست ايداع مال به صبىّ و مجنون؛ و تسليط آنها بر مال، </w:t>
      </w:r>
      <w:bookmarkStart w:id="1283" w:name="pg10256_89552"/>
    </w:p>
    <w:p>
      <w:pPr>
        <w:pStyle w:val="BookText"/>
        <w:rPr/>
      </w:pPr>
      <w:bookmarkEnd w:id="1283"/>
      <w:r>
        <w:rPr>
          <w:rFonts w:ascii="IRNazanin" w:hAnsi="IRNazanin" w:eastAsia="IRNazanin"/>
          <w:color w:val="111111"/>
          <w:sz w:val="28"/>
          <w:sz w:val="28"/>
          <w:szCs w:val="28"/>
          <w:rtl w:val="true"/>
          <w:lang w:bidi="fa-IR"/>
        </w:rPr>
        <w:t>تعريض به تلف است؛ و تلف در يد آنها موجب ضمان نيست اگر چه صبىّ مميِّز باشد، بلكه اظهر عدم ضمان است با مباشرت آنها اتلاف را؛ و هم چنين معلوم الخيانه از كبير، اگر تسليط بر مال به ايداع به آنها باشد، ضمان او مشكل است به خلاف صورت ايداع صبىّ يا مجنون به صبىّ يا مجنون، كه ضمان به اتلاف بلكه اصل ضمان با تلف در يدْ ثابت است</w:t>
      </w:r>
      <w:r>
        <w:rPr>
          <w:rFonts w:eastAsia="IRNazanin" w:cs="IRNazanin"/>
          <w:color w:val="111111"/>
          <w:sz w:val="28"/>
          <w:szCs w:val="28"/>
          <w:rtl w:val="true"/>
          <w:lang w:bidi="fa-IR"/>
        </w:rPr>
        <w:t>.</w:t>
      </w:r>
    </w:p>
    <w:p>
      <w:pPr>
        <w:pStyle w:val="Heading4"/>
        <w:numPr>
          <w:ilvl w:val="3"/>
          <w:numId w:val="1"/>
        </w:numPr>
        <w:rPr/>
      </w:pPr>
      <w:bookmarkStart w:id="1284" w:name="__RefHeading___Toc3598407_1067777946"/>
      <w:bookmarkStart w:id="1285" w:name="_Toc524"/>
      <w:bookmarkEnd w:id="1284"/>
      <w:r>
        <w:rPr>
          <w:rtl w:val="true"/>
        </w:rPr>
        <w:t>استيداع عبد و اَمَه</w:t>
      </w:r>
      <w:bookmarkEnd w:id="1285"/>
    </w:p>
    <w:p>
      <w:pPr>
        <w:pStyle w:val="BookText"/>
        <w:rPr/>
      </w:pPr>
      <w:r>
        <w:rPr>
          <w:rFonts w:ascii="IRNazanin" w:hAnsi="IRNazanin" w:eastAsia="IRNazanin"/>
          <w:color w:val="111111"/>
          <w:sz w:val="28"/>
          <w:sz w:val="28"/>
          <w:szCs w:val="28"/>
          <w:rtl w:val="true"/>
          <w:lang w:bidi="fa-IR"/>
        </w:rPr>
        <w:t>اگر عبد يا امه استيداع شد، پس اتلاف او موجب ضمان متلِف است و بعد از عتق استيفا مى شود از او اگر چه استيداع با اذن مولى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تلف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اختيار مملوك حتى اهمال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يد مملوك، پس با عدم اذن مولى تضييع مال از مالكِ مطّلعِ بر حال است و عدم ضمانْ خالى از وجه نيست؛ و اگر با اذن مولى بود، محتمل است ضمان مملوك و استيفاى بعد از عتق، بلكه خالى از وجه نيست</w:t>
      </w:r>
      <w:r>
        <w:rPr>
          <w:rFonts w:eastAsia="IRNazanin" w:cs="IRNazanin"/>
          <w:color w:val="111111"/>
          <w:sz w:val="28"/>
          <w:szCs w:val="28"/>
          <w:rtl w:val="true"/>
          <w:lang w:bidi="fa-IR"/>
        </w:rPr>
        <w:t>.</w:t>
      </w:r>
    </w:p>
    <w:p>
      <w:pPr>
        <w:pStyle w:val="Heading4"/>
        <w:numPr>
          <w:ilvl w:val="3"/>
          <w:numId w:val="1"/>
        </w:numPr>
        <w:rPr/>
      </w:pPr>
      <w:bookmarkStart w:id="1286" w:name="__RefHeading___Toc3598409_1067777946"/>
      <w:bookmarkStart w:id="1287" w:name="_Toc525"/>
      <w:bookmarkEnd w:id="1286"/>
      <w:r>
        <w:rPr>
          <w:rtl w:val="true"/>
        </w:rPr>
        <w:t>وظيفه ودعى در صورت ظهور امارۀ موت و احكام ضمان در صورت موت</w:t>
      </w:r>
      <w:bookmarkEnd w:id="1287"/>
    </w:p>
    <w:p>
      <w:pPr>
        <w:pStyle w:val="BookText"/>
        <w:rPr/>
      </w:pPr>
      <w:r>
        <w:rPr>
          <w:rFonts w:ascii="IRNazanin" w:hAnsi="IRNazanin" w:eastAsia="IRNazanin"/>
          <w:color w:val="111111"/>
          <w:sz w:val="28"/>
          <w:sz w:val="28"/>
          <w:szCs w:val="28"/>
          <w:rtl w:val="true"/>
          <w:lang w:bidi="fa-IR"/>
        </w:rPr>
        <w:t xml:space="preserve">اگر امارۀ موت ظاهر شد بر ودعى، پس با اعتبار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ظن اطمينانى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نمايد در ايصال وديعه به نحوى كه در وقتِ موتِ مظنون، نزد مالك آن باشد و اگر متعذّر باشد، بايد حفظ نمايد آن را در طريق زمانى رد به مثل حاكم يا عدول مؤمنين؛ و با تعذر، به اشهاد و اعلام در مقام وصيّتِ اصلاح آنچه در يد او است، تا وديعه را به اهلش به اين سبب در اوّل وقت امكان برساند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تفريط در عمل به وظيفه كه حفظ وديعه در طريق رد در زمان واقعىِ موت باشد ضامن است با وقوع موت و ترك محافظت در آخر زمان امكان محافظت به وجهى از طرق مذكوره؛ و ترك محافظت در زمان اوّل اثرى ندارد با عمل به آن در آخر زمان آن قبل از موت، در صورت استناد تلف به ترك محافظت در زمان موت به </w:t>
      </w:r>
      <w:bookmarkStart w:id="1288" w:name="pg10256_89553"/>
    </w:p>
    <w:p>
      <w:pPr>
        <w:pStyle w:val="BookText"/>
        <w:rPr/>
      </w:pPr>
      <w:bookmarkEnd w:id="1288"/>
      <w:r>
        <w:rPr>
          <w:rFonts w:ascii="IRNazanin" w:hAnsi="IRNazanin" w:eastAsia="IRNazanin"/>
          <w:color w:val="111111"/>
          <w:sz w:val="28"/>
          <w:sz w:val="28"/>
          <w:szCs w:val="28"/>
          <w:rtl w:val="true"/>
          <w:lang w:bidi="fa-IR"/>
        </w:rPr>
        <w:t>عملى قبل از موت كه بدون آن، چه بقايى باشد يا حدوثى، تلف در زمان موتْ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رعايت محافظت بر وديعه را اختيار كند از حيث گذاشتن در يد وارث يا وصى يا اجنبى كه امين باشند؛ و بايد تعيين نمايد خصوصيات وديعه را به نحوى كه به حفظِ موظّف در اين مقام، عامل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 امور مذكوره در غير صورت ظن وفات يعنى موت فجأة موجب ضمان به تلف در وقت فوت نيست، بلكه ترك آنها مانعى ندارد در زمان عمل به استصحاب حيات كه طريق عقلايى است و به حكم اماره بر حيات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حكم به ضمان ودعى مى شود كه علم به بقاى وديعه تا موت او و تفريط و تلف بعد از تفريط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ترك ذكر خصوصيات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باشد؛ وگرنه با احتمال يكى از منافيات ضمان، محكوم به عدم ضمان است و تشخيص در مالى از متروكات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عدم ضمان است صورت اقرار به اصل وديعه بدون تعيين؛ بلكه علم به آن بدون علم به بقا و تلف بعد از موتْ اثرى ندارد مگر حكم علم اجمالى اگر با شروط تنجيزش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اشهادْ محقّق نشده بود و ورثه انكارِ وديعه كردند، قول ايشان مقدم است، و مالك بايد بيّنه بر ايداع و بقاى وديعه تا موت ودعى اقامه نمايد، و يمين بر ورثه نيست مگر آنكه متعلق دعوى علم ورثه به آن باشد كه يمين بر نفى علم، متوجه مى شود بر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بقاى وديعه تا زمان تقصير به ترك اشهاد، يا تلف قبل از تفريط با اقرار به اصل ايداع باشد، پس قول ورثه مقدم است با يمين</w:t>
      </w:r>
      <w:r>
        <w:rPr>
          <w:rFonts w:eastAsia="IRNazanin" w:cs="IRNazanin"/>
          <w:color w:val="111111"/>
          <w:sz w:val="28"/>
          <w:szCs w:val="28"/>
          <w:rtl w:val="true"/>
          <w:lang w:bidi="fa-IR"/>
        </w:rPr>
        <w:t>.</w:t>
      </w:r>
    </w:p>
    <w:p>
      <w:pPr>
        <w:pStyle w:val="Heading4"/>
        <w:numPr>
          <w:ilvl w:val="3"/>
          <w:numId w:val="1"/>
        </w:numPr>
        <w:rPr/>
      </w:pPr>
      <w:bookmarkStart w:id="1289" w:name="__RefHeading___Toc3598411_1067777946"/>
      <w:bookmarkStart w:id="1290" w:name="_Toc526"/>
      <w:bookmarkEnd w:id="1289"/>
      <w:r>
        <w:rPr>
          <w:rtl w:val="true"/>
        </w:rPr>
        <w:t>وجوب رد وديعه در فرض مطالبۀ مالك</w:t>
      </w:r>
      <w:bookmarkEnd w:id="129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اعادۀ وديعه بر مودع يا ولى و وكيل او با مطالبۀ صاحب آن به نحو متعارف با عدم مزاحمت رد واجب با ساير واجبات كه ردّ اهمّ از آنها نباشد وگرنه ردّ واجب است؛ و در صورت تساوى در اهميت، ودعى مخيّر است؛ و اعذار </w:t>
      </w:r>
      <w:bookmarkStart w:id="1291" w:name="pg10256_89554"/>
    </w:p>
    <w:p>
      <w:pPr>
        <w:pStyle w:val="BookText"/>
        <w:rPr/>
      </w:pPr>
      <w:bookmarkEnd w:id="1291"/>
      <w:r>
        <w:rPr>
          <w:rFonts w:ascii="IRNazanin" w:hAnsi="IRNazanin" w:eastAsia="IRNazanin"/>
          <w:color w:val="111111"/>
          <w:sz w:val="28"/>
          <w:sz w:val="28"/>
          <w:szCs w:val="28"/>
          <w:rtl w:val="true"/>
          <w:lang w:bidi="fa-IR"/>
        </w:rPr>
        <w:t>عرفيه، مثل عقليّه و شرعيّه است، مثل اشتغال به طعام ضرورى و حمام ضرورى اگر چه در مقابل قطع نباشد، بلكه احداث آنها در موقع حاجت و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ضرورت عرفيه رعايت مى شود در وجوب تاديه به مالك و نمى تواند مانع از ضروريات عرفيه باشد؛ و هم چنين اشتغال به واجبات موسعه به نحو متعارفِ شخص ودعى در انجام واجبات عرفيه، اگر چه در مقابل قطع آنها نباشد</w:t>
      </w:r>
      <w:r>
        <w:rPr>
          <w:rFonts w:eastAsia="IRNazanin" w:cs="IRNazanin"/>
          <w:color w:val="111111"/>
          <w:sz w:val="28"/>
          <w:szCs w:val="28"/>
          <w:rtl w:val="true"/>
          <w:lang w:bidi="fa-IR"/>
        </w:rPr>
        <w:t>.</w:t>
      </w:r>
    </w:p>
    <w:p>
      <w:pPr>
        <w:pStyle w:val="Heading4"/>
        <w:numPr>
          <w:ilvl w:val="3"/>
          <w:numId w:val="1"/>
        </w:numPr>
        <w:rPr/>
      </w:pPr>
      <w:bookmarkStart w:id="1292" w:name="__RefHeading___Toc3598413_1067777946"/>
      <w:bookmarkStart w:id="1293" w:name="_Toc527"/>
      <w:bookmarkEnd w:id="1292"/>
      <w:r>
        <w:rPr>
          <w:rtl w:val="true"/>
        </w:rPr>
        <w:t>حكم رد وديعۀ كافر و فاسق</w:t>
      </w:r>
      <w:bookmarkEnd w:id="1293"/>
    </w:p>
    <w:p>
      <w:pPr>
        <w:pStyle w:val="BookText"/>
        <w:rPr/>
      </w:pPr>
      <w:r>
        <w:rPr>
          <w:rFonts w:ascii="IRNazanin" w:hAnsi="IRNazanin" w:eastAsia="IRNazanin"/>
          <w:color w:val="111111"/>
          <w:sz w:val="28"/>
          <w:sz w:val="28"/>
          <w:szCs w:val="28"/>
          <w:rtl w:val="true"/>
          <w:lang w:bidi="fa-IR"/>
        </w:rPr>
        <w:t>وديعۀ فاسق و كافر هم، واجب است رد آن بعد از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وجوب رد وديعۀ حربى است كه مسلِمْ جايز است تملك نمايد آن را، بلكه جايز نيست رد آن اگر وديعه، آلات حرب باشد در زمان قيام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جايز است مقاصّه از وديعه در صورت غصب مودعْ مال 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كه مقاصّه جايز است، و واجب نيست رد وديعه</w:t>
      </w:r>
      <w:r>
        <w:rPr>
          <w:rFonts w:eastAsia="IRNazanin" w:cs="IRNazanin"/>
          <w:color w:val="111111"/>
          <w:sz w:val="28"/>
          <w:szCs w:val="28"/>
          <w:rtl w:val="true"/>
          <w:lang w:bidi="fa-IR"/>
        </w:rPr>
        <w:t>.</w:t>
      </w:r>
    </w:p>
    <w:p>
      <w:pPr>
        <w:pStyle w:val="Heading4"/>
        <w:numPr>
          <w:ilvl w:val="3"/>
          <w:numId w:val="1"/>
        </w:numPr>
        <w:rPr/>
      </w:pPr>
      <w:bookmarkStart w:id="1294" w:name="__RefHeading___Toc3598415_1067777946"/>
      <w:bookmarkStart w:id="1295" w:name="_Toc528"/>
      <w:bookmarkEnd w:id="1294"/>
      <w:r>
        <w:rPr>
          <w:rtl w:val="true"/>
        </w:rPr>
        <w:t>وديعۀ شخص غاصب</w:t>
      </w:r>
      <w:bookmarkEnd w:id="1295"/>
    </w:p>
    <w:p>
      <w:pPr>
        <w:pStyle w:val="BookText"/>
        <w:rPr/>
      </w:pPr>
      <w:r>
        <w:rPr>
          <w:rFonts w:ascii="IRNazanin" w:hAnsi="IRNazanin" w:eastAsia="IRNazanin"/>
          <w:color w:val="111111"/>
          <w:sz w:val="28"/>
          <w:sz w:val="28"/>
          <w:szCs w:val="28"/>
          <w:rtl w:val="true"/>
          <w:lang w:bidi="fa-IR"/>
        </w:rPr>
        <w:t>و اگر مودِع، غاصب وديعه باشد، پس واجب نيست بلكه جايز نيست، رد آن به غاصب، بلكه با امكان، مانع مى شود از اخذ غاصب از او؛ و اگر مودع وفات نمايد، پس ورثۀ او مطالبه بنمايد، بر مودَع واجب است انكار آن؛ بلكه با علم به غصبْ جايز نيست قبول وديعهْ مغصوبه مگر با وثوق به رد به مالك</w:t>
      </w:r>
      <w:r>
        <w:rPr>
          <w:rFonts w:eastAsia="IRNazanin" w:cs="IRNazanin"/>
          <w:color w:val="111111"/>
          <w:sz w:val="28"/>
          <w:szCs w:val="28"/>
          <w:rtl w:val="true"/>
          <w:lang w:bidi="fa-IR"/>
        </w:rPr>
        <w:t>.</w:t>
      </w:r>
    </w:p>
    <w:p>
      <w:pPr>
        <w:pStyle w:val="Heading4"/>
        <w:numPr>
          <w:ilvl w:val="3"/>
          <w:numId w:val="1"/>
        </w:numPr>
        <w:rPr/>
      </w:pPr>
      <w:bookmarkStart w:id="1296" w:name="__RefHeading___Toc3598417_1067777946"/>
      <w:bookmarkStart w:id="1297" w:name="_Toc529"/>
      <w:bookmarkEnd w:id="1296"/>
      <w:r>
        <w:rPr>
          <w:rtl w:val="true"/>
        </w:rPr>
        <w:t>لزوم رد وديعۀ غصبى به مالك</w:t>
      </w:r>
      <w:bookmarkEnd w:id="12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تعقّب قبول به علم به غصب، بايد رد به مالك نمايد در صورتى كه مالك را بشناسد؛ و اگر مجهول باشد بر او، يك سال يا تا زمان يأس تعريف مى نمايد و با پيدا شدن مالكْ تأديه به او مى نمايد؛ و با يأس يا بعد از يك سال، تصدق مى نمايد به قصد عمل به وظيفه؛ پس اگر صاحب و مالك آن از باب اتفاق ظاهر شد، مخيّر مى نمايد او را بين اخذ بدل و ثواب تصدّق؛ و مى تواند دفع آن بعد از </w:t>
      </w:r>
      <w:bookmarkStart w:id="1298" w:name="pg10256_89555"/>
    </w:p>
    <w:p>
      <w:pPr>
        <w:pStyle w:val="BookText"/>
        <w:rPr/>
      </w:pPr>
      <w:bookmarkEnd w:id="1298"/>
      <w:r>
        <w:rPr>
          <w:rFonts w:ascii="IRNazanin" w:hAnsi="IRNazanin" w:eastAsia="IRNazanin"/>
          <w:color w:val="111111"/>
          <w:sz w:val="28"/>
          <w:sz w:val="28"/>
          <w:szCs w:val="28"/>
          <w:rtl w:val="true"/>
          <w:lang w:bidi="fa-IR"/>
        </w:rPr>
        <w:t>يأس به حاكم شرع نمايد با اعلام به حال؛ و مى تواند در نزد خود به عنوان امانت شرعيّه نگهدارى نمايد، و در اين دو تقدير ضامن نمى شود، و در صورت تصدق و ضمان، احوط، با احتمال پيدا شدن مالك، ايصاء و اعلام ورثه به آن است</w:t>
      </w:r>
      <w:r>
        <w:rPr>
          <w:rFonts w:eastAsia="IRNazanin" w:cs="IRNazanin"/>
          <w:color w:val="111111"/>
          <w:sz w:val="28"/>
          <w:szCs w:val="28"/>
          <w:rtl w:val="true"/>
          <w:lang w:bidi="fa-IR"/>
        </w:rPr>
        <w:t>.</w:t>
      </w:r>
    </w:p>
    <w:p>
      <w:pPr>
        <w:pStyle w:val="Heading4"/>
        <w:numPr>
          <w:ilvl w:val="3"/>
          <w:numId w:val="1"/>
        </w:numPr>
        <w:rPr/>
      </w:pPr>
      <w:bookmarkStart w:id="1299" w:name="__RefHeading___Toc3598419_1067777946"/>
      <w:bookmarkStart w:id="1300" w:name="_Toc530"/>
      <w:bookmarkEnd w:id="1299"/>
      <w:r>
        <w:rPr>
          <w:rtl w:val="true"/>
        </w:rPr>
        <w:t>اگر وديعه مخلوط با مال غصبى باشد</w:t>
      </w:r>
      <w:bookmarkEnd w:id="1300"/>
    </w:p>
    <w:p>
      <w:pPr>
        <w:pStyle w:val="BookText"/>
        <w:rPr/>
      </w:pPr>
      <w:r>
        <w:rPr>
          <w:rFonts w:ascii="IRNazanin" w:hAnsi="IRNazanin" w:eastAsia="IRNazanin"/>
          <w:color w:val="111111"/>
          <w:sz w:val="28"/>
          <w:sz w:val="28"/>
          <w:szCs w:val="28"/>
          <w:rtl w:val="true"/>
          <w:lang w:bidi="fa-IR"/>
        </w:rPr>
        <w:t>اگر غاصبْ مغصوب را با مال خود ممتزج كرد و همه را وديعه گذاشت، پس با امكان تمييز با قسمت شرعيّهْ اختياريّه، بايد خصوص مال او را بعد از تمييز و تفكيك، به غاصب رد نمايد و با بقيه، معاملۀ مغصوب غير ممتزج نمايد به نحوى كه گذشت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ممكن نباشد تقسيم مال ممتزج به نحو مذكور، پس مى تواند با مراجعه به حاكم، و با تعذّر، به توسط عدول مؤمنين، و با تعذر، خود ودعى، مباشرت تفكيك نمايد و هر كدام را به صاحب آن برساند؛ و اگر قدرْ معلوم نباشد، در معلومْ عمل مذكور را انجام مى دهد و در غير معلوم، به مصالحه و مباشرتِ حاكم يا متأخر از او، به مثل تنصيف و رعايت احتمالها اين عمل را انجام مى دهد، و با حق مجهول المالكْ معامله مذكوره سابق را مى نمايد، كما آنكه با معلوميّت هر دو مالك و امتناع غاصب، همين عمل را به جا مى آورد و حق هر كدام را به شخص او ميرساند</w:t>
      </w:r>
      <w:r>
        <w:rPr>
          <w:rFonts w:eastAsia="IRNazanin" w:cs="IRNazanin"/>
          <w:color w:val="111111"/>
          <w:sz w:val="28"/>
          <w:szCs w:val="28"/>
          <w:rtl w:val="true"/>
          <w:lang w:bidi="fa-IR"/>
        </w:rPr>
        <w:t xml:space="preserve">. </w:t>
      </w:r>
      <w:bookmarkStart w:id="1301" w:name="pg10256_89556"/>
    </w:p>
    <w:p>
      <w:pPr>
        <w:pStyle w:val="Heading3"/>
        <w:numPr>
          <w:ilvl w:val="2"/>
          <w:numId w:val="1"/>
        </w:numPr>
        <w:rPr/>
      </w:pPr>
      <w:bookmarkStart w:id="1302" w:name="__RefHeading___Toc3598421_1067777946"/>
      <w:bookmarkStart w:id="1303" w:name="_Toc531"/>
      <w:bookmarkEnd w:id="1301"/>
      <w:bookmarkEnd w:id="1302"/>
      <w:r>
        <w:rPr>
          <w:rtl w:val="true"/>
        </w:rPr>
        <w:t>فصل دوّم موجبات ضمان وديعه</w:t>
      </w:r>
      <w:bookmarkEnd w:id="1303"/>
    </w:p>
    <w:p>
      <w:pPr>
        <w:pStyle w:val="Heading4"/>
        <w:numPr>
          <w:ilvl w:val="3"/>
          <w:numId w:val="1"/>
        </w:numPr>
        <w:rPr/>
      </w:pPr>
      <w:bookmarkStart w:id="1304" w:name="__RefHeading___Toc3598423_1067777946"/>
      <w:bookmarkStart w:id="1305" w:name="_Toc532"/>
      <w:bookmarkEnd w:id="1304"/>
      <w:r>
        <w:rPr>
          <w:rtl w:val="true"/>
        </w:rPr>
        <w:t>اشاره</w:t>
      </w:r>
      <w:bookmarkEnd w:id="1305"/>
    </w:p>
    <w:p>
      <w:pPr>
        <w:pStyle w:val="BookText"/>
        <w:rPr/>
      </w:pPr>
      <w:r>
        <w:rPr>
          <w:rFonts w:ascii="IRNazanin" w:hAnsi="IRNazanin" w:eastAsia="IRNazanin"/>
          <w:color w:val="111111"/>
          <w:sz w:val="28"/>
          <w:sz w:val="28"/>
          <w:szCs w:val="28"/>
          <w:rtl w:val="true"/>
          <w:lang w:bidi="fa-IR"/>
        </w:rPr>
        <w:t>تفريط و تعدّى در وديعه به نحوى كه صدق خيانت نمايد، موجب ضمان آن است به سبب تفريط و تعدّى، اگر چه تلف بعد از آن به سبب آفت سماويّه واقع شود</w:t>
      </w:r>
      <w:r>
        <w:rPr>
          <w:rFonts w:eastAsia="IRNazanin" w:cs="IRNazanin"/>
          <w:color w:val="111111"/>
          <w:sz w:val="28"/>
          <w:szCs w:val="28"/>
          <w:rtl w:val="true"/>
          <w:lang w:bidi="fa-IR"/>
        </w:rPr>
        <w:t>.</w:t>
      </w:r>
    </w:p>
    <w:p>
      <w:pPr>
        <w:pStyle w:val="Heading4"/>
        <w:numPr>
          <w:ilvl w:val="3"/>
          <w:numId w:val="1"/>
        </w:numPr>
        <w:rPr/>
      </w:pPr>
      <w:bookmarkStart w:id="1306" w:name="__RefHeading___Toc3598425_1067777946"/>
      <w:bookmarkStart w:id="1307" w:name="_Toc533"/>
      <w:bookmarkEnd w:id="1306"/>
      <w:r>
        <w:rPr/>
        <w:t>1</w:t>
      </w:r>
      <w:r>
        <w:rPr>
          <w:rtl w:val="true"/>
        </w:rPr>
        <w:t xml:space="preserve">. </w:t>
      </w:r>
      <w:r>
        <w:rPr>
          <w:rtl w:val="true"/>
        </w:rPr>
        <w:t>ضمان با تفريط</w:t>
      </w:r>
      <w:bookmarkEnd w:id="1307"/>
    </w:p>
    <w:p>
      <w:pPr>
        <w:pStyle w:val="Heading5"/>
        <w:numPr>
          <w:ilvl w:val="4"/>
          <w:numId w:val="1"/>
        </w:numPr>
        <w:rPr/>
      </w:pPr>
      <w:bookmarkStart w:id="1308" w:name="__RefHeading___Toc3598427_1067777946"/>
      <w:bookmarkStart w:id="1309" w:name="_Toc534"/>
      <w:bookmarkEnd w:id="1308"/>
      <w:r>
        <w:rPr>
          <w:rtl w:val="true"/>
        </w:rPr>
        <w:t>اشاره</w:t>
      </w:r>
      <w:bookmarkEnd w:id="1309"/>
    </w:p>
    <w:p>
      <w:pPr>
        <w:pStyle w:val="BookText"/>
        <w:rPr/>
      </w:pPr>
      <w:r>
        <w:rPr>
          <w:rFonts w:ascii="Amiri" w:hAnsi="Amiri" w:eastAsia="Amiri" w:cs="Amiri"/>
          <w:color w:val="111111"/>
          <w:sz w:val="28"/>
          <w:sz w:val="28"/>
          <w:szCs w:val="28"/>
          <w:rtl w:val="true"/>
          <w:lang w:bidi="ar-SA"/>
        </w:rPr>
        <w:t>و عقد وديعه به مجرّد تفريطْ منفسخ نمى شود بلكه باقى است در زمان امكان بقا؛ بلكه انكشاف امين نبودن در زمان عقد، موجب انكشاف بطلان نيست</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598429_1067777946"/>
      <w:bookmarkStart w:id="1311" w:name="_Toc535"/>
      <w:bookmarkEnd w:id="1310"/>
      <w:r>
        <w:rPr>
          <w:rtl w:val="true"/>
        </w:rPr>
        <w:t>حكم ضمان در فرض تفريط با جهل موضوعى</w:t>
      </w:r>
      <w:bookmarkEnd w:id="1311"/>
    </w:p>
    <w:p>
      <w:pPr>
        <w:pStyle w:val="BookText"/>
        <w:rPr/>
      </w:pPr>
      <w:r>
        <w:rPr>
          <w:rFonts w:ascii="IRNazanin" w:hAnsi="IRNazanin" w:eastAsia="IRNazanin"/>
          <w:color w:val="111111"/>
          <w:sz w:val="28"/>
          <w:sz w:val="28"/>
          <w:szCs w:val="28"/>
          <w:rtl w:val="true"/>
          <w:lang w:bidi="fa-IR"/>
        </w:rPr>
        <w:t xml:space="preserve">آيا وقوع تفريط به سبب جهل موضوعى به احتياج وديعه به محافظۀ متروكه يا از روى نسيان يا از اكراه، موجب ضمان است يا نه‌؟ اظهر در آنچه صدق اتلاف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مطلقا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به تلف به امور مذكوره است و لازمۀ ضمان به آنها، انسداد باب قبول ودايع است، چنانچه قول ودعى در عدم وقوع تفريط، مسموع است و بايد مودِع اقامۀ بيّنه بر تفريط نمايد</w:t>
      </w:r>
      <w:r>
        <w:rPr>
          <w:rFonts w:eastAsia="IRNazanin" w:cs="IRNazanin"/>
          <w:color w:val="111111"/>
          <w:sz w:val="28"/>
          <w:szCs w:val="28"/>
          <w:rtl w:val="true"/>
          <w:lang w:bidi="fa-IR"/>
        </w:rPr>
        <w:t>.</w:t>
      </w:r>
    </w:p>
    <w:p>
      <w:pPr>
        <w:pStyle w:val="Heading5"/>
        <w:numPr>
          <w:ilvl w:val="4"/>
          <w:numId w:val="1"/>
        </w:numPr>
        <w:rPr/>
      </w:pPr>
      <w:bookmarkStart w:id="1312" w:name="__RefHeading___Toc3598431_1067777946"/>
      <w:bookmarkStart w:id="1313" w:name="_Toc536"/>
      <w:bookmarkEnd w:id="1312"/>
      <w:r>
        <w:rPr>
          <w:rtl w:val="true"/>
        </w:rPr>
        <w:t>حكم ضمان در فرض ايداع دوّم</w:t>
      </w:r>
      <w:bookmarkEnd w:id="13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بدون ضرورت موجه يا اذن خصوصى مالك يا 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امثال ايداعهايى كه وديعۀ خاصه، محمول بر موافقت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گذاشت نزد ثقۀ نزد ودعى، </w:t>
      </w:r>
      <w:bookmarkStart w:id="1314" w:name="pg10256_89557"/>
    </w:p>
    <w:p>
      <w:pPr>
        <w:pStyle w:val="BookText"/>
        <w:rPr/>
      </w:pPr>
      <w:bookmarkEnd w:id="1314"/>
      <w:r>
        <w:rPr>
          <w:rFonts w:ascii="IRNazanin" w:hAnsi="IRNazanin" w:eastAsia="IRNazanin"/>
          <w:color w:val="111111"/>
          <w:sz w:val="28"/>
          <w:sz w:val="28"/>
          <w:szCs w:val="28"/>
          <w:rtl w:val="true"/>
          <w:lang w:bidi="fa-IR"/>
        </w:rPr>
        <w:t xml:space="preserve">پس اقرب ضمان است در صورت تلف؛ و احوط در صورت امكان، مراجعه به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تعذر رجوع به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تعذّر، به عدول مؤمنين است در مواقع ضرورت ايداع، و با عدم امكانْ مباشرت مى نمايد ودعى ايداع را؛ و فرقى بين تشريك در حفظ يا استقلال مودَع ثانى نيست</w:t>
      </w:r>
      <w:r>
        <w:rPr>
          <w:rFonts w:eastAsia="IRNazanin" w:cs="IRNazanin"/>
          <w:color w:val="111111"/>
          <w:sz w:val="28"/>
          <w:szCs w:val="28"/>
          <w:rtl w:val="true"/>
          <w:lang w:bidi="fa-IR"/>
        </w:rPr>
        <w:t>.</w:t>
      </w:r>
    </w:p>
    <w:p>
      <w:pPr>
        <w:pStyle w:val="Heading5"/>
        <w:numPr>
          <w:ilvl w:val="4"/>
          <w:numId w:val="1"/>
        </w:numPr>
        <w:rPr/>
      </w:pPr>
      <w:bookmarkStart w:id="1315" w:name="__RefHeading___Toc3598433_1067777946"/>
      <w:bookmarkStart w:id="1316" w:name="_Toc537"/>
      <w:bookmarkEnd w:id="1315"/>
      <w:r>
        <w:rPr>
          <w:rtl w:val="true"/>
        </w:rPr>
        <w:t>ايداع به اذن مالك</w:t>
      </w:r>
      <w:bookmarkEnd w:id="1316"/>
    </w:p>
    <w:p>
      <w:pPr>
        <w:pStyle w:val="BookText"/>
        <w:rPr/>
      </w:pPr>
      <w:r>
        <w:rPr>
          <w:rFonts w:ascii="Amiri" w:hAnsi="Amiri" w:eastAsia="Amiri" w:cs="Amiri"/>
          <w:color w:val="111111"/>
          <w:sz w:val="28"/>
          <w:sz w:val="28"/>
          <w:szCs w:val="28"/>
          <w:rtl w:val="true"/>
          <w:lang w:bidi="ar-SA"/>
        </w:rPr>
        <w:t xml:space="preserve">و ايداع به اذن، غير از انجام دادن حفظ به 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توسيط اتباع و خدم مودَع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متعارف است در اغلب 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در موارد وقوع ايداع با اذن مالك، انفساخ ايداع اوّل است، و موت مودَع دوّم بى اثر است</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3598435_1067777946"/>
      <w:bookmarkStart w:id="1318" w:name="_Toc538"/>
      <w:bookmarkEnd w:id="1317"/>
      <w:r>
        <w:rPr>
          <w:rtl w:val="true"/>
        </w:rPr>
        <w:t>حكم ايداعِ دوّم با ضرورت يا مفهوم از اطلاق</w:t>
      </w:r>
      <w:bookmarkEnd w:id="1318"/>
    </w:p>
    <w:p>
      <w:pPr>
        <w:pStyle w:val="BookText"/>
        <w:rPr/>
      </w:pPr>
      <w:r>
        <w:rPr>
          <w:rFonts w:ascii="Amiri" w:hAnsi="Amiri" w:eastAsia="Amiri" w:cs="Amiri"/>
          <w:color w:val="111111"/>
          <w:sz w:val="28"/>
          <w:sz w:val="28"/>
          <w:szCs w:val="28"/>
          <w:rtl w:val="true"/>
          <w:lang w:bidi="ar-SA"/>
        </w:rPr>
        <w:t>و در موارد ايداع با ضرورت يا فهم از اطلاق، موت هر كدام از مالك و مودِع دومْ موجب بطلان وديعه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وقوع ايداع به واسطۀ ضرورت يا فهم از اطلاق، حكم به ضمان نمى شود به مجرّد ايداع و تلف بعد از آن، تا آنكه ثابت شود خلاف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مى شود ودعى در ادّعاى ضرورت مگر با بيّنه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وقوع ايداع دوّم بدون مسوّغى غير از اذن خصوصى مالك، تصديق در ادّعاى اذن نمى شود و محكوم به ضمان است، مگر با اثبات اذن خصوصى مالك در ايداع دوّم با خصوصياتش</w:t>
      </w:r>
      <w:r>
        <w:rPr>
          <w:rFonts w:eastAsia="IRNazanin" w:cs="IRNazanin"/>
          <w:color w:val="111111"/>
          <w:sz w:val="28"/>
          <w:szCs w:val="28"/>
          <w:rtl w:val="true"/>
          <w:lang w:bidi="fa-IR"/>
        </w:rPr>
        <w:t>.</w:t>
      </w:r>
    </w:p>
    <w:p>
      <w:pPr>
        <w:pStyle w:val="Heading5"/>
        <w:numPr>
          <w:ilvl w:val="4"/>
          <w:numId w:val="1"/>
        </w:numPr>
        <w:rPr/>
      </w:pPr>
      <w:bookmarkStart w:id="1319" w:name="__RefHeading___Toc3598437_1067777946"/>
      <w:bookmarkStart w:id="1320" w:name="_Toc539"/>
      <w:bookmarkEnd w:id="1319"/>
      <w:r>
        <w:rPr>
          <w:rtl w:val="true"/>
        </w:rPr>
        <w:t>ايداع در سفر و همراه بردن وديعه در سفر</w:t>
      </w:r>
      <w:bookmarkEnd w:id="13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ايداع در سفر باشد و سفر و حضر در وديعه مساوى باشد، يا آنكه محفوظتر باشد در سفر خاص در نظر ودعى، يا آنكه ودعىْ سفر و حضر نداشته باشد و از جماعتى باشد كه بيوت آنها با آنها است، مانعى از اخراج وديعه در سفر </w:t>
      </w:r>
      <w:bookmarkStart w:id="1321" w:name="pg10256_89558"/>
    </w:p>
    <w:p>
      <w:pPr>
        <w:pStyle w:val="BookText"/>
        <w:rPr/>
      </w:pPr>
      <w:bookmarkEnd w:id="1321"/>
      <w:r>
        <w:rPr>
          <w:rFonts w:ascii="IRNazanin" w:hAnsi="IRNazanin" w:eastAsia="IRNazanin"/>
          <w:color w:val="111111"/>
          <w:sz w:val="28"/>
          <w:sz w:val="28"/>
          <w:szCs w:val="28"/>
          <w:rtl w:val="true"/>
          <w:lang w:bidi="fa-IR"/>
        </w:rPr>
        <w:t>نيست، وگرنه نمى تواند مسافرت نمايد مگر با ضرورت يا اذن خصوصى مالك يا وكيل او؛ و در صورت ضرورت، مراجعه به حاكم مى شود و اگر متعذر بود، به عدول مؤمنين و اگر متعذر شد، مباشرت مى نمايد، چنانچه در ايداع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عدم جواز سفر تغريرى و تعريضى به تلف وديعه با ضمان آن است چنانچه اتلاف هم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متوقف بشود حفظ بر سفر يا ممكن باشد حفظ در سفر مثل حضر، جايز است مسافرت با آن يا از آن، بدون محكوميّت به ضمان و بدون حاجت به ضمان صحيح</w:t>
      </w:r>
      <w:r>
        <w:rPr>
          <w:rFonts w:eastAsia="IRNazanin" w:cs="IRNazanin"/>
          <w:color w:val="111111"/>
          <w:sz w:val="28"/>
          <w:szCs w:val="28"/>
          <w:rtl w:val="true"/>
          <w:lang w:bidi="fa-IR"/>
        </w:rPr>
        <w:t>.</w:t>
      </w:r>
    </w:p>
    <w:p>
      <w:pPr>
        <w:pStyle w:val="Heading5"/>
        <w:numPr>
          <w:ilvl w:val="4"/>
          <w:numId w:val="1"/>
        </w:numPr>
        <w:rPr/>
      </w:pPr>
      <w:bookmarkStart w:id="1322" w:name="__RefHeading___Toc3598439_1067777946"/>
      <w:bookmarkStart w:id="1323" w:name="_Toc540"/>
      <w:bookmarkEnd w:id="1322"/>
      <w:r>
        <w:rPr>
          <w:rtl w:val="true"/>
        </w:rPr>
        <w:t>فرض ضرورى بودن سفر جهت حفظ وديعه</w:t>
      </w:r>
      <w:bookmarkEnd w:id="1323"/>
    </w:p>
    <w:p>
      <w:pPr>
        <w:pStyle w:val="BookText"/>
        <w:rPr/>
      </w:pPr>
      <w:r>
        <w:rPr>
          <w:rFonts w:ascii="IRNazanin" w:hAnsi="IRNazanin" w:eastAsia="IRNazanin"/>
          <w:color w:val="111111"/>
          <w:sz w:val="28"/>
          <w:sz w:val="28"/>
          <w:szCs w:val="28"/>
          <w:rtl w:val="true"/>
          <w:lang w:bidi="fa-IR"/>
        </w:rPr>
        <w:t xml:space="preserve">اگر سفر، ضرورىِ وديعه باشد، جايز يا واجب است كه مسافرت يا رد وديعه نمايد؛ و هميشه براى حوادث محتمله مى تواند رد وديعه به مالك يا وكيل او يا حاكم يا عدل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در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ضرورىِ ودعى باشد و ضرورى وديعه نباشد بلكه در آن تغرير باشد به وديعه، بايد مراجعه به مالك نمايد به نحو متقدّم؛ و در صورت عدم امكان، مسافرت مى نمايد بدون ضمان شرعى و بدون ضمان صحيح</w:t>
      </w:r>
      <w:r>
        <w:rPr>
          <w:rFonts w:eastAsia="IRNazanin" w:cs="IRNazanin"/>
          <w:color w:val="111111"/>
          <w:sz w:val="28"/>
          <w:szCs w:val="28"/>
          <w:rtl w:val="true"/>
          <w:lang w:bidi="fa-IR"/>
        </w:rPr>
        <w:t>.</w:t>
      </w:r>
    </w:p>
    <w:p>
      <w:pPr>
        <w:pStyle w:val="Heading5"/>
        <w:numPr>
          <w:ilvl w:val="4"/>
          <w:numId w:val="1"/>
        </w:numPr>
        <w:rPr/>
      </w:pPr>
      <w:bookmarkStart w:id="1324" w:name="__RefHeading___Toc3598441_1067777946"/>
      <w:bookmarkStart w:id="1325" w:name="_Toc541"/>
      <w:bookmarkEnd w:id="1324"/>
      <w:r>
        <w:rPr>
          <w:rtl w:val="true"/>
        </w:rPr>
        <w:t>وقوع تلف يا نقص در وديعه</w:t>
      </w:r>
      <w:bookmarkEnd w:id="1325"/>
    </w:p>
    <w:p>
      <w:pPr>
        <w:pStyle w:val="BookText"/>
        <w:rPr/>
      </w:pPr>
      <w:r>
        <w:rPr>
          <w:rFonts w:ascii="IRNazanin" w:hAnsi="IRNazanin" w:eastAsia="IRNazanin"/>
          <w:color w:val="111111"/>
          <w:sz w:val="28"/>
          <w:sz w:val="28"/>
          <w:szCs w:val="28"/>
          <w:rtl w:val="true"/>
          <w:lang w:bidi="fa-IR"/>
        </w:rPr>
        <w:t>اگر انداخت قماشى را در محلى كه موجب فساد يا نقص مى شود، يا ترك كرد تغذيۀ حيوان را تا مدتى كه عادةً صبر در آن ندارد، پس با وقوع تلف يا نقصْ ضامن است؛ و با عدم آنها بر خلاف عادت، اقرب دخول در ضمان است از آن مدت، پس تلف به سبب ديگر موجب ضمان او است؛ و اگر تلف يا نقص قبل از آن مدت واقع شد، به سبب تفريط نبوده و موجب ضمان نيست</w:t>
      </w:r>
      <w:r>
        <w:rPr>
          <w:rFonts w:eastAsia="IRNazanin" w:cs="IRNazanin"/>
          <w:color w:val="111111"/>
          <w:sz w:val="28"/>
          <w:szCs w:val="28"/>
          <w:rtl w:val="true"/>
          <w:lang w:bidi="fa-IR"/>
        </w:rPr>
        <w:t>.</w:t>
      </w:r>
    </w:p>
    <w:p>
      <w:pPr>
        <w:pStyle w:val="Heading4"/>
        <w:numPr>
          <w:ilvl w:val="3"/>
          <w:numId w:val="1"/>
        </w:numPr>
        <w:rPr/>
      </w:pPr>
      <w:bookmarkStart w:id="1326" w:name="__RefHeading___Toc3598443_1067777946"/>
      <w:bookmarkStart w:id="1327" w:name="_Toc542"/>
      <w:bookmarkEnd w:id="1326"/>
      <w:r>
        <w:rPr/>
        <w:t>2</w:t>
      </w:r>
      <w:r>
        <w:rPr>
          <w:rtl w:val="true"/>
        </w:rPr>
        <w:t xml:space="preserve">. </w:t>
      </w:r>
      <w:r>
        <w:rPr>
          <w:rtl w:val="true"/>
        </w:rPr>
        <w:t>ضمان با تعدّى</w:t>
      </w:r>
      <w:bookmarkEnd w:id="1327"/>
    </w:p>
    <w:p>
      <w:pPr>
        <w:pStyle w:val="Heading5"/>
        <w:numPr>
          <w:ilvl w:val="4"/>
          <w:numId w:val="1"/>
        </w:numPr>
        <w:rPr/>
      </w:pPr>
      <w:bookmarkStart w:id="1328" w:name="__RefHeading___Toc3598445_1067777946"/>
      <w:bookmarkStart w:id="1329" w:name="_Toc543"/>
      <w:bookmarkEnd w:id="1328"/>
      <w:r>
        <w:rPr>
          <w:rtl w:val="true"/>
        </w:rPr>
        <w:t>اشاره</w:t>
      </w:r>
      <w:bookmarkEnd w:id="132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تعدّى كه قسم دوّم از موجبات ضمان وديعه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امثله آن لبس جامه براى انتفاع شخصى و ركوب دابه براى اين جهت و اخراج از </w:t>
      </w:r>
      <w:bookmarkStart w:id="1330" w:name="pg10256_89559"/>
    </w:p>
    <w:p>
      <w:pPr>
        <w:pStyle w:val="BookText"/>
        <w:rPr/>
      </w:pPr>
      <w:bookmarkEnd w:id="1330"/>
      <w:r>
        <w:rPr>
          <w:rFonts w:ascii="Amiri" w:hAnsi="Amiri" w:eastAsia="Amiri" w:cs="Amiri"/>
          <w:color w:val="111111"/>
          <w:sz w:val="28"/>
          <w:sz w:val="28"/>
          <w:szCs w:val="28"/>
          <w:rtl w:val="true"/>
          <w:lang w:bidi="ar-SA"/>
        </w:rPr>
        <w:t>محل حفظ براى انتفاع خودش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نيّت انتفاع مذكور بدون عملى بر طبق اين نيّت، تأثير در ضمان ندارد؛ بلكه وقتى خيانتْ صادق است كه بر طبق نيّتِ آن، عملى موافق نيّت انجام دهد</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598447_1067777946"/>
      <w:bookmarkStart w:id="1332" w:name="_Toc544"/>
      <w:bookmarkEnd w:id="1331"/>
      <w:r>
        <w:rPr>
          <w:rtl w:val="true"/>
        </w:rPr>
        <w:t>عدم بطلان وديعه با نيّت غصب</w:t>
      </w:r>
      <w:bookmarkEnd w:id="1332"/>
    </w:p>
    <w:p>
      <w:pPr>
        <w:pStyle w:val="BookText"/>
        <w:rPr/>
      </w:pPr>
      <w:r>
        <w:rPr>
          <w:rFonts w:ascii="IRNazanin" w:hAnsi="IRNazanin" w:eastAsia="IRNazanin"/>
          <w:color w:val="111111"/>
          <w:sz w:val="28"/>
          <w:sz w:val="28"/>
          <w:szCs w:val="28"/>
          <w:rtl w:val="true"/>
          <w:lang w:bidi="fa-IR"/>
        </w:rPr>
        <w:t xml:space="preserve">و اظهر عدم بطلان وديعه با نيّت غصب در ادامۀ قبض و نيّت انتفاع شخصى بدون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ابقاى يد امانت به قصد 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ضامن نمى شود به مجرّد نيّت، مثل نيّتها در امور متقدمه و حكم غصب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ابتداءْ چنين قصدى داشته، مخالفت حكم وديعه در ظاهر و واقع مى شود، و بقاى قصد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بقاى وديعه و احكام آن لازم نيست، بلكه انفساخ به خيانت عمليّه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غصب و احكامش در غير وديعه به مجرّد استيلاء حدوثى بر مالِ غيرْ بدون اذن، مستلزم تحقّق آن در مرحلۀ بقاى در مسبوق به ايداع نيست؛ پس غصب و احكام آن، به مجرّد نيّت بدون جرى عملى و خيانت عمليّۀ مقصوده، منتفى است و ضمانْ منتفى است و حكم وديعه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مالك، مطالبۀ وديعه كرد، پس ودعى امتناع كرد از تسليم در اوّل زمان امكان معتاد، و گذشت اوّل زمان امكان با ترك ردّ، ضامن است و يد او بعد از آن زمان عدوانى مى شود؛ و ابقاى يد با اين نيّت و ترك رد در اين زمان بعد از مضىّ آن غصب و موجب ثبوت احكام آن است؛ بلكه مطالبه، فسخ ايداع است و بعد از آن يدْ غير مأذونه مى شود و محقّق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مضىّ زمان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يد و احكام غصب مى شود</w:t>
      </w:r>
      <w:r>
        <w:rPr>
          <w:rFonts w:eastAsia="IRNazanin" w:cs="IRNazanin"/>
          <w:color w:val="111111"/>
          <w:sz w:val="28"/>
          <w:szCs w:val="28"/>
          <w:rtl w:val="true"/>
          <w:lang w:bidi="fa-IR"/>
        </w:rPr>
        <w:t>.</w:t>
      </w:r>
    </w:p>
    <w:p>
      <w:pPr>
        <w:pStyle w:val="Heading5"/>
        <w:numPr>
          <w:ilvl w:val="4"/>
          <w:numId w:val="1"/>
        </w:numPr>
        <w:rPr/>
      </w:pPr>
      <w:bookmarkStart w:id="1333" w:name="__RefHeading___Toc3598449_1067777946"/>
      <w:bookmarkStart w:id="1334" w:name="_Toc545"/>
      <w:bookmarkEnd w:id="1333"/>
      <w:r>
        <w:rPr>
          <w:rtl w:val="true"/>
        </w:rPr>
        <w:t>انكار وديعه</w:t>
      </w:r>
      <w:bookmarkEnd w:id="13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همين حكم ثابت است با جحود ودعى بعد از مطالبۀ مالك در صورتى كه بيّنه بر آن قائم شود يا اعتراف نمايد بعد از جحود، و ثبوت ازيد از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فسخ به </w:t>
      </w:r>
      <w:bookmarkStart w:id="1335" w:name="pg10256_89560"/>
    </w:p>
    <w:p>
      <w:pPr>
        <w:pStyle w:val="BookText"/>
        <w:rPr/>
      </w:pPr>
      <w:bookmarkEnd w:id="1335"/>
      <w:r>
        <w:rPr>
          <w:rFonts w:ascii="IRNazanin" w:hAnsi="IRNazanin" w:eastAsia="IRNazanin"/>
          <w:color w:val="111111"/>
          <w:sz w:val="28"/>
          <w:sz w:val="28"/>
          <w:szCs w:val="28"/>
          <w:rtl w:val="true"/>
          <w:lang w:bidi="fa-IR"/>
        </w:rPr>
        <w:t xml:space="preserve">جحود يا خيانت ديگر غير از كذب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منع است؛ بلكه مقتضاى استصحابِ حكم امانت، عدم ضمان است مگر با ملاحظۀ آنچه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جهت به استصحاب مذكور عمل مى شود در صورتى كه جحود بدون مطالبۀ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مالك يا غير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مالك سؤال از وديعه بدون مطالبه بنمايد يا نه، عذرى اظهار نمايد براى 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نسيان، با آنكه محتمل باشد و در صورت اظهارْ مالك تصديق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 معلوم باشد كه براى ارادۀ غصبْ جحود واقع شده است يا محتمل باشد؛ بلكه ضمان و حكم غصبْ داير مدار بقاى وديعه و حكم آن و بودن يد غير مأذونه و غير مؤتمنه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جحود براى مصلحت وديعه باشد، يا محمول بر آن شود، معلوم است عدم خيانت و عدم ضمان، بلكه ترك اين در اولْ خيانت است</w:t>
      </w:r>
      <w:r>
        <w:rPr>
          <w:rFonts w:eastAsia="IRNazanin" w:cs="IRNazanin"/>
          <w:color w:val="111111"/>
          <w:sz w:val="28"/>
          <w:szCs w:val="28"/>
          <w:rtl w:val="true"/>
          <w:lang w:bidi="fa-IR"/>
        </w:rPr>
        <w:t>.</w:t>
      </w:r>
    </w:p>
    <w:p>
      <w:pPr>
        <w:pStyle w:val="Heading5"/>
        <w:numPr>
          <w:ilvl w:val="4"/>
          <w:numId w:val="1"/>
        </w:numPr>
        <w:rPr/>
      </w:pPr>
      <w:bookmarkStart w:id="1336" w:name="__RefHeading___Toc3598451_1067777946"/>
      <w:bookmarkStart w:id="1337" w:name="_Toc546"/>
      <w:bookmarkEnd w:id="1336"/>
      <w:r>
        <w:rPr>
          <w:rtl w:val="true"/>
        </w:rPr>
        <w:t>مخلوط كردن وديعه با غير آن</w:t>
      </w:r>
      <w:bookmarkEnd w:id="1337"/>
    </w:p>
    <w:p>
      <w:pPr>
        <w:pStyle w:val="BookText"/>
        <w:rPr/>
      </w:pPr>
      <w:r>
        <w:rPr>
          <w:rFonts w:ascii="IRNazanin" w:hAnsi="IRNazanin" w:eastAsia="IRNazanin"/>
          <w:color w:val="111111"/>
          <w:sz w:val="28"/>
          <w:sz w:val="28"/>
          <w:szCs w:val="28"/>
          <w:rtl w:val="true"/>
          <w:lang w:bidi="fa-IR"/>
        </w:rPr>
        <w:t xml:space="preserve">مخلوط كردن وديعه به مالى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بنحوى كه رافع تمييز بين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ودعى يا مالك يا غير آنها، تصرّفى است محتاج به اذن خصوصى، يا فهم از اطلاق به سبب تعارف و اعتياد؛ و بدون آنها تعدّى و موجب ضمان است</w:t>
      </w:r>
      <w:r>
        <w:rPr>
          <w:rFonts w:eastAsia="IRNazanin" w:cs="IRNazanin"/>
          <w:color w:val="111111"/>
          <w:sz w:val="28"/>
          <w:szCs w:val="28"/>
          <w:rtl w:val="true"/>
          <w:lang w:bidi="fa-IR"/>
        </w:rPr>
        <w:t>.</w:t>
      </w:r>
    </w:p>
    <w:p>
      <w:pPr>
        <w:pStyle w:val="Heading5"/>
        <w:numPr>
          <w:ilvl w:val="4"/>
          <w:numId w:val="1"/>
        </w:numPr>
        <w:rPr/>
      </w:pPr>
      <w:bookmarkStart w:id="1338" w:name="__RefHeading___Toc3598453_1067777946"/>
      <w:bookmarkStart w:id="1339" w:name="_Toc547"/>
      <w:bookmarkEnd w:id="1338"/>
      <w:r>
        <w:rPr>
          <w:rtl w:val="true"/>
        </w:rPr>
        <w:t>باز كردن بسته بندى امانت</w:t>
      </w:r>
      <w:bookmarkEnd w:id="133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نحو صحيحْ ايداع كرد مالى را در كيسۀ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ختم مالك يا به امر او به ختم، اگر چه بعد از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كرد ودعى آن كيسه را و از حرزى كه خود ودعى در آن بايد حفظ نمايد اخراج نكرد، اظهر عدم ضمان به 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آثم باشد در باز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بواسطۀ عدم تحقّق خيانت در حفظِ در محلّى كه ودعى در آن بايد حفظ نمايد، مگر آنكه دلالت كند ايداع مخصوص، بر تعيين موضع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 را در كيسه و كيسه كه در آن مال است در محل حفظ وديع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تعدّى از تعيين اولْ خيانت و موجب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ظرف، پس اظهر عدم ضمان او است </w:t>
      </w:r>
      <w:bookmarkStart w:id="1340" w:name="pg10256_89561"/>
    </w:p>
    <w:p>
      <w:pPr>
        <w:pStyle w:val="BookText"/>
        <w:rPr/>
      </w:pPr>
      <w:bookmarkEnd w:id="1340"/>
      <w:r>
        <w:rPr>
          <w:rFonts w:ascii="IRNazanin" w:hAnsi="IRNazanin" w:eastAsia="IRNazanin"/>
          <w:color w:val="111111"/>
          <w:sz w:val="28"/>
          <w:sz w:val="28"/>
          <w:szCs w:val="28"/>
          <w:rtl w:val="true"/>
          <w:lang w:bidi="fa-IR"/>
        </w:rPr>
        <w:t>به باز كردن مذكور، چه مظروفْ مضمون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پاره كند كيسه بسته شده را از پايين محل بسته شده، پس به حكم باز كردن آن است؛ و اگر از بالاى آن موضع پاره نمود، ضامن است نقصان كيسه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كيسۀ مختوم است در حكم متقدّم، مال در صندوق مقفَّل، اگر باز كند قفل را، و مال مدفون در مكانى، اگر نبش نمايد و اخراج ننمايد</w:t>
      </w:r>
      <w:r>
        <w:rPr>
          <w:rFonts w:eastAsia="IRNazanin" w:cs="IRNazanin"/>
          <w:color w:val="111111"/>
          <w:sz w:val="28"/>
          <w:szCs w:val="28"/>
          <w:rtl w:val="true"/>
          <w:lang w:bidi="fa-IR"/>
        </w:rPr>
        <w:t>.</w:t>
      </w:r>
    </w:p>
    <w:p>
      <w:pPr>
        <w:pStyle w:val="Heading5"/>
        <w:numPr>
          <w:ilvl w:val="4"/>
          <w:numId w:val="1"/>
        </w:numPr>
        <w:rPr/>
      </w:pPr>
      <w:bookmarkStart w:id="1341" w:name="__RefHeading___Toc3598455_1067777946"/>
      <w:bookmarkStart w:id="1342" w:name="_Toc548"/>
      <w:bookmarkEnd w:id="1341"/>
      <w:r>
        <w:rPr>
          <w:rtl w:val="true"/>
        </w:rPr>
        <w:t>از بين بردن قسمتى از وديعه</w:t>
      </w:r>
      <w:bookmarkEnd w:id="1342"/>
    </w:p>
    <w:p>
      <w:pPr>
        <w:pStyle w:val="BookText"/>
        <w:rPr/>
      </w:pPr>
      <w:r>
        <w:rPr>
          <w:rFonts w:ascii="IRNazanin" w:hAnsi="IRNazanin" w:eastAsia="IRNazanin"/>
          <w:color w:val="111111"/>
          <w:sz w:val="28"/>
          <w:sz w:val="28"/>
          <w:szCs w:val="28"/>
          <w:rtl w:val="true"/>
          <w:lang w:bidi="fa-IR"/>
        </w:rPr>
        <w:t>اگر اتلاف كرد ودعى، بعضِ متصل از وديعه را، ضامنِ بقيه است اگر چه تلف بقيه به آفت سماويه باشد، و هم چنين اگر بعض متصل تلف شد به تفريط يا تعدّى، تلف بقيه را ضامن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ابعاضْ منفصل باشند، ضامن غير متعلّق اتلاف يا تلفِ با تعدّى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بعض، به سبب تفريط خطايى باشد، ضامن تلف بقيه نيست، چنانچه گذشت؛ و هم چنين اگر اتلاف بعض، خطايى باشد، ضامن خصوص متعلّق تلف يا اتلاف است، نه بقيه</w:t>
      </w:r>
      <w:r>
        <w:rPr>
          <w:rFonts w:eastAsia="IRNazanin" w:cs="IRNazanin"/>
          <w:color w:val="111111"/>
          <w:sz w:val="28"/>
          <w:szCs w:val="28"/>
          <w:rtl w:val="true"/>
          <w:lang w:bidi="fa-IR"/>
        </w:rPr>
        <w:t>.</w:t>
      </w:r>
    </w:p>
    <w:p>
      <w:pPr>
        <w:pStyle w:val="Heading5"/>
        <w:numPr>
          <w:ilvl w:val="4"/>
          <w:numId w:val="1"/>
        </w:numPr>
        <w:rPr/>
      </w:pPr>
      <w:bookmarkStart w:id="1343" w:name="__RefHeading___Toc3598457_1067777946"/>
      <w:bookmarkStart w:id="1344" w:name="_Toc549"/>
      <w:bookmarkEnd w:id="1343"/>
      <w:r>
        <w:rPr>
          <w:rtl w:val="true"/>
        </w:rPr>
        <w:t>اجارۀ وديعه به صورت مخالف نظر مالك</w:t>
      </w:r>
      <w:bookmarkEnd w:id="134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ايداع نمود دابّه را و امر كرد به اجارۀ او به حمل اخف، پس اجاره داد به حمل اثقل و تسليم كرد دابه را و مستأجرْ حمل نمود، ضامن تلف دابه خواهد بود با تحقّق حملى كه خيانت است در امانت، اگر چه تلفْ به سببى غير حمل باشد؛ و اظهر ضمانت جميع تالف است اگر چه خيانتْ به تعدّى از اخفّ به اثقل باشد نه به تعدّى از اسهل به اشق؛ اگر چه ممكن است ضمان به اتلاف، تقسيط شود به حسب اخف و اثقل و نسبت آن دو، لكن خيانتْ موجب ضمان تلف است به هر سببى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اجارۀ براى اخف، مشروط به قلّت بوده اذن در آن، پس اجاره باطل است، نه آنكه در بعضْ صحيح است، و حمل اقل هم مشمول اذن اجاره نبوده تا زايد بالخصوص، تعدّى باشد</w:t>
      </w:r>
      <w:r>
        <w:rPr>
          <w:rFonts w:eastAsia="IRNazanin" w:cs="IRNazanin"/>
          <w:color w:val="111111"/>
          <w:sz w:val="28"/>
          <w:szCs w:val="28"/>
          <w:rtl w:val="true"/>
          <w:lang w:bidi="fa-IR"/>
        </w:rPr>
        <w:t xml:space="preserve">. </w:t>
      </w:r>
      <w:bookmarkStart w:id="1345" w:name="pg10256_89562"/>
    </w:p>
    <w:p>
      <w:pPr>
        <w:pStyle w:val="Heading5"/>
        <w:numPr>
          <w:ilvl w:val="4"/>
          <w:numId w:val="1"/>
        </w:numPr>
        <w:rPr/>
      </w:pPr>
      <w:bookmarkStart w:id="1346" w:name="__RefHeading___Toc3598459_1067777946"/>
      <w:bookmarkStart w:id="1347" w:name="_Toc550"/>
      <w:bookmarkEnd w:id="1345"/>
      <w:bookmarkEnd w:id="1346"/>
      <w:r>
        <w:rPr>
          <w:rtl w:val="true"/>
        </w:rPr>
        <w:t>باز كردن حرز و قفل وديعه و تصرّف در آن</w:t>
      </w:r>
      <w:bookmarkEnd w:id="1347"/>
    </w:p>
    <w:p>
      <w:pPr>
        <w:pStyle w:val="BookText"/>
        <w:rPr/>
      </w:pPr>
      <w:r>
        <w:rPr>
          <w:rFonts w:ascii="IRNazanin" w:hAnsi="IRNazanin" w:eastAsia="IRNazanin"/>
          <w:color w:val="111111"/>
          <w:sz w:val="28"/>
          <w:sz w:val="28"/>
          <w:szCs w:val="28"/>
          <w:rtl w:val="true"/>
          <w:lang w:bidi="fa-IR"/>
        </w:rPr>
        <w:t xml:space="preserve">اگر وديعه را مالك در حرز مقفّل گذاشت پس از آن ايداع نمود، پس ودعى باز كرد قفل را و بعض مال را برداشت، ضامنِ جميع است بنابر آنچه گذشت؛ و اگر در حال ايداعْ در حرز نبود يا آنكه حرزْ ملك 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فتح كرد و بعض آن را برداشت، ضامن خصوص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بدل مأخوذ را اعاده كرد برىء الذمه نمى شود تا مورد قبول مالك نشود؛ و اگر مخلوط كرد بدل را با بقيه به نحو رافع تمييز، ضامن جميع است بنابر آنچه در خلط بى تمييز گذشت، و اگر تمييزْ مرتفع نشد، خصوصِ مأخوذْ مضمون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عين مال را برگرداند، ضمان فعلى، مرتفع، و ضمان تقديرى خصوص مأخوذ، مرتفع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ساير تعدّيها كه به رجوع، ضمانِ حاصل به تعدّى، مرتفع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مضمون نمى شود در اين صورت؛ پس اگر ده تومان بود و يك تومان را اخذ كرد پس از آن رد نمود به نحو غير رافع ضمان پس تلف شد همه بدون تفريط، فقط يك تومان در ذمۀ او است؛ و اگر پنج تومان تلف شد، نصف تومان مضمون است، لكن احتياط در صلح با مالك، ترك نشود؛ و اگر عين يك تومان معلوم بوده و عين آن تالف شد در ضمن پنج، يك تومان مضمون است؛ و اگر باقى است، هيچ مضمون نيست فعلاً، و يك تومان، مضمونِ تقديرى است</w:t>
      </w:r>
      <w:r>
        <w:rPr>
          <w:rFonts w:eastAsia="IRNazanin" w:cs="IRNazanin"/>
          <w:color w:val="111111"/>
          <w:sz w:val="28"/>
          <w:szCs w:val="28"/>
          <w:rtl w:val="true"/>
          <w:lang w:bidi="fa-IR"/>
        </w:rPr>
        <w:t xml:space="preserve">. </w:t>
      </w:r>
      <w:bookmarkStart w:id="1348" w:name="pg10256_89563"/>
    </w:p>
    <w:p>
      <w:pPr>
        <w:pStyle w:val="Heading3"/>
        <w:numPr>
          <w:ilvl w:val="2"/>
          <w:numId w:val="1"/>
        </w:numPr>
        <w:rPr/>
      </w:pPr>
      <w:bookmarkStart w:id="1349" w:name="__RefHeading___Toc3598461_1067777946"/>
      <w:bookmarkStart w:id="1350" w:name="_Toc551"/>
      <w:bookmarkEnd w:id="1348"/>
      <w:bookmarkEnd w:id="1349"/>
      <w:r>
        <w:rPr>
          <w:rtl w:val="true"/>
        </w:rPr>
        <w:t>فصل سوّم احكام وديعه</w:t>
      </w:r>
      <w:bookmarkEnd w:id="1350"/>
    </w:p>
    <w:p>
      <w:pPr>
        <w:pStyle w:val="Heading4"/>
        <w:numPr>
          <w:ilvl w:val="3"/>
          <w:numId w:val="1"/>
        </w:numPr>
        <w:rPr/>
      </w:pPr>
      <w:bookmarkStart w:id="1351" w:name="__RefHeading___Toc3598463_1067777946"/>
      <w:bookmarkStart w:id="1352" w:name="_Toc552"/>
      <w:bookmarkEnd w:id="1351"/>
      <w:r>
        <w:rPr>
          <w:rtl w:val="true"/>
        </w:rPr>
        <w:t>سفر با وديعه در صورت خوف تلف آن</w:t>
      </w:r>
      <w:bookmarkEnd w:id="1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خائف شد بر وديعه با اقامت، جايز است مسافرت با آن نمودن، بلكه واجب است يا مسافرت و يا مراجعه به مالك يا وكيل يا حاكم يا عدول مؤمنين با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امكان از مراجعه به مالك، و اگر هيچ كدام ممكن نشد، پس مسافرت اگر موجب تضرر مالى است وجوب ندارد، بلكه اگر ممكن است حفظ به آن با بذل مالى با نيّت رجوع به مالك، انجام داده مى شود اگر چه به ارسال به محلى ديگر باشد توسط امين؛ و در صورت عمل به وظيفۀ فعليّه، ضامن تلف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هر يك از اقامت و سفر، احتمالِ خطر بر وديعه بود، ابعد از خطر را رعايت مى نمايد با امكان و عدم تضرّر، يا مراجعه به مالك مى نمايد به نحو متقدّم</w:t>
      </w:r>
      <w:r>
        <w:rPr>
          <w:rFonts w:eastAsia="IRNazanin" w:cs="IRNazanin"/>
          <w:color w:val="111111"/>
          <w:sz w:val="28"/>
          <w:szCs w:val="28"/>
          <w:rtl w:val="true"/>
          <w:lang w:bidi="fa-IR"/>
        </w:rPr>
        <w:t>.</w:t>
      </w:r>
    </w:p>
    <w:p>
      <w:pPr>
        <w:pStyle w:val="Heading4"/>
        <w:numPr>
          <w:ilvl w:val="3"/>
          <w:numId w:val="1"/>
        </w:numPr>
        <w:rPr/>
      </w:pPr>
      <w:bookmarkStart w:id="1353" w:name="__RefHeading___Toc3598465_1067777946"/>
      <w:bookmarkStart w:id="1354" w:name="_Toc553"/>
      <w:bookmarkEnd w:id="1353"/>
      <w:r>
        <w:rPr>
          <w:rtl w:val="true"/>
        </w:rPr>
        <w:t>نحوۀ خروج از تكليف به حفظ وديعه</w:t>
      </w:r>
      <w:bookmarkEnd w:id="13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ودعى از عهدۀ تكليف به حفظ وديعه خارج نمى شود مگر با رد به مالك يا وكيل او، و با عجز به حاكم شرع، و با عجز به عدول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معذور نبود در ترك رد به مالك، نمى تواند رد به حاكم نمايد؛ و اگر دفع به حاكم كرد، ودعى ضامن است در صورت عدم عذر از ايصال به مالك يا وكيل مطلق، اگر چه اصل فسخِ وديعه از ودعى، اختيارى بوده و ضرورى نبوده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 وجوب دفع به حاكم، واجب است قبول بر حاكمِ قادر بر حفظ و </w:t>
      </w:r>
      <w:bookmarkStart w:id="1355" w:name="pg10256_89564"/>
    </w:p>
    <w:p>
      <w:pPr>
        <w:pStyle w:val="BookText"/>
        <w:rPr/>
      </w:pPr>
      <w:bookmarkEnd w:id="1355"/>
      <w:r>
        <w:rPr>
          <w:rFonts w:ascii="IRNazanin" w:hAnsi="IRNazanin" w:eastAsia="IRNazanin"/>
          <w:color w:val="111111"/>
          <w:sz w:val="28"/>
          <w:sz w:val="28"/>
          <w:szCs w:val="28"/>
          <w:rtl w:val="true"/>
          <w:lang w:bidi="fa-IR"/>
        </w:rPr>
        <w:t>عمل به وظيفه در آن در صورتى كه بداند وجوب دفع را و تعريض ترك دفع و قبولْ به تضييع و تلف بنابر اظهر؛ و در صورت عدم قبول، اگر چه به جهت عدم اداى اجتهاد يا تقليد او به ايجاب قبول باشد، نوبت به عدول مؤمنين مى رسد، و او در اين مقام به منزلۀ حاكم است و احكام او را دارد، بلكه اگر متعذر شد رد به مالك و حاكم، مى تواند دفع به عدل مؤمن نمايد؛ و مردّد است اين دفع بين ولايت عدل مؤمن در حسبه ها در صورت فقد حاكم، پس دفع به او به منزلۀ دفع به مالك است، يا ايداع به عدل مؤمن كه جايز است با ضرورت و عدم مراتب سابقه، يا آنكه محافظت بر وديعه است به اين طريق سائغ؛ و وديعۀ سابقه بنابر اخير، فسخ نمى شود، به خلاف دو طريق سابق؛ و در هيچ كدام ضامن تلف وديعه بعد از رد به عدل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تقديرى كه مجوّزى نداشته باشد رد به ثقه، غير از ولايت، پس بايد رعايت فقد حاكم يا تعذر رد به او بشود وگرنه ضامن است</w:t>
      </w:r>
      <w:r>
        <w:rPr>
          <w:rFonts w:eastAsia="IRNazanin" w:cs="IRNazanin"/>
          <w:color w:val="111111"/>
          <w:sz w:val="28"/>
          <w:szCs w:val="28"/>
          <w:rtl w:val="true"/>
          <w:lang w:bidi="fa-IR"/>
        </w:rPr>
        <w:t>.</w:t>
      </w:r>
    </w:p>
    <w:p>
      <w:pPr>
        <w:pStyle w:val="Heading4"/>
        <w:numPr>
          <w:ilvl w:val="3"/>
          <w:numId w:val="1"/>
        </w:numPr>
        <w:rPr/>
      </w:pPr>
      <w:bookmarkStart w:id="1356" w:name="__RefHeading___Toc3598467_1067777946"/>
      <w:bookmarkStart w:id="1357" w:name="_Toc554"/>
      <w:bookmarkEnd w:id="1356"/>
      <w:r>
        <w:rPr>
          <w:rtl w:val="true"/>
        </w:rPr>
        <w:t>فرض توقف حفظ وديعه بر دفن</w:t>
      </w:r>
      <w:bookmarkEnd w:id="13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منحصر باشد طريق حفظ در دفن، با اعلام يا بدون آن، واجب مى شود و ضامن نيست؛ و بايد اعلامْ مخوف نباشد بلكه خوف تضييع در ترك دفن يا ترك اعلامِ ثقه باشد و طريقى براى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4"/>
        <w:numPr>
          <w:ilvl w:val="3"/>
          <w:numId w:val="1"/>
        </w:numPr>
        <w:rPr/>
      </w:pPr>
      <w:bookmarkStart w:id="1358" w:name="__RefHeading___Toc3598469_1067777946"/>
      <w:bookmarkStart w:id="1359" w:name="_Toc555"/>
      <w:bookmarkEnd w:id="1358"/>
      <w:r>
        <w:rPr>
          <w:rtl w:val="true"/>
        </w:rPr>
        <w:t>برگردان وديعه به حرز و بسته بندى اوّليّه</w:t>
      </w:r>
      <w:bookmarkEnd w:id="13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تفريط يا تعدّى در وديعه، اعاده كرد آن را در حرز، برائت از ضمان به تلفْ حاصل نمى شود، اگر چه در مرحلۀ بقاءْ عاصى نيست؛ و اگر مراجعه به مالك كرد و اعلام كرد و مجدّداً ايداع نمود به همان نحوى كه در احداثِ آن كافى است، ضمان نيست و كلامى كه با ترك فسخِ ايداعِ اولْ مجامع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اذن در حفظ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در حكم وديعه نيست؛ و اگر كاشف از فسخ بود و كافى در ايداع نبود</w:t>
      </w:r>
      <w:bookmarkStart w:id="1360" w:name="pg10256_89565"/>
    </w:p>
    <w:p>
      <w:pPr>
        <w:pStyle w:val="BookText"/>
        <w:rPr/>
      </w:pPr>
      <w:bookmarkEnd w:id="1360"/>
      <w:r>
        <w:rPr>
          <w:rFonts w:ascii="Amiri" w:hAnsi="Amiri" w:eastAsia="Amiri" w:cs="Amiri"/>
          <w:color w:val="111111"/>
          <w:sz w:val="28"/>
          <w:sz w:val="28"/>
          <w:szCs w:val="28"/>
          <w:rtl w:val="true"/>
          <w:lang w:bidi="ar-SA"/>
        </w:rPr>
        <w:t>بلكه مجرد اذن در استيلاء بعد از فسخ بود، وديعه و ضمان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ابراء غاصب و وديع از ضمان بعد از فسخ وديعه، اگر مرجعش به اذن در تسلط بر مال باشد، همين حكم را دارد كه عدم ضمان بواسطۀ مأذون بودن يد است بر مال غير</w:t>
      </w:r>
      <w:r>
        <w:rPr>
          <w:rFonts w:eastAsia="IRNazanin" w:cs="IRNazanin"/>
          <w:color w:val="111111"/>
          <w:sz w:val="28"/>
          <w:szCs w:val="28"/>
          <w:rtl w:val="true"/>
          <w:lang w:bidi="fa-IR"/>
        </w:rPr>
        <w:t>.</w:t>
      </w:r>
    </w:p>
    <w:p>
      <w:pPr>
        <w:pStyle w:val="Heading4"/>
        <w:numPr>
          <w:ilvl w:val="3"/>
          <w:numId w:val="1"/>
        </w:numPr>
        <w:rPr/>
      </w:pPr>
      <w:bookmarkStart w:id="1361" w:name="__RefHeading___Toc3598471_1067777946"/>
      <w:bookmarkStart w:id="1362" w:name="_Toc556"/>
      <w:bookmarkEnd w:id="1361"/>
      <w:r>
        <w:rPr>
          <w:rtl w:val="true"/>
        </w:rPr>
        <w:t>دفع وديعه به غير مالك</w:t>
      </w:r>
      <w:bookmarkEnd w:id="13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اكراه و عدم امكان تخلص به غير ضرر، دفع كرد وديعه را به غير مالك، اظهر عدم ضمان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مباشر دفعْ او باشد نه آنكه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مباشر اخذ بوده باشد</w:t>
      </w:r>
      <w:r>
        <w:rPr>
          <w:rFonts w:eastAsia="IRNazanin" w:cs="IRNazanin"/>
          <w:color w:val="111111"/>
          <w:sz w:val="28"/>
          <w:szCs w:val="28"/>
          <w:rtl w:val="true"/>
          <w:lang w:bidi="fa-IR"/>
        </w:rPr>
        <w:t>.</w:t>
      </w:r>
    </w:p>
    <w:p>
      <w:pPr>
        <w:pStyle w:val="Heading4"/>
        <w:numPr>
          <w:ilvl w:val="3"/>
          <w:numId w:val="1"/>
        </w:numPr>
        <w:rPr/>
      </w:pPr>
      <w:bookmarkStart w:id="1363" w:name="__RefHeading___Toc3598473_1067777946"/>
      <w:bookmarkStart w:id="1364" w:name="_Toc557"/>
      <w:bookmarkEnd w:id="1363"/>
      <w:r>
        <w:rPr>
          <w:rtl w:val="true"/>
        </w:rPr>
        <w:t>نحوه رفع تنازع مودِع و ودعى در ادّعا و انكار</w:t>
      </w:r>
      <w:bookmarkEnd w:id="13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وديعْ انكار ايداع به او كرد، يا با اعتراف به آن، ادّعاى تلف وديعه كرد به سببى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ادّعاى رد به مالك يا وكيل او كرد و بيّنه بر خلاف او اقامه نشد، قول او مسموع است با يمين او؛ به خلاف ادّعاى رد به وارث كه طرف ائتمان او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دفع به غير مالك نموده و ادّعاى اذن مالك در دفع به او كرد، قول مالك با يمين او مقدم است؛ و اگر مدفوع اليه، انكار دفع كرد، قول او با يمين او مقدم است؛ و اگر تصديق كرد و عين وديعه باقى بود، رد به مالك يا وكيل او مى شود؛ و اگر تلف شده باشد، مالك كه منكر اذن بوده مى تواند رجوع نمايد به هركدام از دو يد ضمان به بدل تالف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مالك تصديق اذن در رد به شخصى كرد، لكن انكار تسليم كرد، پس مثل انكار رد به وكيل است در مسموعيّت قول وديع؛ و اگر تصديق كرد دعواى تسليم مورد اذن را، از ضمان خارج است اگر چه آن شخص انكار نمايد و اشهاد نكرده بوده است</w:t>
      </w:r>
      <w:r>
        <w:rPr>
          <w:rFonts w:eastAsia="IRNazanin" w:cs="IRNazanin"/>
          <w:color w:val="111111"/>
          <w:sz w:val="28"/>
          <w:szCs w:val="28"/>
          <w:rtl w:val="true"/>
          <w:lang w:bidi="fa-IR"/>
        </w:rPr>
        <w:t xml:space="preserve">. </w:t>
      </w:r>
      <w:bookmarkStart w:id="1365" w:name="pg10256_89566"/>
    </w:p>
    <w:p>
      <w:pPr>
        <w:pStyle w:val="Heading4"/>
        <w:numPr>
          <w:ilvl w:val="3"/>
          <w:numId w:val="1"/>
        </w:numPr>
        <w:rPr/>
      </w:pPr>
      <w:bookmarkStart w:id="1366" w:name="__RefHeading___Toc3598475_1067777946"/>
      <w:bookmarkStart w:id="1367" w:name="_Toc558"/>
      <w:bookmarkEnd w:id="1365"/>
      <w:bookmarkEnd w:id="1366"/>
      <w:r>
        <w:rPr>
          <w:rtl w:val="true"/>
        </w:rPr>
        <w:t>ادّعاى تلف پس از انكار اصل وديعه</w:t>
      </w:r>
      <w:bookmarkEnd w:id="136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 بعد از انكار وديعْ اصل وديعه را، اقامۀ بيّنه بر ايداع كرد، بعد مورد تصديقِ ودعى شد و ادّعاى تلف قبل از انكار كرد، اظهر عدم سماع دعواى منافى انكار سابق است به هيچ نحو؛ حتى با اقامۀ بيّنه بر آن، اثبات نمى شود دعواى منافى آن با تحقّق منافات معلومه بين انكار سابق و دعواى فعليّه، چنانچه يمين او بى اثر است بعد از جحود و خيانت بعد از مطالبه</w:t>
      </w:r>
      <w:r>
        <w:rPr>
          <w:rFonts w:eastAsia="IRNazanin" w:cs="IRNazanin"/>
          <w:color w:val="111111"/>
          <w:sz w:val="28"/>
          <w:szCs w:val="28"/>
          <w:rtl w:val="true"/>
          <w:lang w:bidi="fa-IR"/>
        </w:rPr>
        <w:t>.</w:t>
      </w:r>
    </w:p>
    <w:p>
      <w:pPr>
        <w:pStyle w:val="Heading4"/>
        <w:numPr>
          <w:ilvl w:val="3"/>
          <w:numId w:val="1"/>
        </w:numPr>
        <w:rPr/>
      </w:pPr>
      <w:bookmarkStart w:id="1368" w:name="__RefHeading___Toc3598477_1067777946"/>
      <w:bookmarkStart w:id="1369" w:name="_Toc559"/>
      <w:bookmarkEnd w:id="1368"/>
      <w:r>
        <w:rPr>
          <w:rtl w:val="true"/>
        </w:rPr>
        <w:t>تعيين موضع و عدم آن توسط مودِع</w:t>
      </w:r>
      <w:bookmarkEnd w:id="136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ايداع كرد و تعيين موضع نكرد، واجب است رعايت متعارف در امثال آن وديعه وگرنه ضامن است؛ و اگر تعيين موضع حفظ كرد، بايد مبادرت به ايصال به آن موضع نمود به نحو فوريت عرفيه وگرنه ضامن است؛ و اگر رجوع كرد و ايصال به آن موضع نمود، پس در زوال ضمان سابق بدون تجديد اعلام و وديعه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عملى كه در ايصال به محل معيّن و حفظ آن در آن محلْ متعارف باشد يا آنكه مستفاد از قراين حاليّه يا مقاليّه از جانب مودِع باشد اگر انجام داده شد، موجب ضمان نيست، مثل محافظت توسط زوجه يا خادم و نحو اينها با وثوق به آنها، بدون رجوع به ايداع نزد آنها</w:t>
      </w:r>
      <w:r>
        <w:rPr>
          <w:rFonts w:eastAsia="IRNazanin" w:cs="IRNazanin"/>
          <w:color w:val="111111"/>
          <w:sz w:val="28"/>
          <w:szCs w:val="28"/>
          <w:rtl w:val="true"/>
          <w:lang w:bidi="fa-IR"/>
        </w:rPr>
        <w:t>.</w:t>
      </w:r>
    </w:p>
    <w:p>
      <w:pPr>
        <w:pStyle w:val="Heading4"/>
        <w:numPr>
          <w:ilvl w:val="3"/>
          <w:numId w:val="1"/>
        </w:numPr>
        <w:rPr/>
      </w:pPr>
      <w:bookmarkStart w:id="1370" w:name="__RefHeading___Toc3598479_1067777946"/>
      <w:bookmarkStart w:id="1371" w:name="_Toc560"/>
      <w:bookmarkEnd w:id="1370"/>
      <w:r>
        <w:rPr>
          <w:rtl w:val="true"/>
        </w:rPr>
        <w:t>اعتراف به وديعه و موت بعد از آن</w:t>
      </w:r>
      <w:bookmarkEnd w:id="137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اعتراف به وديعه كرد پس از آن وفات كرد، مجرد اعتراف، ثابت نمى كند ضمانِ آن را و اشتمال تركه بر آن يا ثبوت بدل در ضمن متروكات متعلق حق مودع، و سبب نمى شود براى مقاسمه با ديّان و ملاحظۀ نسبت در صورت ضيق تركه از مجموع ديون كه از آنها است وديعه؛ كلام در ضمان واقعى با ترك عمل به وظيفه در وقت ظن به وفات گذشت؛ و در اين مقام، مرادْ عدم تعلق حق مودِع است بر تركه به مجرد اعتراف ميّت</w:t>
      </w:r>
      <w:r>
        <w:rPr>
          <w:rFonts w:eastAsia="IRNazanin" w:cs="IRNazanin"/>
          <w:color w:val="111111"/>
          <w:sz w:val="28"/>
          <w:szCs w:val="28"/>
          <w:rtl w:val="true"/>
          <w:lang w:bidi="fa-IR"/>
        </w:rPr>
        <w:t>.</w:t>
      </w:r>
      <w:bookmarkStart w:id="1372" w:name="pg10256_89567"/>
    </w:p>
    <w:p>
      <w:pPr>
        <w:pStyle w:val="Heading4"/>
        <w:numPr>
          <w:ilvl w:val="3"/>
          <w:numId w:val="1"/>
        </w:numPr>
        <w:rPr/>
      </w:pPr>
      <w:bookmarkStart w:id="1373" w:name="__RefHeading___Toc3598481_1067777946"/>
      <w:bookmarkStart w:id="1374" w:name="_Toc561"/>
      <w:bookmarkEnd w:id="1372"/>
      <w:bookmarkEnd w:id="1373"/>
      <w:r>
        <w:rPr>
          <w:rtl w:val="true"/>
        </w:rPr>
        <w:t>ادّعاى مالكيّت وديعه توسط دو نفر و تصديق يكى</w:t>
      </w:r>
      <w:bookmarkEnd w:id="1374"/>
    </w:p>
    <w:p>
      <w:pPr>
        <w:pStyle w:val="Heading5"/>
        <w:numPr>
          <w:ilvl w:val="4"/>
          <w:numId w:val="1"/>
        </w:numPr>
        <w:rPr/>
      </w:pPr>
      <w:bookmarkStart w:id="1375" w:name="__RefHeading___Toc3598483_1067777946"/>
      <w:bookmarkStart w:id="1376" w:name="_Toc562"/>
      <w:bookmarkEnd w:id="1375"/>
      <w:r>
        <w:rPr>
          <w:rtl w:val="true"/>
        </w:rPr>
        <w:t>اشاره</w:t>
      </w:r>
      <w:bookmarkEnd w:id="137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دست كسى وديعه باشد و دو نفر ادّعا نمايند آن را، پس اگر ودعى تصديق نمايد يكى از آنها را، قبول مى شود و احلاف مى شود براى ديگرى، و احلاف مى شود مُقَرّ له براى آن ديگر، پس مستقر مى شود ملك مقرّ له، بنابر ترجيح حلف او بر حلف طرف به تصديق ودعى كه فعلا امين و صاحب يد است، يا تعيين صاحب يد و خارج به سبب قول صاحب يد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نكول كرد ودعى از يمين براى مدّعى، احلاف مى شود مدّعى اگر به مجرّد نكول حكم نشود براى مدّعى، و تغريم مى شود ودعى براى مدّعى مثل قيمت را، بنابر آنكه يمين مردوده به حكم اقرار است نه بيّنه</w:t>
      </w:r>
      <w:r>
        <w:rPr>
          <w:rFonts w:eastAsia="IRNazanin" w:cs="IRNazanin"/>
          <w:color w:val="111111"/>
          <w:sz w:val="28"/>
          <w:szCs w:val="28"/>
          <w:rtl w:val="true"/>
          <w:lang w:bidi="fa-IR"/>
        </w:rPr>
        <w:t>.</w:t>
      </w:r>
    </w:p>
    <w:p>
      <w:pPr>
        <w:pStyle w:val="Heading5"/>
        <w:numPr>
          <w:ilvl w:val="4"/>
          <w:numId w:val="1"/>
        </w:numPr>
        <w:rPr/>
      </w:pPr>
      <w:bookmarkStart w:id="1377" w:name="__RefHeading___Toc3598485_1067777946"/>
      <w:bookmarkStart w:id="1378" w:name="_Toc563"/>
      <w:bookmarkEnd w:id="1377"/>
      <w:r>
        <w:rPr>
          <w:rtl w:val="true"/>
        </w:rPr>
        <w:t>اقرار ودعى به اشتراك دو نفر مدّعى</w:t>
      </w:r>
      <w:bookmarkEnd w:id="1378"/>
    </w:p>
    <w:p>
      <w:pPr>
        <w:pStyle w:val="BookText"/>
        <w:rPr/>
      </w:pPr>
      <w:r>
        <w:rPr>
          <w:rFonts w:ascii="IRNazanin" w:hAnsi="IRNazanin" w:eastAsia="IRNazanin"/>
          <w:color w:val="111111"/>
          <w:sz w:val="28"/>
          <w:sz w:val="28"/>
          <w:szCs w:val="28"/>
          <w:rtl w:val="true"/>
          <w:lang w:bidi="fa-IR"/>
        </w:rPr>
        <w:t>و اگر ودعى اقرار به اشتراك آن دو نفر كرد و هر كدام را در نصفْ تصديق و در نصفْ تكذيب كرد، پس حكم مورد تكذيب با هر يك، مثل صورت تكذيب جميع است در نزاع بين ودعى و هركدام، و نزاع بين دو مدّعى در نصفْ مرتفع مى شود به حلف هر دو يا نكول هر دو و حكم به تنصيف مى شود؛ و اگر يكىِ فقط حلف ايقاع كرد، نصف ديگر هم به او اختصاص داده مى شود و بين ديگرى با ودعى خصومتى نيست، به واسطۀ عدم نزاع در يك نصف با او و ارتفاع نزاع با او در نصف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ترتيب متقدِّم عمل مى شود اگر بعض مقرّ به براى هركدام، مساوى با بعض ديگر نباشد، بلكه مختلف باشند</w:t>
      </w:r>
      <w:r>
        <w:rPr>
          <w:rFonts w:eastAsia="IRNazanin" w:cs="IRNazanin"/>
          <w:color w:val="111111"/>
          <w:sz w:val="28"/>
          <w:szCs w:val="28"/>
          <w:rtl w:val="true"/>
          <w:lang w:bidi="fa-IR"/>
        </w:rPr>
        <w:t>.</w:t>
      </w:r>
    </w:p>
    <w:p>
      <w:pPr>
        <w:pStyle w:val="Heading5"/>
        <w:numPr>
          <w:ilvl w:val="4"/>
          <w:numId w:val="1"/>
        </w:numPr>
        <w:rPr/>
      </w:pPr>
      <w:bookmarkStart w:id="1379" w:name="__RefHeading___Toc3598487_1067777946"/>
      <w:bookmarkStart w:id="1380" w:name="_Toc564"/>
      <w:bookmarkEnd w:id="1379"/>
      <w:r>
        <w:rPr>
          <w:rtl w:val="true"/>
        </w:rPr>
        <w:t>تكذيب هر دو مدّعى</w:t>
      </w:r>
      <w:bookmarkEnd w:id="138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دو را تكذيب كرد، پس با حلف براى هركدامْ منتفى مى شود دعواى بين ودعى و هر كدام؛ و اگر نكول كرد از حلف براى هر دو، رد يمين به آن دو مى شود، و مساوى ميشوند در دعوا، و با حلف هر دو يا نكول هر دو، تقسيم مى شود به </w:t>
      </w:r>
      <w:bookmarkStart w:id="1381" w:name="pg10256_89568"/>
    </w:p>
    <w:p>
      <w:pPr>
        <w:pStyle w:val="BookText"/>
        <w:rPr/>
      </w:pPr>
      <w:bookmarkEnd w:id="1381"/>
      <w:r>
        <w:rPr>
          <w:rFonts w:ascii="IRNazanin" w:hAnsi="IRNazanin" w:eastAsia="IRNazanin"/>
          <w:color w:val="111111"/>
          <w:sz w:val="28"/>
          <w:sz w:val="28"/>
          <w:szCs w:val="28"/>
          <w:rtl w:val="true"/>
          <w:lang w:bidi="fa-IR"/>
        </w:rPr>
        <w:t>تنصيف بين آن دو، و اگر يكى ايقاع حلف كرد، مختص به او مى شود</w:t>
      </w:r>
      <w:r>
        <w:rPr>
          <w:rFonts w:eastAsia="IRNazanin" w:cs="IRNazanin"/>
          <w:color w:val="111111"/>
          <w:sz w:val="28"/>
          <w:szCs w:val="28"/>
          <w:rtl w:val="true"/>
          <w:lang w:bidi="fa-IR"/>
        </w:rPr>
        <w:t>.</w:t>
      </w:r>
    </w:p>
    <w:p>
      <w:pPr>
        <w:pStyle w:val="Heading5"/>
        <w:numPr>
          <w:ilvl w:val="4"/>
          <w:numId w:val="1"/>
        </w:numPr>
        <w:rPr/>
      </w:pPr>
      <w:bookmarkStart w:id="1382" w:name="__RefHeading___Toc3598489_1067777946"/>
      <w:bookmarkStart w:id="1383" w:name="_Toc565"/>
      <w:bookmarkEnd w:id="1382"/>
      <w:r>
        <w:rPr>
          <w:rtl w:val="true"/>
        </w:rPr>
        <w:t>اقرار به مالكيّت يكى بدون تعيين</w:t>
      </w:r>
      <w:bookmarkEnd w:id="1383"/>
    </w:p>
    <w:p>
      <w:pPr>
        <w:pStyle w:val="BookText"/>
        <w:rPr/>
      </w:pPr>
      <w:r>
        <w:rPr>
          <w:rFonts w:ascii="IRNazanin" w:hAnsi="IRNazanin" w:eastAsia="IRNazanin"/>
          <w:color w:val="111111"/>
          <w:sz w:val="28"/>
          <w:sz w:val="28"/>
          <w:szCs w:val="28"/>
          <w:rtl w:val="true"/>
          <w:lang w:bidi="fa-IR"/>
        </w:rPr>
        <w:t xml:space="preserve">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مال يكى است و تعيين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تصديق كردند در نفى علم، پس نزاعى با او ندارند، و خصومت بين آن دو مرتفع مى شود به آنچه از سابق در صور متقدمه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تكذيب كردند و ادّعاى علمِ به معيّن كردند، پس ايقاع حلف بر نفى علم به تعيين مى نمايد و مقدّم مى شود با آنْ قول او، و اظهر احتياج به دو يمين است اگر هر يك، ادّعاى علم به تعيين خودش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باقى مى ماند نزاع بين دو نفر خارج كه آيا با قرعه تعيين مى شود و به صاحبش با حلف او تسليم مى شود تمام وديعه، يا صبر مى نمايند تا صلح نمايند، يا تحالف مى نمايند و تقسيم بالسويه مى نمايند؟ و اوّل با ضررى بودن صبر، خالى از وجه نيست، و ايقاع حلفِ صاحب قرعه،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وديع نكول كرد از حلف بر نفى علم به تعيين، و ايقاع حلف كردند بر علم به تعيينْ هركدام از دو مدّعى، اظهر تغريم قيمت است براى محروم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حلفى كه ايقاع مى نمايند، يا قرعه اى كه تعيين مى نمايد، كه گذشت رجحان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محروميّت او؛ پس عين را به مجموعْ تسليم مى نمايد و پس از قرعه يا تحالف، آنچه را كه محروم مى شود هر كدام كه مدّعى تمام 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عين يا تمام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تسليم مى نمايد قيمت را به مقدار محروميّت او</w:t>
      </w:r>
      <w:r>
        <w:rPr>
          <w:rFonts w:eastAsia="IRNazanin" w:cs="IRNazanin"/>
          <w:color w:val="111111"/>
          <w:sz w:val="28"/>
          <w:szCs w:val="28"/>
          <w:rtl w:val="true"/>
          <w:lang w:bidi="fa-IR"/>
        </w:rPr>
        <w:t>.</w:t>
      </w:r>
    </w:p>
    <w:p>
      <w:pPr>
        <w:pStyle w:val="Heading5"/>
        <w:numPr>
          <w:ilvl w:val="4"/>
          <w:numId w:val="1"/>
        </w:numPr>
        <w:rPr/>
      </w:pPr>
      <w:bookmarkStart w:id="1384" w:name="__RefHeading___Toc3598491_1067777946"/>
      <w:bookmarkStart w:id="1385" w:name="_Toc566"/>
      <w:bookmarkEnd w:id="1384"/>
      <w:r>
        <w:rPr>
          <w:rtl w:val="true"/>
        </w:rPr>
        <w:t>ادّعاى جهل به مالك توسط وديع</w:t>
      </w:r>
      <w:bookmarkEnd w:id="138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وديع گفت نمى دانم مالك كيست، هر دو يا يكى از دو يا غير آن دو و هر دو مدّعى، ادّعاى علم كردند به مالك معيّن از آن دو، پس مقدم است قول او با يمين او بر نفى علم؛ و اگر ايقاع حلف كرد، اقرار مى شود در يد او تا تعيين شود مالك او در شرع، و لكن اولى بلكه متعيّنْ تسليم به امين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انحصار حق در دو نفر، و به </w:t>
      </w:r>
      <w:bookmarkStart w:id="1386" w:name="pg10256_89569"/>
    </w:p>
    <w:p>
      <w:pPr>
        <w:pStyle w:val="BookText"/>
        <w:rPr/>
      </w:pPr>
      <w:bookmarkEnd w:id="1386"/>
      <w:r>
        <w:rPr>
          <w:rFonts w:ascii="IRNazanin" w:hAnsi="IRNazanin" w:eastAsia="IRNazanin"/>
          <w:color w:val="111111"/>
          <w:sz w:val="28"/>
          <w:sz w:val="28"/>
          <w:szCs w:val="28"/>
          <w:rtl w:val="true"/>
          <w:lang w:bidi="fa-IR"/>
        </w:rPr>
        <w:t>حاكم در صورت عدم انحصار است؛ و اگر نكول از حلف كرد، پس گذشت تسليم به عين و قيمت به هر دو با حلف ايشان بر علم او براى ايصال به محروم از آن دو به قدر محروميّت؛ و اظهر تعيين مالك است در اختلاف بين آن دو، با قرعه چنانچه گذشت، با تفاوت عدم يد راساً در اين فرض</w:t>
      </w:r>
      <w:r>
        <w:rPr>
          <w:rFonts w:eastAsia="IRNazanin" w:cs="IRNazanin"/>
          <w:color w:val="111111"/>
          <w:sz w:val="28"/>
          <w:szCs w:val="28"/>
          <w:rtl w:val="true"/>
          <w:lang w:bidi="fa-IR"/>
        </w:rPr>
        <w:t>.</w:t>
      </w:r>
    </w:p>
    <w:p>
      <w:pPr>
        <w:pStyle w:val="Heading4"/>
        <w:numPr>
          <w:ilvl w:val="3"/>
          <w:numId w:val="1"/>
        </w:numPr>
        <w:rPr/>
      </w:pPr>
      <w:bookmarkStart w:id="1387" w:name="__RefHeading___Toc3598493_1067777946"/>
      <w:bookmarkStart w:id="1388" w:name="_Toc567"/>
      <w:bookmarkEnd w:id="1387"/>
      <w:r>
        <w:rPr>
          <w:rtl w:val="true"/>
        </w:rPr>
        <w:t>اختلاف در قيمت، بعد از تلف</w:t>
      </w:r>
      <w:bookmarkEnd w:id="138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اعتراف به تفريط يا اثبات آن، تلف شد و در قيمت اختلاف شد، قول وديع كه منكر است زيادتى آنچه را كه ذمۀ او مشغول به آن است، مقدم است</w:t>
      </w:r>
      <w:r>
        <w:rPr>
          <w:rFonts w:eastAsia="IRNazanin" w:cs="IRNazanin"/>
          <w:color w:val="111111"/>
          <w:sz w:val="28"/>
          <w:szCs w:val="28"/>
          <w:rtl w:val="true"/>
          <w:lang w:bidi="fa-IR"/>
        </w:rPr>
        <w:t>.</w:t>
      </w:r>
    </w:p>
    <w:p>
      <w:pPr>
        <w:pStyle w:val="Heading4"/>
        <w:numPr>
          <w:ilvl w:val="3"/>
          <w:numId w:val="1"/>
        </w:numPr>
        <w:rPr/>
      </w:pPr>
      <w:bookmarkStart w:id="1389" w:name="__RefHeading___Toc3598495_1067777946"/>
      <w:bookmarkStart w:id="1390" w:name="_Toc568"/>
      <w:bookmarkEnd w:id="1389"/>
      <w:r>
        <w:rPr>
          <w:rtl w:val="true"/>
        </w:rPr>
        <w:t>فوت مودِع</w:t>
      </w:r>
      <w:bookmarkEnd w:id="139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مودِع وفات كرد، تسليم مى شود وديعه به وارث او در صورت اتحاد؛ و به همه يا قائم مقام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وكيل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و اگر رعايت وكالت يا ولايت بر مجموع نكرد و تسليم بعض كرد، حصۀ بقيه را 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 الصلاة على محمد و آله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المقام بيد العبد محمد تقى بن محمود الجيلانى عفى اللّٰه عنهما في خامس</w:t>
      </w:r>
    </w:p>
    <w:p>
      <w:pPr>
        <w:pStyle w:val="BookText"/>
        <w:rPr/>
      </w:pPr>
      <w:r>
        <w:rPr>
          <w:rFonts w:ascii="Amiri" w:hAnsi="Amiri" w:eastAsia="Amiri" w:cs="Amiri"/>
          <w:color w:val="111111"/>
          <w:sz w:val="28"/>
          <w:sz w:val="28"/>
          <w:szCs w:val="28"/>
          <w:rtl w:val="true"/>
          <w:lang w:bidi="ar-SA"/>
        </w:rPr>
        <w:t>ذى القعدة الحرام من الف و واحد و أربعمائة من الهجرة المباركة في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المشهد المبارك الرضوى صلوات اللّٰه على شاهده و عترته</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1" w:name="pg10256_89571"/>
      <w:bookmarkStart w:id="1392" w:name="pg10256_89571"/>
      <w:bookmarkEnd w:id="1392"/>
    </w:p>
    <w:p>
      <w:pPr>
        <w:pStyle w:val="Heading2"/>
        <w:numPr>
          <w:ilvl w:val="1"/>
          <w:numId w:val="1"/>
        </w:numPr>
        <w:rPr/>
      </w:pPr>
      <w:bookmarkStart w:id="1393" w:name="pg10256_89571"/>
      <w:bookmarkStart w:id="1394" w:name="__RefHeading___Toc3598497_1067777946"/>
      <w:bookmarkStart w:id="1395" w:name="_Toc569"/>
      <w:bookmarkEnd w:id="1393"/>
      <w:bookmarkEnd w:id="1394"/>
      <w:r>
        <w:rPr>
          <w:rtl w:val="true"/>
        </w:rPr>
        <w:t>كتاب عاريه</w:t>
      </w:r>
      <w:bookmarkEnd w:id="1395"/>
    </w:p>
    <w:p>
      <w:pPr>
        <w:pStyle w:val="Heading3"/>
        <w:numPr>
          <w:ilvl w:val="2"/>
          <w:numId w:val="1"/>
        </w:numPr>
        <w:rPr/>
      </w:pPr>
      <w:bookmarkStart w:id="1396" w:name="__RefHeading___Toc3598499_1067777946"/>
      <w:bookmarkStart w:id="1397" w:name="_Toc570"/>
      <w:bookmarkEnd w:id="1396"/>
      <w:r>
        <w:rPr>
          <w:rtl w:val="true"/>
        </w:rPr>
        <w:t>اشاره</w:t>
      </w:r>
      <w:bookmarkEnd w:id="1397"/>
    </w:p>
    <w:p>
      <w:pPr>
        <w:pStyle w:val="BookText"/>
        <w:rPr/>
      </w:pPr>
      <w:r>
        <w:rPr>
          <w:rFonts w:ascii="Amiri" w:hAnsi="Amiri" w:eastAsia="Amiri" w:cs="Amiri"/>
          <w:color w:val="111111"/>
          <w:sz w:val="28"/>
          <w:sz w:val="28"/>
          <w:szCs w:val="28"/>
          <w:rtl w:val="true"/>
          <w:lang w:bidi="ar-SA"/>
        </w:rPr>
        <w:t>عقد عاريه و شرايط معير</w:t>
      </w:r>
    </w:p>
    <w:p>
      <w:pPr>
        <w:pStyle w:val="BookText"/>
        <w:rPr/>
      </w:pPr>
      <w:r>
        <w:rPr>
          <w:rFonts w:ascii="Amiri" w:hAnsi="Amiri" w:eastAsia="Amiri" w:cs="Amiri"/>
          <w:color w:val="111111"/>
          <w:sz w:val="28"/>
          <w:sz w:val="28"/>
          <w:szCs w:val="28"/>
          <w:rtl w:val="true"/>
          <w:lang w:bidi="ar-SA"/>
        </w:rPr>
        <w:t>و مستعير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عاريه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8" w:name="pg10256_89573"/>
      <w:bookmarkStart w:id="1399" w:name="pg10256_89573"/>
      <w:bookmarkEnd w:id="1399"/>
    </w:p>
    <w:p>
      <w:pPr>
        <w:pStyle w:val="Heading3"/>
        <w:numPr>
          <w:ilvl w:val="2"/>
          <w:numId w:val="1"/>
        </w:numPr>
        <w:rPr/>
      </w:pPr>
      <w:bookmarkStart w:id="1400" w:name="pg10256_89573"/>
      <w:bookmarkStart w:id="1401" w:name="__RefHeading___Toc3598501_1067777946"/>
      <w:bookmarkStart w:id="1402" w:name="_Toc571"/>
      <w:bookmarkEnd w:id="1400"/>
      <w:bookmarkEnd w:id="1401"/>
      <w:r>
        <w:rPr>
          <w:rtl w:val="true"/>
        </w:rPr>
        <w:t>فصل اوّل عقد عاريه و شرايط معير و مستعير</w:t>
      </w:r>
      <w:bookmarkEnd w:id="1402"/>
    </w:p>
    <w:p>
      <w:pPr>
        <w:pStyle w:val="Heading4"/>
        <w:numPr>
          <w:ilvl w:val="3"/>
          <w:numId w:val="1"/>
        </w:numPr>
        <w:rPr/>
      </w:pPr>
      <w:bookmarkStart w:id="1403" w:name="__RefHeading___Toc3598503_1067777946"/>
      <w:bookmarkStart w:id="1404" w:name="_Toc572"/>
      <w:bookmarkEnd w:id="1403"/>
      <w:r>
        <w:rPr>
          <w:rtl w:val="true"/>
        </w:rPr>
        <w:t>تعريف عاريه</w:t>
      </w:r>
      <w:bookmarkEnd w:id="1404"/>
    </w:p>
    <w:p>
      <w:pPr>
        <w:pStyle w:val="BookText"/>
        <w:rPr/>
      </w:pPr>
      <w:r>
        <w:rPr>
          <w:rFonts w:ascii="IRNazanin" w:hAnsi="IRNazanin" w:eastAsia="IRNazanin"/>
          <w:color w:val="111111"/>
          <w:sz w:val="28"/>
          <w:sz w:val="28"/>
          <w:szCs w:val="28"/>
          <w:rtl w:val="true"/>
          <w:lang w:bidi="fa-IR"/>
        </w:rPr>
        <w:t xml:space="preserve">عقد عاريه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و قبول مثمر تبرّع به انتفاع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مى شود به دو لفظِ مرتبط به همديگر در قصد، و لفظ با فعل، و دو فعل به نحو معاطات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مجرّد اذن در انتفاع، يا انتفاع با اذن صريح يا مستفاد از فحوى يا شاهد حال، اباحه است نه عقد عاريه، و احكام عقدْ مرتّب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منعقد مى شود عاريه، به هر دالّى بر اذن در انتفاع تبرّعى به نحو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ضميمۀ قبول آن، چه آنكه هر دو لفظ يا فعل يا مختلف باشند به نحوى كه در معاطاتْ مذكور است</w:t>
      </w:r>
      <w:r>
        <w:rPr>
          <w:rFonts w:eastAsia="IRNazanin" w:cs="IRNazanin"/>
          <w:color w:val="111111"/>
          <w:sz w:val="28"/>
          <w:szCs w:val="28"/>
          <w:rtl w:val="true"/>
          <w:lang w:bidi="fa-IR"/>
        </w:rPr>
        <w:t>.</w:t>
      </w:r>
    </w:p>
    <w:p>
      <w:pPr>
        <w:pStyle w:val="Heading4"/>
        <w:numPr>
          <w:ilvl w:val="3"/>
          <w:numId w:val="1"/>
        </w:numPr>
        <w:rPr/>
      </w:pPr>
      <w:bookmarkStart w:id="1405" w:name="__RefHeading___Toc3598505_1067777946"/>
      <w:bookmarkStart w:id="1406" w:name="_Toc573"/>
      <w:bookmarkEnd w:id="1405"/>
      <w:r>
        <w:rPr>
          <w:rtl w:val="true"/>
        </w:rPr>
        <w:t>عدم لزوم عقد عاريه</w:t>
      </w:r>
      <w:bookmarkEnd w:id="140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عاريه جايز است و از هيچ طرفى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مواضع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اعاره براى رهن؛ و عاريۀ زمين براى دفن مسلم يا محكوم به اسلام؛ و عاريۀ لوح براى كشتى در مواضع كثرت آب دريا كه رجوع در آن، مستلزم تلف نفس يا مال محترم است؛ و عاريۀ ديوار براى وضع خشب بر آن، كه طرف ديگر در داخل ملك مستعير است و رجوعْ مستلزمِ هدم بناى محقَّق او است؛ و عاريۀ زمين براى زرع يا بنا يا غرس شجر در مدت معلومه كه رجوع در آن، مستلزم ضرر زارع يا بانى يا غارس </w:t>
      </w:r>
      <w:bookmarkStart w:id="1407" w:name="pg10256_89574"/>
    </w:p>
    <w:p>
      <w:pPr>
        <w:pStyle w:val="BookText"/>
        <w:rPr/>
      </w:pPr>
      <w:bookmarkEnd w:id="140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استثنايى نيست بلكه فسخ، مؤثّرِ در زوال عقد عاريه است، و رد عينْ ممنوع يا استردادْ ممنوع است فى الجمله چنانچه خواهد آمد؛ و لذا اگر به سببى بعد از فسخ، ميتْ قبر او نبش شد، طلب اعاده در خصوص آن مكان با امكان دفن در غير، مؤثر در وجوب اعاده نيست</w:t>
      </w:r>
      <w:r>
        <w:rPr>
          <w:rFonts w:eastAsia="IRNazanin" w:cs="IRNazanin"/>
          <w:color w:val="111111"/>
          <w:sz w:val="28"/>
          <w:szCs w:val="28"/>
          <w:rtl w:val="true"/>
          <w:lang w:bidi="fa-IR"/>
        </w:rPr>
        <w:t>.</w:t>
      </w:r>
    </w:p>
    <w:p>
      <w:pPr>
        <w:pStyle w:val="Heading4"/>
        <w:numPr>
          <w:ilvl w:val="3"/>
          <w:numId w:val="1"/>
        </w:numPr>
        <w:rPr/>
      </w:pPr>
      <w:bookmarkStart w:id="1408" w:name="__RefHeading___Toc3598507_1067777946"/>
      <w:bookmarkStart w:id="1409" w:name="_Toc574"/>
      <w:bookmarkEnd w:id="1408"/>
      <w:r>
        <w:rPr>
          <w:rtl w:val="true"/>
        </w:rPr>
        <w:t>شرايط مُعير</w:t>
      </w:r>
      <w:bookmarkEnd w:id="1409"/>
    </w:p>
    <w:p>
      <w:pPr>
        <w:pStyle w:val="BookText"/>
        <w:rPr/>
      </w:pPr>
      <w:r>
        <w:rPr>
          <w:rFonts w:ascii="IRNazanin" w:hAnsi="IRNazanin" w:eastAsia="IRNazanin"/>
          <w:color w:val="111111"/>
          <w:sz w:val="28"/>
          <w:sz w:val="28"/>
          <w:szCs w:val="28"/>
          <w:rtl w:val="true"/>
          <w:lang w:bidi="fa-IR"/>
        </w:rPr>
        <w:t>بايد معير، نافذ باشد تصرفات او در عاريه؛ پس اعارۀ صبىّ و مجنون و مفلَّس و سفيه،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صحّت اعارۀ صبىّ مميز مال خودش را با اذن ولى است، با رعايت مصلحت او در جزئيات از اموال بالنسبه به ساير اموال او، يا رعايت مصلحت، اگر چه در كليات اموال او باشد مثل احفظيّت يد مستعير از يد ولىّ در آن زمان و مكان، يا نافعيّت استعمال به عين 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تعدّى به مال غير است اگر چه صاحبِ مال و ولى، اذن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ساير عقود، مگر با كشف ايجاب و قبول از كاملها اگر چه فعلى با قراين باشد، مگر در مواردى كه مثل عاريه، سيرۀ قطعيه در آنها بر صحّت معامله با اذن باشد كه به آنها اشاره در محل خودش مى شود</w:t>
      </w:r>
      <w:r>
        <w:rPr>
          <w:rFonts w:eastAsia="IRNazanin" w:cs="IRNazanin"/>
          <w:color w:val="111111"/>
          <w:sz w:val="28"/>
          <w:szCs w:val="28"/>
          <w:rtl w:val="true"/>
          <w:lang w:bidi="fa-IR"/>
        </w:rPr>
        <w:t>.</w:t>
      </w:r>
    </w:p>
    <w:p>
      <w:pPr>
        <w:pStyle w:val="Heading4"/>
        <w:numPr>
          <w:ilvl w:val="3"/>
          <w:numId w:val="1"/>
        </w:numPr>
        <w:rPr/>
      </w:pPr>
      <w:bookmarkStart w:id="1410" w:name="__RefHeading___Toc3598509_1067777946"/>
      <w:bookmarkStart w:id="1411" w:name="_Toc575"/>
      <w:bookmarkEnd w:id="1410"/>
      <w:r>
        <w:rPr>
          <w:rtl w:val="true"/>
        </w:rPr>
        <w:t>شرايط مستعير</w:t>
      </w:r>
      <w:bookmarkEnd w:id="1411"/>
    </w:p>
    <w:p>
      <w:pPr>
        <w:pStyle w:val="Heading5"/>
        <w:numPr>
          <w:ilvl w:val="4"/>
          <w:numId w:val="1"/>
        </w:numPr>
        <w:rPr/>
      </w:pPr>
      <w:bookmarkStart w:id="1412" w:name="__RefHeading___Toc3598511_1067777946"/>
      <w:bookmarkStart w:id="1413" w:name="_Toc576"/>
      <w:bookmarkEnd w:id="1412"/>
      <w:r>
        <w:rPr>
          <w:rtl w:val="true"/>
        </w:rPr>
        <w:t>اشاره</w:t>
      </w:r>
      <w:bookmarkEnd w:id="1413"/>
    </w:p>
    <w:p>
      <w:pPr>
        <w:pStyle w:val="BookText"/>
        <w:rPr/>
      </w:pPr>
      <w:r>
        <w:rPr>
          <w:rFonts w:ascii="IRNazanin" w:hAnsi="IRNazanin" w:eastAsia="IRNazanin"/>
          <w:color w:val="111111"/>
          <w:sz w:val="28"/>
          <w:sz w:val="28"/>
          <w:szCs w:val="28"/>
          <w:rtl w:val="true"/>
          <w:lang w:bidi="fa-IR"/>
        </w:rPr>
        <w:t>مستعير هم بايد نافذ باشد تصرفات او به قبول عقد عاريه؛ پس استعارۀ صبىّ و مطلق غير كامل،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به استعارۀ صبىّ و مجنون، جارى است در آن، مذكور در استيداع آنها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معيَّن باشد اگر چه در ضمن محصورين باشد كه قبول آنها محرز بشود و ارتباطش با ايجاب معير در ترتّب حكم 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اعارۀ جماعتى از حاضرين با شرط مذكور صحيح است و جايز مى شود با آن، انتفاع هر كدام، مگر آنكه تصريح به لزوم </w:t>
      </w:r>
      <w:bookmarkStart w:id="1414" w:name="pg10256_89575"/>
    </w:p>
    <w:p>
      <w:pPr>
        <w:pStyle w:val="BookText"/>
        <w:rPr/>
      </w:pPr>
      <w:bookmarkEnd w:id="1414"/>
      <w:r>
        <w:rPr>
          <w:rFonts w:ascii="IRNazanin" w:hAnsi="IRNazanin" w:eastAsia="IRNazanin"/>
          <w:color w:val="111111"/>
          <w:sz w:val="28"/>
          <w:sz w:val="28"/>
          <w:szCs w:val="28"/>
          <w:rtl w:val="true"/>
          <w:lang w:bidi="fa-IR"/>
        </w:rPr>
        <w:t xml:space="preserve">اجتماع در انتفاع نمايد؛ چنانچه بيع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نسبت به دو نفر مثلاً، مستفاد از آن، شركت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اعاره به كلى نمود، يا جماعتى غير محصورين، يا بدون احراز شرط عقد عاريه، پس اظهر اندراج در اباحه است نه عقد عاريه</w:t>
      </w:r>
      <w:r>
        <w:rPr>
          <w:rFonts w:eastAsia="IRNazanin" w:cs="IRNazanin"/>
          <w:color w:val="111111"/>
          <w:sz w:val="28"/>
          <w:szCs w:val="28"/>
          <w:rtl w:val="true"/>
          <w:lang w:bidi="fa-IR"/>
        </w:rPr>
        <w:t>.</w:t>
      </w:r>
    </w:p>
    <w:p>
      <w:pPr>
        <w:pStyle w:val="Heading5"/>
        <w:numPr>
          <w:ilvl w:val="4"/>
          <w:numId w:val="1"/>
        </w:numPr>
        <w:rPr/>
      </w:pPr>
      <w:bookmarkStart w:id="1415" w:name="__RefHeading___Toc3598513_1067777946"/>
      <w:bookmarkStart w:id="1416" w:name="_Toc577"/>
      <w:bookmarkEnd w:id="1415"/>
      <w:r>
        <w:rPr>
          <w:rtl w:val="true"/>
        </w:rPr>
        <w:t>ميزان در انتفاع به عقد عاريه</w:t>
      </w:r>
      <w:bookmarkEnd w:id="1416"/>
    </w:p>
    <w:p>
      <w:pPr>
        <w:pStyle w:val="BookText"/>
        <w:rPr/>
      </w:pPr>
      <w:r>
        <w:rPr>
          <w:rFonts w:ascii="IRNazanin" w:hAnsi="IRNazanin" w:eastAsia="IRNazanin"/>
          <w:color w:val="111111"/>
          <w:sz w:val="28"/>
          <w:sz w:val="28"/>
          <w:szCs w:val="28"/>
          <w:rtl w:val="true"/>
          <w:lang w:bidi="fa-IR"/>
        </w:rPr>
        <w:t>و در انتفاعات، رعايت نوع مُعار و زمان آن و مكان آن مى شود، و از معتادِ مناسبِ هر نوع با خصوصيت زمان و مكان، تعدّى نمى شود؛ و از منافع ظاهرۀ هر نوعى تجاوز نمى شود مگر با قرينۀ بر 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تعدّد منافع و عدم امتياز و اختصاص و عدم قرينه بر تخصيص، همۀ آنها جايز است انتفاع به آنها با محافظت به عدم تعدّى از انتفاعات سائغه</w:t>
      </w:r>
      <w:r>
        <w:rPr>
          <w:rFonts w:eastAsia="IRNazanin" w:cs="IRNazanin"/>
          <w:color w:val="111111"/>
          <w:sz w:val="28"/>
          <w:szCs w:val="28"/>
          <w:rtl w:val="true"/>
          <w:lang w:bidi="fa-IR"/>
        </w:rPr>
        <w:t>.</w:t>
      </w:r>
    </w:p>
    <w:p>
      <w:pPr>
        <w:pStyle w:val="Heading5"/>
        <w:numPr>
          <w:ilvl w:val="4"/>
          <w:numId w:val="1"/>
        </w:numPr>
        <w:rPr/>
      </w:pPr>
      <w:bookmarkStart w:id="1417" w:name="__RefHeading___Toc3598515_1067777946"/>
      <w:bookmarkStart w:id="1418" w:name="_Toc578"/>
      <w:bookmarkEnd w:id="1417"/>
      <w:r>
        <w:rPr>
          <w:rtl w:val="true"/>
        </w:rPr>
        <w:t>صورت ضمان و عدم آن در عاريه</w:t>
      </w:r>
      <w:bookmarkEnd w:id="1418"/>
    </w:p>
    <w:p>
      <w:pPr>
        <w:pStyle w:val="BookText"/>
        <w:rPr/>
      </w:pPr>
      <w:r>
        <w:rPr>
          <w:rFonts w:ascii="IRNazanin" w:hAnsi="IRNazanin" w:eastAsia="IRNazanin"/>
          <w:color w:val="111111"/>
          <w:sz w:val="28"/>
          <w:sz w:val="28"/>
          <w:szCs w:val="28"/>
          <w:rtl w:val="true"/>
          <w:lang w:bidi="fa-IR"/>
        </w:rPr>
        <w:t>تلف عين و نقص آن، مضمون نيست اگر چه به سبب انتفاعات سائغۀ مباشريّه باشد در صورتى كه اشتراط ضمانِ آن عاريه، نشده باشد، و يا تفريطْ واقع نشده باشد كه متعقّب به تلف يا نقصان شده باشد به سبب آن تفريط كه انتفاعِ غيرِ معتاد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انتفاع به نحوى باشد كه مشمول اذن عمومى نباشد، مثل آنكه بعد از مشرف شدن به نقص يا تلف عين باشد، و وقت انتفاع به آن گذشته باشد و انتفاعْ اتلاف يا تنقيص فوق الاعتياد آن باشد، موجب ضمانِ نقص يا تلف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است نفى ضمان در اين گونه استعمالات، به تصريح به اذن و عدم اكتفا به دلالت محمولۀ بر اعتياد مناسب عين در زمان و مكان</w:t>
      </w:r>
      <w:r>
        <w:rPr>
          <w:rFonts w:eastAsia="IRNazanin" w:cs="IRNazanin"/>
          <w:color w:val="111111"/>
          <w:sz w:val="28"/>
          <w:szCs w:val="28"/>
          <w:rtl w:val="true"/>
          <w:lang w:bidi="fa-IR"/>
        </w:rPr>
        <w:t>.</w:t>
      </w:r>
    </w:p>
    <w:p>
      <w:pPr>
        <w:pStyle w:val="Heading5"/>
        <w:numPr>
          <w:ilvl w:val="4"/>
          <w:numId w:val="1"/>
        </w:numPr>
        <w:rPr/>
      </w:pPr>
      <w:bookmarkStart w:id="1419" w:name="__RefHeading___Toc3598517_1067777946"/>
      <w:bookmarkStart w:id="1420" w:name="_Toc579"/>
      <w:bookmarkEnd w:id="1419"/>
      <w:r>
        <w:rPr>
          <w:rtl w:val="true"/>
        </w:rPr>
        <w:t>اعتبار جواز تصرّف مستعير</w:t>
      </w:r>
      <w:bookmarkEnd w:id="14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استعارۀ چيزى كه وضع يد مستعير بر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مُحرِمْ از مُحلّ استعاره كرد صيد را، واجب است ارسال آن، و ضامن است براى مالكِ مُحلّ‌، </w:t>
      </w:r>
      <w:bookmarkStart w:id="1421" w:name="pg10256_89576"/>
    </w:p>
    <w:p>
      <w:pPr>
        <w:pStyle w:val="BookText"/>
        <w:rPr/>
      </w:pPr>
      <w:bookmarkEnd w:id="1421"/>
      <w:r>
        <w:rPr>
          <w:rFonts w:ascii="IRNazanin" w:hAnsi="IRNazanin" w:eastAsia="IRNazanin"/>
          <w:color w:val="111111"/>
          <w:sz w:val="28"/>
          <w:sz w:val="28"/>
          <w:szCs w:val="28"/>
          <w:rtl w:val="true"/>
          <w:lang w:bidi="fa-IR"/>
        </w:rPr>
        <w:t xml:space="preserve">قيمت آن را كه ارسال به حكم اتلاف آن است، اگر چه ضامنِ تلفِ بدون تفريط در چنين عاريه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صيدْ در يد مُحرِم بود پس استعاره نمود آن را مُحلّ‌، پس اعارهْ جايز و نافذ نيست و اخذ هم مستلزم ترك واجب بر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اخذ براى ارسال باشد، و لكن آخذْ ضامن نيست بنابر زوال ملكيّت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كلام در وجوب فداء بر مُحرِم به سبب ابقاى يدِ قبل از دفعِ به مُحلّ و با تلف آن در يد مُحلّ به غير ارسال، مذكور در كتاب حج است</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598519_1067777946"/>
      <w:bookmarkStart w:id="1423" w:name="_Toc580"/>
      <w:bookmarkEnd w:id="1422"/>
      <w:r>
        <w:rPr>
          <w:rtl w:val="true"/>
        </w:rPr>
        <w:t>استعارۀ از غاصب</w:t>
      </w:r>
      <w:bookmarkEnd w:id="1423"/>
    </w:p>
    <w:p>
      <w:pPr>
        <w:pStyle w:val="BookText"/>
        <w:rPr/>
      </w:pPr>
      <w:r>
        <w:rPr>
          <w:rFonts w:ascii="IRNazanin" w:hAnsi="IRNazanin" w:eastAsia="IRNazanin"/>
          <w:color w:val="111111"/>
          <w:sz w:val="28"/>
          <w:sz w:val="28"/>
          <w:szCs w:val="28"/>
          <w:rtl w:val="true"/>
          <w:lang w:bidi="fa-IR"/>
        </w:rPr>
        <w:t>اگر شخصى استعاره نمود مالى را از غاصب بدون علم به غصب، پس ضامن است منافع فائته و مستوفات عين تالفه در يد، يا آنكه آن را مستعيرْ اتلاف نموده باشد در حال جهل به غصب، و رجوع مى نمايد بعد از غرامتْ به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عالم به غصب بود، ضامن است استيفاى منفعت و تلف عين و تلف منفعت در يد و اتلاف عين را، و رجوع به غاصب نمى نمايد؛ بلكه اگر مالكْ رجوع به غاصب نمود، رجوع مى نمايد غاصب به صاحب يد يا متلِف</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غاصب، رجوع به او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رجوع مالك به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او، در مواردى كه مغرورِ غاصب نباشد به سبب اشتراط ضمان عاريه، يا آنكه موردْ ذهب و فضه باشد، يا آنكه مستعيرْ تعدّى و تفريط نموده باشد؛ به خلاف اتلاف منفعت و استيفاى آن با جهل، يا اتلاف عين اگر چه جاهل بوده به غصب، كه رجوع به مستعيرِ مغرور نمى نمايد اگر مالك رجوع به غاصب كرد در اوّل، و رجوع به مستعيرِ غيرِ مغرور مى نمايد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مستعير در صورتى كه تلف عين در يد او باشد اگر چه جاهل باشد مى نمايد بنابر آنكه قرار ضمان بر صاحب يدى كه تلف در آن واقع شده است، مى باشد؛ پس رجوع مى نمايد مرجوع عليه، به شخصى كه تلفْ در يد او واقع شده، يا آنكه مغرورِ آن شخص باشد</w:t>
      </w:r>
      <w:r>
        <w:rPr>
          <w:rFonts w:eastAsia="IRNazanin" w:cs="IRNazanin"/>
          <w:color w:val="111111"/>
          <w:sz w:val="28"/>
          <w:szCs w:val="28"/>
          <w:rtl w:val="true"/>
          <w:lang w:bidi="fa-IR"/>
        </w:rPr>
        <w:t xml:space="preserve">. </w:t>
      </w:r>
      <w:bookmarkStart w:id="1424" w:name="pg10256_89577"/>
    </w:p>
    <w:p>
      <w:pPr>
        <w:pStyle w:val="Heading4"/>
        <w:numPr>
          <w:ilvl w:val="3"/>
          <w:numId w:val="1"/>
        </w:numPr>
        <w:rPr/>
      </w:pPr>
      <w:bookmarkStart w:id="1425" w:name="__RefHeading___Toc3598521_1067777946"/>
      <w:bookmarkStart w:id="1426" w:name="_Toc581"/>
      <w:bookmarkEnd w:id="1424"/>
      <w:bookmarkEnd w:id="1425"/>
      <w:r>
        <w:rPr>
          <w:rtl w:val="true"/>
        </w:rPr>
        <w:t>در عين مستعاره است</w:t>
      </w:r>
      <w:bookmarkEnd w:id="1426"/>
    </w:p>
    <w:p>
      <w:pPr>
        <w:pStyle w:val="Heading5"/>
        <w:numPr>
          <w:ilvl w:val="4"/>
          <w:numId w:val="1"/>
        </w:numPr>
        <w:rPr/>
      </w:pPr>
      <w:bookmarkStart w:id="1427" w:name="__RefHeading___Toc3598523_1067777946"/>
      <w:bookmarkStart w:id="1428" w:name="_Toc582"/>
      <w:bookmarkEnd w:id="1427"/>
      <w:r>
        <w:rPr>
          <w:rtl w:val="true"/>
        </w:rPr>
        <w:t>اشاره</w:t>
      </w:r>
      <w:bookmarkEnd w:id="1428"/>
    </w:p>
    <w:p>
      <w:pPr>
        <w:pStyle w:val="BookText"/>
        <w:rPr/>
      </w:pPr>
      <w:r>
        <w:rPr>
          <w:rFonts w:ascii="IRNazanin" w:hAnsi="IRNazanin" w:eastAsia="IRNazanin"/>
          <w:color w:val="111111"/>
          <w:sz w:val="28"/>
          <w:sz w:val="28"/>
          <w:szCs w:val="28"/>
          <w:rtl w:val="true"/>
          <w:lang w:bidi="fa-IR"/>
        </w:rPr>
        <w:t xml:space="preserve">هر چيزى كه صحيح و حلال است انتفاع به آن با بقاى عين آن، صحيح است اعارۀ آن، مثل ثوب و دابّه و دراهم براى تزيين، و رهن؛ به خلاف خبز براى اكل؛ و اگر در مثل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به اعاره شد، مرجع آن اذن در اتلاف است؛ و اگر استفادۀ مجانيّت از قراين نشد، ضمان به اتلاف ثابت است نه تلفِ بدون تفريط</w:t>
      </w:r>
      <w:r>
        <w:rPr>
          <w:rFonts w:eastAsia="IRNazanin" w:cs="IRNazanin"/>
          <w:color w:val="111111"/>
          <w:sz w:val="28"/>
          <w:szCs w:val="28"/>
          <w:rtl w:val="true"/>
          <w:lang w:bidi="fa-IR"/>
        </w:rPr>
        <w:t>.</w:t>
      </w:r>
    </w:p>
    <w:p>
      <w:pPr>
        <w:pStyle w:val="Heading5"/>
        <w:numPr>
          <w:ilvl w:val="4"/>
          <w:numId w:val="1"/>
        </w:numPr>
        <w:rPr/>
      </w:pPr>
      <w:bookmarkStart w:id="1429" w:name="__RefHeading___Toc3598525_1067777946"/>
      <w:bookmarkStart w:id="1430" w:name="_Toc583"/>
      <w:bookmarkEnd w:id="1429"/>
      <w:r>
        <w:rPr>
          <w:rtl w:val="true"/>
        </w:rPr>
        <w:t>صحّت اعارۀ زمين و محدودۀ جواز تصرّف</w:t>
      </w:r>
      <w:bookmarkEnd w:id="1430"/>
    </w:p>
    <w:p>
      <w:pPr>
        <w:pStyle w:val="BookText"/>
        <w:rPr/>
      </w:pPr>
      <w:r>
        <w:rPr>
          <w:rFonts w:ascii="IRNazanin" w:hAnsi="IRNazanin" w:eastAsia="IRNazanin"/>
          <w:color w:val="111111"/>
          <w:sz w:val="28"/>
          <w:sz w:val="28"/>
          <w:szCs w:val="28"/>
          <w:rtl w:val="true"/>
          <w:lang w:bidi="fa-IR"/>
        </w:rPr>
        <w:t xml:space="preserve">صحيح است اعارۀ زمين براى زرع و غرس و بنا، و مستعير اقتصار بر مورد اذن مى نمايد مگر آنكه مفهوم شود از تعيين در عبارت در عقد عاريه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فحوىٰ يا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انتفاع؛ و مجرّد اخفّ بودن و اقليّت ضرر آن بر زمين، كافى نيست در جواز تعدّى از موردِ اذنِ صريح اگر چه عامّى باشد ظاهر در غير واحد از انتفاعات</w:t>
      </w:r>
      <w:r>
        <w:rPr>
          <w:rFonts w:eastAsia="IRNazanin" w:cs="IRNazanin"/>
          <w:color w:val="111111"/>
          <w:sz w:val="28"/>
          <w:szCs w:val="28"/>
          <w:rtl w:val="true"/>
          <w:lang w:bidi="fa-IR"/>
        </w:rPr>
        <w:t>.</w:t>
      </w:r>
    </w:p>
    <w:p>
      <w:pPr>
        <w:pStyle w:val="Heading5"/>
        <w:numPr>
          <w:ilvl w:val="4"/>
          <w:numId w:val="1"/>
        </w:numPr>
        <w:rPr/>
      </w:pPr>
      <w:bookmarkStart w:id="1431" w:name="__RefHeading___Toc3598527_1067777946"/>
      <w:bookmarkStart w:id="1432" w:name="_Toc584"/>
      <w:bookmarkEnd w:id="1431"/>
      <w:r>
        <w:rPr>
          <w:rtl w:val="true"/>
        </w:rPr>
        <w:t>محدودۀ ضمان در صورت تخطّى</w:t>
      </w:r>
      <w:bookmarkEnd w:id="1432"/>
    </w:p>
    <w:p>
      <w:pPr>
        <w:pStyle w:val="BookText"/>
        <w:rPr/>
      </w:pPr>
      <w:r>
        <w:rPr>
          <w:rFonts w:ascii="IRNazanin" w:hAnsi="IRNazanin" w:eastAsia="IRNazanin"/>
          <w:color w:val="111111"/>
          <w:sz w:val="28"/>
          <w:sz w:val="28"/>
          <w:szCs w:val="28"/>
          <w:rtl w:val="true"/>
          <w:lang w:bidi="fa-IR"/>
        </w:rPr>
        <w:t>و اگر مخالفت و تخطّى از مورد اذن نمود، پس اگر به زيادتى از مقدار اذن باشد، ضامن اجرت زايد است فقط، مثل اذن در حمل مقدارى بر دابّه با ازيد از آن قدر يا زرع مأذون با غير مأذون و ركوب مأذون با ارداف غير مأذون، وگرنه ضامن اجرت جميع است و اسقاط نمى شود آنچه مقابل اخفّ است مثل زراعت و غرس</w:t>
      </w:r>
      <w:r>
        <w:rPr>
          <w:rFonts w:eastAsia="IRNazanin" w:cs="IRNazanin"/>
          <w:color w:val="111111"/>
          <w:sz w:val="28"/>
          <w:szCs w:val="28"/>
          <w:rtl w:val="true"/>
          <w:lang w:bidi="fa-IR"/>
        </w:rPr>
        <w:t>.</w:t>
      </w:r>
    </w:p>
    <w:p>
      <w:pPr>
        <w:pStyle w:val="Heading5"/>
        <w:numPr>
          <w:ilvl w:val="4"/>
          <w:numId w:val="1"/>
        </w:numPr>
        <w:rPr/>
      </w:pPr>
      <w:bookmarkStart w:id="1433" w:name="__RefHeading___Toc3598529_1067777946"/>
      <w:bookmarkStart w:id="1434" w:name="_Toc585"/>
      <w:bookmarkEnd w:id="1433"/>
      <w:r>
        <w:rPr>
          <w:rtl w:val="true"/>
        </w:rPr>
        <w:t>استعارۀ حيوان</w:t>
      </w:r>
      <w:bookmarkEnd w:id="1434"/>
    </w:p>
    <w:p>
      <w:pPr>
        <w:pStyle w:val="BookText"/>
        <w:rPr/>
      </w:pPr>
      <w:r>
        <w:rPr>
          <w:rFonts w:ascii="Amiri" w:hAnsi="Amiri" w:eastAsia="Amiri" w:cs="Amiri"/>
          <w:color w:val="111111"/>
          <w:sz w:val="28"/>
          <w:sz w:val="28"/>
          <w:szCs w:val="28"/>
          <w:rtl w:val="true"/>
          <w:lang w:bidi="ar-SA"/>
        </w:rPr>
        <w:t>جايز است استعارۀ هر حيوانى كه داراى منفعت محلّله باشد، مثل فحل ضراب و كلب و سنّور، و عبد و امه براى خدمت حتى براى اجنبى، با كراهت و شدّت آن در شابّۀ جميله نسبت به غير محل وثاقت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استعاره شاة براى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و نافذ است؛ و هم چنين غير حلب از ساير منافع؛ و غير شاة، و ساير اعيانى كه منافع آنها ميوه و عين </w:t>
      </w:r>
      <w:bookmarkStart w:id="1435" w:name="pg10256_89578"/>
    </w:p>
    <w:p>
      <w:pPr>
        <w:pStyle w:val="BookText"/>
        <w:rPr/>
      </w:pPr>
      <w:bookmarkEnd w:id="1435"/>
      <w:r>
        <w:rPr>
          <w:rFonts w:ascii="IRNazanin" w:hAnsi="IRNazanin" w:eastAsia="IRNazanin"/>
          <w:color w:val="111111"/>
          <w:sz w:val="28"/>
          <w:sz w:val="28"/>
          <w:szCs w:val="28"/>
          <w:rtl w:val="true"/>
          <w:lang w:bidi="fa-IR"/>
        </w:rPr>
        <w:t>ديگرى است، عاريه و اجارۀ آنها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مملوك در اجاره و مستحَقّ در عاريۀ خاصّه، انتفاع خاص است و لازمۀ ملكيت آنها ملكيت عين خاصه است؛ پس اين عقدها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صلح بر منفعت مذكورۀ مستلزمۀ تمليك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امه، استباحه نمى شود به سبب عاريه؛ و كلام در استباحۀ آن با اباحه، در محل خود از نكاح،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استباحه در عاريۀ مطلقه و مقيّده، اختلاف آن، در عدم اذن بعد از وقت است به نفس عاريه در مقيّده، به خلاف مطلقه؛ و در هر دو جايز است رجوع قبل از مدت براى هركدام در آن و در هر عقد جايز</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3598531_1067777946"/>
      <w:bookmarkStart w:id="1437" w:name="_Toc586"/>
      <w:bookmarkEnd w:id="1436"/>
      <w:r>
        <w:rPr>
          <w:rtl w:val="true"/>
        </w:rPr>
        <w:t>استعارۀ زمين و اذن در استفاده و عدم آن</w:t>
      </w:r>
      <w:bookmarkEnd w:id="1437"/>
    </w:p>
    <w:p>
      <w:pPr>
        <w:pStyle w:val="BookText"/>
        <w:rPr/>
      </w:pPr>
      <w:r>
        <w:rPr>
          <w:rFonts w:ascii="IRNazanin" w:hAnsi="IRNazanin" w:eastAsia="IRNazanin"/>
          <w:color w:val="111111"/>
          <w:sz w:val="28"/>
          <w:sz w:val="28"/>
          <w:szCs w:val="28"/>
          <w:rtl w:val="true"/>
          <w:lang w:bidi="fa-IR"/>
        </w:rPr>
        <w:t xml:space="preserve">اگر استعارۀ زمين كرد براى زرع يا غرس، پس اگر استفادۀ اذن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اطلاق غير منصرف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هيچ حقى صاحب زرع و غرس ندارد مگر ملك زرع يا غرس، و وجوب ازاله بعد از رجوع جايز براى مالك اگر چه قبل از ادراك باشد، و وجوب اصلاح زمين اگر نقصى در آن بشود بعد از قلع، از قبيل حدوث حُفَر يا اجرت اصلاح بر مالك زرع و غرس؛ و اگر مأذون بوده پس عاريه صحيح است در وقتى كه تصريح به اذنْ عقلايى باشد و عاريه را سفهى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در هر وقت جايز است، و با رجوع قبل از ادراك، احوط تراضى است با مالك زمين به نحوى از دفع مالك قيمت زرع و غرس را، يا دفع زارع و غارس اجرت ابقا تا ادراك را، يا دفع مالكْ ارشِ مقلوع را بعد از ازاله به مستعير با رضاى طرفين در صورت عدم رضاى متضرّر از آن دو به ضرر مالى در اختيار عملى؛ و استحقاق يكى از اينها به نحو تعيين بدون اناطه به رضاى طرفين،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تعيّنِ دفعِ ارش شرعاً يا تعلّق تراضى به قلع با دفع ارش واقعى، پس ملاحظۀ تفاوت بين مقلوع و باقى به اجرت، خالى از وجه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عدم تفاوت بين موقّته و مطلقه بعد از رجوعِ معير است در اينكه با فهم اذن </w:t>
      </w:r>
      <w:bookmarkStart w:id="1438" w:name="pg10256_89579"/>
    </w:p>
    <w:p>
      <w:pPr>
        <w:pStyle w:val="BookText"/>
        <w:rPr/>
      </w:pPr>
      <w:bookmarkEnd w:id="1438"/>
      <w:r>
        <w:rPr>
          <w:rFonts w:ascii="IRNazanin" w:hAnsi="IRNazanin" w:eastAsia="IRNazanin"/>
          <w:color w:val="111111"/>
          <w:sz w:val="28"/>
          <w:sz w:val="28"/>
          <w:szCs w:val="28"/>
          <w:rtl w:val="true"/>
          <w:lang w:bidi="fa-IR"/>
        </w:rPr>
        <w:t xml:space="preserve">در زرع يا غرس با جواز عقد عاريه، لازمۀ اذن جز عدم تضرّرِ يكى از طرفين به ضررِ غير متدارك نيست، نه گذشتن معير از حق خودش و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اذن در غرس تا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تضرّر به ابقاى بلا اجرت، يا وقوع مستعير در تضرر به قلع مجّانى، به واسطۀ رجوع معير در عاريۀ مطلقه بعد از زمان رجوع، يا انتفاى عاريۀ موقّته بعد از وقت اگر چه قبل از ادراك زرع يا اثمار شجر باشد؛ پس در هر دو صورت، احتمال تعيّن ارش بعد از قلع بر معير يا ابقاى زرع و غرس با اجرت يا تملّك معير آنها را با قيمت، قائم است به نحوى كه گذشت</w:t>
      </w:r>
      <w:r>
        <w:rPr>
          <w:rFonts w:eastAsia="IRNazanin" w:cs="IRNazanin"/>
          <w:color w:val="111111"/>
          <w:sz w:val="28"/>
          <w:szCs w:val="28"/>
          <w:rtl w:val="true"/>
          <w:lang w:bidi="fa-IR"/>
        </w:rPr>
        <w:t>.</w:t>
      </w:r>
    </w:p>
    <w:p>
      <w:pPr>
        <w:pStyle w:val="Heading5"/>
        <w:numPr>
          <w:ilvl w:val="4"/>
          <w:numId w:val="1"/>
        </w:numPr>
        <w:rPr/>
      </w:pPr>
      <w:bookmarkStart w:id="1439" w:name="__RefHeading___Toc3598533_1067777946"/>
      <w:bookmarkStart w:id="1440" w:name="_Toc587"/>
      <w:bookmarkEnd w:id="1439"/>
      <w:r>
        <w:rPr>
          <w:rtl w:val="true"/>
        </w:rPr>
        <w:t>شرط قلع</w:t>
      </w:r>
      <w:bookmarkEnd w:id="1440"/>
    </w:p>
    <w:p>
      <w:pPr>
        <w:pStyle w:val="BookText"/>
        <w:rPr/>
      </w:pPr>
      <w:r>
        <w:rPr>
          <w:rFonts w:ascii="IRNazanin" w:hAnsi="IRNazanin" w:eastAsia="IRNazanin"/>
          <w:color w:val="111111"/>
          <w:sz w:val="28"/>
          <w:sz w:val="28"/>
          <w:szCs w:val="28"/>
          <w:rtl w:val="true"/>
          <w:lang w:bidi="fa-IR"/>
        </w:rPr>
        <w:t>و اگر شرطِ قلع بعد از مدت در موقّته، يا بعد از رجوع هر وقت بخواهد در مطلقه، نمايد پس مى تواند مطالبۀ قلع نمايد بعد از رجوع يا بعد از مدت بدون دفع 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ادراك به تأخير افتاد بدون اختيار، پس تا زمان ادراك، حكم قبل از مدت را دارد؛ و اگر به اختيار مستعير، به تأخير افتاد، پس حكم تجديد غرسِ بعد از مدت را دارد كه مأذون نبوده؛ چنانچه غرس بعد از رجوع در مطلقه مأذون نيست، و حكم آن گذشت</w:t>
      </w:r>
      <w:r>
        <w:rPr>
          <w:rFonts w:eastAsia="IRNazanin" w:cs="IRNazanin"/>
          <w:color w:val="111111"/>
          <w:sz w:val="28"/>
          <w:szCs w:val="28"/>
          <w:rtl w:val="true"/>
          <w:lang w:bidi="fa-IR"/>
        </w:rPr>
        <w:t>.</w:t>
      </w:r>
    </w:p>
    <w:p>
      <w:pPr>
        <w:pStyle w:val="Heading5"/>
        <w:numPr>
          <w:ilvl w:val="4"/>
          <w:numId w:val="1"/>
        </w:numPr>
        <w:rPr/>
      </w:pPr>
      <w:bookmarkStart w:id="1441" w:name="__RefHeading___Toc3598535_1067777946"/>
      <w:bookmarkStart w:id="1442" w:name="_Toc588"/>
      <w:bookmarkEnd w:id="1441"/>
      <w:r>
        <w:rPr>
          <w:rtl w:val="true"/>
        </w:rPr>
        <w:t>اعارۀ زمين براى دفن</w:t>
      </w:r>
      <w:bookmarkEnd w:id="144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زمينى را عاريه داد براى دفن مسلم يا محكوم به حكم آن، پس دفن نمود، جواز فسخ عاريه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لكن اجبار بر نبشْ جايز نيست قبل از ظهور اندراس به حسب حال زمين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جهتى ظاهر شد بدن، تجديد دفن، محتاج به اذن جديد است، بلكه حق اجاره دادن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پنهان نشده بوده است، اخراج آن، نبشِ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جايز شد براى مستعير اخراج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براى نقل به مشاهد باشد بنابر جواز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مطالبه، نبش جايز از مالك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نقل آن</w:t>
      </w:r>
      <w:r>
        <w:rPr>
          <w:rFonts w:eastAsia="IRNazanin" w:cs="IRNazanin"/>
          <w:color w:val="111111"/>
          <w:sz w:val="28"/>
          <w:szCs w:val="28"/>
          <w:rtl w:val="true"/>
          <w:lang w:bidi="fa-IR"/>
        </w:rPr>
        <w:t xml:space="preserve">. </w:t>
      </w:r>
      <w:bookmarkStart w:id="1443" w:name="pg10256_89580"/>
    </w:p>
    <w:p>
      <w:pPr>
        <w:pStyle w:val="Heading5"/>
        <w:numPr>
          <w:ilvl w:val="4"/>
          <w:numId w:val="1"/>
        </w:numPr>
        <w:rPr/>
      </w:pPr>
      <w:bookmarkStart w:id="1444" w:name="__RefHeading___Toc3598537_1067777946"/>
      <w:bookmarkStart w:id="1445" w:name="_Toc589"/>
      <w:bookmarkEnd w:id="1443"/>
      <w:bookmarkEnd w:id="1444"/>
      <w:r>
        <w:rPr>
          <w:rtl w:val="true"/>
        </w:rPr>
        <w:t>انتفاعات غير زراعى در زمين مستعار براى زرع و غرس</w:t>
      </w:r>
      <w:bookmarkEnd w:id="1445"/>
    </w:p>
    <w:p>
      <w:pPr>
        <w:pStyle w:val="BookText"/>
        <w:rPr/>
      </w:pPr>
      <w:r>
        <w:rPr>
          <w:rFonts w:ascii="IRNazanin" w:hAnsi="IRNazanin" w:eastAsia="IRNazanin"/>
          <w:color w:val="111111"/>
          <w:sz w:val="28"/>
          <w:sz w:val="28"/>
          <w:szCs w:val="28"/>
          <w:rtl w:val="true"/>
          <w:lang w:bidi="fa-IR"/>
        </w:rPr>
        <w:t>مستعيرِ زمين براى زرع و غرس، مى تواند داخل شود در آن زمين براى ساير انتفاعات معتاده اگر چه از واجبات زرع و غرس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جواز دخول معير در آن اگر مستلزم تصرّف غير جايز در ملك مستعير نباشد جايز است</w:t>
      </w:r>
      <w:r>
        <w:rPr>
          <w:rFonts w:eastAsia="IRNazanin" w:cs="IRNazanin"/>
          <w:color w:val="111111"/>
          <w:sz w:val="28"/>
          <w:szCs w:val="28"/>
          <w:rtl w:val="true"/>
          <w:lang w:bidi="fa-IR"/>
        </w:rPr>
        <w:t>.</w:t>
      </w:r>
    </w:p>
    <w:p>
      <w:pPr>
        <w:pStyle w:val="Heading5"/>
        <w:numPr>
          <w:ilvl w:val="4"/>
          <w:numId w:val="1"/>
        </w:numPr>
        <w:rPr/>
      </w:pPr>
      <w:bookmarkStart w:id="1446" w:name="__RefHeading___Toc3598539_1067777946"/>
      <w:bookmarkStart w:id="1447" w:name="_Toc590"/>
      <w:bookmarkEnd w:id="1446"/>
      <w:r>
        <w:rPr>
          <w:rtl w:val="true"/>
        </w:rPr>
        <w:t>اعارۀ ديوار و رجوع در آن</w:t>
      </w:r>
      <w:bookmarkEnd w:id="1447"/>
    </w:p>
    <w:p>
      <w:pPr>
        <w:pStyle w:val="BookText"/>
        <w:rPr/>
      </w:pPr>
      <w:r>
        <w:rPr>
          <w:rFonts w:ascii="IRNazanin" w:hAnsi="IRNazanin" w:eastAsia="IRNazanin"/>
          <w:color w:val="111111"/>
          <w:sz w:val="28"/>
          <w:sz w:val="28"/>
          <w:szCs w:val="28"/>
          <w:rtl w:val="true"/>
          <w:lang w:bidi="fa-IR"/>
        </w:rPr>
        <w:t xml:space="preserve">اگر اعاره نمود ديوار خودش را به همسايه براى وضع چوبها و آهنهاى بناى او روى ديوار معير، پس رجوع در عاريه نمود، منفسخ مى شود، لكن اظهر عدم جواز اجبار بر ازالۀ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دفع 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انتهاى ازاله به خرابى بناى مستعير؛ بلكه اذن در ابقاى آنها روى ملك معير، مفهوم از اعاره است در صورت عدم تصريح بخلاف؛ بلى مأذونْ اعم از مجانيّت ابقا است؛ پس استحقاق اجرت بعد از رجوع در عاريه، ثابت است مادام كه احتياج دارد بنابر تصرّف در ملك معير</w:t>
      </w:r>
      <w:r>
        <w:rPr>
          <w:rFonts w:eastAsia="IRNazanin" w:cs="IRNazanin"/>
          <w:color w:val="111111"/>
          <w:sz w:val="28"/>
          <w:szCs w:val="28"/>
          <w:rtl w:val="true"/>
          <w:lang w:bidi="fa-IR"/>
        </w:rPr>
        <w:t>.</w:t>
      </w:r>
    </w:p>
    <w:p>
      <w:pPr>
        <w:pStyle w:val="Heading5"/>
        <w:numPr>
          <w:ilvl w:val="4"/>
          <w:numId w:val="1"/>
        </w:numPr>
        <w:rPr/>
      </w:pPr>
      <w:bookmarkStart w:id="1448" w:name="__RefHeading___Toc3598541_1067777946"/>
      <w:bookmarkStart w:id="1449" w:name="_Toc591"/>
      <w:bookmarkEnd w:id="1448"/>
      <w:r>
        <w:rPr>
          <w:rtl w:val="true"/>
        </w:rPr>
        <w:t>اذن در غرس و انقلاع غير اختيارى</w:t>
      </w:r>
      <w:bookmarkEnd w:id="1449"/>
    </w:p>
    <w:p>
      <w:pPr>
        <w:pStyle w:val="BookText"/>
        <w:rPr/>
      </w:pPr>
      <w:r>
        <w:rPr>
          <w:rFonts w:ascii="IRNazanin" w:hAnsi="IRNazanin" w:eastAsia="IRNazanin"/>
          <w:color w:val="111111"/>
          <w:sz w:val="28"/>
          <w:sz w:val="28"/>
          <w:szCs w:val="28"/>
          <w:rtl w:val="true"/>
          <w:lang w:bidi="fa-IR"/>
        </w:rPr>
        <w:t>اگر اذن در غرس شجر يا زرع داد پس منقلع شد به سببى غير اختيارى، پس اگر به عنوان عاريۀ مطلقه يا موقّته قبل از خروج وقت باشد، مى تواند به جاى ديگرى غرس يا زرع نمايد؛ و اگر اذن محض است يا عاريه بعد از رسيدن وقت آن است، محتاج است به تجديد اذن، مگر اعادۀ منقلع كه اظهر كفايت اذن اوّل است مگر با قرينه بر خلاف</w:t>
      </w:r>
      <w:r>
        <w:rPr>
          <w:rFonts w:eastAsia="IRNazanin" w:cs="IRNazanin"/>
          <w:color w:val="111111"/>
          <w:sz w:val="28"/>
          <w:szCs w:val="28"/>
          <w:rtl w:val="true"/>
          <w:lang w:bidi="fa-IR"/>
        </w:rPr>
        <w:t>.</w:t>
      </w:r>
    </w:p>
    <w:p>
      <w:pPr>
        <w:pStyle w:val="Heading5"/>
        <w:numPr>
          <w:ilvl w:val="4"/>
          <w:numId w:val="1"/>
        </w:numPr>
        <w:rPr/>
      </w:pPr>
      <w:bookmarkStart w:id="1450" w:name="__RefHeading___Toc3598543_1067777946"/>
      <w:bookmarkStart w:id="1451" w:name="_Toc592"/>
      <w:bookmarkEnd w:id="1450"/>
      <w:r>
        <w:rPr>
          <w:rtl w:val="true"/>
        </w:rPr>
        <w:t>عدم لزوم استيفاى منافع مباشرتاً، و حكم اعارۀ عين يا اجارۀ آن به ديگرى</w:t>
      </w:r>
      <w:bookmarkEnd w:id="145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مستعير، استيفاى منافع به نحو مباشرت يا توكيل و استنابت، جايز است، و اعارۀ عين يا اجارۀ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معير اذن داد به مستعير در اعاره يا اجاره، پس اذن در فسخ اعارۀ اُولى و تجديد اعاره يا اجارۀ دوّم است، و مستعير وكيل مى شود در اعارۀ دوّم، و طرفِ مستعيرِ دوّم معير اوّل است؛ پس معتبر است در </w:t>
      </w:r>
      <w:bookmarkStart w:id="1452" w:name="pg10256_89581"/>
    </w:p>
    <w:p>
      <w:pPr>
        <w:pStyle w:val="BookText"/>
        <w:rPr/>
      </w:pPr>
      <w:bookmarkEnd w:id="1452"/>
      <w:r>
        <w:rPr>
          <w:rFonts w:ascii="IRNazanin" w:hAnsi="IRNazanin" w:eastAsia="IRNazanin"/>
          <w:color w:val="111111"/>
          <w:sz w:val="28"/>
          <w:sz w:val="28"/>
          <w:szCs w:val="28"/>
          <w:rtl w:val="true"/>
          <w:lang w:bidi="fa-IR"/>
        </w:rPr>
        <w:t>عاريۀ دوّم، آنچه معتبر است در وكيل در عقود؛ و صحّت اذن در اعاره براى نفس وكيل، مبنى بر صحّت توكيل در عقد بر چيزى براى وكيل است، نه از جانب موكّل و نه با تمليك وكيل، و آن مورد تأمل است</w:t>
      </w:r>
      <w:r>
        <w:rPr>
          <w:rFonts w:eastAsia="IRNazanin" w:cs="IRNazanin"/>
          <w:color w:val="111111"/>
          <w:sz w:val="28"/>
          <w:szCs w:val="28"/>
          <w:rtl w:val="true"/>
          <w:lang w:bidi="fa-IR"/>
        </w:rPr>
        <w:t>.</w:t>
      </w:r>
    </w:p>
    <w:p>
      <w:pPr>
        <w:pStyle w:val="Heading5"/>
        <w:numPr>
          <w:ilvl w:val="4"/>
          <w:numId w:val="1"/>
        </w:numPr>
        <w:rPr/>
      </w:pPr>
      <w:bookmarkStart w:id="1453" w:name="__RefHeading___Toc3598545_1067777946"/>
      <w:bookmarkStart w:id="1454" w:name="_Toc593"/>
      <w:bookmarkEnd w:id="1453"/>
      <w:r>
        <w:rPr>
          <w:rtl w:val="true"/>
        </w:rPr>
        <w:t>اعارۀ خانه و استفادۀ ديگران</w:t>
      </w:r>
      <w:bookmarkEnd w:id="1454"/>
    </w:p>
    <w:p>
      <w:pPr>
        <w:pStyle w:val="BookText"/>
        <w:rPr/>
      </w:pPr>
      <w:r>
        <w:rPr>
          <w:rFonts w:ascii="Amiri" w:hAnsi="Amiri" w:eastAsia="Amiri" w:cs="Amiri"/>
          <w:color w:val="111111"/>
          <w:sz w:val="28"/>
          <w:sz w:val="28"/>
          <w:szCs w:val="28"/>
          <w:rtl w:val="true"/>
          <w:lang w:bidi="ar-SA"/>
        </w:rPr>
        <w:t>و اعارۀ دار براى ادخال هر كه را كه مستعير بخواهد از عيال خودش، مرجع آن به يك عاريه است براى انتفاع به نفس و مضاف به او از كسانى كه انتفاع همۀ آنها انتفاع يك شخصْ محسوب و معدود است، نه عبارت از اعاره و اذن مستعير براى اعاره به اهل و آنكه بخواهد</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3598547_1067777946"/>
      <w:bookmarkStart w:id="1456" w:name="_Toc594"/>
      <w:bookmarkEnd w:id="1455"/>
      <w:r>
        <w:rPr>
          <w:rtl w:val="true"/>
        </w:rPr>
        <w:t>اعارۀ مستعير بدون اذن معير</w:t>
      </w:r>
      <w:bookmarkEnd w:id="14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اعارۀ مستعير بدون اذن از معير، احكام اعارۀ غاصب و استعاره از او و ضمان عين و منفعت نسبت به هر دو و رجوع به هر كدام و قرار ضمان در صورت تلف عين و استيفاى منفعت با غرور يا بدون آن، به تفصيلى است كه در اعارۀ غاصب گذشت</w:t>
      </w:r>
      <w:r>
        <w:rPr>
          <w:rFonts w:eastAsia="IRNazanin" w:cs="IRNazanin"/>
          <w:color w:val="111111"/>
          <w:sz w:val="28"/>
          <w:szCs w:val="28"/>
          <w:rtl w:val="true"/>
          <w:lang w:bidi="fa-IR"/>
        </w:rPr>
        <w:t>.</w:t>
      </w:r>
      <w:r>
        <w:rPr>
          <w:rStyle w:val="FootnoteAnchor"/>
          <w:rtl w:val="true"/>
        </w:rPr>
        <w:footnoteReference w:id="4"/>
      </w:r>
      <w:bookmarkStart w:id="1457" w:name="pg10256_89582"/>
    </w:p>
    <w:p>
      <w:pPr>
        <w:pStyle w:val="Heading3"/>
        <w:numPr>
          <w:ilvl w:val="2"/>
          <w:numId w:val="1"/>
        </w:numPr>
        <w:rPr/>
      </w:pPr>
      <w:bookmarkStart w:id="1458" w:name="__RefHeading___Toc3598549_1067777946"/>
      <w:bookmarkStart w:id="1459" w:name="_Toc595"/>
      <w:bookmarkEnd w:id="1457"/>
      <w:bookmarkEnd w:id="1458"/>
      <w:r>
        <w:rPr>
          <w:rtl w:val="true"/>
        </w:rPr>
        <w:t>فصل دوّم احكام عاريه</w:t>
      </w:r>
      <w:bookmarkEnd w:id="1459"/>
    </w:p>
    <w:p>
      <w:pPr>
        <w:pStyle w:val="Heading4"/>
        <w:numPr>
          <w:ilvl w:val="3"/>
          <w:numId w:val="1"/>
        </w:numPr>
        <w:rPr/>
      </w:pPr>
      <w:bookmarkStart w:id="1460" w:name="__RefHeading___Toc3598551_1067777946"/>
      <w:bookmarkStart w:id="1461" w:name="_Toc596"/>
      <w:bookmarkEnd w:id="1460"/>
      <w:r>
        <w:rPr>
          <w:rtl w:val="true"/>
        </w:rPr>
        <w:t>موارد ضمان در عاريه</w:t>
      </w:r>
      <w:bookmarkEnd w:id="1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عاريه، مضمون نيست تلف آن در يد مستعير، مگر با تعدّى، يا تفريط، يا اشتراط ضمان به تلف بدون آنها، يا تعلّق اعاره به ذهب يا فضه اگر چه غير دراهم و دنانير باشند بنابر اظهر؛ و اگر شرط نمود سقوط ضمان را در ذهب و فضه، ضمان منتفى است حتى اگر مشروطْ عدم ضمان با تعدّى و تفريط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رد نمود عاريه را به مالك يا وكيل يا ولى خاص يا عام او، برىء مى شود از ضمان آن، و اگر تفريط كرد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به حرز اگر چه ملك مالك باشد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يد او يا با اذن جديد او نباشد، موجب برائت از ضمان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استعاره كرد مركوبى را تا مسافت معيّنه پس از آن تجاوز كرد، ضامن عين و منفعت است در حال تجاوز، و اگر اعاده كرد به محلّ اولى، ضمان عين منتفى نمى شود اگر چه تلف آن در استعمال مأذون در محل مأذون سابق باشد، به خلاف منفعت در استعمال در محل اذن سابق كه مضمون نمى شود تا زمان بقاى اعاره و در استعمالات مأذونه در اعاره</w:t>
      </w:r>
      <w:r>
        <w:rPr>
          <w:rFonts w:eastAsia="IRNazanin" w:cs="IRNazanin"/>
          <w:color w:val="111111"/>
          <w:sz w:val="28"/>
          <w:szCs w:val="28"/>
          <w:rtl w:val="true"/>
          <w:lang w:bidi="fa-IR"/>
        </w:rPr>
        <w:t>.</w:t>
      </w:r>
    </w:p>
    <w:p>
      <w:pPr>
        <w:pStyle w:val="Heading4"/>
        <w:numPr>
          <w:ilvl w:val="3"/>
          <w:numId w:val="1"/>
        </w:numPr>
        <w:rPr/>
      </w:pPr>
      <w:bookmarkStart w:id="1462" w:name="__RefHeading___Toc3598553_1067777946"/>
      <w:bookmarkStart w:id="1463" w:name="_Toc597"/>
      <w:bookmarkEnd w:id="1462"/>
      <w:r>
        <w:rPr>
          <w:rtl w:val="true"/>
        </w:rPr>
        <w:t>بيع زمين مستعار و اشياى آن</w:t>
      </w:r>
      <w:bookmarkEnd w:id="14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براى مستعير، آنچه از اشجار و ابنيه و غير آنها در زمين عاريه دارد آنها</w:t>
      </w:r>
      <w:bookmarkStart w:id="1464" w:name="pg10256_89583"/>
    </w:p>
    <w:p>
      <w:pPr>
        <w:pStyle w:val="BookText"/>
        <w:rPr/>
      </w:pPr>
      <w:bookmarkEnd w:id="1464"/>
      <w:r>
        <w:rPr>
          <w:rFonts w:ascii="IRNazanin" w:hAnsi="IRNazanin" w:eastAsia="IRNazanin"/>
          <w:color w:val="111111"/>
          <w:sz w:val="28"/>
          <w:sz w:val="28"/>
          <w:szCs w:val="28"/>
          <w:rtl w:val="true"/>
          <w:lang w:bidi="fa-IR"/>
        </w:rPr>
        <w:t>را بفروشد، يا به نحوى منتقل نمايد به معير يا غير او؛ و هم چنين عكس آن كه معير به مستعير يا غير او بفروشد؛ و اگر خريدار نداند عدم استحقاق بقا را، خيار فسخ بيع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زمين و آنچه در آن است با هم فروخته شد، ملاحظه مى شود نسبت قيمت هر كدام با همه و توزيع مى شود ثمن بر آنها به همان نسبت</w:t>
      </w:r>
      <w:r>
        <w:rPr>
          <w:rFonts w:eastAsia="IRNazanin" w:cs="IRNazanin"/>
          <w:color w:val="111111"/>
          <w:sz w:val="28"/>
          <w:szCs w:val="28"/>
          <w:rtl w:val="true"/>
          <w:lang w:bidi="fa-IR"/>
        </w:rPr>
        <w:t>.</w:t>
      </w:r>
    </w:p>
    <w:p>
      <w:pPr>
        <w:pStyle w:val="Heading4"/>
        <w:numPr>
          <w:ilvl w:val="3"/>
          <w:numId w:val="1"/>
        </w:numPr>
        <w:rPr/>
      </w:pPr>
      <w:bookmarkStart w:id="1465" w:name="__RefHeading___Toc3598555_1067777946"/>
      <w:bookmarkStart w:id="1466" w:name="_Toc598"/>
      <w:bookmarkEnd w:id="1465"/>
      <w:r>
        <w:rPr>
          <w:rtl w:val="true"/>
        </w:rPr>
        <w:t>روييدن اتفاقى بذر در زمين ديگرى</w:t>
      </w:r>
      <w:bookmarkEnd w:id="1466"/>
    </w:p>
    <w:p>
      <w:pPr>
        <w:pStyle w:val="Heading5"/>
        <w:numPr>
          <w:ilvl w:val="4"/>
          <w:numId w:val="1"/>
        </w:numPr>
        <w:rPr/>
      </w:pPr>
      <w:bookmarkStart w:id="1467" w:name="__RefHeading___Toc3598557_1067777946"/>
      <w:bookmarkStart w:id="1468" w:name="_Toc599"/>
      <w:bookmarkEnd w:id="1467"/>
      <w:r>
        <w:rPr>
          <w:rtl w:val="true"/>
        </w:rPr>
        <w:t>اشاره</w:t>
      </w:r>
      <w:bookmarkEnd w:id="14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سيل يا هوا حَبّى را داخل در ملك شخص كرد و روييد در آنجا، پس در صورت معلوميّت اعراض مالك يا عدم تموّل آن، هيچ گونه تكليفى در ابقا يا ازاله براى مالك زمين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متموّل و باقى در ملك معيّن به واسطۀ عدم اعراض يا بذل مقبول باشد اگر چه معلوم در محصورين باشد، پس اگر خواست ازاله مى نمايد بعد از مراجعۀ به مالك و امتناع مالك از ازالۀ آن، و براى مالك ارشِ مقلوع يا آنچه ازاله شده نيست، و اظهر عدم اجرت زمين است براى مالك زمين راجع به اشغال و استيفاى منفعت زمين بدون اختيار مالك حبّ‌؛ و اگر مالك يكى يا چند نفر از غير محصورها باشد، حكم مجهول المالك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غير متموّل باشد و باقى در ملك معيّن يا محصورين باشد، مراجعه به مالك و ارجاع به او يا به محصورين مى شود، مگر با ظهور اعراض، چنانچه غالب است؛ و واجب نيست بر مالك زمين، انتظار رسيدن زرع اگر محل آن باقى است</w:t>
      </w:r>
      <w:r>
        <w:rPr>
          <w:rFonts w:eastAsia="IRNazanin" w:cs="IRNazanin"/>
          <w:color w:val="111111"/>
          <w:sz w:val="28"/>
          <w:szCs w:val="28"/>
          <w:rtl w:val="true"/>
          <w:lang w:bidi="fa-IR"/>
        </w:rPr>
        <w:t>.</w:t>
      </w:r>
    </w:p>
    <w:p>
      <w:pPr>
        <w:pStyle w:val="Heading5"/>
        <w:numPr>
          <w:ilvl w:val="4"/>
          <w:numId w:val="1"/>
        </w:numPr>
        <w:rPr/>
      </w:pPr>
      <w:bookmarkStart w:id="1469" w:name="__RefHeading___Toc3598559_1067777946"/>
      <w:bookmarkStart w:id="1470" w:name="_Toc600"/>
      <w:bookmarkEnd w:id="1469"/>
      <w:r>
        <w:rPr>
          <w:rtl w:val="true"/>
        </w:rPr>
        <w:t>ورود دابّه در ملك غير و توقف اخراج بر ضرر</w:t>
      </w:r>
      <w:bookmarkEnd w:id="147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مثل دابه كه بدون تفريطِ احدى، داخل ملك غير بشود، يا سر خود را در قِدرِ غير داخل نمايد و اخراجْ متوقف بر تخريب ملك غير باشد، احوط مصالحه به ملاحظۀ اكثر ضررين است</w:t>
      </w:r>
      <w:r>
        <w:rPr>
          <w:rFonts w:eastAsia="Amiri" w:cs="Amiri" w:ascii="Amiri" w:hAnsi="Amiri"/>
          <w:color w:val="111111"/>
          <w:sz w:val="28"/>
          <w:szCs w:val="28"/>
          <w:rtl w:val="true"/>
          <w:lang w:bidi="ar-SA"/>
        </w:rPr>
        <w:t xml:space="preserve">. </w:t>
      </w:r>
      <w:bookmarkStart w:id="1471" w:name="pg10256_89584"/>
    </w:p>
    <w:p>
      <w:pPr>
        <w:pStyle w:val="Heading4"/>
        <w:numPr>
          <w:ilvl w:val="3"/>
          <w:numId w:val="1"/>
        </w:numPr>
        <w:rPr/>
      </w:pPr>
      <w:bookmarkStart w:id="1472" w:name="__RefHeading___Toc3598561_1067777946"/>
      <w:bookmarkStart w:id="1473" w:name="_Toc601"/>
      <w:bookmarkEnd w:id="1471"/>
      <w:bookmarkEnd w:id="1472"/>
      <w:r>
        <w:rPr>
          <w:rtl w:val="true"/>
        </w:rPr>
        <w:t>حصول نقص يا تلف در عاريۀ مشروط به ضمان</w:t>
      </w:r>
      <w:bookmarkEnd w:id="1473"/>
    </w:p>
    <w:p>
      <w:pPr>
        <w:pStyle w:val="Heading5"/>
        <w:numPr>
          <w:ilvl w:val="4"/>
          <w:numId w:val="1"/>
        </w:numPr>
        <w:rPr/>
      </w:pPr>
      <w:bookmarkStart w:id="1474" w:name="__RefHeading___Toc3598563_1067777946"/>
      <w:bookmarkStart w:id="1475" w:name="_Toc602"/>
      <w:bookmarkEnd w:id="1474"/>
      <w:r>
        <w:rPr>
          <w:rtl w:val="true"/>
        </w:rPr>
        <w:t>اشاره</w:t>
      </w:r>
      <w:bookmarkEnd w:id="14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نقصى در عين عاريه كه شرط ضمان عين در آن شده بود حاصل باشد به سبب استعمال مأذون، پس از آن تلف شد، ضامن قيمت عين در روز تلف مى شود و ضامن نقص نيست، مگر با اشتراط ضمان عين بعد از تلف متأخّر از نقص به قيمت وقت اعاره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استعمالِ مأذون، مستلزم نقص قيمت باشد پس تأثير اشتراط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مرجع آن اشتراط ضمان انتفاع به عاريه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 و مقتضاى صحّت اشتراط ضمان در ذهب و فضه عدم منافات با مقتضاى عقد عاريه است و آنكه تبرّع، مقتضاى اطلاق عاريه است، نه مطلق آن؛ لكن كلام در رجوع شرط به ضمان انتفاع يا ضمان عين است، و اظهر اوّل است</w:t>
      </w:r>
      <w:r>
        <w:rPr>
          <w:rFonts w:eastAsia="IRNazanin" w:cs="IRNazanin"/>
          <w:color w:val="111111"/>
          <w:sz w:val="28"/>
          <w:szCs w:val="28"/>
          <w:rtl w:val="true"/>
          <w:lang w:bidi="fa-IR"/>
        </w:rPr>
        <w:t>.</w:t>
      </w:r>
    </w:p>
    <w:p>
      <w:pPr>
        <w:pStyle w:val="Heading5"/>
        <w:numPr>
          <w:ilvl w:val="4"/>
          <w:numId w:val="1"/>
        </w:numPr>
        <w:rPr/>
      </w:pPr>
      <w:bookmarkStart w:id="1476" w:name="__RefHeading___Toc3598565_1067777946"/>
      <w:bookmarkStart w:id="1477" w:name="_Toc603"/>
      <w:bookmarkEnd w:id="1476"/>
      <w:r>
        <w:rPr>
          <w:rtl w:val="true"/>
        </w:rPr>
        <w:t>مقدار ضمان در صورت تعدّى و تفريط</w:t>
      </w:r>
      <w:bookmarkEnd w:id="1477"/>
    </w:p>
    <w:p>
      <w:pPr>
        <w:pStyle w:val="BookText"/>
        <w:rPr/>
      </w:pPr>
      <w:r>
        <w:rPr>
          <w:rFonts w:ascii="IRNazanin" w:hAnsi="IRNazanin" w:eastAsia="IRNazanin"/>
          <w:color w:val="111111"/>
          <w:sz w:val="28"/>
          <w:sz w:val="28"/>
          <w:szCs w:val="28"/>
          <w:rtl w:val="true"/>
          <w:lang w:bidi="fa-IR"/>
        </w:rPr>
        <w:t>و تعدّى و تفريط موجب ضمان عين و اجزا و اوصاف آن است، و قيمت روز تعدّى، مورد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استعمالات مأذونۀ به عقد عاريه در سابق بر تعدّى و تفريط يا لاحق آنها، نه موجب ضمان و نه مانع و رافع ضمان حاصل به تعدّى و تفريط است نسبت به عين و منافع در حال تعدّى، به خلاف انتفاعات مأذونه كه موجب ضمان نيست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عاريه باقى است، چنانچه گذشت، و رافع ضمان عين و انتفاع در حال تعدّى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تدريجى به سبب استعمالاتِ موجب ضمان از ابتداى آن كه مقارن تعدّى است تا انتهاى زمان تعدّى، ملاحظه مى شود، و هم چنين انتفاعات مضمونه؛ و ممكن است اتحاد آنچه مضمون است از انتفاع و نقص اگر انتفاع مستلزم آن نقص باشد و غير قابل تفكيك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حاصل به اشتراط، تابع متعلّق اشتراط است در عموم و خصوص</w:t>
      </w:r>
      <w:r>
        <w:rPr>
          <w:rFonts w:eastAsia="IRNazanin" w:cs="IRNazanin"/>
          <w:color w:val="111111"/>
          <w:sz w:val="28"/>
          <w:szCs w:val="28"/>
          <w:rtl w:val="true"/>
          <w:lang w:bidi="fa-IR"/>
        </w:rPr>
        <w:t>.</w:t>
      </w:r>
    </w:p>
    <w:p>
      <w:pPr>
        <w:pStyle w:val="Heading4"/>
        <w:numPr>
          <w:ilvl w:val="3"/>
          <w:numId w:val="1"/>
        </w:numPr>
        <w:rPr/>
      </w:pPr>
      <w:bookmarkStart w:id="1478" w:name="__RefHeading___Toc3598567_1067777946"/>
      <w:bookmarkStart w:id="1479" w:name="_Toc604"/>
      <w:bookmarkEnd w:id="1478"/>
      <w:r>
        <w:rPr>
          <w:rtl w:val="true"/>
        </w:rPr>
        <w:t>اختلاف در اعاره و اجاره</w:t>
      </w:r>
      <w:bookmarkEnd w:id="1479"/>
    </w:p>
    <w:p>
      <w:pPr>
        <w:pStyle w:val="Heading5"/>
        <w:numPr>
          <w:ilvl w:val="4"/>
          <w:numId w:val="1"/>
        </w:numPr>
        <w:rPr/>
      </w:pPr>
      <w:bookmarkStart w:id="1480" w:name="__RefHeading___Toc3598569_1067777946"/>
      <w:bookmarkStart w:id="1481" w:name="_Toc605"/>
      <w:bookmarkEnd w:id="1480"/>
      <w:r>
        <w:rPr>
          <w:rtl w:val="true"/>
        </w:rPr>
        <w:t>اشاره</w:t>
      </w:r>
      <w:bookmarkEnd w:id="14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كردند مالك دابه و راكب آن در اعاره و اجاره، پس با تعلّق دعوى به</w:t>
      </w:r>
      <w:bookmarkStart w:id="1482" w:name="pg10256_89585"/>
    </w:p>
    <w:p>
      <w:pPr>
        <w:pStyle w:val="BookText"/>
        <w:rPr/>
      </w:pPr>
      <w:bookmarkEnd w:id="1482"/>
      <w:r>
        <w:rPr>
          <w:rFonts w:ascii="IRNazanin" w:hAnsi="IRNazanin" w:eastAsia="IRNazanin"/>
          <w:color w:val="111111"/>
          <w:sz w:val="28"/>
          <w:sz w:val="28"/>
          <w:szCs w:val="28"/>
          <w:rtl w:val="true"/>
          <w:lang w:bidi="fa-IR"/>
        </w:rPr>
        <w:t>اجرت المثل يا اعم از آن و اجرت مسماة در اجاره، قول مالك با يمين به نفى اعاره، مقدم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همين مختار است در اختلاف در هبه و عاريه يا وديعه، يا غصب و عاريه يا وديعه، يا غصب و عاريه يا وديعه، به دليل عام</w:t>
      </w:r>
      <w:r>
        <w:rPr>
          <w:rFonts w:eastAsia="IRNazanin" w:cs="IRNazanin"/>
          <w:color w:val="111111"/>
          <w:sz w:val="28"/>
          <w:szCs w:val="28"/>
          <w:rtl w:val="true"/>
          <w:lang w:bidi="fa-IR"/>
        </w:rPr>
        <w:t>.</w:t>
      </w:r>
    </w:p>
    <w:p>
      <w:pPr>
        <w:pStyle w:val="Heading5"/>
        <w:numPr>
          <w:ilvl w:val="4"/>
          <w:numId w:val="1"/>
        </w:numPr>
        <w:rPr/>
      </w:pPr>
      <w:bookmarkStart w:id="1483" w:name="__RefHeading___Toc3598571_1067777946"/>
      <w:bookmarkStart w:id="1484" w:name="_Toc606"/>
      <w:bookmarkEnd w:id="1483"/>
      <w:r>
        <w:rPr>
          <w:rtl w:val="true"/>
        </w:rPr>
        <w:t>اختلاف در خصوصيّت اعاره و اجاره</w:t>
      </w:r>
      <w:bookmarkEnd w:id="1484"/>
    </w:p>
    <w:p>
      <w:pPr>
        <w:pStyle w:val="BookText"/>
        <w:rPr/>
      </w:pPr>
      <w:r>
        <w:rPr>
          <w:rFonts w:ascii="IRNazanin" w:hAnsi="IRNazanin" w:eastAsia="IRNazanin"/>
          <w:color w:val="111111"/>
          <w:sz w:val="28"/>
          <w:sz w:val="28"/>
          <w:szCs w:val="28"/>
          <w:rtl w:val="true"/>
          <w:lang w:bidi="fa-IR"/>
        </w:rPr>
        <w:t>و اگر اختلاف، در خصوصيت اجاره و اعاره باشد، عمل به مقتضاى تداعى و تحالف مى شود، و بعد از سقوط هر دو دعوىٰ‌، متجه مى شود دعواى استحقاق اجرت المثل و گذشت حكم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زايد از اجرت المثل بر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منفى است به اعتراف؛ پس جايز نيست براى مالك، اخذ زيادتى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بين بقاى عين و تلف آن در اختلاف در منفعت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بوده و حكم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در صورت بقا، رد عين مى شود با اجرت مذكوره؛ و هم چنين بين وقوع نزاع در اثناى مدت اجارۀ محتمله يا بعد از آن، فرقى نيست؛ و ثابت در صورت اولى، اقل از قسط مسمّىٰ و اجرت المثل تا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جواز انتزاع مالكْ عين را در اثناى مدت اجارۀ محتمله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بلكه اظهر عدم جواز مطالبه براى مدّعى اجاره است، و عدم جواز امساك آن براى مدّعى عاريه است، چنانچه نظير آن در زايد بر مسمّى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تالف است، چيزى بر راكب نيست نسبت به امانت غير مضمونه در هر دو تقدير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عاريه مضمونه باشد، پس مالك كه مدّعى اجاره و منكر عاريه است، نمى تواند مطالبۀ بدل نمايد، و بر راكب اگر چه به حسب ادّعاى او، واجب است دفع بدل، لكن اظهر جواز مقاصّه است نسبت به اجرت مأخوذۀ منافع با عدم استحقاق آن به حسب دعواى راكب اگر انتفاع واخذ اجرت بوده باشد؛ و اگر زيادتى باشد در بدل عين، بنحوى ايصالِ آن به مالك بنمايد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اختلاف در اجاره و اعاره، قبل از انتفاع باشد، پس قول راكب با يمين او </w:t>
      </w:r>
      <w:bookmarkStart w:id="1485" w:name="pg10256_89586"/>
    </w:p>
    <w:p>
      <w:pPr>
        <w:pStyle w:val="BookText"/>
        <w:rPr/>
      </w:pPr>
      <w:bookmarkEnd w:id="1485"/>
      <w:r>
        <w:rPr>
          <w:rFonts w:ascii="IRNazanin" w:hAnsi="IRNazanin" w:eastAsia="IRNazanin"/>
          <w:color w:val="111111"/>
          <w:sz w:val="28"/>
          <w:sz w:val="28"/>
          <w:szCs w:val="28"/>
          <w:rtl w:val="true"/>
          <w:lang w:bidi="fa-IR"/>
        </w:rPr>
        <w:t>مقدم است در نفى عقد ملزم اجرت بعد 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صورت انتفاع، اختلاف بين مالك مدّعى عاريۀ مضمونه و راكبِ مدعىِ اجاره واقع شد بعد از تلف عين، پس با تساوى اجرت و قيمتْ‌، مالك مى گيرد آن را بدون يمين؛ وگرنه مى گيرد زيادتى قيمت عين را با يمين بنابر تقديم قول مالك</w:t>
      </w:r>
      <w:r>
        <w:rPr>
          <w:rFonts w:eastAsia="IRNazanin" w:cs="IRNazanin"/>
          <w:color w:val="111111"/>
          <w:sz w:val="28"/>
          <w:szCs w:val="28"/>
          <w:rtl w:val="true"/>
          <w:lang w:bidi="fa-IR"/>
        </w:rPr>
        <w:t>.</w:t>
      </w:r>
    </w:p>
    <w:p>
      <w:pPr>
        <w:pStyle w:val="Heading5"/>
        <w:numPr>
          <w:ilvl w:val="4"/>
          <w:numId w:val="1"/>
        </w:numPr>
        <w:rPr/>
      </w:pPr>
      <w:bookmarkStart w:id="1486" w:name="__RefHeading___Toc3598573_1067777946"/>
      <w:bookmarkStart w:id="1487" w:name="_Toc607"/>
      <w:bookmarkEnd w:id="1486"/>
      <w:r>
        <w:rPr>
          <w:rtl w:val="true"/>
        </w:rPr>
        <w:t>اختلاف در اشتراط ضمان در عاريه بعد از تلف</w:t>
      </w:r>
      <w:bookmarkEnd w:id="1487"/>
    </w:p>
    <w:p>
      <w:pPr>
        <w:pStyle w:val="BookText"/>
        <w:rPr/>
      </w:pPr>
      <w:r>
        <w:rPr>
          <w:rFonts w:ascii="IRNazanin" w:hAnsi="IRNazanin" w:eastAsia="IRNazanin"/>
          <w:color w:val="111111"/>
          <w:sz w:val="28"/>
          <w:sz w:val="28"/>
          <w:szCs w:val="28"/>
          <w:rtl w:val="true"/>
          <w:lang w:bidi="fa-IR"/>
        </w:rPr>
        <w:t>و اگر اختلاف در عاريه بعد از تلف، در اشتراط ضمان بود، اظهر تقديم قول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اختلاف بين اجاره و اعارۀ ذهب و فضه بعد از تلف، قول مالك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اختلاف قبل از تلف عين باشد مالك انتزاع مى نمايد آن را با يمين، و عوض منفعت مستوفاة را مطالبه نمى نمايد و مدّعى اجاره، امساك نمى نمايد با امتناع، بلكه به طريقى ديگر و به عنوانى ديگر، ايصال مى نمايد به مالك</w:t>
      </w:r>
      <w:r>
        <w:rPr>
          <w:rFonts w:eastAsia="IRNazanin" w:cs="IRNazanin"/>
          <w:color w:val="111111"/>
          <w:sz w:val="28"/>
          <w:szCs w:val="28"/>
          <w:rtl w:val="true"/>
          <w:lang w:bidi="fa-IR"/>
        </w:rPr>
        <w:t>.</w:t>
      </w:r>
    </w:p>
    <w:p>
      <w:pPr>
        <w:pStyle w:val="Heading4"/>
        <w:numPr>
          <w:ilvl w:val="3"/>
          <w:numId w:val="1"/>
        </w:numPr>
        <w:rPr/>
      </w:pPr>
      <w:bookmarkStart w:id="1488" w:name="__RefHeading___Toc3598575_1067777946"/>
      <w:bookmarkStart w:id="1489" w:name="_Toc608"/>
      <w:bookmarkEnd w:id="1488"/>
      <w:r>
        <w:rPr>
          <w:rtl w:val="true"/>
        </w:rPr>
        <w:t>ضمان در فرض انتفاع غير مأذون</w:t>
      </w:r>
      <w:bookmarkEnd w:id="148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استعاره نمود براى انتفاع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 خصوصيت آن در اعاره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منتفع شد به آن در غير آن منفعت، ضامن عين به سبب اين تعدّى مى شود، و ضامن منفعت مى شود تماماً، مگر آنكه اختلاف به زيادتى و نقيصه باشد كه در اين صورت ضامن تفاوت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فهميده شد از كلام در عقد اعاره عدم خصوصيت براى مذكور يا مطلقاً يا نسبت به نوعى خاص از انتفاعات اگر چه اقل نباشد ضرر آن بلكه مساوى باشد با مورد اذن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جحود كرد اعاره را، حكم استيمان زايل مى شود و ضامن مى شود عين را بعد از اثبات مالكْ اعاره را و هم چنين انتفاع بعد از جحود و مطالبه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ضامن است</w:t>
      </w:r>
      <w:r>
        <w:rPr>
          <w:rFonts w:eastAsia="IRNazanin" w:cs="IRNazanin"/>
          <w:color w:val="111111"/>
          <w:sz w:val="28"/>
          <w:szCs w:val="28"/>
          <w:rtl w:val="true"/>
          <w:lang w:bidi="fa-IR"/>
        </w:rPr>
        <w:t>].</w:t>
      </w:r>
    </w:p>
    <w:p>
      <w:pPr>
        <w:pStyle w:val="Heading4"/>
        <w:numPr>
          <w:ilvl w:val="3"/>
          <w:numId w:val="1"/>
        </w:numPr>
        <w:rPr/>
      </w:pPr>
      <w:bookmarkStart w:id="1490" w:name="__RefHeading___Toc3598577_1067777946"/>
      <w:bookmarkStart w:id="1491" w:name="_Toc609"/>
      <w:bookmarkEnd w:id="1490"/>
      <w:r>
        <w:rPr>
          <w:rtl w:val="true"/>
        </w:rPr>
        <w:t>تقدم قول مستعير در ادّعاى تلف و عدم تفريط و تعدّى</w:t>
      </w:r>
      <w:bookmarkEnd w:id="149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ادّعاى تلف عين مستعاره و ادّعاى عدم تفريط و تعدّى، قول مستعير مقدم است با يمين او و عدم بيّنه از معير؛ و در ادّعاى رد به مالك، قول مالكْ مقدم است با يمين او</w:t>
      </w:r>
      <w:r>
        <w:rPr>
          <w:rFonts w:eastAsia="Amiri" w:cs="Amiri" w:ascii="Amiri" w:hAnsi="Amiri"/>
          <w:color w:val="111111"/>
          <w:sz w:val="28"/>
          <w:szCs w:val="28"/>
          <w:rtl w:val="true"/>
          <w:lang w:bidi="ar-SA"/>
        </w:rPr>
        <w:t>.</w:t>
      </w:r>
      <w:bookmarkStart w:id="1492" w:name="pg10256_89587"/>
    </w:p>
    <w:p>
      <w:pPr>
        <w:pStyle w:val="Heading4"/>
        <w:numPr>
          <w:ilvl w:val="3"/>
          <w:numId w:val="1"/>
        </w:numPr>
        <w:rPr/>
      </w:pPr>
      <w:bookmarkStart w:id="1493" w:name="__RefHeading___Toc3598579_1067777946"/>
      <w:bookmarkStart w:id="1494" w:name="_Toc610"/>
      <w:bookmarkEnd w:id="1492"/>
      <w:bookmarkEnd w:id="1493"/>
      <w:r>
        <w:rPr>
          <w:rtl w:val="true"/>
        </w:rPr>
        <w:t>ضمان مثل يا قيمت در تعدّى و تفريط و اعتبار قيمت روز</w:t>
      </w:r>
      <w:bookmarkEnd w:id="149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تفريط يا تعدّى، تلف شد عين مستعاره، بر او است مثل آن، اگر از صاحب امثال است؛ و قيمت آن، اگر قيمى است؛ و عبرت به قيمت روز تلف است كه وقت فعليّت ضمان معلّق است نه روز تفريط يا اعلى القيم از آن وقت تا وقت تلف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قيمت به سبب نقص عين بعد از تفريط باشد، ضامن تفاوت ناقص و غير ناقص در روز تلف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در قيمت تالف يا تفاوت تلف ناقص و غير آن باشد، قول مستعير مقدم است با يمين او در نفى زيادتى و عدم بينۀ مالك</w:t>
      </w:r>
      <w:r>
        <w:rPr>
          <w:rFonts w:eastAsia="IRNazanin" w:cs="IRNazanin"/>
          <w:color w:val="111111"/>
          <w:sz w:val="28"/>
          <w:szCs w:val="28"/>
          <w:rtl w:val="true"/>
          <w:lang w:bidi="fa-IR"/>
        </w:rPr>
        <w:t>.</w:t>
      </w:r>
    </w:p>
    <w:p>
      <w:pPr>
        <w:pStyle w:val="Heading4"/>
        <w:numPr>
          <w:ilvl w:val="3"/>
          <w:numId w:val="1"/>
        </w:numPr>
        <w:rPr/>
      </w:pPr>
      <w:bookmarkStart w:id="1495" w:name="__RefHeading___Toc3598581_1067777946"/>
      <w:bookmarkStart w:id="1496" w:name="_Toc611"/>
      <w:bookmarkEnd w:id="1495"/>
      <w:r>
        <w:rPr>
          <w:rtl w:val="true"/>
        </w:rPr>
        <w:t>عوضيّت عاريه در قبال عاريه يا اشتراط آن در ضمن عقد عاريه</w:t>
      </w:r>
      <w:bookmarkEnd w:id="149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أعرتك حمارى لتُعيرنى فرسك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اقرب عدم صحّت اعاره است، به واسطۀ عدم تحقق قصد به تبرّع به انتفاع، اگر چه به عبارت عوضيّت نباشد و به عبارت شرطيت باشد اگر چه شرط لزوم آور نباشد به واسطۀ وقوع در ضمن عقد جايز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عقد عاريه، محقّق شد و تسليم شد، پس از آن در ضمن عقد لازم ديگرى اشتراط هبه يا عاريه به علّت سبق عاريه نه به عنوان معاوضه، واقع بشود، اظهر صحّت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عدم صحّت عاريه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عدم تحقق استيمان، به سبب شرط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استحقاق اجرت المثل انتفاعات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 الصلاة على سيد انبيائه و على سادة الاوصياء من عترته</w:t>
      </w:r>
    </w:p>
    <w:p>
      <w:pPr>
        <w:pStyle w:val="BookText"/>
        <w:rPr/>
      </w:pPr>
      <w:r>
        <w:rPr>
          <w:rFonts w:ascii="Amiri" w:hAnsi="Amiri" w:eastAsia="Amiri" w:cs="Amiri"/>
          <w:color w:val="111111"/>
          <w:sz w:val="28"/>
          <w:sz w:val="28"/>
          <w:szCs w:val="28"/>
          <w:rtl w:val="true"/>
          <w:lang w:bidi="ar-SA"/>
        </w:rPr>
        <w:t>بلغ المقام بعونه تعالى يوم الاربعاء لثمان خلون من ذى حجة الحرام</w:t>
      </w:r>
    </w:p>
    <w:p>
      <w:pPr>
        <w:pStyle w:val="BookText"/>
        <w:rPr/>
      </w:pPr>
      <w:r>
        <w:rPr>
          <w:rFonts w:ascii="Amiri" w:hAnsi="Amiri" w:eastAsia="Amiri" w:cs="Amiri"/>
          <w:color w:val="111111"/>
          <w:sz w:val="28"/>
          <w:sz w:val="28"/>
          <w:szCs w:val="28"/>
          <w:rtl w:val="true"/>
          <w:lang w:bidi="ar-SA"/>
        </w:rPr>
        <w:t>من سنة الف و واحد و أربعمائة بيد العبد الجانى محمد تقى بن</w:t>
      </w:r>
    </w:p>
    <w:p>
      <w:pPr>
        <w:pStyle w:val="BookText"/>
        <w:rPr/>
      </w:pPr>
      <w:r>
        <w:rPr>
          <w:rFonts w:ascii="Amiri" w:hAnsi="Amiri" w:eastAsia="Amiri" w:cs="Amiri"/>
          <w:color w:val="111111"/>
          <w:sz w:val="28"/>
          <w:sz w:val="28"/>
          <w:szCs w:val="28"/>
          <w:rtl w:val="true"/>
          <w:lang w:bidi="ar-SA"/>
        </w:rPr>
        <w:t>محمود الغروى الجيلانى في بلدة قم المقدسة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على مشرّفتها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7" w:name="pg10256_89589"/>
      <w:bookmarkStart w:id="1498" w:name="pg10256_89589"/>
      <w:bookmarkEnd w:id="1498"/>
    </w:p>
    <w:p>
      <w:pPr>
        <w:pStyle w:val="Heading2"/>
        <w:numPr>
          <w:ilvl w:val="1"/>
          <w:numId w:val="1"/>
        </w:numPr>
        <w:rPr/>
      </w:pPr>
      <w:bookmarkStart w:id="1499" w:name="pg10256_89589"/>
      <w:bookmarkStart w:id="1500" w:name="__RefHeading___Toc3598583_1067777946"/>
      <w:bookmarkStart w:id="1501" w:name="_Toc612"/>
      <w:bookmarkEnd w:id="1499"/>
      <w:bookmarkEnd w:id="1500"/>
      <w:r>
        <w:rPr>
          <w:rtl w:val="true"/>
        </w:rPr>
        <w:t>كتاب اجاره</w:t>
      </w:r>
      <w:bookmarkEnd w:id="1501"/>
    </w:p>
    <w:p>
      <w:pPr>
        <w:pStyle w:val="Heading3"/>
        <w:numPr>
          <w:ilvl w:val="2"/>
          <w:numId w:val="1"/>
        </w:numPr>
        <w:rPr/>
      </w:pPr>
      <w:bookmarkStart w:id="1502" w:name="__RefHeading___Toc3598585_1067777946"/>
      <w:bookmarkStart w:id="1503" w:name="_Toc613"/>
      <w:bookmarkEnd w:id="1502"/>
      <w:r>
        <w:rPr>
          <w:rtl w:val="true"/>
        </w:rPr>
        <w:t>اشاره</w:t>
      </w:r>
      <w:bookmarkEnd w:id="1503"/>
    </w:p>
    <w:p>
      <w:pPr>
        <w:pStyle w:val="BookText"/>
        <w:rPr/>
      </w:pPr>
      <w:r>
        <w:rPr>
          <w:rFonts w:ascii="IRNazanin" w:hAnsi="IRNazanin" w:eastAsia="IRNazanin"/>
          <w:color w:val="111111"/>
          <w:sz w:val="28"/>
          <w:sz w:val="28"/>
          <w:szCs w:val="28"/>
          <w:rtl w:val="true"/>
          <w:lang w:bidi="fa-IR"/>
        </w:rPr>
        <w:t>عقد اجاره</w:t>
      </w:r>
    </w:p>
    <w:p>
      <w:pPr>
        <w:pStyle w:val="BookText"/>
        <w:rPr/>
      </w:pPr>
      <w:r>
        <w:rPr>
          <w:rFonts w:ascii="Amiri" w:hAnsi="Amiri" w:eastAsia="Amiri" w:cs="Amiri"/>
          <w:color w:val="111111"/>
          <w:sz w:val="28"/>
          <w:sz w:val="28"/>
          <w:szCs w:val="28"/>
          <w:rtl w:val="true"/>
          <w:lang w:bidi="ar-SA"/>
        </w:rPr>
        <w:t>شرايط اجاره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اجاره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4" w:name="pg10256_89591"/>
      <w:bookmarkStart w:id="1505" w:name="pg10256_89591"/>
      <w:bookmarkEnd w:id="1505"/>
    </w:p>
    <w:p>
      <w:pPr>
        <w:pStyle w:val="Heading3"/>
        <w:numPr>
          <w:ilvl w:val="2"/>
          <w:numId w:val="1"/>
        </w:numPr>
        <w:rPr/>
      </w:pPr>
      <w:bookmarkStart w:id="1506" w:name="pg10256_89591"/>
      <w:bookmarkStart w:id="1507" w:name="__RefHeading___Toc3598587_1067777946"/>
      <w:bookmarkStart w:id="1508" w:name="_Toc614"/>
      <w:bookmarkEnd w:id="1506"/>
      <w:bookmarkEnd w:id="1507"/>
      <w:r>
        <w:rPr>
          <w:rtl w:val="true"/>
        </w:rPr>
        <w:t>فصل اوّل عقد اجاره</w:t>
      </w:r>
      <w:bookmarkEnd w:id="1508"/>
    </w:p>
    <w:p>
      <w:pPr>
        <w:pStyle w:val="Heading4"/>
        <w:numPr>
          <w:ilvl w:val="3"/>
          <w:numId w:val="1"/>
        </w:numPr>
        <w:rPr/>
      </w:pPr>
      <w:bookmarkStart w:id="1509" w:name="__RefHeading___Toc3598589_1067777946"/>
      <w:bookmarkStart w:id="1510" w:name="_Toc615"/>
      <w:bookmarkEnd w:id="1509"/>
      <w:r>
        <w:rPr>
          <w:rtl w:val="true"/>
        </w:rPr>
        <w:t>اشاره</w:t>
      </w:r>
      <w:bookmarkEnd w:id="1510"/>
    </w:p>
    <w:p>
      <w:pPr>
        <w:pStyle w:val="BookText"/>
        <w:rPr/>
      </w:pPr>
      <w:r>
        <w:rPr>
          <w:rFonts w:ascii="Amiri" w:hAnsi="Amiri" w:eastAsia="Amiri" w:cs="Amiri"/>
          <w:color w:val="111111"/>
          <w:sz w:val="28"/>
          <w:sz w:val="28"/>
          <w:szCs w:val="28"/>
          <w:rtl w:val="true"/>
          <w:lang w:bidi="ar-SA"/>
        </w:rPr>
        <w:t>فصل اوّل</w:t>
      </w:r>
      <w:r>
        <w:rPr>
          <w:rStyle w:val="FootnoteAnchor"/>
          <w:rtl w:val="true"/>
        </w:rPr>
        <w:footnoteReference w:id="5"/>
      </w:r>
      <w:r>
        <w:rPr>
          <w:rFonts w:ascii="IRNazanin" w:hAnsi="IRNazanin" w:eastAsia="IRNazanin"/>
          <w:color w:val="111111"/>
          <w:sz w:val="28"/>
          <w:sz w:val="28"/>
          <w:szCs w:val="28"/>
          <w:rtl w:val="true"/>
          <w:lang w:bidi="fa-IR"/>
        </w:rPr>
        <w:t>عقد اجاره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انبيائه محمد و عترته الطاهرين</w:t>
      </w:r>
    </w:p>
    <w:p>
      <w:pPr>
        <w:pStyle w:val="BookText"/>
        <w:rPr/>
      </w:pPr>
      <w:r>
        <w:rPr>
          <w:rFonts w:ascii="Amiri" w:hAnsi="Amiri" w:eastAsia="Amiri" w:cs="Amiri"/>
          <w:color w:val="111111"/>
          <w:sz w:val="28"/>
          <w:sz w:val="28"/>
          <w:szCs w:val="28"/>
          <w:rtl w:val="true"/>
          <w:lang w:bidi="ar-SA"/>
        </w:rPr>
        <w:t>و اللعن الدائم علىٰ اعدائهم اجمعين</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3598591_1067777946"/>
      <w:bookmarkStart w:id="1512" w:name="_Toc616"/>
      <w:bookmarkEnd w:id="1511"/>
      <w:r>
        <w:rPr>
          <w:rtl w:val="true"/>
        </w:rPr>
        <w:t>برخى از خصوصيات عقد اجاره</w:t>
      </w:r>
      <w:bookmarkEnd w:id="1512"/>
    </w:p>
    <w:p>
      <w:pPr>
        <w:pStyle w:val="BookText"/>
        <w:rPr/>
      </w:pPr>
      <w:r>
        <w:rPr>
          <w:rFonts w:ascii="IRNazanin" w:hAnsi="IRNazanin" w:eastAsia="IRNazanin"/>
          <w:color w:val="111111"/>
          <w:sz w:val="28"/>
          <w:sz w:val="28"/>
          <w:szCs w:val="28"/>
          <w:rtl w:val="true"/>
          <w:lang w:bidi="fa-IR"/>
        </w:rPr>
        <w:t>اجاره، مفترق است از بيع، به تعلّق تمليك در بيع به اعيان، مثل خانه و زمين، و تعلّق تمليك در اجاره به منفعت، يعنى خاصيت عين، مثل سكناى خانه و مزروع بودن زمين؛ پس عقد اجاره، دال بر تمليك منفعت به عوض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اجاره مثل بيع، محتاج به ايجاب و قبول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و ملّكتك 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جايز است بعض از خصوصيات لازمۀ در اجاره را با قراين، تفهيم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معاطات در آن مشروع است، مثل 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اجاره، لازم است و باطل نمى شود مگر با اقالۀ طرفين، يا يكى از اسباب فسخ</w:t>
      </w:r>
      <w:r>
        <w:rPr>
          <w:rFonts w:eastAsia="IRNazanin" w:cs="IRNazanin"/>
          <w:color w:val="111111"/>
          <w:sz w:val="28"/>
          <w:szCs w:val="28"/>
          <w:rtl w:val="true"/>
          <w:lang w:bidi="fa-IR"/>
        </w:rPr>
        <w:t>.</w:t>
      </w:r>
    </w:p>
    <w:p>
      <w:pPr>
        <w:pStyle w:val="Heading4"/>
        <w:numPr>
          <w:ilvl w:val="3"/>
          <w:numId w:val="1"/>
        </w:numPr>
        <w:rPr/>
      </w:pPr>
      <w:bookmarkStart w:id="1513" w:name="__RefHeading___Toc3598593_1067777946"/>
      <w:bookmarkStart w:id="1514" w:name="_Toc617"/>
      <w:bookmarkEnd w:id="1513"/>
      <w:r>
        <w:rPr>
          <w:rtl w:val="true"/>
        </w:rPr>
        <w:t>بيعِ عينِ متعلّق اجاره</w:t>
      </w:r>
      <w:bookmarkEnd w:id="151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سبب بيعِ عين، باطل نمى شود اجارۀ سابقه بر بيع؛ بلكه با جهل مشترى به اجاره، اختيار فسخ بيع دارد، به خلاف صورت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فسخِ مستأجر به </w:t>
      </w:r>
      <w:bookmarkStart w:id="1515" w:name="pg10256_89592"/>
    </w:p>
    <w:p>
      <w:pPr>
        <w:pStyle w:val="BookText"/>
        <w:rPr/>
      </w:pPr>
      <w:bookmarkEnd w:id="1515"/>
      <w:r>
        <w:rPr>
          <w:rFonts w:ascii="IRNazanin" w:hAnsi="IRNazanin" w:eastAsia="IRNazanin"/>
          <w:color w:val="111111"/>
          <w:sz w:val="28"/>
          <w:sz w:val="28"/>
          <w:szCs w:val="28"/>
          <w:rtl w:val="true"/>
          <w:lang w:bidi="fa-IR"/>
        </w:rPr>
        <w:t>يكى از اسباب آن، بر مى گردد ملك منفعت به بايع نه مشترى كه مالك عين مسلوبة المنفعه تا مدتى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مستأجر مشترى بشود براى هر كدام از دو معامله حكم آن است و بر او است اداى اجرت منفعت و ثمن عين؛ و اگر فسخ كرد اجاره را، بر مى گردد منفعت تا مدت اجاره به بايع نه مشترى، چنانچه گذشت</w:t>
      </w:r>
      <w:r>
        <w:rPr>
          <w:rFonts w:eastAsia="IRNazanin" w:cs="IRNazanin"/>
          <w:color w:val="111111"/>
          <w:sz w:val="28"/>
          <w:szCs w:val="28"/>
          <w:rtl w:val="true"/>
          <w:lang w:bidi="fa-IR"/>
        </w:rPr>
        <w:t>.</w:t>
      </w:r>
    </w:p>
    <w:p>
      <w:pPr>
        <w:pStyle w:val="Heading4"/>
        <w:numPr>
          <w:ilvl w:val="3"/>
          <w:numId w:val="1"/>
        </w:numPr>
        <w:rPr/>
      </w:pPr>
      <w:bookmarkStart w:id="1516" w:name="__RefHeading___Toc3598595_1067777946"/>
      <w:bookmarkStart w:id="1517" w:name="_Toc618"/>
      <w:bookmarkEnd w:id="1516"/>
      <w:r>
        <w:rPr>
          <w:rtl w:val="true"/>
        </w:rPr>
        <w:t>اناطۀ بقاى اجاره به امكان انتفاع مقصود فى الجمله</w:t>
      </w:r>
      <w:bookmarkEnd w:id="1517"/>
    </w:p>
    <w:p>
      <w:pPr>
        <w:pStyle w:val="BookText"/>
        <w:rPr/>
      </w:pPr>
      <w:r>
        <w:rPr>
          <w:rFonts w:ascii="IRNazanin" w:hAnsi="IRNazanin" w:eastAsia="IRNazanin"/>
          <w:color w:val="111111"/>
          <w:sz w:val="28"/>
          <w:sz w:val="28"/>
          <w:szCs w:val="28"/>
          <w:rtl w:val="true"/>
          <w:lang w:bidi="fa-IR"/>
        </w:rPr>
        <w:t>و باطل نمى شود اجاره با عذرِ مانع از كمالِ انتفاع مقصود؛ بلكه با عدم نقصان قيمت و با امكان انتفاع فى الجمله، مخيّر است مستأجر بين فسخ و امساك به تمام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مى شود به عذر مانع از انتفاع مترقّبِ مقصود، مثل زمين زراعت اگر غرق شود، كه در حكم تلف منفعت مورد اجاره است</w:t>
      </w:r>
      <w:r>
        <w:rPr>
          <w:rFonts w:eastAsia="IRNazanin" w:cs="IRNazanin"/>
          <w:color w:val="111111"/>
          <w:sz w:val="28"/>
          <w:szCs w:val="28"/>
          <w:rtl w:val="true"/>
          <w:lang w:bidi="fa-IR"/>
        </w:rPr>
        <w:t>.</w:t>
      </w:r>
    </w:p>
    <w:p>
      <w:pPr>
        <w:pStyle w:val="Heading4"/>
        <w:numPr>
          <w:ilvl w:val="3"/>
          <w:numId w:val="1"/>
        </w:numPr>
        <w:rPr/>
      </w:pPr>
      <w:bookmarkStart w:id="1518" w:name="__RefHeading___Toc3598597_1067777946"/>
      <w:bookmarkStart w:id="1519" w:name="_Toc619"/>
      <w:bookmarkEnd w:id="1518"/>
      <w:r>
        <w:rPr>
          <w:rtl w:val="true"/>
        </w:rPr>
        <w:t>موت موجر يا مستأجر</w:t>
      </w:r>
      <w:bookmarkEnd w:id="1519"/>
    </w:p>
    <w:p>
      <w:pPr>
        <w:pStyle w:val="BookText"/>
        <w:rPr/>
      </w:pPr>
      <w:r>
        <w:rPr>
          <w:rFonts w:ascii="IRNazanin" w:hAnsi="IRNazanin" w:eastAsia="IRNazanin"/>
          <w:color w:val="111111"/>
          <w:sz w:val="28"/>
          <w:sz w:val="28"/>
          <w:szCs w:val="28"/>
          <w:rtl w:val="true"/>
          <w:lang w:bidi="fa-IR"/>
        </w:rPr>
        <w:t>و باطل نمى شود بنابر اظهر به موت موجر يا مستأجر، مگر آنكه منفعت خاصه كه استيفا كنندۀ آن، شخص مستأجر باشد مورد تمليك به اجاره باشد كه با موت مستأجر اين منفعت، معدوم است؛ اما اگر به نحو تعدد مطلوب و مغايرت التزام اجارى با التزام شرطى، مشروط شد استيفا به نحو مباشرت شخص مستأجر، پس اظهر ثبوت خيار است براى موجر به موت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به موت طبقه اى از موقوف عليه اگر در اثناى مدت اجاره وفات كرد و منتقل به طبقۀ ديگر كه متلقّى از واقف مى باشند بشود باطل مى شود اجارۀ ميّت، و در بقيّۀ مدت محتاج به اجازۀ طبقۀ بعدى است، مگر آنكه اجاره اش ناظر باشد براى مصلحت همۀ بطون كه به موت بطن مالك فعلى باطل نمى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موصىٰ له به منفعتى تا مدت حيات او، اگر اجاره داد تا چند سال معيَّن و در اثنا، وفات نمود كه محتاج به اجازۀ مالك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اجير خاص كه عمل مباشرىِ خصوص او به اجاره تمليك شده است كه به موت او </w:t>
      </w:r>
      <w:bookmarkStart w:id="1520" w:name="pg10256_89593"/>
    </w:p>
    <w:p>
      <w:pPr>
        <w:pStyle w:val="BookText"/>
        <w:rPr/>
      </w:pPr>
      <w:bookmarkEnd w:id="1520"/>
      <w:r>
        <w:rPr>
          <w:rFonts w:ascii="Amiri" w:hAnsi="Amiri" w:eastAsia="Amiri" w:cs="Amiri"/>
          <w:color w:val="111111"/>
          <w:sz w:val="28"/>
          <w:sz w:val="28"/>
          <w:szCs w:val="28"/>
          <w:rtl w:val="true"/>
          <w:lang w:bidi="ar-SA"/>
        </w:rPr>
        <w:t>منفسخ مى شود اجاره، نه آنكه مباشرتْ شرط اجاره باشد كه خيار براى مستأجر ثابت است</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3598599_1067777946"/>
      <w:bookmarkStart w:id="1522" w:name="_Toc620"/>
      <w:bookmarkEnd w:id="1521"/>
      <w:r>
        <w:rPr>
          <w:rtl w:val="true"/>
        </w:rPr>
        <w:t>تشابه اجاره و اعاره</w:t>
      </w:r>
      <w:bookmarkEnd w:id="1522"/>
    </w:p>
    <w:p>
      <w:pPr>
        <w:pStyle w:val="BookText"/>
        <w:rPr/>
      </w:pPr>
      <w:r>
        <w:rPr>
          <w:rFonts w:ascii="IRNazanin" w:hAnsi="IRNazanin" w:eastAsia="IRNazanin"/>
          <w:color w:val="111111"/>
          <w:sz w:val="28"/>
          <w:sz w:val="28"/>
          <w:szCs w:val="28"/>
          <w:rtl w:val="true"/>
          <w:lang w:bidi="fa-IR"/>
        </w:rPr>
        <w:t>اجاره و اعاره، متقارب در مورد يا متوافق مى باشند، و هر چه اعارۀ آن صحيح است، اجارۀ آن نيز صحيح است به نحو غلبه يا عموم؛ مگر آنكه در اجاره، تمليكْ متعلِّق به منفعت است، يعنى خاصيت عين كه با آن استيفا، از قوه به فعليتْ خارج مى شود، مثل مسكنيّت خانه و مزروعيّت زمين و محلوبيت گوسفند؛ و در اعاره مأذون يا مستحَق عمل خارجى متعلِّق به آن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اينكه عمل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ذمّه است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اجاره است نه اعاره، عدم كلّيّت عكس ظاهر است، زيرا اجاره اعم است</w:t>
      </w:r>
      <w:r>
        <w:rPr>
          <w:rFonts w:eastAsia="IRNazanin" w:cs="IRNazanin"/>
          <w:color w:val="111111"/>
          <w:sz w:val="28"/>
          <w:szCs w:val="28"/>
          <w:rtl w:val="true"/>
          <w:lang w:bidi="fa-IR"/>
        </w:rPr>
        <w:t>.</w:t>
      </w:r>
    </w:p>
    <w:p>
      <w:pPr>
        <w:pStyle w:val="Heading4"/>
        <w:numPr>
          <w:ilvl w:val="3"/>
          <w:numId w:val="1"/>
        </w:numPr>
        <w:rPr/>
      </w:pPr>
      <w:bookmarkStart w:id="1523" w:name="__RefHeading___Toc3598601_1067777946"/>
      <w:bookmarkStart w:id="1524" w:name="_Toc621"/>
      <w:bookmarkEnd w:id="1523"/>
      <w:r>
        <w:rPr>
          <w:rtl w:val="true"/>
        </w:rPr>
        <w:t>اجارۀ مشاع</w:t>
      </w:r>
      <w:bookmarkEnd w:id="1524"/>
    </w:p>
    <w:p>
      <w:pPr>
        <w:pStyle w:val="BookText"/>
        <w:rPr/>
      </w:pPr>
      <w:r>
        <w:rPr>
          <w:rFonts w:ascii="Amiri" w:hAnsi="Amiri" w:eastAsia="Amiri" w:cs="Amiri"/>
          <w:color w:val="111111"/>
          <w:sz w:val="28"/>
          <w:sz w:val="28"/>
          <w:szCs w:val="28"/>
          <w:rtl w:val="true"/>
          <w:lang w:bidi="ar-SA"/>
        </w:rPr>
        <w:t>اجارۀ مشاع صحيح است؛ و اناطۀ جواز تصرّف به اذن شريك، ضرر به صحّت معاملات مشاع نمى رساند؛ و علم به اشاعه، معتبر در صحّت اجاره نيست، بلى در لزوم آن با تضرر و تعيب به شركت، معتبر است</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3598603_1067777946"/>
      <w:bookmarkStart w:id="1526" w:name="_Toc622"/>
      <w:bookmarkEnd w:id="1525"/>
      <w:r>
        <w:rPr>
          <w:rtl w:val="true"/>
        </w:rPr>
        <w:t>عدم ضمان در عين مستأجره مگر با تعدّى و تفريط و يا شرط ضمان</w:t>
      </w:r>
      <w:bookmarkEnd w:id="1526"/>
    </w:p>
    <w:p>
      <w:pPr>
        <w:pStyle w:val="BookText"/>
        <w:rPr/>
      </w:pPr>
      <w:r>
        <w:rPr>
          <w:rFonts w:ascii="Amiri" w:hAnsi="Amiri" w:eastAsia="Amiri" w:cs="Amiri"/>
          <w:color w:val="111111"/>
          <w:sz w:val="28"/>
          <w:sz w:val="28"/>
          <w:szCs w:val="28"/>
          <w:rtl w:val="true"/>
          <w:lang w:bidi="ar-SA"/>
        </w:rPr>
        <w:t xml:space="preserve">عين مستأجره امانت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نمى شود به غير تعدّى 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ادّعاى تلف و عدم تعدّى، مسموع است از مستأجر كه اتخاذ شده است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است در موارد شخصيه اى كه ظاهرْ تفريط و خروج از ائتمان باشد، مطالبۀ بيّنه از مدّعى عدم بشود و به مجرد حلف او اكتفا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ضمان عين مستأجره بدون تعدّى، رافع ائتمان است و مؤثّر است در ضمان با عدم احراز مالك عدم تعدّى صاحب يد را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 احراز عدم تعدّى، پس حال مستأجر با اين شرط، حال غاصب و جاهل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مستأجر است اجير اگر در يد او تلف شود مال مستأجر كه مورد عمل مستأجَر است بدون تفريط</w:t>
      </w:r>
      <w:r>
        <w:rPr>
          <w:rFonts w:eastAsia="IRNazanin" w:cs="IRNazanin"/>
          <w:color w:val="111111"/>
          <w:sz w:val="28"/>
          <w:szCs w:val="28"/>
          <w:rtl w:val="true"/>
          <w:lang w:bidi="fa-IR"/>
        </w:rPr>
        <w:t xml:space="preserve">. </w:t>
      </w:r>
      <w:bookmarkStart w:id="1527" w:name="pg10256_89594"/>
    </w:p>
    <w:p>
      <w:pPr>
        <w:pStyle w:val="Heading4"/>
        <w:numPr>
          <w:ilvl w:val="3"/>
          <w:numId w:val="1"/>
        </w:numPr>
        <w:rPr/>
      </w:pPr>
      <w:bookmarkStart w:id="1528" w:name="__RefHeading___Toc3598605_1067777946"/>
      <w:bookmarkStart w:id="1529" w:name="_Toc623"/>
      <w:bookmarkEnd w:id="1527"/>
      <w:bookmarkEnd w:id="1528"/>
      <w:r>
        <w:rPr>
          <w:rtl w:val="true"/>
        </w:rPr>
        <w:t>مسألۀ ضمان بعد از انقضاى مدّت اجاره</w:t>
      </w:r>
      <w:bookmarkEnd w:id="1529"/>
    </w:p>
    <w:p>
      <w:pPr>
        <w:pStyle w:val="BookText"/>
        <w:rPr/>
      </w:pPr>
      <w:r>
        <w:rPr>
          <w:rFonts w:ascii="IRNazanin" w:hAnsi="IRNazanin" w:eastAsia="IRNazanin"/>
          <w:color w:val="111111"/>
          <w:sz w:val="28"/>
          <w:sz w:val="28"/>
          <w:szCs w:val="28"/>
          <w:rtl w:val="true"/>
          <w:lang w:bidi="fa-IR"/>
        </w:rPr>
        <w:t xml:space="preserve">و بعد از انقضاى مدت اجاره، عين در يد مستأجرْ مضمون نيست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به وظيفۀ رد است كه مطلقا يا وقت مطالبه، واجب است؛ و اگر از وظيفه خارج بشود مثل امتناع از تخليه با مطالبه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متيقن از خروج از وظيفه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حال غير مؤتمن است</w:t>
      </w:r>
      <w:r>
        <w:rPr>
          <w:rFonts w:eastAsia="IRNazanin" w:cs="IRNazanin"/>
          <w:color w:val="111111"/>
          <w:sz w:val="28"/>
          <w:szCs w:val="28"/>
          <w:rtl w:val="true"/>
          <w:lang w:bidi="fa-IR"/>
        </w:rPr>
        <w:t>.</w:t>
      </w:r>
    </w:p>
    <w:p>
      <w:pPr>
        <w:pStyle w:val="Heading4"/>
        <w:numPr>
          <w:ilvl w:val="3"/>
          <w:numId w:val="1"/>
        </w:numPr>
        <w:rPr/>
      </w:pPr>
      <w:bookmarkStart w:id="1530" w:name="__RefHeading___Toc3598607_1067777946"/>
      <w:bookmarkStart w:id="1531" w:name="_Toc624"/>
      <w:bookmarkEnd w:id="1530"/>
      <w:r>
        <w:rPr>
          <w:rtl w:val="true"/>
        </w:rPr>
        <w:t>خيار در اجاره</w:t>
      </w:r>
      <w:bookmarkEnd w:id="153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خيار مجلس، در اجاره ثابت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خيارات كه دفع يا رفع ضرر مى نمايند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خيار رؤيت و عيب و غبن و اشتراط و تبعّض صفقه و تعذر تسليم و امثال 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خيار به حسب اشتراط براى يكى از مؤجر و مستأجر يا هر دو، مانعى ندارد</w:t>
      </w:r>
      <w:r>
        <w:rPr>
          <w:rFonts w:eastAsia="Amiri" w:cs="Amiri" w:ascii="Amiri" w:hAnsi="Amiri"/>
          <w:color w:val="111111"/>
          <w:sz w:val="28"/>
          <w:szCs w:val="28"/>
          <w:rtl w:val="true"/>
          <w:lang w:bidi="ar-SA"/>
        </w:rPr>
        <w:t xml:space="preserve">. </w:t>
      </w:r>
      <w:bookmarkStart w:id="1532" w:name="pg10256_89595"/>
    </w:p>
    <w:p>
      <w:pPr>
        <w:pStyle w:val="Heading3"/>
        <w:numPr>
          <w:ilvl w:val="2"/>
          <w:numId w:val="1"/>
        </w:numPr>
        <w:rPr/>
      </w:pPr>
      <w:bookmarkStart w:id="1533" w:name="__RefHeading___Toc3598609_1067777946"/>
      <w:bookmarkStart w:id="1534" w:name="_Toc625"/>
      <w:bookmarkEnd w:id="1532"/>
      <w:bookmarkEnd w:id="1533"/>
      <w:r>
        <w:rPr>
          <w:rtl w:val="true"/>
        </w:rPr>
        <w:t>فصل دوّم شرايط اجاره</w:t>
      </w:r>
      <w:bookmarkEnd w:id="1534"/>
    </w:p>
    <w:p>
      <w:pPr>
        <w:pStyle w:val="Heading4"/>
        <w:numPr>
          <w:ilvl w:val="3"/>
          <w:numId w:val="1"/>
        </w:numPr>
        <w:rPr/>
      </w:pPr>
      <w:bookmarkStart w:id="1535" w:name="__RefHeading___Toc3598611_1067777946"/>
      <w:bookmarkStart w:id="1536" w:name="_Toc626"/>
      <w:bookmarkEnd w:id="1535"/>
      <w:r>
        <w:rPr/>
        <w:t>1</w:t>
      </w:r>
      <w:r>
        <w:rPr>
          <w:rtl w:val="true"/>
        </w:rPr>
        <w:t xml:space="preserve">. </w:t>
      </w:r>
      <w:r>
        <w:rPr>
          <w:rtl w:val="true"/>
        </w:rPr>
        <w:t>كمال متعاقدين</w:t>
      </w:r>
      <w:bookmarkEnd w:id="1536"/>
    </w:p>
    <w:p>
      <w:pPr>
        <w:pStyle w:val="BookText"/>
        <w:rPr/>
      </w:pPr>
      <w:r>
        <w:rPr>
          <w:rFonts w:ascii="IRNazanin" w:hAnsi="IRNazanin" w:eastAsia="IRNazanin"/>
          <w:color w:val="111111"/>
          <w:sz w:val="28"/>
          <w:sz w:val="28"/>
          <w:szCs w:val="28"/>
          <w:rtl w:val="true"/>
          <w:lang w:bidi="fa-IR"/>
        </w:rPr>
        <w:t>بايد متعاقدين، كامل باشند يعنى عاقل و بالغ و مختار غير مكرَه باشند؛ و جايز التصرف باشند، پس محجورٌ عليه به سبب افلاس يا سفه و ساير اسباب حجر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اجارۀ مجنون، نافذ نمى شود اگر چه ولى اجازه بدهد، به واسطۀ عدم قصد صحيح در انشاى عقدى؛ و هم چنين صبىّ غير مميز، و اما مميّز پس اظهر صحّت عقد او است با اجازۀ ولى يا اجازۀ خودش بعد از كمال به بلوغ</w:t>
      </w:r>
      <w:r>
        <w:rPr>
          <w:rFonts w:eastAsia="IRNazanin" w:cs="IRNazanin"/>
          <w:color w:val="111111"/>
          <w:sz w:val="28"/>
          <w:szCs w:val="28"/>
          <w:rtl w:val="true"/>
          <w:lang w:bidi="fa-IR"/>
        </w:rPr>
        <w:t>.</w:t>
      </w:r>
    </w:p>
    <w:p>
      <w:pPr>
        <w:pStyle w:val="Heading4"/>
        <w:numPr>
          <w:ilvl w:val="3"/>
          <w:numId w:val="1"/>
        </w:numPr>
        <w:rPr/>
      </w:pPr>
      <w:bookmarkStart w:id="1537" w:name="__RefHeading___Toc3598613_1067777946"/>
      <w:bookmarkStart w:id="1538" w:name="_Toc627"/>
      <w:bookmarkEnd w:id="1537"/>
      <w:r>
        <w:rPr/>
        <w:t>2</w:t>
      </w:r>
      <w:r>
        <w:rPr>
          <w:rtl w:val="true"/>
        </w:rPr>
        <w:t xml:space="preserve">. </w:t>
      </w:r>
      <w:r>
        <w:rPr>
          <w:rtl w:val="true"/>
        </w:rPr>
        <w:t>معلوم بودن اجرت</w:t>
      </w:r>
      <w:bookmarkEnd w:id="1538"/>
    </w:p>
    <w:p>
      <w:pPr>
        <w:pStyle w:val="Heading5"/>
        <w:numPr>
          <w:ilvl w:val="4"/>
          <w:numId w:val="1"/>
        </w:numPr>
        <w:rPr/>
      </w:pPr>
      <w:bookmarkStart w:id="1539" w:name="__RefHeading___Toc3598615_1067777946"/>
      <w:bookmarkStart w:id="1540" w:name="_Toc628"/>
      <w:bookmarkEnd w:id="1539"/>
      <w:r>
        <w:rPr>
          <w:rtl w:val="true"/>
        </w:rPr>
        <w:t>اشاره</w:t>
      </w:r>
      <w:bookmarkEnd w:id="1540"/>
    </w:p>
    <w:p>
      <w:pPr>
        <w:pStyle w:val="BookText"/>
        <w:rPr/>
      </w:pPr>
      <w:r>
        <w:rPr>
          <w:rFonts w:ascii="Amiri" w:hAnsi="Amiri" w:eastAsia="Amiri" w:cs="Amiri"/>
          <w:color w:val="111111"/>
          <w:sz w:val="28"/>
          <w:sz w:val="28"/>
          <w:szCs w:val="28"/>
          <w:rtl w:val="true"/>
          <w:lang w:bidi="ar-SA"/>
        </w:rPr>
        <w:t>و بايد اجرتْ معلوم باشد به سببى كه رافع جهالت و غرر باشد، مثل كيل و وزن در مكيل و موزون، و عدّ در معدود، و مطلق مشاهده در امورى كه عرفاً رافع غرر و مخاطره باشد</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3598617_1067777946"/>
      <w:bookmarkStart w:id="1542" w:name="_Toc629"/>
      <w:bookmarkEnd w:id="1541"/>
      <w:r>
        <w:rPr>
          <w:rtl w:val="true"/>
        </w:rPr>
        <w:t>تملّك اجرت به نفس عقد اجاره</w:t>
      </w:r>
      <w:bookmarkEnd w:id="154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اجرت به نفس عقد اجارۀ صحيحه، مملوك مؤجر مى شود اگر چه واجب نيست تسليم آن مگر بعد از تسليم عوض آن به تسليم عين يا عمل؛ پس اگر مستأجرْ وصى باشد، نمى تواند تسليم نمايد اجرت را مگر با اذن مفهوم از كلام موصى</w:t>
      </w:r>
      <w:r>
        <w:rPr>
          <w:rFonts w:eastAsia="IRNazanin" w:cs="IRNazanin"/>
          <w:color w:val="111111"/>
          <w:sz w:val="28"/>
          <w:szCs w:val="28"/>
          <w:rtl w:val="true"/>
          <w:lang w:bidi="fa-IR"/>
        </w:rPr>
        <w:t xml:space="preserve">. </w:t>
      </w:r>
      <w:bookmarkStart w:id="1543" w:name="pg10256_89596"/>
    </w:p>
    <w:p>
      <w:pPr>
        <w:pStyle w:val="Heading5"/>
        <w:numPr>
          <w:ilvl w:val="4"/>
          <w:numId w:val="1"/>
        </w:numPr>
        <w:rPr/>
      </w:pPr>
      <w:bookmarkStart w:id="1544" w:name="__RefHeading___Toc3598619_1067777946"/>
      <w:bookmarkStart w:id="1545" w:name="_Toc630"/>
      <w:bookmarkEnd w:id="1543"/>
      <w:bookmarkEnd w:id="1544"/>
      <w:r>
        <w:rPr>
          <w:rtl w:val="true"/>
        </w:rPr>
        <w:t>فرض توقف عمل بر تقديم اداى اجرت</w:t>
      </w:r>
      <w:bookmarkEnd w:id="1545"/>
    </w:p>
    <w:p>
      <w:pPr>
        <w:pStyle w:val="BookText"/>
        <w:rPr/>
      </w:pPr>
      <w:r>
        <w:rPr>
          <w:rFonts w:ascii="IRNazanin" w:hAnsi="IRNazanin" w:eastAsia="IRNazanin"/>
          <w:color w:val="111111"/>
          <w:sz w:val="28"/>
          <w:sz w:val="28"/>
          <w:szCs w:val="28"/>
          <w:rtl w:val="true"/>
          <w:lang w:bidi="fa-IR"/>
        </w:rPr>
        <w:t>و اگر عمل متوقف بر تقديم اداى اجرت باشد، مثل حج، پس مى تواند اجبار نمايد بعد از عقد، مستأجر را بر ادا اگر امتناع نمود؛ و اگر نتوانست اجبار نمايد، مى تواند اجير فسخ اجاره نمايد</w:t>
      </w:r>
      <w:r>
        <w:rPr>
          <w:rFonts w:eastAsia="IRNazanin" w:cs="IRNazanin"/>
          <w:color w:val="111111"/>
          <w:sz w:val="28"/>
          <w:szCs w:val="28"/>
          <w:rtl w:val="true"/>
          <w:lang w:bidi="fa-IR"/>
        </w:rPr>
        <w:t>.</w:t>
      </w:r>
    </w:p>
    <w:p>
      <w:pPr>
        <w:pStyle w:val="Heading5"/>
        <w:numPr>
          <w:ilvl w:val="4"/>
          <w:numId w:val="1"/>
        </w:numPr>
        <w:rPr/>
      </w:pPr>
      <w:bookmarkStart w:id="1546" w:name="__RefHeading___Toc3598621_1067777946"/>
      <w:bookmarkStart w:id="1547" w:name="_Toc631"/>
      <w:bookmarkEnd w:id="1546"/>
      <w:r>
        <w:rPr>
          <w:rtl w:val="true"/>
        </w:rPr>
        <w:t>لزوم تعجيل اداى اجرت به نحو متعارف در غير موارد مشروط به تأجيل</w:t>
      </w:r>
      <w:bookmarkEnd w:id="1547"/>
    </w:p>
    <w:p>
      <w:pPr>
        <w:pStyle w:val="BookText"/>
        <w:rPr/>
      </w:pPr>
      <w:r>
        <w:rPr>
          <w:rFonts w:ascii="Amiri" w:hAnsi="Amiri" w:eastAsia="Amiri" w:cs="Amiri"/>
          <w:color w:val="111111"/>
          <w:sz w:val="28"/>
          <w:sz w:val="28"/>
          <w:szCs w:val="28"/>
          <w:rtl w:val="true"/>
          <w:lang w:bidi="ar-SA"/>
        </w:rPr>
        <w:t>و تعجيل اداى اجرت به نحو متعارف، لازم است بعد از اتمام عمل يا استيفاى منفعت با اطلاق يا اشتراط 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تأجيل تا وقت معيّنى يا اداى آن به تقسيط در اوقات متعدّدۀ معلومه، صحيح است</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3598623_1067777946"/>
      <w:bookmarkStart w:id="1549" w:name="_Toc632"/>
      <w:bookmarkEnd w:id="1548"/>
      <w:r>
        <w:rPr>
          <w:rtl w:val="true"/>
        </w:rPr>
        <w:t>علم موجر به عيب سابق بر قبض در اُجرت</w:t>
      </w:r>
      <w:bookmarkEnd w:id="1549"/>
    </w:p>
    <w:p>
      <w:pPr>
        <w:pStyle w:val="BookText"/>
        <w:rPr/>
      </w:pPr>
      <w:r>
        <w:rPr>
          <w:rFonts w:ascii="IRNazanin" w:hAnsi="IRNazanin" w:eastAsia="IRNazanin"/>
          <w:color w:val="111111"/>
          <w:sz w:val="28"/>
          <w:sz w:val="28"/>
          <w:szCs w:val="28"/>
          <w:rtl w:val="true"/>
          <w:lang w:bidi="fa-IR"/>
        </w:rPr>
        <w:t>اگر موجر عالم شد به عيب سابق بر قبض در موقع لازم در اجرت، مى تواند فسخ نمايد عقد اجاره را اگر متضرّر است بر صبر بر آن اگر چه ضرر مالى به نقص مالى نباشد در صورتى كه عين شخصيّه اجرت قرار داده شود؛ بلكه استحقاق ارش را در صورت اختيار امساك، خالى از وجه نيست، بنابر آنكه ثبوت آن در خيار عيب در مبيع، بر طبق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كلى مورد عقد بود، حق مطالبۀ بدل دارد؛ و در صورت تعذّر ابدال، مى تواند فسخ نمايد عقد را اگر متضرّر است به تأخير ابدال يا ممكن نباشد اصل ابدال اجرت مقبوضه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اجرت منفعت عينى باشد، پس حكم آن در نقص و تعيّب عين مستأجره، مذكور مى شود ان شاء اللّٰه تعالى</w:t>
      </w:r>
      <w:r>
        <w:rPr>
          <w:rFonts w:eastAsia="IRNazanin" w:cs="IRNazanin"/>
          <w:color w:val="111111"/>
          <w:sz w:val="28"/>
          <w:szCs w:val="28"/>
          <w:rtl w:val="true"/>
          <w:lang w:bidi="fa-IR"/>
        </w:rPr>
        <w:t>.</w:t>
      </w:r>
    </w:p>
    <w:p>
      <w:pPr>
        <w:pStyle w:val="Heading5"/>
        <w:numPr>
          <w:ilvl w:val="4"/>
          <w:numId w:val="1"/>
        </w:numPr>
        <w:rPr/>
      </w:pPr>
      <w:bookmarkStart w:id="1550" w:name="__RefHeading___Toc3598625_1067777946"/>
      <w:bookmarkStart w:id="1551" w:name="_Toc633"/>
      <w:bookmarkEnd w:id="1550"/>
      <w:r>
        <w:rPr>
          <w:rtl w:val="true"/>
        </w:rPr>
        <w:t>افلاس مستأجر يا عدم رد</w:t>
      </w:r>
      <w:bookmarkEnd w:id="155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افلاس مستأجر به اجرت، مى تواند موجرْ فسخ نمايد و عين مال را كه منفعت آن تمليك شده است استرجاع نمايد اگر تسليم كرده است؛ و مى تواند دين خود را با غرما، مورد شركت قرار دهد</w:t>
      </w:r>
      <w:r>
        <w:rPr>
          <w:rFonts w:eastAsia="IRNazanin" w:cs="IRNazanin"/>
          <w:color w:val="111111"/>
          <w:sz w:val="28"/>
          <w:szCs w:val="28"/>
          <w:rtl w:val="true"/>
          <w:lang w:bidi="fa-IR"/>
        </w:rPr>
        <w:t xml:space="preserve">. </w:t>
      </w:r>
      <w:bookmarkStart w:id="1552" w:name="pg10256_89597"/>
    </w:p>
    <w:p>
      <w:pPr>
        <w:pStyle w:val="BookText"/>
        <w:rPr/>
      </w:pPr>
      <w:bookmarkEnd w:id="1552"/>
      <w:r>
        <w:rPr>
          <w:rFonts w:ascii="IRNazanin" w:hAnsi="IRNazanin" w:eastAsia="IRNazanin"/>
          <w:color w:val="111111"/>
          <w:sz w:val="28"/>
          <w:sz w:val="28"/>
          <w:szCs w:val="28"/>
          <w:rtl w:val="true"/>
          <w:lang w:bidi="fa-IR"/>
        </w:rPr>
        <w:t>و هم چنين است در صورت تعذر ايصال اجرت كه لازم است، يا امتناع مستأجر از اداى اجرت در صورتى كه با فسخ، تفصّىِ از ضررِ او بشود</w:t>
      </w:r>
      <w:r>
        <w:rPr>
          <w:rFonts w:eastAsia="IRNazanin" w:cs="IRNazanin"/>
          <w:color w:val="111111"/>
          <w:sz w:val="28"/>
          <w:szCs w:val="28"/>
          <w:rtl w:val="true"/>
          <w:lang w:bidi="fa-IR"/>
        </w:rPr>
        <w:t>.</w:t>
      </w:r>
    </w:p>
    <w:p>
      <w:pPr>
        <w:pStyle w:val="Heading5"/>
        <w:numPr>
          <w:ilvl w:val="4"/>
          <w:numId w:val="1"/>
        </w:numPr>
        <w:rPr/>
      </w:pPr>
      <w:bookmarkStart w:id="1553" w:name="__RefHeading___Toc3598627_1067777946"/>
      <w:bookmarkStart w:id="1554" w:name="_Toc634"/>
      <w:bookmarkEnd w:id="1553"/>
      <w:r>
        <w:rPr>
          <w:rtl w:val="true"/>
        </w:rPr>
        <w:t>اجاره دادن به غير توسّط مستأجر</w:t>
      </w:r>
      <w:bookmarkEnd w:id="1554"/>
    </w:p>
    <w:p>
      <w:pPr>
        <w:pStyle w:val="BookText"/>
        <w:rPr/>
      </w:pPr>
      <w:r>
        <w:rPr>
          <w:rFonts w:ascii="IRNazanin" w:hAnsi="IRNazanin" w:eastAsia="IRNazanin"/>
          <w:color w:val="111111"/>
          <w:sz w:val="28"/>
          <w:sz w:val="28"/>
          <w:szCs w:val="28"/>
          <w:rtl w:val="true"/>
          <w:lang w:bidi="fa-IR"/>
        </w:rPr>
        <w:t>اظهر عدم جواز اجاره به ازيد از اجرت در اجارۀ سابقه است در اجير و بيت و حانوت مگر با مغايرت جنس اجرت در دو اجاره يا اصلاح و احداث حدثى مناسب از مستأجرِ در اجارۀ اُولى، و در اختلاف بين دينار و درهم در دو اجاره احتياط ترك نشود؛ و جايز است اجاره به اكثر از اجرت تقسيط شده بر ابعاض اگر بعض را اجاره بدهد به ازيد از قسط؛ بلكه به مقدار مساوى با جميع اجرت مقرّره براى جميع بيت مثلاً، مانعى ندارد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مذكورات مثل زمين مانعى ندارد اجاره به 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جواز فضل اجير و استرباح او با مغايرت اجرتها در دو اجاره،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اخذ نتيجۀ اجاره به اكثر است به توسّط صلح و شرط، در هر دو قرار معاملى يا يكى از آنها</w:t>
      </w:r>
      <w:r>
        <w:rPr>
          <w:rFonts w:eastAsia="IRNazanin" w:cs="IRNazanin"/>
          <w:color w:val="111111"/>
          <w:sz w:val="28"/>
          <w:szCs w:val="28"/>
          <w:rtl w:val="true"/>
          <w:lang w:bidi="fa-IR"/>
        </w:rPr>
        <w:t>.</w:t>
      </w:r>
    </w:p>
    <w:p>
      <w:pPr>
        <w:pStyle w:val="Heading5"/>
        <w:numPr>
          <w:ilvl w:val="4"/>
          <w:numId w:val="1"/>
        </w:numPr>
        <w:rPr/>
      </w:pPr>
      <w:bookmarkStart w:id="1555" w:name="__RefHeading___Toc3598629_1067777946"/>
      <w:bookmarkStart w:id="1556" w:name="_Toc635"/>
      <w:bookmarkEnd w:id="1555"/>
      <w:r>
        <w:rPr>
          <w:rtl w:val="true"/>
        </w:rPr>
        <w:t>فرض شرط نقص مقدار معيّنى از اجرت</w:t>
      </w:r>
      <w:bookmarkEnd w:id="1556"/>
    </w:p>
    <w:p>
      <w:pPr>
        <w:pStyle w:val="BookText"/>
        <w:rPr/>
      </w:pPr>
      <w:r>
        <w:rPr>
          <w:rFonts w:ascii="IRNazanin" w:hAnsi="IRNazanin" w:eastAsia="IRNazanin"/>
          <w:color w:val="111111"/>
          <w:sz w:val="28"/>
          <w:sz w:val="28"/>
          <w:szCs w:val="28"/>
          <w:rtl w:val="true"/>
          <w:lang w:bidi="fa-IR"/>
        </w:rPr>
        <w:t>اگر استيجار كرد براى حمل متاعى در وقت معيّن تا موضع معيّن و شرط كرد نقص مقدار معيّنى در صورت عدم بلوغ حمل تا آن موضع در آن وقت، صحيح است عقد و شرط</w:t>
      </w:r>
      <w:r>
        <w:rPr>
          <w:rFonts w:eastAsia="IRNazanin" w:cs="IRNazanin"/>
          <w:color w:val="111111"/>
          <w:sz w:val="28"/>
          <w:szCs w:val="28"/>
          <w:rtl w:val="true"/>
          <w:lang w:bidi="fa-IR"/>
        </w:rPr>
        <w:t>.</w:t>
      </w:r>
    </w:p>
    <w:p>
      <w:pPr>
        <w:pStyle w:val="Heading5"/>
        <w:numPr>
          <w:ilvl w:val="4"/>
          <w:numId w:val="1"/>
        </w:numPr>
        <w:rPr/>
      </w:pPr>
      <w:bookmarkStart w:id="1557" w:name="__RefHeading___Toc3598631_1067777946"/>
      <w:bookmarkStart w:id="1558" w:name="_Toc636"/>
      <w:bookmarkEnd w:id="1557"/>
      <w:r>
        <w:rPr>
          <w:rtl w:val="true"/>
        </w:rPr>
        <w:t>شرطِ سقوط تمام اجرت</w:t>
      </w:r>
      <w:bookmarkEnd w:id="155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شرط كرد سقوط اجرت را، پس شرط فاسد است و با اخلال به قصد عقدى، آن هم فاسد مى شود؛ و با عدم اخلال، پس با وقوع اصل اشتراط حمل در زمان معيّن تا مكان معيَّن و عدم وقوع خصوصيت، تقسيط مى شود اجرت، يا نسبت آنچه بجا آورده شده از مسمّى اخذ مى شود يا اجرت المثلِ آنچه به جا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حصۀ خاصه، مورد اجاره باشد، شرطِ سقوط، صحيح است با صحّت معامله از حيث غرر و غير آن</w:t>
      </w:r>
      <w:r>
        <w:rPr>
          <w:rFonts w:eastAsia="IRNazanin" w:cs="IRNazanin"/>
          <w:color w:val="111111"/>
          <w:sz w:val="28"/>
          <w:szCs w:val="28"/>
          <w:rtl w:val="true"/>
          <w:lang w:bidi="fa-IR"/>
        </w:rPr>
        <w:t xml:space="preserve">. </w:t>
      </w:r>
      <w:bookmarkStart w:id="1559" w:name="pg10256_89598"/>
    </w:p>
    <w:p>
      <w:pPr>
        <w:pStyle w:val="Heading5"/>
        <w:numPr>
          <w:ilvl w:val="4"/>
          <w:numId w:val="1"/>
        </w:numPr>
        <w:rPr/>
      </w:pPr>
      <w:bookmarkStart w:id="1560" w:name="__RefHeading___Toc3598633_1067777946"/>
      <w:bookmarkStart w:id="1561" w:name="_Toc637"/>
      <w:bookmarkEnd w:id="1559"/>
      <w:bookmarkEnd w:id="1560"/>
      <w:r>
        <w:rPr>
          <w:rtl w:val="true"/>
        </w:rPr>
        <w:t>اجاره در تمام ماهها به مبلغى معيّن</w:t>
      </w:r>
      <w:bookmarkEnd w:id="1561"/>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آجرتك كل شهر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عبارتى كه مثل اين باشد، اظهر صحّت اجاره است در ماه اوّل در صورت استفادۀ ماه متصل به عقد از قرينه يا از عدم ذكر خلاف آن و به عنوان شرط در ضمن عقد در زايد بر يك ماه كه جهالت در آن مغتفر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به عنوان جعاله اين مقدار را ساكن براى مالك قرار بدهد در صورت تسليم براى انتفاع و مالكْ تسليمِ مورد جعاله نمايد اگر چه مدت در اوّل و آخر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به عنوان مصالحه انجام دهد و نتيجۀ اجاره را اخذ نمايد، يا آنكه اباحۀ به عوض خاص نمايد و مباحٌ له با رضا تسلم نمايد، اگر چه اين معامله لازم نمى شود</w:t>
      </w:r>
      <w:r>
        <w:rPr>
          <w:rFonts w:eastAsia="IRNazanin" w:cs="IRNazanin"/>
          <w:color w:val="111111"/>
          <w:sz w:val="28"/>
          <w:szCs w:val="28"/>
          <w:rtl w:val="true"/>
          <w:lang w:bidi="fa-IR"/>
        </w:rPr>
        <w:t>.</w:t>
      </w:r>
    </w:p>
    <w:p>
      <w:pPr>
        <w:pStyle w:val="Heading5"/>
        <w:numPr>
          <w:ilvl w:val="4"/>
          <w:numId w:val="1"/>
        </w:numPr>
        <w:rPr/>
      </w:pPr>
      <w:bookmarkStart w:id="1562" w:name="__RefHeading___Toc3598635_1067777946"/>
      <w:bookmarkStart w:id="1563" w:name="_Toc638"/>
      <w:bookmarkEnd w:id="1562"/>
      <w:r>
        <w:rPr>
          <w:rtl w:val="true"/>
        </w:rPr>
        <w:t>فرض ترديد در اجرت و عمل</w:t>
      </w:r>
      <w:bookmarkEnd w:id="1563"/>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خِطْتَهُ فارسيّاً فَلَكَ دِرْهَمٌ و ان خِطْتَهُ روميّاً فلك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قصد جعاله صحيح است، و با قصد اجاره صحيح نيست به واسطۀ عدم تعيين اجرت و عمل؛ مگر آنكه اجارۀ قصديّه به خياطت به يك دِرهم، تعلق بگيرد و شرط نمايد كه اگر خياطتِ روميه انجام داد، يك درهم افزوده شود، يعنى چون تفاوت بين آن دو به يك درز و دو درز است، پس براى درز دوّم، يك درهم زياد شود در اجرت، كه اظهر صحّت عقد اجاره و شرط در ضمن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عمل را اگر فردا انجام دادى يك درهمْ استحقاق دارى و اگر امروز انجام دادى، دو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جعالۀ مقصوده يا اجارۀ مقصوده در عمل در يكى از دو روز در مقابل يك درهم و شرط زيادتى يك درهم در مقابل تعجيل و تخصيص جامع به يك خصوصيّت خاصه</w:t>
      </w:r>
      <w:r>
        <w:rPr>
          <w:rFonts w:eastAsia="IRNazanin" w:cs="IRNazanin"/>
          <w:color w:val="111111"/>
          <w:sz w:val="28"/>
          <w:szCs w:val="28"/>
          <w:rtl w:val="true"/>
          <w:lang w:bidi="fa-IR"/>
        </w:rPr>
        <w:t>.</w:t>
      </w:r>
    </w:p>
    <w:p>
      <w:pPr>
        <w:pStyle w:val="Heading5"/>
        <w:numPr>
          <w:ilvl w:val="4"/>
          <w:numId w:val="1"/>
        </w:numPr>
        <w:rPr/>
      </w:pPr>
      <w:bookmarkStart w:id="1564" w:name="__RefHeading___Toc3598637_1067777946"/>
      <w:bookmarkStart w:id="1565" w:name="_Toc639"/>
      <w:bookmarkEnd w:id="1564"/>
      <w:r>
        <w:rPr>
          <w:rtl w:val="true"/>
        </w:rPr>
        <w:t>زمان مالكيت اجرت و استحقاق مطالبۀ آن</w:t>
      </w:r>
      <w:bookmarkEnd w:id="156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اجير مالك اجرت مى شود به عقد اجاره، و هم چنين مستأجر مالك عمل به سبب </w:t>
      </w:r>
      <w:bookmarkStart w:id="1566" w:name="pg10256_89599"/>
    </w:p>
    <w:p>
      <w:pPr>
        <w:pStyle w:val="BookText"/>
        <w:rPr/>
      </w:pPr>
      <w:bookmarkEnd w:id="1566"/>
      <w:r>
        <w:rPr>
          <w:rFonts w:ascii="IRNazanin" w:hAnsi="IRNazanin" w:eastAsia="IRNazanin"/>
          <w:color w:val="111111"/>
          <w:sz w:val="28"/>
          <w:sz w:val="28"/>
          <w:szCs w:val="28"/>
          <w:rtl w:val="true"/>
          <w:lang w:bidi="fa-IR"/>
        </w:rPr>
        <w:t>عقد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اجير مستحق مطالبۀ اجرت نمى شود مگر با تسليم مورد عمل اگر در ملك اجير و در يد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بدون تفريط تلف بشود ضامن نيست و مستحق اجرت مُسمّاة است؛ و اگر به سبب تفريطِ اجير تلف بشود يا اتلاف نمايد، پس مستأجر، اختيار فسخ عقد را دارد؛ و در صورت فسخ، بر او است اجرة المثل عمل و براى او است بدل واقعى، و در صورت امضا بر او است اجرت عقديّه و براى او است بدل واقعى؛ و ضامن عين با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اجير مستحق مطالبۀ اجرت نمى شود، مگر با عمل و اتمام آن و ايصال به مستأجر به سبب ايصالِ مورد اگر در يد اجير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واجب است عمل و اتمام و ايصال در وقت تسلّمِ اجرت كه واجب است تسليم آن بر مستأجر با آنچه تسلّم عمل است در عرف</w:t>
      </w:r>
      <w:r>
        <w:rPr>
          <w:rFonts w:eastAsia="IRNazanin" w:cs="IRNazanin"/>
          <w:color w:val="111111"/>
          <w:sz w:val="28"/>
          <w:szCs w:val="28"/>
          <w:rtl w:val="true"/>
          <w:lang w:bidi="fa-IR"/>
        </w:rPr>
        <w:t>.</w:t>
      </w:r>
    </w:p>
    <w:p>
      <w:pPr>
        <w:pStyle w:val="Heading5"/>
        <w:numPr>
          <w:ilvl w:val="4"/>
          <w:numId w:val="1"/>
        </w:numPr>
        <w:rPr/>
      </w:pPr>
      <w:bookmarkStart w:id="1567" w:name="__RefHeading___Toc3598639_1067777946"/>
      <w:bookmarkStart w:id="1568" w:name="_Toc640"/>
      <w:bookmarkEnd w:id="1567"/>
      <w:r>
        <w:rPr>
          <w:rtl w:val="true"/>
        </w:rPr>
        <w:t>حكم امتناع از تسليم عمل يا اجرت</w:t>
      </w:r>
      <w:bookmarkEnd w:id="1568"/>
    </w:p>
    <w:p>
      <w:pPr>
        <w:pStyle w:val="BookText"/>
        <w:rPr/>
      </w:pPr>
      <w:r>
        <w:rPr>
          <w:rFonts w:ascii="IRNazanin" w:hAnsi="IRNazanin" w:eastAsia="IRNazanin"/>
          <w:color w:val="111111"/>
          <w:sz w:val="28"/>
          <w:sz w:val="28"/>
          <w:szCs w:val="28"/>
          <w:rtl w:val="true"/>
          <w:lang w:bidi="fa-IR"/>
        </w:rPr>
        <w:t xml:space="preserve">و اگر امتناع از تسليمِ يكى باشد، مراجعه به حاكم مى شود و هركدام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محروميّت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مالك شده است، مراجعه به حاكم در اخذ اجرت به عنوان امانت يا اخذ كفيل براى عمل مى شود تا مأمون از تضرّر باشد؛ و اگر شرطى بر خلاف قاعدۀ معاوضه بشود، عمل بر طبق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ابعاض عمل، استحقاق مطالبۀ قسط آن از اجرت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ابعاض بى ارتباط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شرط؛ و در امتناع با خوفِ آن جارى است آنچه در تمام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اجرت هم، عمل باشد و نزاع در تقديم شد، پس با مراجعه به حاكم شرع و اخذ كفيل براى هر دو يا يكى مخصوص، و با عدم امكان با تعيين تقديم كننده با قرعه رفع نزاع مى توانند نمايند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عمل مؤجّل باشد در عقد، يا آنكه وقت آن مؤخّر باشد به حسب عادت و تعارف، پس اجرت هم بالتبع با اتمام عمل، مستحَق مى شود مطالبۀ آن مگر با شرط خلاف</w:t>
      </w:r>
      <w:r>
        <w:rPr>
          <w:rFonts w:eastAsia="IRNazanin" w:cs="IRNazanin"/>
          <w:color w:val="111111"/>
          <w:sz w:val="28"/>
          <w:szCs w:val="28"/>
          <w:rtl w:val="true"/>
          <w:lang w:bidi="fa-IR"/>
        </w:rPr>
        <w:t xml:space="preserve">. </w:t>
      </w:r>
      <w:bookmarkStart w:id="1569" w:name="pg10256_89600"/>
    </w:p>
    <w:p>
      <w:pPr>
        <w:pStyle w:val="BookText"/>
        <w:rPr/>
      </w:pPr>
      <w:bookmarkEnd w:id="1569"/>
      <w:r>
        <w:rPr>
          <w:rFonts w:ascii="IRNazanin" w:hAnsi="IRNazanin" w:eastAsia="IRNazanin"/>
          <w:color w:val="111111"/>
          <w:sz w:val="28"/>
          <w:sz w:val="28"/>
          <w:szCs w:val="28"/>
          <w:rtl w:val="true"/>
          <w:lang w:bidi="fa-IR"/>
        </w:rPr>
        <w:t>و اگر اجرتْ مؤجّل بود و عملْ غير مؤجل بود لكن زمان اجرت منقضى بشود قبل از عمل يا اتمام آن، پس با امكان تقديم عمل و تعارف تقديم و تأخير، مستحق مطالبه به مجرّد انقضاى زمان اجرت بدون عمل يا اتمام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تأخير عمل، متعارف باشد نه تقديم، و قرينه باشد اين خصوصيّت بر تعجيل اجرت قبل از عمل يا اتمام آن، استحقاق مطالبۀ اجرت به مجرّد انقضاى زمان آن اگر چه قبل از عمل باشد، ظاهر است</w:t>
      </w:r>
      <w:r>
        <w:rPr>
          <w:rFonts w:eastAsia="IRNazanin" w:cs="IRNazanin"/>
          <w:color w:val="111111"/>
          <w:sz w:val="28"/>
          <w:szCs w:val="28"/>
          <w:rtl w:val="true"/>
          <w:lang w:bidi="fa-IR"/>
        </w:rPr>
        <w:t>.</w:t>
      </w:r>
    </w:p>
    <w:p>
      <w:pPr>
        <w:pStyle w:val="Heading5"/>
        <w:numPr>
          <w:ilvl w:val="4"/>
          <w:numId w:val="1"/>
        </w:numPr>
        <w:rPr/>
      </w:pPr>
      <w:bookmarkStart w:id="1570" w:name="__RefHeading___Toc3598641_1067777946"/>
      <w:bookmarkStart w:id="1571" w:name="_Toc641"/>
      <w:bookmarkEnd w:id="1570"/>
      <w:r>
        <w:rPr>
          <w:rtl w:val="true"/>
        </w:rPr>
        <w:t>فرض بطلان عقد اجاره و تعلّق اجرت المثل</w:t>
      </w:r>
      <w:bookmarkEnd w:id="1571"/>
    </w:p>
    <w:p>
      <w:pPr>
        <w:pStyle w:val="BookText"/>
        <w:rPr/>
      </w:pPr>
      <w:r>
        <w:rPr>
          <w:rFonts w:ascii="IRNazanin" w:hAnsi="IRNazanin" w:eastAsia="IRNazanin"/>
          <w:color w:val="111111"/>
          <w:sz w:val="28"/>
          <w:sz w:val="28"/>
          <w:szCs w:val="28"/>
          <w:rtl w:val="true"/>
          <w:lang w:bidi="fa-IR"/>
        </w:rPr>
        <w:t>در موضعى كه عقد اجاره باطل باشد، اجرت المثل براى منفعت عين بر مستأجر ثابت است، و هم چنين اجرت المثل عمل براى اجير غير عالم به فساد و مأذون به هر تقدير؛ پس عالم به فساد و غير مأذون به اذن خارجى بر هر تقدير، ثبوت اجرت المثل براى او در صورت عدم اجماع،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اجاره بدون اجرت باشد و از اين جهت اجاره فاسده باشد، دور نيست اندراج عمل در تبرّع و عدم استحقاق اجرت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استحقاق اجرت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مجانيّت دفع است اگر چه دافع، عالمِ به فساد 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اجرت عمل، منوط به اذن منتفع به آن است به نحو خارج از اقتضاى عقد و عدم قصد تبرّع از عامل اگر چه عالم به فساد عقد يا مختلف در علم باشند</w:t>
      </w:r>
      <w:r>
        <w:rPr>
          <w:rFonts w:eastAsia="IRNazanin" w:cs="IRNazanin"/>
          <w:color w:val="111111"/>
          <w:sz w:val="28"/>
          <w:szCs w:val="28"/>
          <w:rtl w:val="true"/>
          <w:lang w:bidi="fa-IR"/>
        </w:rPr>
        <w:t>.</w:t>
      </w:r>
    </w:p>
    <w:p>
      <w:pPr>
        <w:pStyle w:val="Heading5"/>
        <w:numPr>
          <w:ilvl w:val="4"/>
          <w:numId w:val="1"/>
        </w:numPr>
        <w:rPr/>
      </w:pPr>
      <w:bookmarkStart w:id="1572" w:name="__RefHeading___Toc3598643_1067777946"/>
      <w:bookmarkStart w:id="1573" w:name="_Toc642"/>
      <w:bookmarkEnd w:id="1572"/>
      <w:r>
        <w:rPr>
          <w:rtl w:val="true"/>
        </w:rPr>
        <w:t>مسألۀ ضمان در فرض علم يا جهل به فساد اجاره</w:t>
      </w:r>
      <w:bookmarkEnd w:id="157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مستأجره در صورت علم موجر به فساد اجاره در واقع، مضمون نيست، چه آنكه مستأجرْ عالم به فساد باشد يا جاهل، يا آنكه در واقع، وضع يد، مقرون به اذن خارج و غير مقيّد به عقد است، به خلاف صورت جهل او، چه آنكه مستأجرْ عالم به فساد باشد يا جاهل، چون در واقع، اذن دافعْ مقيّد به عقد است</w:t>
      </w:r>
      <w:r>
        <w:rPr>
          <w:rFonts w:eastAsia="IRNazanin" w:cs="IRNazanin"/>
          <w:color w:val="111111"/>
          <w:sz w:val="28"/>
          <w:szCs w:val="28"/>
          <w:rtl w:val="true"/>
          <w:lang w:bidi="fa-IR"/>
        </w:rPr>
        <w:t xml:space="preserve">. </w:t>
      </w:r>
      <w:bookmarkStart w:id="1574" w:name="pg10256_89601"/>
    </w:p>
    <w:p>
      <w:pPr>
        <w:pStyle w:val="Heading5"/>
        <w:numPr>
          <w:ilvl w:val="4"/>
          <w:numId w:val="1"/>
        </w:numPr>
        <w:rPr/>
      </w:pPr>
      <w:bookmarkStart w:id="1575" w:name="__RefHeading___Toc3598645_1067777946"/>
      <w:bookmarkStart w:id="1576" w:name="_Toc643"/>
      <w:bookmarkEnd w:id="1574"/>
      <w:bookmarkEnd w:id="1575"/>
      <w:r>
        <w:rPr>
          <w:rtl w:val="true"/>
        </w:rPr>
        <w:t>كراهت استعمال اجير قبل از مقاطعۀ اجرت</w:t>
      </w:r>
      <w:bookmarkEnd w:id="1576"/>
    </w:p>
    <w:p>
      <w:pPr>
        <w:pStyle w:val="BookText"/>
        <w:rPr/>
      </w:pPr>
      <w:r>
        <w:rPr>
          <w:rFonts w:ascii="Amiri" w:hAnsi="Amiri" w:eastAsia="Amiri" w:cs="Amiri"/>
          <w:color w:val="111111"/>
          <w:sz w:val="28"/>
          <w:sz w:val="28"/>
          <w:szCs w:val="28"/>
          <w:rtl w:val="true"/>
          <w:lang w:bidi="ar-SA"/>
        </w:rPr>
        <w:t xml:space="preserve">مكروه است بنابر اظهر استعمال اجير قبل از مقاطعۀ اجرت با او و اعلام به قدر و خصوصيات آن در غير عقد اجاره و معاطات بنابر لزوم تعيين در آن، و روايت مانعه، محمول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قرينۀ روايتِ تعليل، و اشعار ترتّب بر ايمان به ترتب بر كمال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ارشاد و عدم مناسبت با مقام عالى ايمان؛ بلكه احياناً ايذاءْ و محرّمِ خارجى است در صورت علم به تأذّى در مقدار منوىّ با عدم امكان اثبات موافقت با اجرت المثل تا وقتى؛ و اين تحريم، منافات با استحقاق اجرت المثل و عدم استحقاق زايد ندارد، مثل موارد فساد عقد اجاره با احراز اذن خارجى در عمل</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3598647_1067777946"/>
      <w:bookmarkStart w:id="1578" w:name="_Toc644"/>
      <w:bookmarkEnd w:id="1577"/>
      <w:r>
        <w:rPr>
          <w:rtl w:val="true"/>
        </w:rPr>
        <w:t>كراهت تضمين اجير امين</w:t>
      </w:r>
      <w:bookmarkEnd w:id="1578"/>
    </w:p>
    <w:p>
      <w:pPr>
        <w:pStyle w:val="BookText"/>
        <w:rPr/>
      </w:pPr>
      <w:r>
        <w:rPr>
          <w:rFonts w:ascii="IRNazanin" w:hAnsi="IRNazanin" w:eastAsia="IRNazanin"/>
          <w:color w:val="111111"/>
          <w:sz w:val="28"/>
          <w:sz w:val="28"/>
          <w:szCs w:val="28"/>
          <w:rtl w:val="true"/>
          <w:lang w:bidi="fa-IR"/>
        </w:rPr>
        <w:t>مكروه است تضمين اجير اگر مأمون باشد و متّهم نباشد در تفريط و نحو آن از موجبات ضمان او در صورت ضمان او در ظاهر شرع و عدم علم به عدم ضمان واقعى او؛ به خلاف صورت اتهام و اقتضاى حكم ظاهرى شرعى ضمان او را، چه آنكه مستأجرْ عالم به ضمان واقعى او باشد يا نه، كه كراهت ندارد تضمين او</w:t>
      </w:r>
      <w:r>
        <w:rPr>
          <w:rFonts w:eastAsia="IRNazanin" w:cs="IRNazanin"/>
          <w:color w:val="111111"/>
          <w:sz w:val="28"/>
          <w:szCs w:val="28"/>
          <w:rtl w:val="true"/>
          <w:lang w:bidi="fa-IR"/>
        </w:rPr>
        <w:t>.</w:t>
      </w:r>
    </w:p>
    <w:p>
      <w:pPr>
        <w:pStyle w:val="Heading4"/>
        <w:numPr>
          <w:ilvl w:val="3"/>
          <w:numId w:val="1"/>
        </w:numPr>
        <w:rPr/>
      </w:pPr>
      <w:bookmarkStart w:id="1579" w:name="__RefHeading___Toc3598649_1067777946"/>
      <w:bookmarkStart w:id="1580" w:name="_Toc645"/>
      <w:bookmarkEnd w:id="1579"/>
      <w:r>
        <w:rPr/>
        <w:t>3</w:t>
      </w:r>
      <w:r>
        <w:rPr>
          <w:rtl w:val="true"/>
        </w:rPr>
        <w:t xml:space="preserve">. </w:t>
      </w:r>
      <w:r>
        <w:rPr>
          <w:rtl w:val="true"/>
        </w:rPr>
        <w:t>مملوك بودن منفعت</w:t>
      </w:r>
      <w:bookmarkEnd w:id="1580"/>
    </w:p>
    <w:p>
      <w:pPr>
        <w:pStyle w:val="Heading5"/>
        <w:numPr>
          <w:ilvl w:val="4"/>
          <w:numId w:val="1"/>
        </w:numPr>
        <w:rPr/>
      </w:pPr>
      <w:bookmarkStart w:id="1581" w:name="__RefHeading___Toc3598651_1067777946"/>
      <w:bookmarkStart w:id="1582" w:name="_Toc646"/>
      <w:bookmarkEnd w:id="1581"/>
      <w:r>
        <w:rPr>
          <w:rtl w:val="true"/>
        </w:rPr>
        <w:t>اشاره</w:t>
      </w:r>
      <w:bookmarkEnd w:id="1582"/>
    </w:p>
    <w:p>
      <w:pPr>
        <w:pStyle w:val="BookText"/>
        <w:rPr/>
      </w:pPr>
      <w:r>
        <w:rPr>
          <w:rFonts w:ascii="IRNazanin" w:hAnsi="IRNazanin" w:eastAsia="IRNazanin"/>
          <w:color w:val="111111"/>
          <w:sz w:val="28"/>
          <w:sz w:val="28"/>
          <w:szCs w:val="28"/>
          <w:rtl w:val="true"/>
          <w:lang w:bidi="fa-IR"/>
        </w:rPr>
        <w:t xml:space="preserve">معتبر است در صحّت اجاره، مملوك بودن منفعت براى موجر كه خود مباشر اجاره است يا وكيل او يا ولىّ او؛ پس اجارۀ 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موجر و مستأجر در آنها مساوى ميباشند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متولى يا حاكم، اجاره بدهد وقف را به موقوف عليه براى صرف اجرت در ساير مصارف وقف يا در ابقا و تعمير وقف، مثل بيع زكات به كسى كه مصرف است براى صرف ثمن در مصرف ديگر</w:t>
      </w:r>
      <w:r>
        <w:rPr>
          <w:rFonts w:eastAsia="IRNazanin" w:cs="IRNazanin"/>
          <w:color w:val="111111"/>
          <w:sz w:val="28"/>
          <w:szCs w:val="28"/>
          <w:rtl w:val="true"/>
          <w:lang w:bidi="fa-IR"/>
        </w:rPr>
        <w:t>.</w:t>
      </w:r>
    </w:p>
    <w:p>
      <w:pPr>
        <w:pStyle w:val="Heading5"/>
        <w:numPr>
          <w:ilvl w:val="4"/>
          <w:numId w:val="1"/>
        </w:numPr>
        <w:rPr/>
      </w:pPr>
      <w:bookmarkStart w:id="1583" w:name="__RefHeading___Toc3598653_1067777946"/>
      <w:bookmarkStart w:id="1584" w:name="_Toc647"/>
      <w:bookmarkEnd w:id="1583"/>
      <w:r>
        <w:rPr>
          <w:rtl w:val="true"/>
        </w:rPr>
        <w:t>اجاره دادن به غير توسّط مستأجر</w:t>
      </w:r>
      <w:bookmarkEnd w:id="15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مستأجر مى تواند اجاره به غير بدهد با موافقت در انتفاع به مورد اجاره، نه مخالفت، </w:t>
      </w:r>
      <w:bookmarkStart w:id="1585" w:name="pg10256_89602"/>
    </w:p>
    <w:p>
      <w:pPr>
        <w:pStyle w:val="BookText"/>
        <w:rPr/>
      </w:pPr>
      <w:bookmarkEnd w:id="1585"/>
      <w:r>
        <w:rPr>
          <w:rFonts w:ascii="IRNazanin" w:hAnsi="IRNazanin" w:eastAsia="IRNazanin"/>
          <w:color w:val="111111"/>
          <w:sz w:val="28"/>
          <w:sz w:val="28"/>
          <w:szCs w:val="28"/>
          <w:rtl w:val="true"/>
          <w:lang w:bidi="fa-IR"/>
        </w:rPr>
        <w:t>مثل استيجار دابه براى ركوب يك راكب و اجاره دادن براى ركوب دو نفر با هم، و كلام در جواز زيادتى اجرت در اجارۀ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اجارۀ دوّم در صورت عدم اشتراط انتفاع مستأجر اوّل است به نحو مباشرت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ضرر ندارد اشتراط مباشرت اگر چه براى غير باشد، مثل مباشرت در حمل متاع با وسيله براى غير، به خلاف اشتراط انتفاع مباشرى به عين براى مباشر كه اجارۀ دوّم جايز نيست</w:t>
      </w:r>
      <w:r>
        <w:rPr>
          <w:rFonts w:eastAsia="IRNazanin" w:cs="IRNazanin"/>
          <w:color w:val="111111"/>
          <w:sz w:val="28"/>
          <w:szCs w:val="28"/>
          <w:rtl w:val="true"/>
          <w:lang w:bidi="fa-IR"/>
        </w:rPr>
        <w:t>.</w:t>
      </w:r>
    </w:p>
    <w:p>
      <w:pPr>
        <w:pStyle w:val="Heading5"/>
        <w:numPr>
          <w:ilvl w:val="4"/>
          <w:numId w:val="1"/>
        </w:numPr>
        <w:rPr/>
      </w:pPr>
      <w:bookmarkStart w:id="1586" w:name="__RefHeading___Toc3598655_1067777946"/>
      <w:bookmarkStart w:id="1587" w:name="_Toc648"/>
      <w:bookmarkEnd w:id="1586"/>
      <w:r>
        <w:rPr>
          <w:rtl w:val="true"/>
        </w:rPr>
        <w:t>اجاره به موجر اوّل و مسألۀ استيذان از او در تسليم عين به مستأجر دوّم</w:t>
      </w:r>
      <w:bookmarkEnd w:id="1587"/>
    </w:p>
    <w:p>
      <w:pPr>
        <w:pStyle w:val="BookText"/>
        <w:rPr/>
      </w:pPr>
      <w:r>
        <w:rPr>
          <w:rFonts w:ascii="IRNazanin" w:hAnsi="IRNazanin" w:eastAsia="IRNazanin"/>
          <w:color w:val="111111"/>
          <w:sz w:val="28"/>
          <w:sz w:val="28"/>
          <w:szCs w:val="28"/>
          <w:rtl w:val="true"/>
          <w:lang w:bidi="fa-IR"/>
        </w:rPr>
        <w:t>و مى تواند در صورت جواز اجاره، به نفس موجر اوّل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جواز تسليم عين به مستأجر دوّم بدون اذن موجر اوّل، تأمل است، و به هر يك از طرفين در مسأله، جماعتى از فقها قايل شده اند، احوط استيذان است و اظهر در موارد توقفِ انتفاع بر تسليم عين در يد منتفع، جواز عمل به عدم تقييد در اجارۀ اُولىٰ است تا صورت ظهور خلاف يا انصراف اطلاق به نحو معتدّ به نزد عقلاء عرف، و موافقت اين قول با ظهور صحيحۀ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صحّت اجارۀ دوّم، پس اگر اجاره داد و تسليم نمود عين را به مستأجر دوّم، موجب ضمان و خروج از ائتمان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مستأجر اوّل به نحو مشروعى، اجرت المثل منفعت را از منتفع به آن مأخوذ داشت، مالك مى شود، مثل صورت غصب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اجارۀ غير مالك عين و تصرّف، فضولى است و صحّت آن منوط به اجازۀ مالك تصرّف است</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3598657_1067777946"/>
      <w:bookmarkStart w:id="1589" w:name="_Toc649"/>
      <w:bookmarkEnd w:id="1588"/>
      <w:r>
        <w:rPr/>
        <w:t>4</w:t>
      </w:r>
      <w:r>
        <w:rPr>
          <w:rtl w:val="true"/>
        </w:rPr>
        <w:t xml:space="preserve">. </w:t>
      </w:r>
      <w:r>
        <w:rPr>
          <w:rtl w:val="true"/>
        </w:rPr>
        <w:t>معلوم بودن منفعت</w:t>
      </w:r>
      <w:bookmarkEnd w:id="1589"/>
    </w:p>
    <w:p>
      <w:pPr>
        <w:pStyle w:val="Heading5"/>
        <w:numPr>
          <w:ilvl w:val="4"/>
          <w:numId w:val="1"/>
        </w:numPr>
        <w:rPr/>
      </w:pPr>
      <w:bookmarkStart w:id="1590" w:name="__RefHeading___Toc3598659_1067777946"/>
      <w:bookmarkStart w:id="1591" w:name="_Toc650"/>
      <w:bookmarkEnd w:id="1590"/>
      <w:r>
        <w:rPr>
          <w:rtl w:val="true"/>
        </w:rPr>
        <w:t>اشاره</w:t>
      </w:r>
      <w:bookmarkEnd w:id="15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است در متعلق تمليك در اجاره كه مجهول نباشد؛ پس اگر مبهم و مردد باشد، اجاره باطل است؛ و هم چنين اگر به واسطۀ مبهم بودن عين، در منفعت يا </w:t>
      </w:r>
      <w:bookmarkStart w:id="1592" w:name="pg10256_89603"/>
    </w:p>
    <w:p>
      <w:pPr>
        <w:pStyle w:val="BookText"/>
        <w:rPr/>
      </w:pPr>
      <w:bookmarkEnd w:id="1592"/>
      <w:r>
        <w:rPr>
          <w:rFonts w:ascii="IRNazanin" w:hAnsi="IRNazanin" w:eastAsia="IRNazanin"/>
          <w:color w:val="111111"/>
          <w:sz w:val="28"/>
          <w:sz w:val="28"/>
          <w:szCs w:val="28"/>
          <w:rtl w:val="true"/>
          <w:lang w:bidi="fa-IR"/>
        </w:rPr>
        <w:t>عمل، ابهام و تردّد حاصل شد</w:t>
      </w:r>
      <w:r>
        <w:rPr>
          <w:rFonts w:eastAsia="IRNazanin" w:cs="IRNazanin"/>
          <w:color w:val="111111"/>
          <w:sz w:val="28"/>
          <w:szCs w:val="28"/>
          <w:rtl w:val="true"/>
          <w:lang w:bidi="fa-IR"/>
        </w:rPr>
        <w:t>.</w:t>
      </w:r>
    </w:p>
    <w:p>
      <w:pPr>
        <w:pStyle w:val="Heading5"/>
        <w:numPr>
          <w:ilvl w:val="4"/>
          <w:numId w:val="1"/>
        </w:numPr>
        <w:rPr/>
      </w:pPr>
      <w:bookmarkStart w:id="1593" w:name="__RefHeading___Toc3598661_1067777946"/>
      <w:bookmarkStart w:id="1594" w:name="_Toc651"/>
      <w:bookmarkEnd w:id="1593"/>
      <w:r>
        <w:rPr>
          <w:rtl w:val="true"/>
        </w:rPr>
        <w:t>محدودۀ منافع متعلَّقِ اجاره</w:t>
      </w:r>
      <w:bookmarkEnd w:id="1594"/>
    </w:p>
    <w:p>
      <w:pPr>
        <w:pStyle w:val="BookText"/>
        <w:rPr/>
      </w:pPr>
      <w:r>
        <w:rPr>
          <w:rFonts w:ascii="IRNazanin" w:hAnsi="IRNazanin" w:eastAsia="IRNazanin"/>
          <w:color w:val="111111"/>
          <w:sz w:val="28"/>
          <w:sz w:val="28"/>
          <w:szCs w:val="28"/>
          <w:rtl w:val="true"/>
          <w:lang w:bidi="fa-IR"/>
        </w:rPr>
        <w:t>و جايز است اجاره در صورت تعلّق تمليك به جميع منافع ممكنۀ آن اگر چه استيفاى آنها بدلى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يك منفعت ندارد، اطلاقْ محمول بر آن است؛ و اگر منافع متعدّده دارد و مقصودْ بعض آنها است، بايد تعيين شود؛ و اگر تعيين نكرد، به واسطۀ اطلاقْ محمول بر همه مى شود اگر علم به قصد بعض نباشد</w:t>
      </w:r>
      <w:r>
        <w:rPr>
          <w:rFonts w:eastAsia="IRNazanin" w:cs="IRNazanin"/>
          <w:color w:val="111111"/>
          <w:sz w:val="28"/>
          <w:szCs w:val="28"/>
          <w:rtl w:val="true"/>
          <w:lang w:bidi="fa-IR"/>
        </w:rPr>
        <w:t>.</w:t>
      </w:r>
    </w:p>
    <w:p>
      <w:pPr>
        <w:pStyle w:val="Heading5"/>
        <w:numPr>
          <w:ilvl w:val="4"/>
          <w:numId w:val="1"/>
        </w:numPr>
        <w:rPr/>
      </w:pPr>
      <w:bookmarkStart w:id="1595" w:name="__RefHeading___Toc3598663_1067777946"/>
      <w:bookmarkStart w:id="1596" w:name="_Toc652"/>
      <w:bookmarkEnd w:id="1595"/>
      <w:r>
        <w:rPr>
          <w:rtl w:val="true"/>
        </w:rPr>
        <w:t>تعيين عمل به نحو رافع غرر و جهالت</w:t>
      </w:r>
      <w:bookmarkEnd w:id="1596"/>
    </w:p>
    <w:p>
      <w:pPr>
        <w:pStyle w:val="BookText"/>
        <w:rPr/>
      </w:pPr>
      <w:r>
        <w:rPr>
          <w:rFonts w:ascii="IRNazanin" w:hAnsi="IRNazanin" w:eastAsia="IRNazanin"/>
          <w:color w:val="111111"/>
          <w:sz w:val="28"/>
          <w:sz w:val="28"/>
          <w:szCs w:val="28"/>
          <w:rtl w:val="true"/>
          <w:lang w:bidi="fa-IR"/>
        </w:rPr>
        <w:t xml:space="preserve">و در تعيين عمل، تعيين مورد شخصى آن يا موصوف ثابت در ذمّۀ آن با تعيين خصوصيت عمل اگر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اقسام خياطت از حيث فارسى و رومى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تعيين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كار مخصوص در يك روز و سكناى خانه در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طريقى كه رافع غَرَر و جهالت باشد كافى است و اجاره با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تعيين مدت و عمل كرد با كفايت هر يك در رفع غرر و جهالت، و براى تخصيص و تقييدْ آن ديگرى ذكر شد، پس با احراز وسعت وقت براى آن عمل، صحيح است و با احراز عدم وسعت، باطل است</w:t>
      </w:r>
      <w:r>
        <w:rPr>
          <w:rFonts w:eastAsia="IRNazanin" w:cs="IRNazanin"/>
          <w:color w:val="111111"/>
          <w:sz w:val="28"/>
          <w:szCs w:val="28"/>
          <w:rtl w:val="true"/>
          <w:lang w:bidi="fa-IR"/>
        </w:rPr>
        <w:t>.</w:t>
      </w:r>
    </w:p>
    <w:p>
      <w:pPr>
        <w:pStyle w:val="Heading5"/>
        <w:numPr>
          <w:ilvl w:val="4"/>
          <w:numId w:val="1"/>
        </w:numPr>
        <w:rPr/>
      </w:pPr>
      <w:bookmarkStart w:id="1597" w:name="__RefHeading___Toc3598665_1067777946"/>
      <w:bookmarkStart w:id="1598" w:name="_Toc653"/>
      <w:bookmarkEnd w:id="1597"/>
      <w:r>
        <w:rPr>
          <w:rtl w:val="true"/>
        </w:rPr>
        <w:t>شرط وسعت يا عدم و تخلّف از آن</w:t>
      </w:r>
      <w:bookmarkEnd w:id="1598"/>
    </w:p>
    <w:p>
      <w:pPr>
        <w:pStyle w:val="BookText"/>
        <w:rPr/>
      </w:pPr>
      <w:r>
        <w:rPr>
          <w:rFonts w:ascii="IRNazanin" w:hAnsi="IRNazanin" w:eastAsia="IRNazanin"/>
          <w:color w:val="111111"/>
          <w:sz w:val="28"/>
          <w:sz w:val="28"/>
          <w:szCs w:val="28"/>
          <w:rtl w:val="true"/>
          <w:lang w:bidi="fa-IR"/>
        </w:rPr>
        <w:t>و اگر محتمل باشد وسعت و عدم آن، پس اگر يكى از آنها بنحوِ شرطِ در ضمنِ عقدْ مذكور شد، صحيح است در فروض متعارفۀ شرط عمل معيّن در وقت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تخلف، خيار فسخ براى آنكه شرط براى او است ثابت است، مگر آن كه متعلَّق شرط معلوم بشود كه ممكن نبوده است و عدم آن مستند به اختيار و تقصير نبوده باشد كه شرطْ نافذ نبوده و خيارى ثابت نمى شود، و معامله در اصل عملْ صحيح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ثبوت خيار، اگر فسخ نكرد، مطالبۀ عملْ در خارج وقت خاص </w:t>
      </w:r>
      <w:bookmarkStart w:id="1599" w:name="pg10256_89604"/>
    </w:p>
    <w:p>
      <w:pPr>
        <w:pStyle w:val="BookText"/>
        <w:rPr/>
      </w:pPr>
      <w:bookmarkEnd w:id="1599"/>
      <w:r>
        <w:rPr>
          <w:rFonts w:ascii="IRNazanin" w:hAnsi="IRNazanin" w:eastAsia="IRNazanin"/>
          <w:color w:val="111111"/>
          <w:sz w:val="28"/>
          <w:sz w:val="28"/>
          <w:szCs w:val="28"/>
          <w:rtl w:val="true"/>
          <w:lang w:bidi="fa-IR"/>
        </w:rPr>
        <w:t>مى نمايد؛ و اگر فسخ كرد، قسط عمل واقع در مدت خاصه از مسمّى، مورد استحقاق عامل است؛ و آنچه خارجْ واقع شده است، اجرت المثل آن را مستحق است با احراز رضاى غير عقدى به تمام عمل و اتمام آن، يا آنكه اذن در اتمام بدهد بعد از فسخ، وگرنه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 گذشت در غير انتفاع به عين مملوكۀ غير</w:t>
      </w:r>
      <w:r>
        <w:rPr>
          <w:rFonts w:eastAsia="IRNazanin" w:cs="IRNazanin"/>
          <w:color w:val="111111"/>
          <w:sz w:val="28"/>
          <w:szCs w:val="28"/>
          <w:rtl w:val="true"/>
          <w:lang w:bidi="fa-IR"/>
        </w:rPr>
        <w:t>.</w:t>
      </w:r>
    </w:p>
    <w:p>
      <w:pPr>
        <w:pStyle w:val="Heading5"/>
        <w:numPr>
          <w:ilvl w:val="4"/>
          <w:numId w:val="1"/>
        </w:numPr>
        <w:rPr/>
      </w:pPr>
      <w:bookmarkStart w:id="1600" w:name="__RefHeading___Toc3598667_1067777946"/>
      <w:bookmarkStart w:id="1601" w:name="_Toc654"/>
      <w:bookmarkEnd w:id="1600"/>
      <w:r>
        <w:rPr>
          <w:rtl w:val="true"/>
        </w:rPr>
        <w:t>در حكم اجير خاص</w:t>
      </w:r>
      <w:bookmarkEnd w:id="1601"/>
    </w:p>
    <w:p>
      <w:pPr>
        <w:pStyle w:val="Heading6"/>
        <w:numPr>
          <w:ilvl w:val="5"/>
          <w:numId w:val="1"/>
        </w:numPr>
        <w:rPr/>
      </w:pPr>
      <w:bookmarkStart w:id="1602" w:name="__RefHeading___Toc3598669_1067777946"/>
      <w:bookmarkStart w:id="1603" w:name="_Toc655"/>
      <w:bookmarkEnd w:id="1602"/>
      <w:r>
        <w:rPr>
          <w:rtl w:val="true"/>
        </w:rPr>
        <w:t>عدم جواز تفويت عمل در مدت معيّنه در اجير خاص</w:t>
      </w:r>
      <w:bookmarkEnd w:id="1603"/>
    </w:p>
    <w:p>
      <w:pPr>
        <w:pStyle w:val="BookText"/>
        <w:rPr/>
      </w:pPr>
      <w:r>
        <w:rPr>
          <w:rFonts w:ascii="IRNazanin" w:hAnsi="IRNazanin" w:eastAsia="IRNazanin"/>
          <w:color w:val="111111"/>
          <w:sz w:val="28"/>
          <w:sz w:val="28"/>
          <w:szCs w:val="28"/>
          <w:rtl w:val="true"/>
          <w:lang w:bidi="fa-IR"/>
        </w:rPr>
        <w:t>اجير خاص كه در مدت معينه، عملى از او را مملوكِ مستأجر نموده است، يا آنكه همۀ اعمال خود را در آن مدت، مملوكِ او به عقد اجاره نموده است، نمى تواند بدون اذنِ مستأجر، تفويت آن عمل نمايد به واسطۀ عمل مزاحم با مملوكِ مستأجر براى غير او، و مانعى ندارد عمل غير مزاحم يا همان عمل در وقت ديگر، مثل شب اگر مدتِ اوّلْ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منع، صورت تقييد عمل در اجارۀ اُولى است به استغراق وقت معيّن كه چيزى از آن وقت، خالى از عمل براى مستأجر نباشد، نه به نحو اشتراط در ضمن اجارۀ اُولى</w:t>
      </w:r>
      <w:r>
        <w:rPr>
          <w:rFonts w:eastAsia="IRNazanin" w:cs="IRNazanin"/>
          <w:color w:val="111111"/>
          <w:sz w:val="28"/>
          <w:szCs w:val="28"/>
          <w:rtl w:val="true"/>
          <w:lang w:bidi="fa-IR"/>
        </w:rPr>
        <w:t>.</w:t>
      </w:r>
    </w:p>
    <w:p>
      <w:pPr>
        <w:pStyle w:val="Heading6"/>
        <w:numPr>
          <w:ilvl w:val="5"/>
          <w:numId w:val="1"/>
        </w:numPr>
        <w:rPr/>
      </w:pPr>
      <w:bookmarkStart w:id="1604" w:name="__RefHeading___Toc3598671_1067777946"/>
      <w:bookmarkStart w:id="1605" w:name="_Toc656"/>
      <w:bookmarkEnd w:id="1604"/>
      <w:r>
        <w:rPr>
          <w:rtl w:val="true"/>
        </w:rPr>
        <w:t>حكم اجارۀ دوّم اجير خاص</w:t>
      </w:r>
      <w:bookmarkEnd w:id="16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تمليك كرد عملى را كه مملوك مستأجر نموده است به ديگرى، پس اجارۀ دوّم كه متعلّق به عمل مملوكِ مستأجر اوّل است، موقوف است صحّت آن به اذن مستأجر اوّل كه مالك است؛ و در صورت اذن، اجرت را مستأجر اوّل مالك مى شود نه عامل، به خلاف آنكه اگر اذن بدهد در اجارۀ عمل ديگر كه ضد مملوك او است، يا آنكه عمل نمايد در آن وقت براى غير، خياطت را مثلاً يا عمل ديگرى را به نحو غير مجّانى، كه اجرت را عاملْ مالك مى شود، نه مستأجر اوّل كه مملوك او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خياطت مقيّدۀ به وقت خاص بوده نه مطلق خياطت و نه عمل ديگر كه ضد </w:t>
      </w:r>
      <w:bookmarkStart w:id="1606" w:name="pg10256_89605"/>
    </w:p>
    <w:p>
      <w:pPr>
        <w:pStyle w:val="BookText"/>
        <w:rPr/>
      </w:pPr>
      <w:bookmarkEnd w:id="1606"/>
      <w:r>
        <w:rPr>
          <w:rFonts w:ascii="Amiri" w:hAnsi="Amiri" w:eastAsia="Amiri" w:cs="Amiri"/>
          <w:color w:val="111111"/>
          <w:sz w:val="28"/>
          <w:sz w:val="28"/>
          <w:szCs w:val="28"/>
          <w:rtl w:val="true"/>
          <w:lang w:bidi="ar-SA"/>
        </w:rPr>
        <w:t>مملوك او است، و نمى تواند عاملْ تسليم نمايد بدون اذن مستأجر اوّل كه مالك خياطت مقيّده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اذن در اجاره بر ضدّ مملوك خودش نداده بود، پس اجاره، دوّم بى اثر است؛ و اگر بعد از وقوع، اجازه داد و رفع مانع نمود، پس در حكم، مثل معامله بر غير مقدور شرعى است كه پس از آن قدرت حاصل شود و در تقدير صحّت بدون احتياج به تجديد عقد، عامل، مالك اجرت مى شود با آن اجازه نه مستأجر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عمل نمايد براى غير با اذن او بدون اذن مستأجر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اجارۀ اوّلى صحّت است و در بعض صور، خيار فسخ ثابت است براى مستأجر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فسخ در صورت وقوع آن بعد از مقدارى از عمل براى خودش يا قبل از آن و رجوع به اجرت مسمّاتِ آنچه بر او تفويت شده، يا امضاى با رجوع به اجرت المثل آنچه بر او تفويت شده، مختلف است</w:t>
      </w:r>
      <w:r>
        <w:rPr>
          <w:rFonts w:eastAsia="IRNazanin" w:cs="IRNazanin"/>
          <w:color w:val="111111"/>
          <w:sz w:val="28"/>
          <w:szCs w:val="28"/>
          <w:rtl w:val="true"/>
          <w:lang w:bidi="fa-IR"/>
        </w:rPr>
        <w:t>.</w:t>
      </w:r>
    </w:p>
    <w:p>
      <w:pPr>
        <w:pStyle w:val="Heading6"/>
        <w:numPr>
          <w:ilvl w:val="5"/>
          <w:numId w:val="1"/>
        </w:numPr>
        <w:rPr/>
      </w:pPr>
      <w:bookmarkStart w:id="1607" w:name="__RefHeading___Toc3598673_1067777946"/>
      <w:bookmarkStart w:id="1608" w:name="_Toc657"/>
      <w:bookmarkEnd w:id="1607"/>
      <w:r>
        <w:rPr>
          <w:rtl w:val="true"/>
        </w:rPr>
        <w:t>عمل اجير خاص براى غير بدون عوض</w:t>
      </w:r>
      <w:bookmarkEnd w:id="1608"/>
    </w:p>
    <w:p>
      <w:pPr>
        <w:pStyle w:val="BookText"/>
        <w:rPr/>
      </w:pPr>
      <w:r>
        <w:rPr>
          <w:rFonts w:ascii="IRNazanin" w:hAnsi="IRNazanin" w:eastAsia="IRNazanin"/>
          <w:color w:val="111111"/>
          <w:sz w:val="28"/>
          <w:sz w:val="28"/>
          <w:szCs w:val="28"/>
          <w:rtl w:val="true"/>
          <w:lang w:bidi="fa-IR"/>
        </w:rPr>
        <w:t>و اگر اجيرِ خاص عمل نمود براى غير بدون عوض، همان عمل خاص مورد اجاره را يا غير آن از اضداد آن را، ضامن است براى مستأجرْ اجرت مقرّره را يا قسط آن را در صورت فسخ، و اجرت المثلِ فائتِ بر او را در صورت امضا</w:t>
      </w:r>
      <w:r>
        <w:rPr>
          <w:rFonts w:eastAsia="IRNazanin" w:cs="IRNazanin"/>
          <w:color w:val="111111"/>
          <w:sz w:val="28"/>
          <w:szCs w:val="28"/>
          <w:rtl w:val="true"/>
          <w:lang w:bidi="fa-IR"/>
        </w:rPr>
        <w:t>.</w:t>
      </w:r>
    </w:p>
    <w:p>
      <w:pPr>
        <w:pStyle w:val="Heading6"/>
        <w:numPr>
          <w:ilvl w:val="5"/>
          <w:numId w:val="1"/>
        </w:numPr>
        <w:rPr/>
      </w:pPr>
      <w:bookmarkStart w:id="1609" w:name="__RefHeading___Toc3598675_1067777946"/>
      <w:bookmarkStart w:id="1610" w:name="_Toc658"/>
      <w:bookmarkEnd w:id="1609"/>
      <w:r>
        <w:rPr>
          <w:rtl w:val="true"/>
        </w:rPr>
        <w:t>حيازت اجير خاص</w:t>
      </w:r>
      <w:bookmarkEnd w:id="161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حيازت مباحى به نيّت تملك نمود در صورتى كه ضد آن مملوك مستأجر است، مالك به حيازت مى شود و براى مستأجرْ ضامن فايت بر او است در صورت امضا و فسخ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 مستأجر تمام منافع او باشد يا خصوص حيازت باشد، پس مالك به حيازت او مستأجر مى شود بنابر عدم اعتبار نيّت تملّك مستأجر و عدم اضرار نيّت خلاف و عدم تاثير آن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حكم ضمان فايت براى مستأجرْ مستفاد از مذكور است</w:t>
      </w:r>
      <w:r>
        <w:rPr>
          <w:rFonts w:eastAsia="IRNazanin" w:cs="IRNazanin"/>
          <w:color w:val="111111"/>
          <w:sz w:val="28"/>
          <w:szCs w:val="28"/>
          <w:rtl w:val="true"/>
          <w:lang w:bidi="fa-IR"/>
        </w:rPr>
        <w:t xml:space="preserve">. </w:t>
      </w:r>
      <w:bookmarkStart w:id="1611" w:name="pg10256_89606"/>
    </w:p>
    <w:p>
      <w:pPr>
        <w:pStyle w:val="Heading5"/>
        <w:numPr>
          <w:ilvl w:val="4"/>
          <w:numId w:val="1"/>
        </w:numPr>
        <w:rPr/>
      </w:pPr>
      <w:bookmarkStart w:id="1612" w:name="__RefHeading___Toc3598677_1067777946"/>
      <w:bookmarkStart w:id="1613" w:name="_Toc659"/>
      <w:bookmarkEnd w:id="1611"/>
      <w:bookmarkEnd w:id="1612"/>
      <w:r>
        <w:rPr>
          <w:rtl w:val="true"/>
        </w:rPr>
        <w:t>حكم اجير مشترك</w:t>
      </w:r>
      <w:bookmarkEnd w:id="1613"/>
    </w:p>
    <w:p>
      <w:pPr>
        <w:pStyle w:val="Heading6"/>
        <w:numPr>
          <w:ilvl w:val="5"/>
          <w:numId w:val="1"/>
        </w:numPr>
        <w:rPr/>
      </w:pPr>
      <w:bookmarkStart w:id="1614" w:name="__RefHeading___Toc3598679_1067777946"/>
      <w:bookmarkStart w:id="1615" w:name="_Toc660"/>
      <w:bookmarkEnd w:id="1614"/>
      <w:r>
        <w:rPr>
          <w:rtl w:val="true"/>
        </w:rPr>
        <w:t>اشاره</w:t>
      </w:r>
      <w:bookmarkEnd w:id="1615"/>
    </w:p>
    <w:p>
      <w:pPr>
        <w:pStyle w:val="BookText"/>
        <w:rPr/>
      </w:pPr>
      <w:r>
        <w:rPr>
          <w:rFonts w:ascii="IRNazanin" w:hAnsi="IRNazanin" w:eastAsia="IRNazanin"/>
          <w:color w:val="111111"/>
          <w:sz w:val="28"/>
          <w:sz w:val="28"/>
          <w:szCs w:val="28"/>
          <w:rtl w:val="true"/>
          <w:lang w:bidi="fa-IR"/>
        </w:rPr>
        <w:t>اگر اجير مشترك باشد مى تواند بدون اذنِ مستأجر، عمل نمايد براى خود يا غير به سبب اجاره يا از روى تبرّع؛ و آن عبارت است از اجيرى كه اجارۀ دوّم اگر چه در آن اجير خاص بشود، منافى با اجارۀ اوّلى نباشد به واسطۀ عدم مشخصيّت زمان خاص يا عدم استغراق آن يا عدم اعتبار مباشرت در عمل واقع در مورد اجارۀ اولى</w:t>
      </w:r>
      <w:r>
        <w:rPr>
          <w:rFonts w:eastAsia="IRNazanin" w:cs="IRNazanin"/>
          <w:color w:val="111111"/>
          <w:sz w:val="28"/>
          <w:szCs w:val="28"/>
          <w:rtl w:val="true"/>
          <w:lang w:bidi="fa-IR"/>
        </w:rPr>
        <w:t>.</w:t>
      </w:r>
    </w:p>
    <w:p>
      <w:pPr>
        <w:pStyle w:val="Heading6"/>
        <w:numPr>
          <w:ilvl w:val="5"/>
          <w:numId w:val="1"/>
        </w:numPr>
        <w:rPr/>
      </w:pPr>
      <w:bookmarkStart w:id="1616" w:name="__RefHeading___Toc3598681_1067777946"/>
      <w:bookmarkStart w:id="1617" w:name="_Toc661"/>
      <w:bookmarkEnd w:id="1616"/>
      <w:r>
        <w:rPr>
          <w:rtl w:val="true"/>
        </w:rPr>
        <w:t>صحّت اجارۀ دوّم در فرض عدم قيد مباشرت</w:t>
      </w:r>
      <w:bookmarkEnd w:id="1617"/>
    </w:p>
    <w:p>
      <w:pPr>
        <w:pStyle w:val="BookText"/>
        <w:rPr/>
      </w:pPr>
      <w:r>
        <w:rPr>
          <w:rFonts w:ascii="IRNazanin" w:hAnsi="IRNazanin" w:eastAsia="IRNazanin"/>
          <w:color w:val="111111"/>
          <w:sz w:val="28"/>
          <w:sz w:val="28"/>
          <w:szCs w:val="28"/>
          <w:rtl w:val="true"/>
          <w:lang w:bidi="fa-IR"/>
        </w:rPr>
        <w:t>پس ظاهر است كه اگر مباشرت در اجارۀ اوّلى قيد نشود و مدت قيد بشود، اجارۀ دوّم كه منافى با اجارۀ اوّلى نيست، صحيح است، چه مطلق باشد چه در مدت، با قيد مباشرت يا بدون آن؛ پس با مطالبۀ مستأجر اوّل، ادا مى نمايد حق او با مباشرت يا بدون آن؛ پس اگر به جا نياورد، معصيت كرده است و مستأجر اوّل مى تواند فسخِ عقد خود بنمايد؛ و اگر فسخ نكرد، اجرت المثلِ عمل فائتِ در مدت را مطالبه مى نمايد و با عقدِ غير كارى ندارد و نمى تواند آن را فسخ نمايد يا مطالبۀ اجرت المثل عمل مستحَق خودش را بنمايد از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مضىّ مدت و عدم ادا اگر چه مطالبه نباشد، مى تواند بعد از فوت عمل مستأجر عليه، فسخ نمايد و اجرت مقرّره را تملّك نمايد، يا آنكه امضا نمايد و بدل و اجرت المثل عمل را از موجرْ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مشخّصه در اجارۀ اولى قيد نشود و مباشرتْ قيد شود، پس اگر اجارۀ دومْ مطلق باشد از حيث مباشرت و يا آنكه مقيّد به مباشرت باشد و منافىِ اجارۀ اولى نباشد، صحيح است، مثل آنكه بتواند بعد از مدت اجارۀ دوّم، عمل به اجارۀ اولىٰ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بعد از مطالبۀ مستأجر اوّل امتناع نموده باشد در صورت استحقاق او مبادرت و فوريّت با مطالبه را كه حق فسخ عقد خودش بنمايد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اجارۀ اوّلى فاقد قيد مباشرت و مدّت مشخّصه بود، جميع اقسام اجارۀ دوّم كه منافى نباشد، صحيح است و حق فسخ براى اولى در صورت مطالبه و امتناع </w:t>
      </w:r>
      <w:bookmarkStart w:id="1618" w:name="pg10256_89607"/>
    </w:p>
    <w:p>
      <w:pPr>
        <w:pStyle w:val="BookText"/>
        <w:rPr/>
      </w:pPr>
      <w:bookmarkEnd w:id="1618"/>
      <w:r>
        <w:rPr>
          <w:rFonts w:ascii="Amiri" w:hAnsi="Amiri" w:eastAsia="Amiri" w:cs="Amiri"/>
          <w:color w:val="111111"/>
          <w:sz w:val="28"/>
          <w:sz w:val="28"/>
          <w:szCs w:val="28"/>
          <w:rtl w:val="true"/>
          <w:lang w:bidi="ar-SA"/>
        </w:rPr>
        <w:t>با استحقاق مبادرت و فوريّت ثابت است، لكن استحقاق فوريّت با عدم تضييق وقت عمل در اصل اجاره و عدم قرينۀ خارجيّه بر فوريّت در وقت مطالبه، محل تأمل است</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3598683_1067777946"/>
      <w:bookmarkStart w:id="1620" w:name="_Toc662"/>
      <w:bookmarkEnd w:id="1619"/>
      <w:r>
        <w:rPr>
          <w:rtl w:val="true"/>
        </w:rPr>
        <w:t>چند مسأله</w:t>
      </w:r>
      <w:bookmarkEnd w:id="1620"/>
    </w:p>
    <w:p>
      <w:pPr>
        <w:pStyle w:val="Heading6"/>
        <w:numPr>
          <w:ilvl w:val="5"/>
          <w:numId w:val="1"/>
        </w:numPr>
        <w:rPr/>
      </w:pPr>
      <w:bookmarkStart w:id="1621" w:name="__RefHeading___Toc3598685_1067777946"/>
      <w:bookmarkStart w:id="1622" w:name="_Toc663"/>
      <w:bookmarkEnd w:id="1621"/>
      <w:r>
        <w:rPr>
          <w:rtl w:val="true"/>
        </w:rPr>
        <w:t>تملّك منفعت و اجرت به نفس عقد</w:t>
      </w:r>
      <w:bookmarkEnd w:id="1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عين در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مى شود به نفس تماميّت عقد اجاره، نه به فعليّت وجود، و هم چنين اجرت اگر چه استحقاق مطالبه موقوف به فعليّت استيفا است</w:t>
      </w:r>
      <w:r>
        <w:rPr>
          <w:rFonts w:eastAsia="IRNazanin" w:cs="IRNazanin"/>
          <w:color w:val="111111"/>
          <w:sz w:val="28"/>
          <w:szCs w:val="28"/>
          <w:rtl w:val="true"/>
          <w:lang w:bidi="fa-IR"/>
        </w:rPr>
        <w:t>.</w:t>
      </w:r>
    </w:p>
    <w:p>
      <w:pPr>
        <w:pStyle w:val="Heading6"/>
        <w:numPr>
          <w:ilvl w:val="5"/>
          <w:numId w:val="1"/>
        </w:numPr>
        <w:rPr/>
      </w:pPr>
      <w:bookmarkStart w:id="1623" w:name="__RefHeading___Toc3598687_1067777946"/>
      <w:bookmarkStart w:id="1624" w:name="_Toc664"/>
      <w:bookmarkEnd w:id="1623"/>
      <w:r>
        <w:rPr>
          <w:rtl w:val="true"/>
        </w:rPr>
        <w:t>تعيين ابتدا و انتهاى اجاره و عدم غرريت آن</w:t>
      </w:r>
      <w:bookmarkEnd w:id="16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نهايت مدت در اجاره معلوم باشد به نحوى كه از غرر خارج باشد، و ابتداى آن در اجارۀ اعيان بايد معلوم باشد اگر چه منفصل از زمان عقد باشد بنابر اظهر؛ پس اجاره با عدم تعيين آخر يا اوّل در اجارۀ اعيان، باطل است؛ بلى عدم تعيين زمان منفصل از عقد، كافى است در فهم اتصال اوّل به زمان عقد، و اگر كافى نبود و حمل بر اطلاق و اعم از متصل و منفصل مى شد، مستلزم غرر در بعض فروض بود اگر چه آخر آن معلوم باشد، مثل يك ماه در اين سال كه شامل يك ماه تابستان و يك ماه زمستان مى شود</w:t>
      </w:r>
      <w:r>
        <w:rPr>
          <w:rFonts w:eastAsia="IRNazanin" w:cs="IRNazanin"/>
          <w:color w:val="111111"/>
          <w:sz w:val="28"/>
          <w:szCs w:val="28"/>
          <w:rtl w:val="true"/>
          <w:lang w:bidi="fa-IR"/>
        </w:rPr>
        <w:t>.</w:t>
      </w:r>
    </w:p>
    <w:p>
      <w:pPr>
        <w:pStyle w:val="Heading6"/>
        <w:numPr>
          <w:ilvl w:val="5"/>
          <w:numId w:val="1"/>
        </w:numPr>
        <w:rPr/>
      </w:pPr>
      <w:bookmarkStart w:id="1625" w:name="__RefHeading___Toc3598689_1067777946"/>
      <w:bookmarkStart w:id="1626" w:name="_Toc665"/>
      <w:bookmarkEnd w:id="1625"/>
      <w:r>
        <w:rPr>
          <w:rtl w:val="true"/>
        </w:rPr>
        <w:t>صورت لزوم اجرت بر مستأجر</w:t>
      </w:r>
      <w:bookmarkEnd w:id="16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اجرت لازم مى شود بر مستأجر براى موجر، به استيفاى منفعت و به عمل واقع در مورد اجاره و به گذشتن زمان مقرّر و زمانى كه متعارف است ايقاع عمل در آن اگر تقدير به غير زمان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تسليم عين به منتفع و عامل و وقوع اجاره بر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استيفا و عمل واقع نشود به سبب عذرى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حكم در اجارۀ اعمال غير موقّته، مشكل است مگر در صورت تعارفى كه جارى مجراى تقدير به زمان و فوت عمل به اختيار مالك عمل باشد</w:t>
      </w:r>
      <w:r>
        <w:rPr>
          <w:rFonts w:eastAsia="IRNazanin" w:cs="IRNazanin"/>
          <w:color w:val="111111"/>
          <w:sz w:val="28"/>
          <w:szCs w:val="28"/>
          <w:rtl w:val="true"/>
          <w:lang w:bidi="fa-IR"/>
        </w:rPr>
        <w:t>.</w:t>
      </w:r>
      <w:bookmarkStart w:id="1627" w:name="pg10256_89608"/>
    </w:p>
    <w:p>
      <w:pPr>
        <w:pStyle w:val="BookText"/>
        <w:rPr/>
      </w:pPr>
      <w:bookmarkEnd w:id="1627"/>
      <w:r>
        <w:rPr>
          <w:rFonts w:ascii="IRNazanin" w:hAnsi="IRNazanin" w:eastAsia="IRNazanin"/>
          <w:color w:val="111111"/>
          <w:sz w:val="28"/>
          <w:sz w:val="28"/>
          <w:szCs w:val="28"/>
          <w:rtl w:val="true"/>
          <w:lang w:bidi="fa-IR"/>
        </w:rPr>
        <w:t>و اگر استيجار براى قلع ضرس بشود، پس با فوت آن به سب تفويت مالك به اجاره و تسليم عامل، مثل سابق است؛ و اگر بعد از عقد، درد موجب استيجار زايل شد به طورى كه در قلع، غرض عقلايى نباشد، اجاره منفسخ مى شود</w:t>
      </w:r>
      <w:r>
        <w:rPr>
          <w:rFonts w:eastAsia="IRNazanin" w:cs="IRNazanin"/>
          <w:color w:val="111111"/>
          <w:sz w:val="28"/>
          <w:szCs w:val="28"/>
          <w:rtl w:val="true"/>
          <w:lang w:bidi="fa-IR"/>
        </w:rPr>
        <w:t>.</w:t>
      </w:r>
    </w:p>
    <w:p>
      <w:pPr>
        <w:pStyle w:val="Heading6"/>
        <w:numPr>
          <w:ilvl w:val="5"/>
          <w:numId w:val="1"/>
        </w:numPr>
        <w:rPr/>
      </w:pPr>
      <w:bookmarkStart w:id="1628" w:name="__RefHeading___Toc3598691_1067777946"/>
      <w:bookmarkStart w:id="1629" w:name="_Toc666"/>
      <w:bookmarkEnd w:id="1628"/>
      <w:r>
        <w:rPr>
          <w:rtl w:val="true"/>
        </w:rPr>
        <w:t>تلف عين مورد اجاره به آفت آسمانى</w:t>
      </w:r>
      <w:bookmarkEnd w:id="16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استيجار كرد شخصْ عينى را پس تلف شد آن عين به آفت سماويه قبل از زمان انتفاع، قبل از قبض آن يا بعد از قبض آن، و كشف شد عدم امكان انتفاع به مورد اجاره بدون اختيار كسى، اجاره منفسخ مى شود از اصل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تلف به آفت سماويه، در بعض مدت انتفاع باشد، اجاره در بعض گذشته صحيح است و در بقيه منفسخ است، و رجوع مى نمايد مستأجر به قسط متخلّف از منفعت از اجرت مقرره در اجاره با ملاحظۀ مساوات ابعاض مدت در اجرت منفعت، يا عدم مساوات و اخذ نسبت متخلّف از مجموع مال الاجارۀ تمام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مورد اجاره، انتفاع به عين مشخصه نبود، بلكه كلى موصوف بود كه تسليم به مستأجر شده بوده فردى از آن، پس اظهرْ عدم انفساخ اجاره است در تقدير تلف به آفت سماويّه، بلكه مستأجر مطالبۀ فرد ديگر مى نمايد براى انتفاع، و تلف به آفت سماويّه، موجب ضمان امين نيست</w:t>
      </w:r>
      <w:r>
        <w:rPr>
          <w:rFonts w:eastAsia="IRNazanin" w:cs="IRNazanin"/>
          <w:color w:val="111111"/>
          <w:sz w:val="28"/>
          <w:szCs w:val="28"/>
          <w:rtl w:val="true"/>
          <w:lang w:bidi="fa-IR"/>
        </w:rPr>
        <w:t>.</w:t>
      </w:r>
    </w:p>
    <w:p>
      <w:pPr>
        <w:pStyle w:val="Heading6"/>
        <w:numPr>
          <w:ilvl w:val="5"/>
          <w:numId w:val="1"/>
        </w:numPr>
        <w:rPr/>
      </w:pPr>
      <w:bookmarkStart w:id="1630" w:name="__RefHeading___Toc3598693_1067777946"/>
      <w:bookmarkStart w:id="1631" w:name="_Toc667"/>
      <w:bookmarkEnd w:id="1630"/>
      <w:r>
        <w:rPr>
          <w:rtl w:val="true"/>
        </w:rPr>
        <w:t>لزوم رفع جهالت در اجارۀ دابّه</w:t>
      </w:r>
      <w:bookmarkEnd w:id="16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فرض اجارۀ دابّه، بايد رفع جهالت موجبۀ غرر در اجاره بشود، به مثل مشاهدۀ محمول و يا ذكر اوصاف آن، يا تقدير به وزن، يا حمل مؤجر به طورى كه معرضيّت براى نزاع و اختلاف متأخّر نداشته باشد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مركوب باشد كه بايد رفع جهالت راكب و دفع خطر از خصوصيات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تنزيل بر متعارف و معتاد و بناى عقد بر آن، مُغنى از توصيف و اشتراط در بعض خصوصياتِ مربوطه به اجاره است؛ و مناط، </w:t>
      </w:r>
      <w:bookmarkStart w:id="1632" w:name="pg10256_89609"/>
    </w:p>
    <w:p>
      <w:pPr>
        <w:pStyle w:val="BookText"/>
        <w:rPr/>
      </w:pPr>
      <w:bookmarkEnd w:id="1632"/>
      <w:r>
        <w:rPr>
          <w:rFonts w:ascii="IRNazanin" w:hAnsi="IRNazanin" w:eastAsia="IRNazanin"/>
          <w:color w:val="111111"/>
          <w:sz w:val="28"/>
          <w:sz w:val="28"/>
          <w:szCs w:val="28"/>
          <w:rtl w:val="true"/>
          <w:lang w:bidi="fa-IR"/>
        </w:rPr>
        <w:t>محفوظيت از خطر و خوف وقوع در نزاع در مستقبل است در هر يك از عين معيّنه يا كلّيه و محمول و راكب، به آنچه رافع جهالت و غرر است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استيجار براى حمل مالى معيّن در ذمۀ موجر در زمان معيّن، احتياجى به ذكر و توصيف مركب حامل و توصيف آن ندارد</w:t>
      </w:r>
      <w:r>
        <w:rPr>
          <w:rFonts w:eastAsia="IRNazanin" w:cs="IRNazanin"/>
          <w:color w:val="111111"/>
          <w:sz w:val="28"/>
          <w:szCs w:val="28"/>
          <w:rtl w:val="true"/>
          <w:lang w:bidi="fa-IR"/>
        </w:rPr>
        <w:t>.</w:t>
      </w:r>
    </w:p>
    <w:p>
      <w:pPr>
        <w:pStyle w:val="Heading6"/>
        <w:numPr>
          <w:ilvl w:val="5"/>
          <w:numId w:val="1"/>
        </w:numPr>
        <w:rPr/>
      </w:pPr>
      <w:bookmarkStart w:id="1633" w:name="__RefHeading___Toc3598695_1067777946"/>
      <w:bookmarkStart w:id="1634" w:name="_Toc668"/>
      <w:bookmarkEnd w:id="1633"/>
      <w:r>
        <w:rPr>
          <w:rtl w:val="true"/>
        </w:rPr>
        <w:t>جواز استيجار يك مركوب توسط دو نفر</w:t>
      </w:r>
      <w:bookmarkEnd w:id="16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يك مركوب را دو نفر مثلاً استيجار نمايند كه به تناوب استفاده نمايند، و بالسويّه در صورت مساوات و با تفاوت در صورت عدم مساوات قسمت مى نمايند با تراضى، و اظهر تعيين ابتداكننده است در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سبب اختلاف، بعد از عقد حادث شد با قرعه، رفع اختلاف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 مشاع بودن منفعت مملوكه به نحو تنصيف يا تثليث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تناوب و تقدير به مدّت يا فرسخ در حق هر كدام، پس بايد مبدءِ شروع شخص خاص، در عقد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جهالت در حين عقد بايد رفع بشود تا استيجار غررى نباشد</w:t>
      </w:r>
      <w:r>
        <w:rPr>
          <w:rFonts w:eastAsia="IRNazanin" w:cs="IRNazanin"/>
          <w:color w:val="111111"/>
          <w:sz w:val="28"/>
          <w:szCs w:val="28"/>
          <w:rtl w:val="true"/>
          <w:lang w:bidi="fa-IR"/>
        </w:rPr>
        <w:t>.</w:t>
      </w:r>
    </w:p>
    <w:p>
      <w:pPr>
        <w:pStyle w:val="Heading6"/>
        <w:numPr>
          <w:ilvl w:val="5"/>
          <w:numId w:val="1"/>
        </w:numPr>
        <w:rPr/>
      </w:pPr>
      <w:bookmarkStart w:id="1635" w:name="__RefHeading___Toc3598697_1067777946"/>
      <w:bookmarkStart w:id="1636" w:name="_Toc669"/>
      <w:bookmarkEnd w:id="1635"/>
      <w:r>
        <w:rPr>
          <w:rtl w:val="true"/>
        </w:rPr>
        <w:t>ضمان در خروج از متعارف در اجارۀ دابّه</w:t>
      </w:r>
      <w:bookmarkEnd w:id="1636"/>
    </w:p>
    <w:p>
      <w:pPr>
        <w:pStyle w:val="Heading6"/>
        <w:numPr>
          <w:ilvl w:val="5"/>
          <w:numId w:val="1"/>
        </w:numPr>
        <w:rPr/>
      </w:pPr>
      <w:bookmarkStart w:id="1637" w:name="__RefHeading___Toc3598699_1067777946"/>
      <w:bookmarkStart w:id="1638" w:name="_Toc670"/>
      <w:bookmarkEnd w:id="1637"/>
      <w:r>
        <w:rPr>
          <w:rtl w:val="true"/>
        </w:rPr>
        <w:t>اشاره</w:t>
      </w:r>
      <w:bookmarkEnd w:id="163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استيجار نمود دابّه را، پس در سَير يا در زدن او از معتاد متعارفْ خارج شد، ضامن است، به خلاف صورت عدم خروج از متعارف</w:t>
      </w:r>
      <w:r>
        <w:rPr>
          <w:rFonts w:eastAsia="IRNazanin" w:cs="IRNazanin"/>
          <w:color w:val="111111"/>
          <w:sz w:val="28"/>
          <w:szCs w:val="28"/>
          <w:rtl w:val="true"/>
          <w:lang w:bidi="fa-IR"/>
        </w:rPr>
        <w:t>.</w:t>
      </w:r>
    </w:p>
    <w:p>
      <w:pPr>
        <w:pStyle w:val="Heading6"/>
        <w:numPr>
          <w:ilvl w:val="5"/>
          <w:numId w:val="1"/>
        </w:numPr>
        <w:rPr/>
      </w:pPr>
      <w:bookmarkStart w:id="1639" w:name="__RefHeading___Toc3598701_1067777946"/>
      <w:bookmarkStart w:id="1640" w:name="_Toc671"/>
      <w:bookmarkEnd w:id="1639"/>
      <w:r>
        <w:rPr>
          <w:rtl w:val="true"/>
        </w:rPr>
        <w:t>مسألۀ ضمان معلّم و پدر و مادر در تأديب كودك</w:t>
      </w:r>
      <w:bookmarkEnd w:id="1640"/>
    </w:p>
    <w:p>
      <w:pPr>
        <w:pStyle w:val="BookText"/>
        <w:rPr/>
      </w:pPr>
      <w:r>
        <w:rPr>
          <w:rFonts w:ascii="IRNazanin" w:hAnsi="IRNazanin" w:eastAsia="IRNazanin"/>
          <w:color w:val="111111"/>
          <w:sz w:val="28"/>
          <w:sz w:val="28"/>
          <w:szCs w:val="28"/>
          <w:rtl w:val="true"/>
          <w:lang w:bidi="fa-IR"/>
        </w:rPr>
        <w:t>و كلام در ضمان معلّم و پدر و مادر، صبىّ را، براى تأديب با عدم خروج از آنچه معتاد و جايز يا لازم است، در محل ديگر مذكور است، و احتياط در ضمان است اگر مؤدّى به موجب آن شد از روى خطأ</w:t>
      </w:r>
      <w:r>
        <w:rPr>
          <w:rFonts w:eastAsia="IRNazanin" w:cs="IRNazanin"/>
          <w:color w:val="111111"/>
          <w:sz w:val="28"/>
          <w:szCs w:val="28"/>
          <w:rtl w:val="true"/>
          <w:lang w:bidi="fa-IR"/>
        </w:rPr>
        <w:t>.</w:t>
      </w:r>
    </w:p>
    <w:p>
      <w:pPr>
        <w:pStyle w:val="Heading6"/>
        <w:numPr>
          <w:ilvl w:val="5"/>
          <w:numId w:val="1"/>
        </w:numPr>
        <w:rPr/>
      </w:pPr>
      <w:bookmarkStart w:id="1641" w:name="__RefHeading___Toc3598703_1067777946"/>
      <w:bookmarkStart w:id="1642" w:name="_Toc672"/>
      <w:bookmarkEnd w:id="1641"/>
      <w:r>
        <w:rPr>
          <w:rtl w:val="true"/>
        </w:rPr>
        <w:t>لزوم مشاهدۀ عين مورد اجاره يا توصيف رافع غرر</w:t>
      </w:r>
      <w:bookmarkEnd w:id="164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استيجار شد خانه براى سكنى، و باغى براى غرس اشجار، و زمينى براى</w:t>
      </w:r>
      <w:bookmarkStart w:id="1643" w:name="pg10256_89610"/>
    </w:p>
    <w:p>
      <w:pPr>
        <w:pStyle w:val="BookText"/>
        <w:rPr/>
      </w:pPr>
      <w:bookmarkEnd w:id="1643"/>
      <w:r>
        <w:rPr>
          <w:rFonts w:ascii="IRNazanin" w:hAnsi="IRNazanin" w:eastAsia="IRNazanin"/>
          <w:color w:val="111111"/>
          <w:sz w:val="28"/>
          <w:sz w:val="28"/>
          <w:szCs w:val="28"/>
          <w:rtl w:val="true"/>
          <w:lang w:bidi="fa-IR"/>
        </w:rPr>
        <w:t>زراعت، پس بايد مشاهدۀ عين بشود يا توصيف آن بشود به نحوى كه رافع غرر باشد، مثل توصيف عين در سَلَم در صورتى كه كلّى و در ذمّه باشد</w:t>
      </w:r>
      <w:r>
        <w:rPr>
          <w:rFonts w:eastAsia="IRNazanin" w:cs="IRNazanin"/>
          <w:color w:val="111111"/>
          <w:sz w:val="28"/>
          <w:szCs w:val="28"/>
          <w:rtl w:val="true"/>
          <w:lang w:bidi="fa-IR"/>
        </w:rPr>
        <w:t>.</w:t>
      </w:r>
    </w:p>
    <w:p>
      <w:pPr>
        <w:pStyle w:val="Heading6"/>
        <w:numPr>
          <w:ilvl w:val="5"/>
          <w:numId w:val="1"/>
        </w:numPr>
        <w:rPr/>
      </w:pPr>
      <w:bookmarkStart w:id="1644" w:name="__RefHeading___Toc3598705_1067777946"/>
      <w:bookmarkStart w:id="1645" w:name="_Toc673"/>
      <w:bookmarkEnd w:id="1644"/>
      <w:r>
        <w:rPr>
          <w:rtl w:val="true"/>
        </w:rPr>
        <w:t>لزوم و عدم لزوم تعيين مباشر در خياطت و اجارۀ زمين</w:t>
      </w:r>
      <w:bookmarkEnd w:id="164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استيجار براى خياطت ثوبى معيّن باشد، تعيين مباشر لازم نيست؛ و اگر زمان خياطت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مبدء تا منتهى معيّن نمود، پس تعيين مباشر براى دفع غرر لازم است در صورتى كه اجاره، متعلِّق به اتمام خياطت آن ثوب،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اجارۀ زمين براى زراعت، يك جريب معيّن باشد كه تعيين مباشرِ زراعت، لازم نيست</w:t>
      </w:r>
      <w:r>
        <w:rPr>
          <w:rFonts w:eastAsia="IRNazanin" w:cs="IRNazanin"/>
          <w:color w:val="111111"/>
          <w:sz w:val="28"/>
          <w:szCs w:val="28"/>
          <w:rtl w:val="true"/>
          <w:lang w:bidi="fa-IR"/>
        </w:rPr>
        <w:t>.</w:t>
      </w:r>
    </w:p>
    <w:p>
      <w:pPr>
        <w:pStyle w:val="Heading6"/>
        <w:numPr>
          <w:ilvl w:val="5"/>
          <w:numId w:val="1"/>
        </w:numPr>
        <w:rPr/>
      </w:pPr>
      <w:bookmarkStart w:id="1646" w:name="__RefHeading___Toc3598707_1067777946"/>
      <w:bookmarkStart w:id="1647" w:name="_Toc674"/>
      <w:bookmarkEnd w:id="1646"/>
      <w:r>
        <w:rPr>
          <w:rtl w:val="true"/>
        </w:rPr>
        <w:t>لزوم تعيين زمين در حفر چاه</w:t>
      </w:r>
      <w:bookmarkEnd w:id="164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استيجار براى حفر بئر يا مثل آن باشد، بايد تعيين زمين به مشاهده يا توصيف آن به نحو رافع غرر بشود، چه زمينْ مشخص باشد يا كلى ذمى يا كلى خارجى، مثل يك جريب از اين زمين واسع به طورى كه از جهالت كه موجب غرر است، خارج بشود</w:t>
      </w:r>
      <w:r>
        <w:rPr>
          <w:rFonts w:eastAsia="IRNazanin" w:cs="IRNazanin"/>
          <w:color w:val="111111"/>
          <w:sz w:val="28"/>
          <w:szCs w:val="28"/>
          <w:rtl w:val="true"/>
          <w:lang w:bidi="fa-IR"/>
        </w:rPr>
        <w:t>.</w:t>
      </w:r>
    </w:p>
    <w:p>
      <w:pPr>
        <w:pStyle w:val="Heading6"/>
        <w:numPr>
          <w:ilvl w:val="5"/>
          <w:numId w:val="1"/>
        </w:numPr>
        <w:rPr/>
      </w:pPr>
      <w:bookmarkStart w:id="1648" w:name="__RefHeading___Toc3598709_1067777946"/>
      <w:bookmarkStart w:id="1649" w:name="_Toc675"/>
      <w:bookmarkEnd w:id="1648"/>
      <w:r>
        <w:rPr>
          <w:rtl w:val="true"/>
        </w:rPr>
        <w:t>ثبوت رفع موانع حفر بر اجير براى حفر</w:t>
      </w:r>
      <w:bookmarkEnd w:id="164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استيجار براى 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اجير است اگر معتادْ ازالۀ او است، مثل تراب حفر اگر به سبب دور نكردن، در بئر واقع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 بئر را حفر كرد و بعض ديگر متعذّر شد، يا به سببى فسخ معامله واقع شد، نسبت محفور با مجموع از آن و با غير محفور ملاحظه مى شود و به همان نسبتْ اجرت را از مسمّى مستحق است با حفظ نسبت در صورت تساوى اجزا و اختلاف آنها از حيث صعوبت حفر و سهولت آن كه موجب تقسيط اجرت به تفاوت مى شود</w:t>
      </w:r>
      <w:r>
        <w:rPr>
          <w:rFonts w:eastAsia="IRNazanin" w:cs="IRNazanin"/>
          <w:color w:val="111111"/>
          <w:sz w:val="28"/>
          <w:szCs w:val="28"/>
          <w:rtl w:val="true"/>
          <w:lang w:bidi="fa-IR"/>
        </w:rPr>
        <w:t>.</w:t>
      </w:r>
    </w:p>
    <w:p>
      <w:pPr>
        <w:pStyle w:val="Heading6"/>
        <w:numPr>
          <w:ilvl w:val="5"/>
          <w:numId w:val="1"/>
        </w:numPr>
        <w:rPr/>
      </w:pPr>
      <w:bookmarkStart w:id="1650" w:name="__RefHeading___Toc3598711_1067777946"/>
      <w:bookmarkStart w:id="1651" w:name="_Toc676"/>
      <w:bookmarkEnd w:id="1650"/>
      <w:r>
        <w:rPr>
          <w:rtl w:val="true"/>
        </w:rPr>
        <w:t>استيجار مرضعه</w:t>
      </w:r>
      <w:bookmarkEnd w:id="1651"/>
    </w:p>
    <w:p>
      <w:pPr>
        <w:pStyle w:val="Heading6"/>
        <w:numPr>
          <w:ilvl w:val="5"/>
          <w:numId w:val="1"/>
        </w:numPr>
        <w:rPr/>
      </w:pPr>
      <w:bookmarkStart w:id="1652" w:name="__RefHeading___Toc3598713_1067777946"/>
      <w:bookmarkStart w:id="1653" w:name="_Toc677"/>
      <w:bookmarkEnd w:id="1652"/>
      <w:r>
        <w:rPr>
          <w:rtl w:val="true"/>
        </w:rPr>
        <w:t>اشاره</w:t>
      </w:r>
      <w:bookmarkEnd w:id="165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استيجار مُرضِعه در مدت معيّنه با اذن زوج يا وثوق به عدم منافات</w:t>
      </w:r>
      <w:bookmarkStart w:id="1654" w:name="pg10256_89611"/>
    </w:p>
    <w:p>
      <w:pPr>
        <w:pStyle w:val="BookText"/>
        <w:rPr/>
      </w:pPr>
      <w:bookmarkEnd w:id="1654"/>
      <w:r>
        <w:rPr>
          <w:rFonts w:ascii="Amiri" w:hAnsi="Amiri" w:eastAsia="Amiri" w:cs="Amiri"/>
          <w:color w:val="111111"/>
          <w:sz w:val="28"/>
          <w:sz w:val="28"/>
          <w:szCs w:val="28"/>
          <w:rtl w:val="true"/>
          <w:lang w:bidi="ar-SA"/>
        </w:rPr>
        <w:t xml:space="preserve">ارضاع در مدت استيجار با حق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مختلف است به حسب خصوصيات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آنكه مستأجرْ زوج باشد براى طفلى از غير يا از زوج، از مرضعه يا غير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جارى است در استيجار زن براى غير ارضاع، آنچه ثابت است براى استيجار براى ارضاع از ساير اعمال كه ممكن است منافات با حق زوج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است رفع جهالت با مشاهدۀ مرضعه، صبىّ يا صبيه را، يا اختبار و امتحان او به طورى كه از غرر خارج بشود در اختلاف اطفال در كميّت و كيفيّت استرضاع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مرضعه در اجارۀ ولىّ يا اجارۀ وكيل زن، لازم است بنابر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احتياط، در عدم خروج از معتاد و متعارف است در خصوصيّت زمان و مكان و مقدار عمل و كيفيّت آن، اگر چه عدم وجوب بدون شرط، متّجه است</w:t>
      </w:r>
      <w:r>
        <w:rPr>
          <w:rFonts w:eastAsia="IRNazanin" w:cs="IRNazanin"/>
          <w:color w:val="111111"/>
          <w:sz w:val="28"/>
          <w:szCs w:val="28"/>
          <w:rtl w:val="true"/>
          <w:lang w:bidi="fa-IR"/>
        </w:rPr>
        <w:t>.</w:t>
      </w:r>
    </w:p>
    <w:p>
      <w:pPr>
        <w:pStyle w:val="Heading6"/>
        <w:numPr>
          <w:ilvl w:val="5"/>
          <w:numId w:val="1"/>
        </w:numPr>
        <w:rPr/>
      </w:pPr>
      <w:bookmarkStart w:id="1655" w:name="__RefHeading___Toc3598715_1067777946"/>
      <w:bookmarkStart w:id="1656" w:name="_Toc678"/>
      <w:bookmarkEnd w:id="1655"/>
      <w:r>
        <w:rPr>
          <w:rtl w:val="true"/>
        </w:rPr>
        <w:t>فوت مرضعه يا طفل بعد از قرارداد اجاره</w:t>
      </w:r>
      <w:bookmarkEnd w:id="1656"/>
    </w:p>
    <w:p>
      <w:pPr>
        <w:pStyle w:val="BookText"/>
        <w:rPr/>
      </w:pPr>
      <w:r>
        <w:rPr>
          <w:rFonts w:ascii="IRNazanin" w:hAnsi="IRNazanin" w:eastAsia="IRNazanin"/>
          <w:color w:val="111111"/>
          <w:sz w:val="28"/>
          <w:sz w:val="28"/>
          <w:szCs w:val="28"/>
          <w:rtl w:val="true"/>
          <w:lang w:bidi="fa-IR"/>
        </w:rPr>
        <w:t>و با تعيين مرضعه و صبىّ‌، اگر يكى از آنها وفات بنمايد قبل از شروع در رضاع، عقد باطل مى شود؛ و بعد از شروعْ منفسخ در باقى مى شود و تقسيط مى شود مسمّى بر متخلف و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تعيين مرضعه در عمل و وفات او بعد از اجاره، استيجار مى شود براى رضاع از مال ميّت بنابر عدم بطلان اجاره به موت موجر و در صورت تعلّق اجاره به اصل ارضاع نه ارضاع مخصوص به مباشرت 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متعذّر شد استيجار دوّم، اجرت مقرّره يا بقيۀ آن به ولى طفل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اطلاق عقد از حيث مباشرت خاصه، پس احوط عدم تعدّى از خصوصيّت بدون احراز رضاى مستأجر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اختلاف در اصل ارضاع يا ارضاع خاص، قول مرضعه كه امين است مقدم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در مذكورات بين آنكه مؤجر حرّه باشد يا مالك امه به اقسام آن نيست، و هم چنين مكاتبه كه اجارۀ مولىٰ با اذن او صحيح است</w:t>
      </w:r>
      <w:r>
        <w:rPr>
          <w:rFonts w:eastAsia="IRNazanin" w:cs="IRNazanin"/>
          <w:color w:val="111111"/>
          <w:sz w:val="28"/>
          <w:szCs w:val="28"/>
          <w:rtl w:val="true"/>
          <w:lang w:bidi="fa-IR"/>
        </w:rPr>
        <w:t xml:space="preserve">. </w:t>
      </w:r>
      <w:bookmarkStart w:id="1657" w:name="pg10256_89612"/>
    </w:p>
    <w:p>
      <w:pPr>
        <w:pStyle w:val="Heading6"/>
        <w:numPr>
          <w:ilvl w:val="5"/>
          <w:numId w:val="1"/>
        </w:numPr>
        <w:rPr/>
      </w:pPr>
      <w:bookmarkStart w:id="1658" w:name="__RefHeading___Toc3598717_1067777946"/>
      <w:bookmarkStart w:id="1659" w:name="_Toc679"/>
      <w:bookmarkEnd w:id="1657"/>
      <w:bookmarkEnd w:id="1658"/>
      <w:r>
        <w:rPr>
          <w:rtl w:val="true"/>
        </w:rPr>
        <w:t>حكم اجاره در صورتى كه مرضعه صاحب ولد يا رضيع ديگرى باشد</w:t>
      </w:r>
      <w:bookmarkEnd w:id="1659"/>
    </w:p>
    <w:p>
      <w:pPr>
        <w:pStyle w:val="BookText"/>
        <w:rPr/>
      </w:pPr>
      <w:r>
        <w:rPr>
          <w:rFonts w:ascii="IRNazanin" w:hAnsi="IRNazanin" w:eastAsia="IRNazanin"/>
          <w:color w:val="111111"/>
          <w:sz w:val="28"/>
          <w:sz w:val="28"/>
          <w:szCs w:val="28"/>
          <w:rtl w:val="true"/>
          <w:lang w:bidi="fa-IR"/>
        </w:rPr>
        <w:t>و اگر مرضعه صاحب ولد يا رضيع ديگرى باشد و واجب باشد ارضاع مباشرى بر او، پس اجاره براى ديگرى بدون قيد مباشرت مانعى ندارد، و هم چنين با تقييد و قدرت بر ارضاع دو طفل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قدرت، اجارۀ متأخره جايز نيست؛ بلكه به واسطۀ عدم قدرت شرعاً بر عمل، باطل است، چه حُرّه باشد يا امه كه مالك اجاره بدهد با خصوصيت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امۀ مزوّجه باشد، پس در حيثيت لزوم اجازۀ زوج و اعتبار آن، مثل حرّه است</w:t>
      </w:r>
      <w:r>
        <w:rPr>
          <w:rFonts w:eastAsia="IRNazanin" w:cs="IRNazanin"/>
          <w:color w:val="111111"/>
          <w:sz w:val="28"/>
          <w:szCs w:val="28"/>
          <w:rtl w:val="true"/>
          <w:lang w:bidi="fa-IR"/>
        </w:rPr>
        <w:t>.</w:t>
      </w:r>
    </w:p>
    <w:p>
      <w:pPr>
        <w:pStyle w:val="Heading6"/>
        <w:numPr>
          <w:ilvl w:val="5"/>
          <w:numId w:val="1"/>
        </w:numPr>
        <w:rPr/>
      </w:pPr>
      <w:bookmarkStart w:id="1660" w:name="__RefHeading___Toc3598719_1067777946"/>
      <w:bookmarkStart w:id="1661" w:name="_Toc680"/>
      <w:bookmarkEnd w:id="1660"/>
      <w:r>
        <w:rPr>
          <w:rtl w:val="true"/>
        </w:rPr>
        <w:t>فوت پدر مرتضع</w:t>
      </w:r>
      <w:bookmarkEnd w:id="1661"/>
    </w:p>
    <w:p>
      <w:pPr>
        <w:pStyle w:val="BookText"/>
        <w:rPr/>
      </w:pPr>
      <w:r>
        <w:rPr>
          <w:rFonts w:ascii="IRNazanin" w:hAnsi="IRNazanin" w:eastAsia="IRNazanin"/>
          <w:color w:val="111111"/>
          <w:sz w:val="28"/>
          <w:sz w:val="28"/>
          <w:szCs w:val="28"/>
          <w:rtl w:val="true"/>
          <w:lang w:bidi="fa-IR"/>
        </w:rPr>
        <w:t>اگر پدر مرتضع وفات نمايد و اجاره از او بوده، پس بطلان اجاره، مبنى بر بطلان به موت مستأجر است؛ و اگر اجارۀ ولىّ براى طفل، به مال طفل بوده، پس باطل نمى شود به موت ولىّ كه به منزلۀ وكيل است</w:t>
      </w:r>
      <w:r>
        <w:rPr>
          <w:rFonts w:eastAsia="IRNazanin" w:cs="IRNazanin"/>
          <w:color w:val="111111"/>
          <w:sz w:val="28"/>
          <w:szCs w:val="28"/>
          <w:rtl w:val="true"/>
          <w:lang w:bidi="fa-IR"/>
        </w:rPr>
        <w:t>.</w:t>
      </w:r>
    </w:p>
    <w:p>
      <w:pPr>
        <w:pStyle w:val="Heading6"/>
        <w:numPr>
          <w:ilvl w:val="5"/>
          <w:numId w:val="1"/>
        </w:numPr>
        <w:rPr/>
      </w:pPr>
      <w:bookmarkStart w:id="1662" w:name="__RefHeading___Toc3598721_1067777946"/>
      <w:bookmarkStart w:id="1663" w:name="_Toc681"/>
      <w:bookmarkEnd w:id="1662"/>
      <w:r>
        <w:rPr>
          <w:rtl w:val="true"/>
        </w:rPr>
        <w:t>حدوث اعسار براى پدر يا طفل</w:t>
      </w:r>
      <w:bookmarkEnd w:id="1663"/>
    </w:p>
    <w:p>
      <w:pPr>
        <w:pStyle w:val="BookText"/>
        <w:rPr/>
      </w:pPr>
      <w:r>
        <w:rPr>
          <w:rFonts w:ascii="IRNazanin" w:hAnsi="IRNazanin" w:eastAsia="IRNazanin"/>
          <w:color w:val="111111"/>
          <w:sz w:val="28"/>
          <w:sz w:val="28"/>
          <w:szCs w:val="28"/>
          <w:rtl w:val="true"/>
          <w:lang w:bidi="fa-IR"/>
        </w:rPr>
        <w:t>و اگر بعد از اجاره، اعسار حادث شد براى پدر يا طفل و اجاره براى طفل در ذمّۀ طفل يا پدر بود و متمكّن از اداى اجرت نشدند، مؤجر اختيار فسخ دارد در صورتى كه به توسط فسخْ دفعِ ضرر حاصل بشود؛ و هم چنين اگر اعسار بوده و موجر مطلع نبوده است</w:t>
      </w:r>
      <w:r>
        <w:rPr>
          <w:rFonts w:eastAsia="IRNazanin" w:cs="IRNazanin"/>
          <w:color w:val="111111"/>
          <w:sz w:val="28"/>
          <w:szCs w:val="28"/>
          <w:rtl w:val="true"/>
          <w:lang w:bidi="fa-IR"/>
        </w:rPr>
        <w:t>.</w:t>
      </w:r>
    </w:p>
    <w:p>
      <w:pPr>
        <w:pStyle w:val="Heading6"/>
        <w:numPr>
          <w:ilvl w:val="5"/>
          <w:numId w:val="1"/>
        </w:numPr>
        <w:rPr/>
      </w:pPr>
      <w:bookmarkStart w:id="1664" w:name="__RefHeading___Toc3598723_1067777946"/>
      <w:bookmarkStart w:id="1665" w:name="_Toc682"/>
      <w:bookmarkEnd w:id="1664"/>
      <w:r>
        <w:rPr>
          <w:rtl w:val="true"/>
        </w:rPr>
        <w:t>عدم لزوم تقسيط اجرت بر اجزاى مدّت</w:t>
      </w:r>
      <w:bookmarkEnd w:id="166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استيجار عينى در مدت معيّنه، لازم نيست تقسيط اجرت بر اجزاى مدت به نحو مساوات يا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ذكر شد به نحو اشتراط، ترتيب اثر بر آن داده مى شود در صورت تبعيض معامله در فسخ يا انفساخ به تلف عين و نحو آن، مثل صورت تعدّد اجاره ها با اجرتهاى متساوى يا مختلف</w:t>
      </w:r>
      <w:r>
        <w:rPr>
          <w:rFonts w:eastAsia="IRNazanin" w:cs="IRNazanin"/>
          <w:color w:val="111111"/>
          <w:sz w:val="28"/>
          <w:szCs w:val="28"/>
          <w:rtl w:val="true"/>
          <w:lang w:bidi="fa-IR"/>
        </w:rPr>
        <w:t>.</w:t>
      </w:r>
      <w:bookmarkStart w:id="1666" w:name="pg10256_89613"/>
    </w:p>
    <w:p>
      <w:pPr>
        <w:pStyle w:val="Heading6"/>
        <w:numPr>
          <w:ilvl w:val="5"/>
          <w:numId w:val="1"/>
        </w:numPr>
        <w:rPr/>
      </w:pPr>
      <w:bookmarkStart w:id="1667" w:name="__RefHeading___Toc3598725_1067777946"/>
      <w:bookmarkStart w:id="1668" w:name="_Toc683"/>
      <w:bookmarkEnd w:id="1666"/>
      <w:bookmarkEnd w:id="1667"/>
      <w:r>
        <w:rPr>
          <w:rtl w:val="true"/>
        </w:rPr>
        <w:t>استيجار زمين براى نمازخانه و استيجار درهم و دينار</w:t>
      </w:r>
      <w:bookmarkEnd w:id="166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استيجار زمين براى آنكه مسجد، يعنى محل نماز قرار داده شود، و نيز جايز است استيجار درهم و دينار براى منافع عقلاييۀ محلّلۀ مقصوده، مثل تزيين و ارايۀ عدم فقر و نحو اينها در صورت تعلق قصد مستأجر به آنها، و هم چنين ساير اعيان براى منافع مقصودۀ محلّلۀ عقلاييه اگر چه نادره باشند و به ندرتْ متعلّق قصد مستأجرى ميشوند كه به سبب آن محتاج به استيجار بشوند</w:t>
      </w:r>
      <w:r>
        <w:rPr>
          <w:rFonts w:eastAsia="IRNazanin" w:cs="IRNazanin"/>
          <w:color w:val="111111"/>
          <w:sz w:val="28"/>
          <w:szCs w:val="28"/>
          <w:rtl w:val="true"/>
          <w:lang w:bidi="fa-IR"/>
        </w:rPr>
        <w:t>.</w:t>
      </w:r>
    </w:p>
    <w:p>
      <w:pPr>
        <w:pStyle w:val="Heading6"/>
        <w:numPr>
          <w:ilvl w:val="5"/>
          <w:numId w:val="1"/>
        </w:numPr>
        <w:rPr/>
      </w:pPr>
      <w:bookmarkStart w:id="1669" w:name="__RefHeading___Toc3598727_1067777946"/>
      <w:bookmarkStart w:id="1670" w:name="_Toc684"/>
      <w:bookmarkEnd w:id="1669"/>
      <w:r>
        <w:rPr>
          <w:rtl w:val="true"/>
        </w:rPr>
        <w:t>زياد بار كردن بر دابّه و صور مختلف آن</w:t>
      </w:r>
      <w:bookmarkEnd w:id="167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استيجار كرد دابّه را براى حمل ده قفيز از گندم مثلاً، پس اعتبار كرد مقدارى را و حمل نمود بر دابه، پس ظاهر شد زيادتى به 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تسامح، ضامن اجرت المثل زايد است در حال اجتماع با بقيه، و ضامن دابه است در صورت تلف؛ پس اگر تلفْ مستند به خصوص زيادتى است و حمل بقيهْ عادىِ آن دابه باشد، ضامن قيمت دابه است؛ و اگر تلفْ مستند به مجموع باشد، ضامن آنچه مقابل بار زايد است از قيمت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جهالت صلح مى نمايند؛ اين است مقتضاى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مستفاد از اخبار و كلمات اصحاب در محل ديگر مذكور مى شود ان شاء اللّٰه و عمل بر طبق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حمل مقدار خارجى به امر مستأجر نبود و منسوب به او نبوده، ضامن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مؤجر اعتبار كرده بود وزن محمول را، پس حمل نمود يا امر به حمل كرد ديگرى را يا خود مستأجر را بر دابۀ مؤجر، مستأجر ضامن نيست چه آنكه مستأجرْ عالم به زيادتى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نكرده مستأجرِ عالم حمل نمود، اجرت زيادتى بر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جاهل باشد در صورت عدم امر موجر به حمل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مستأجر عالم بود و موجر امر كرد او را بر حمل زيادتى بر دابۀ خودش، پس اگر موجرْ عالم بوده به سبب اعتبار مفروض، ضمان بر مستأجر نيست، مگر آنكه امر </w:t>
      </w:r>
    </w:p>
    <w:p>
      <w:pPr>
        <w:pStyle w:val="BookText"/>
        <w:rPr/>
      </w:pPr>
      <w:r>
        <w:rPr>
          <w:rFonts w:ascii="IRNazanin" w:hAnsi="IRNazanin" w:eastAsia="IRNazanin"/>
          <w:color w:val="111111"/>
          <w:sz w:val="28"/>
          <w:sz w:val="28"/>
          <w:szCs w:val="28"/>
          <w:rtl w:val="true"/>
          <w:lang w:bidi="fa-IR"/>
        </w:rPr>
        <w:t>نباشد بلكه اذن مجرّد از امر باشد كه اعم از مجانيّت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جاهل بوده به سبب غلط بودن اعتبار، ضامن است مستأجر عالم غير مغرور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مستأجر در وقت تسليم حامل به مؤجر، تسليم محمول كه زيادتى باشد به مالك مى نمايد؛ و تقديم بر آن وقت، موقوف به رضا و اذن مالك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اعتباركننده و حمل كننده، غير طرفين استيجار باشد، متعدّى است بر آن دو، و غاصب است طعام را براى مستأجر، و زيادتى و حامل را براى مالك، و اجرت حمل طعام و زيادتى را ضامن است براى مالك دابه كه موجر است يا آنكه خصوص مال الاجاره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مستأجر رجوع مى نمايد به غاصب در صورت رجوع مالك به مستأجر و فرقى نيست بين علم و جهل ثالث كه اجنبى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حمل كننده، يكى از طرفين اجاره باشد بعد از كيل اجنبى، پس با علم حامل، به منزلۀ كيلِ حامل است، و با جهل و غرور، به منزلۀ حمل اجنبى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طرفينْ اذن در حمل دادند بعد از كيل اجنبىِ حامل بدون علم طرفينِ اجاره به مقدار، پس با غرور، اذن ايشان در زيادتى ثابت نيست و ضمانِ زيادتى بر اجنبى است و هم چنين ضمان دابّه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از طرفينْ عالم و حامل بود، پس بر اجنبىِ اعتباركننده چيزى نيست، و ضمان بر حاملِ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طرفين اعتبار نمودند و لكن جاهل به زيادتى بودند و اعتبار بر خلاف واقع بود و با هم حمل نمودند، پس ضمان نصف اجرت زيادتى بر غير مالك دابه، و نصف قيمت دابه در صورت تأثير زيادتى در تلف آن در آن صورت كه ضمان دابه در صورت انفراد حامل معتبرِ جاهل ثابت است، خالى از وجه نيست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ضمان به غير تسبيب به اتلاف، يعنى به واسطۀ امر غير اختيارى با تعدّى مستأجر، پس عدوان او در امانت، موجب ضمان تمام قيمت دابّه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bookmarkStart w:id="1671" w:name="pg10256_89615"/>
    </w:p>
    <w:p>
      <w:pPr>
        <w:pStyle w:val="BookText"/>
        <w:rPr/>
      </w:pPr>
      <w:bookmarkEnd w:id="1671"/>
      <w:r>
        <w:rPr>
          <w:rFonts w:ascii="Amiri" w:hAnsi="Amiri" w:eastAsia="Amiri" w:cs="Amiri"/>
          <w:color w:val="111111"/>
          <w:sz w:val="28"/>
          <w:sz w:val="28"/>
          <w:szCs w:val="28"/>
          <w:rtl w:val="true"/>
          <w:lang w:bidi="ar-SA"/>
        </w:rPr>
        <w:t>در ضمان به اتلاف و تسبيب به آن يا تلف در يد مؤتمنِ متعدّىِ در امانت، در صورت علم هر دو به زيادتى و حمل اجتماعى آن بر دابه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مستأجر حمل نمود با علم به زيادتى در فرض مذكور، پس اثرى بر اعتبار و حمل ديگرى نيست و مستأجرْ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دابه حمل نمود با اعتبار او و علم او به زيادتى، پس تأثيرى براى اعتبار و علم مستأجر نيست و ضمان ثابت نيست</w:t>
      </w:r>
      <w:r>
        <w:rPr>
          <w:rFonts w:eastAsia="IRNazanin" w:cs="IRNazanin"/>
          <w:color w:val="111111"/>
          <w:sz w:val="28"/>
          <w:szCs w:val="28"/>
          <w:rtl w:val="true"/>
          <w:lang w:bidi="fa-IR"/>
        </w:rPr>
        <w:t>.</w:t>
      </w:r>
    </w:p>
    <w:p>
      <w:pPr>
        <w:pStyle w:val="Heading4"/>
        <w:numPr>
          <w:ilvl w:val="3"/>
          <w:numId w:val="1"/>
        </w:numPr>
        <w:rPr/>
      </w:pPr>
      <w:bookmarkStart w:id="1672" w:name="__RefHeading___Toc3598729_1067777946"/>
      <w:bookmarkStart w:id="1673" w:name="_Toc685"/>
      <w:bookmarkEnd w:id="1672"/>
      <w:r>
        <w:rPr/>
        <w:t>5</w:t>
      </w:r>
      <w:r>
        <w:rPr>
          <w:rtl w:val="true"/>
        </w:rPr>
        <w:t xml:space="preserve">. </w:t>
      </w:r>
      <w:r>
        <w:rPr>
          <w:rtl w:val="true"/>
        </w:rPr>
        <w:t>مباح بودن منفعت</w:t>
      </w:r>
      <w:bookmarkEnd w:id="1673"/>
    </w:p>
    <w:p>
      <w:pPr>
        <w:pStyle w:val="BookText"/>
        <w:rPr/>
      </w:pPr>
      <w:r>
        <w:rPr>
          <w:rFonts w:ascii="IRNazanin" w:hAnsi="IRNazanin" w:eastAsia="IRNazanin"/>
          <w:color w:val="111111"/>
          <w:sz w:val="28"/>
          <w:sz w:val="28"/>
          <w:szCs w:val="28"/>
          <w:rtl w:val="true"/>
          <w:lang w:bidi="fa-IR"/>
        </w:rPr>
        <w:t>معتبر است در صحّت اجاره، مباح بودن منفعت عين يا عمل اجير؛ پس اجاره براى منافع يا اعمال محرّمه كه ظاهر يا مقصود باشد، جايز نيست و صحّت ندارد با تفصيل و قيودى كه در مكاسب محرمه از كتاب بيع مذكور شد</w:t>
      </w:r>
      <w:r>
        <w:rPr>
          <w:rFonts w:eastAsia="IRNazanin" w:cs="IRNazanin"/>
          <w:color w:val="111111"/>
          <w:sz w:val="28"/>
          <w:szCs w:val="28"/>
          <w:rtl w:val="true"/>
          <w:lang w:bidi="fa-IR"/>
        </w:rPr>
        <w:t>.</w:t>
      </w:r>
    </w:p>
    <w:p>
      <w:pPr>
        <w:pStyle w:val="Heading4"/>
        <w:numPr>
          <w:ilvl w:val="3"/>
          <w:numId w:val="1"/>
        </w:numPr>
        <w:rPr/>
      </w:pPr>
      <w:bookmarkStart w:id="1674" w:name="__RefHeading___Toc3598731_1067777946"/>
      <w:bookmarkStart w:id="1675" w:name="_Toc686"/>
      <w:bookmarkEnd w:id="1674"/>
      <w:r>
        <w:rPr/>
        <w:t>6</w:t>
      </w:r>
      <w:r>
        <w:rPr>
          <w:rtl w:val="true"/>
        </w:rPr>
        <w:t xml:space="preserve">. </w:t>
      </w:r>
      <w:r>
        <w:rPr>
          <w:rtl w:val="true"/>
        </w:rPr>
        <w:t>قدرت بر تسليم منفعت</w:t>
      </w:r>
      <w:bookmarkEnd w:id="1675"/>
    </w:p>
    <w:p>
      <w:pPr>
        <w:pStyle w:val="Heading5"/>
        <w:numPr>
          <w:ilvl w:val="4"/>
          <w:numId w:val="1"/>
        </w:numPr>
        <w:rPr/>
      </w:pPr>
      <w:bookmarkStart w:id="1676" w:name="__RefHeading___Toc3598733_1067777946"/>
      <w:bookmarkStart w:id="1677" w:name="_Toc687"/>
      <w:bookmarkEnd w:id="1676"/>
      <w:r>
        <w:rPr>
          <w:rtl w:val="true"/>
        </w:rPr>
        <w:t>اشاره</w:t>
      </w:r>
      <w:bookmarkEnd w:id="1677"/>
    </w:p>
    <w:p>
      <w:pPr>
        <w:pStyle w:val="BookText"/>
        <w:rPr/>
      </w:pPr>
      <w:r>
        <w:rPr>
          <w:rFonts w:ascii="IRNazanin" w:hAnsi="IRNazanin" w:eastAsia="IRNazanin"/>
          <w:color w:val="111111"/>
          <w:sz w:val="28"/>
          <w:sz w:val="28"/>
          <w:szCs w:val="28"/>
          <w:rtl w:val="true"/>
          <w:lang w:bidi="fa-IR"/>
        </w:rPr>
        <w:t xml:space="preserve">معتبر است در صحّت اجاره، قدرت بر تسليم منفعت؛ پس اجارۀ عبد آبق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ضميمه قرارداد منفعت مقدور التسليم را، پس با اصالت ضميمه و تبعيت و شرطيت غير مقدور، صحّت اجارۀ مشروطه، خالى از وجه نيست</w:t>
      </w:r>
      <w:r>
        <w:rPr>
          <w:rFonts w:eastAsia="IRNazanin" w:cs="IRNazanin"/>
          <w:color w:val="111111"/>
          <w:sz w:val="28"/>
          <w:szCs w:val="28"/>
          <w:rtl w:val="true"/>
          <w:lang w:bidi="fa-IR"/>
        </w:rPr>
        <w:t>.</w:t>
      </w:r>
    </w:p>
    <w:p>
      <w:pPr>
        <w:pStyle w:val="Heading5"/>
        <w:numPr>
          <w:ilvl w:val="4"/>
          <w:numId w:val="1"/>
        </w:numPr>
        <w:rPr/>
      </w:pPr>
      <w:bookmarkStart w:id="1678" w:name="__RefHeading___Toc3598735_1067777946"/>
      <w:bookmarkStart w:id="1679" w:name="_Toc688"/>
      <w:bookmarkEnd w:id="1678"/>
      <w:r>
        <w:rPr>
          <w:rtl w:val="true"/>
        </w:rPr>
        <w:t>عدم تسليم عين مورد اجاره توسط موجر</w:t>
      </w:r>
      <w:bookmarkEnd w:id="1679"/>
    </w:p>
    <w:p>
      <w:pPr>
        <w:pStyle w:val="BookText"/>
        <w:rPr/>
      </w:pPr>
      <w:r>
        <w:rPr>
          <w:rFonts w:ascii="IRNazanin" w:hAnsi="IRNazanin" w:eastAsia="IRNazanin"/>
          <w:color w:val="111111"/>
          <w:sz w:val="28"/>
          <w:sz w:val="28"/>
          <w:szCs w:val="28"/>
          <w:rtl w:val="true"/>
          <w:lang w:bidi="fa-IR"/>
        </w:rPr>
        <w:t>و اگر استيجار كرد عين معيّنه را، پس موجرْ تسليم آن عين نكرد، يا مانع از استيفاى منفعت شد، پس مى تواند اجبار نمايد موجر را بر تسليم به وسيلۀ حاكم شرع؛ و مى تواند فسخ نمايد اجاره را؛ و مى تواند ملتزم باشد به اجاره و تفاوت بين اجرت مسمات و اجرت المثل منفعت را رد يا استرداد نمايد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مانع از استيفاى بعضِ منفعت شد، يا از بقاى عين در يد مستأجر در اثناى مدت، اظهر جواز فسخ است در خصوص بعض ممنوع، در قسط آن از مسمّى، و جواز اجبار در صورت امكان، و جواز التزام با اخذ يا رد تفاوت بقيه</w:t>
      </w:r>
      <w:r>
        <w:rPr>
          <w:rFonts w:eastAsia="IRNazanin" w:cs="IRNazanin"/>
          <w:color w:val="111111"/>
          <w:sz w:val="28"/>
          <w:szCs w:val="28"/>
          <w:rtl w:val="true"/>
          <w:lang w:bidi="fa-IR"/>
        </w:rPr>
        <w:t xml:space="preserve">. </w:t>
      </w:r>
      <w:bookmarkStart w:id="1680" w:name="pg10256_89616"/>
    </w:p>
    <w:p>
      <w:pPr>
        <w:pStyle w:val="Heading5"/>
        <w:numPr>
          <w:ilvl w:val="4"/>
          <w:numId w:val="1"/>
        </w:numPr>
        <w:rPr/>
      </w:pPr>
      <w:bookmarkStart w:id="1681" w:name="__RefHeading___Toc3598737_1067777946"/>
      <w:bookmarkStart w:id="1682" w:name="_Toc689"/>
      <w:bookmarkEnd w:id="1680"/>
      <w:bookmarkEnd w:id="1681"/>
      <w:r>
        <w:rPr>
          <w:rtl w:val="true"/>
        </w:rPr>
        <w:t>منع از تسليم يا انتفاع يا بقاى عين توسط شخص ثالث</w:t>
      </w:r>
      <w:bookmarkEnd w:id="1682"/>
    </w:p>
    <w:p>
      <w:pPr>
        <w:pStyle w:val="BookText"/>
        <w:rPr/>
      </w:pPr>
      <w:r>
        <w:rPr>
          <w:rFonts w:ascii="IRNazanin" w:hAnsi="IRNazanin" w:eastAsia="IRNazanin"/>
          <w:color w:val="111111"/>
          <w:sz w:val="28"/>
          <w:sz w:val="28"/>
          <w:szCs w:val="28"/>
          <w:rtl w:val="true"/>
          <w:lang w:bidi="fa-IR"/>
        </w:rPr>
        <w:t xml:space="preserve">و اگر مانع از تسليم يا استيفاى منفعت، ظالم ديگرى بود، قبل از قبض عين، خيار فسخ براى مستأجر ثابت است؛ و با امضا، رجوع مى نمايد به ظالم در بدل منفعت مستوفات يا فايته در يد او؛ و در بعض صور كه تأخيرِ تسليمْ واجب مقدمى از جانب موجر باشد، جواز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التزام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موجر و رجوع موجر به ظالم،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عدم تحقّق فسخ، اگر در اثناى مدتْ اعادۀ عين نمود، اظهر عدم سقوط خيار است؛ و جواز فسخ در بعض گذشته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استناد تبعيض و لوازم آن به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منع از بقاى عين در يد مستأجر يا از انتفاع به آن، از قِبل ظالم ديگر بعد از تمام قبض از موجر بود، بطلان اجاره و خيار فسخ منتفى است، و فقط رجوع به ظالم در اجرت المثل منفعت مستوفات يا تالفۀ در يد غاصب مى نمايد، و اگر ظالم موجر بود، گذشت حكم آن</w:t>
      </w:r>
      <w:r>
        <w:rPr>
          <w:rFonts w:eastAsia="IRNazanin" w:cs="IRNazanin"/>
          <w:color w:val="111111"/>
          <w:sz w:val="28"/>
          <w:szCs w:val="28"/>
          <w:rtl w:val="true"/>
          <w:lang w:bidi="fa-IR"/>
        </w:rPr>
        <w:t>.</w:t>
      </w:r>
    </w:p>
    <w:p>
      <w:pPr>
        <w:pStyle w:val="Heading5"/>
        <w:numPr>
          <w:ilvl w:val="4"/>
          <w:numId w:val="1"/>
        </w:numPr>
        <w:rPr/>
      </w:pPr>
      <w:bookmarkStart w:id="1683" w:name="__RefHeading___Toc3598739_1067777946"/>
      <w:bookmarkStart w:id="1684" w:name="_Toc690"/>
      <w:bookmarkEnd w:id="1683"/>
      <w:r>
        <w:rPr>
          <w:rtl w:val="true"/>
        </w:rPr>
        <w:t>انهدام مسكن مورد اجاره</w:t>
      </w:r>
      <w:bookmarkEnd w:id="1684"/>
    </w:p>
    <w:p>
      <w:pPr>
        <w:pStyle w:val="BookText"/>
        <w:rPr/>
      </w:pPr>
      <w:r>
        <w:rPr>
          <w:rFonts w:ascii="IRNazanin" w:hAnsi="IRNazanin" w:eastAsia="IRNazanin"/>
          <w:color w:val="111111"/>
          <w:sz w:val="28"/>
          <w:sz w:val="28"/>
          <w:szCs w:val="28"/>
          <w:rtl w:val="true"/>
          <w:lang w:bidi="fa-IR"/>
        </w:rPr>
        <w:t>اگر منهدم شد مسكن واقع در مورد اجاره و ممكن نشد اعادۀ آن و فوت شد امكان انتفاع به آن، اجاره منفسخ مى شود در آنچه بعد از انهدام از مدتْ باقيمانده است و موجر مستحق قسط گذشته از مسمّى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شد اعادۀ آن و اعاده نمود به طورى كه چيزى از منفعت فوت نشد،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اختيار اعاده نكرد، حق فسخ براى مستأجر ثابت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اعاده كرد بعد از گذشتن مدتى از انهدام به طورى كه متضرر بشود مستأجر از تبعّض منفعت، فسخ مى نمايد، و فقط مؤجر، قسط منفعت استيفا شده قبل از انهدام را از اجرت مقرره،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قدرت بر تسليم در زمان استيفاى منفعت واقع در مورد اجاره است نه در زمان عقد</w:t>
      </w:r>
      <w:r>
        <w:rPr>
          <w:rFonts w:eastAsia="IRNazanin" w:cs="IRNazanin"/>
          <w:color w:val="111111"/>
          <w:sz w:val="28"/>
          <w:szCs w:val="28"/>
          <w:rtl w:val="true"/>
          <w:lang w:bidi="fa-IR"/>
        </w:rPr>
        <w:t xml:space="preserve">. </w:t>
      </w:r>
      <w:bookmarkStart w:id="1685" w:name="pg10256_89617"/>
    </w:p>
    <w:p>
      <w:pPr>
        <w:pStyle w:val="Heading5"/>
        <w:numPr>
          <w:ilvl w:val="4"/>
          <w:numId w:val="1"/>
        </w:numPr>
        <w:rPr/>
      </w:pPr>
      <w:bookmarkStart w:id="1686" w:name="__RefHeading___Toc3598741_1067777946"/>
      <w:bookmarkStart w:id="1687" w:name="_Toc691"/>
      <w:bookmarkEnd w:id="1685"/>
      <w:bookmarkEnd w:id="1686"/>
      <w:r>
        <w:rPr>
          <w:rtl w:val="true"/>
        </w:rPr>
        <w:t>اتحاد تعذّر شرعى با عقلى در حكم</w:t>
      </w:r>
      <w:bookmarkEnd w:id="1687"/>
    </w:p>
    <w:p>
      <w:pPr>
        <w:pStyle w:val="BookText"/>
        <w:rPr/>
      </w:pPr>
      <w:r>
        <w:rPr>
          <w:rFonts w:ascii="IRNazanin" w:hAnsi="IRNazanin" w:eastAsia="IRNazanin"/>
          <w:color w:val="111111"/>
          <w:sz w:val="28"/>
          <w:sz w:val="28"/>
          <w:szCs w:val="28"/>
          <w:rtl w:val="true"/>
          <w:lang w:bidi="fa-IR"/>
        </w:rPr>
        <w:t>تعذّر شرعى در عدم جواز استيجار، مثل عقلى است، مثل استيجار براى كشيدن دندان صحيح بى غرض عقلايى مشروع، يا قطع يد صحيحه، يا استيجار جنب يا حايض براى كنس مسجدى با مباشرت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زمان اجاره،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داشت و در زمان كشيدن آن، درد آن ساكن شد به طورى كه سلامت آن كشف شد، اجاره منفسخ است</w:t>
      </w:r>
      <w:r>
        <w:rPr>
          <w:rFonts w:eastAsia="IRNazanin" w:cs="IRNazanin"/>
          <w:color w:val="111111"/>
          <w:sz w:val="28"/>
          <w:szCs w:val="28"/>
          <w:rtl w:val="true"/>
          <w:lang w:bidi="fa-IR"/>
        </w:rPr>
        <w:t>.</w:t>
      </w:r>
    </w:p>
    <w:p>
      <w:pPr>
        <w:pStyle w:val="Heading5"/>
        <w:numPr>
          <w:ilvl w:val="4"/>
          <w:numId w:val="1"/>
        </w:numPr>
        <w:rPr/>
      </w:pPr>
      <w:bookmarkStart w:id="1688" w:name="__RefHeading___Toc3598743_1067777946"/>
      <w:bookmarkStart w:id="1689" w:name="_Toc692"/>
      <w:bookmarkEnd w:id="1688"/>
      <w:r>
        <w:rPr>
          <w:rtl w:val="true"/>
        </w:rPr>
        <w:t>دايرۀ اختيار زن در استيجار</w:t>
      </w:r>
      <w:bookmarkEnd w:id="1689"/>
    </w:p>
    <w:p>
      <w:pPr>
        <w:pStyle w:val="BookText"/>
        <w:rPr/>
      </w:pPr>
      <w:r>
        <w:rPr>
          <w:rFonts w:ascii="IRNazanin" w:hAnsi="IRNazanin" w:eastAsia="IRNazanin"/>
          <w:color w:val="111111"/>
          <w:sz w:val="28"/>
          <w:sz w:val="28"/>
          <w:szCs w:val="28"/>
          <w:rtl w:val="true"/>
          <w:lang w:bidi="fa-IR"/>
        </w:rPr>
        <w:t>و مى تواند زن اجاره بدهد خودش را بدون اذن شوهر، در آنچه منافات با حق استمتاع زوج ندارد و معلوم است عدم منافات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منافى با اذن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اجارۀ صحيحۀ بدون اذن، اگر حادث شد منافات به سبب ارادۀ زوج استمتاع را در غير وقت احتمال، اظهر ثبوت خيار است براى مستأجر مطلع</w:t>
      </w:r>
      <w:r>
        <w:rPr>
          <w:rFonts w:eastAsia="IRNazanin" w:cs="IRNazanin"/>
          <w:color w:val="111111"/>
          <w:sz w:val="28"/>
          <w:szCs w:val="28"/>
          <w:rtl w:val="true"/>
          <w:lang w:bidi="fa-IR"/>
        </w:rPr>
        <w:t>.</w:t>
      </w:r>
    </w:p>
    <w:p>
      <w:pPr>
        <w:pStyle w:val="Heading5"/>
        <w:numPr>
          <w:ilvl w:val="4"/>
          <w:numId w:val="1"/>
        </w:numPr>
        <w:rPr/>
      </w:pPr>
      <w:bookmarkStart w:id="1690" w:name="__RefHeading___Toc3598745_1067777946"/>
      <w:bookmarkStart w:id="1691" w:name="_Toc693"/>
      <w:bookmarkEnd w:id="1690"/>
      <w:r>
        <w:rPr>
          <w:rtl w:val="true"/>
        </w:rPr>
        <w:t>فرض غصب شخص بعد از تعلّق ذمّۀ او به اجارۀ براى عمل</w:t>
      </w:r>
      <w:bookmarkEnd w:id="1691"/>
    </w:p>
    <w:p>
      <w:pPr>
        <w:pStyle w:val="BookText"/>
        <w:rPr/>
      </w:pPr>
      <w:r>
        <w:rPr>
          <w:rFonts w:ascii="IRNazanin" w:hAnsi="IRNazanin" w:eastAsia="IRNazanin"/>
          <w:color w:val="111111"/>
          <w:sz w:val="28"/>
          <w:sz w:val="28"/>
          <w:szCs w:val="28"/>
          <w:rtl w:val="true"/>
          <w:lang w:bidi="fa-IR"/>
        </w:rPr>
        <w:t xml:space="preserve">و اگر اجاره در عمل ذمّى بود، پس غصب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غصب عبد خيّاط در اجاره براى خياطت، و غصب دابه از موجر قبل از قبض براى اجارۀ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يا خيار نيست بلكه موجب مطالبۀ بدل از موجر است، و اگر ابدال متعذر شد، خيار ثابت است در صورت فوت متعلّق بر تقدير عدم فسخ يا امضا</w:t>
      </w:r>
      <w:r>
        <w:rPr>
          <w:rFonts w:eastAsia="IRNazanin" w:cs="IRNazanin"/>
          <w:color w:val="111111"/>
          <w:sz w:val="28"/>
          <w:szCs w:val="28"/>
          <w:rtl w:val="true"/>
          <w:lang w:bidi="fa-IR"/>
        </w:rPr>
        <w:t>.</w:t>
      </w:r>
    </w:p>
    <w:p>
      <w:pPr>
        <w:pStyle w:val="Heading5"/>
        <w:numPr>
          <w:ilvl w:val="4"/>
          <w:numId w:val="1"/>
        </w:numPr>
        <w:rPr/>
      </w:pPr>
      <w:bookmarkStart w:id="1692" w:name="__RefHeading___Toc3598747_1067777946"/>
      <w:bookmarkStart w:id="1693" w:name="_Toc694"/>
      <w:bookmarkEnd w:id="1692"/>
      <w:r>
        <w:rPr>
          <w:rtl w:val="true"/>
        </w:rPr>
        <w:t>بقاى اجاره با فرض غصبِ عين بعد از قبض</w:t>
      </w:r>
      <w:bookmarkEnd w:id="1693"/>
    </w:p>
    <w:p>
      <w:pPr>
        <w:pStyle w:val="BookText"/>
        <w:rPr/>
      </w:pPr>
      <w:r>
        <w:rPr>
          <w:rFonts w:ascii="IRNazanin" w:hAnsi="IRNazanin" w:eastAsia="IRNazanin"/>
          <w:color w:val="111111"/>
          <w:sz w:val="28"/>
          <w:sz w:val="28"/>
          <w:szCs w:val="28"/>
          <w:rtl w:val="true"/>
          <w:lang w:bidi="fa-IR"/>
        </w:rPr>
        <w:t>و اگر بعد از قبض، غاصبْ عين را غصب نمود، مستأجر از غاصبْ اجرت المثل فايت از منفعت را مطالبه مى نمايد و با مالك موجرْ قرار باقى است اگر چه غصب بعد از قبض در ابتداى مدت اجاره باشد</w:t>
      </w:r>
      <w:r>
        <w:rPr>
          <w:rFonts w:eastAsia="IRNazanin" w:cs="IRNazanin"/>
          <w:color w:val="111111"/>
          <w:sz w:val="28"/>
          <w:szCs w:val="28"/>
          <w:rtl w:val="true"/>
          <w:lang w:bidi="fa-IR"/>
        </w:rPr>
        <w:t>.</w:t>
      </w:r>
    </w:p>
    <w:p>
      <w:pPr>
        <w:pStyle w:val="Heading5"/>
        <w:numPr>
          <w:ilvl w:val="4"/>
          <w:numId w:val="1"/>
        </w:numPr>
        <w:rPr/>
      </w:pPr>
      <w:bookmarkStart w:id="1694" w:name="__RefHeading___Toc3598749_1067777946"/>
      <w:bookmarkStart w:id="1695" w:name="_Toc695"/>
      <w:bookmarkEnd w:id="1694"/>
      <w:r>
        <w:rPr>
          <w:rtl w:val="true"/>
        </w:rPr>
        <w:t>حصول خوف عمومى و مانع از استيفاى منفعت يا تعريض مال به مخاطره</w:t>
      </w:r>
      <w:bookmarkEnd w:id="169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خوف عام حادث شد كه مانع مستأجر از استيفاى منفعت و موجر در تعريض </w:t>
      </w:r>
    </w:p>
    <w:p>
      <w:pPr>
        <w:pStyle w:val="BookText"/>
        <w:rPr/>
      </w:pPr>
      <w:r>
        <w:rPr>
          <w:rFonts w:ascii="IRNazanin" w:hAnsi="IRNazanin" w:eastAsia="IRNazanin"/>
          <w:color w:val="111111"/>
          <w:sz w:val="28"/>
          <w:sz w:val="28"/>
          <w:szCs w:val="28"/>
          <w:rtl w:val="true"/>
          <w:lang w:bidi="fa-IR"/>
        </w:rPr>
        <w:t>مال به مخاطره بود، پس در حكم تعذر انتفاع و تسليم است در وقت انتفاع، و اجاره منفسخ مى شود در مقدار حدوث به موجب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است اجارۀ خانه در بلدى كه به واسطۀ حدوث خوف، سكنى در آن ممكن نشود، كه انفساخ يا خيار فسخ، متّجه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خوفْ مختص به مستأجر باشد در استيفاى اعم از مباشرى، و ممكن نشد براى او استيفا و اجاره براى آن، پس مورد انفساخ است؛ و در بعض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تعلق اجاره به استيفاى مباشرى كه متعذر است بر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خيار است در صورت اشتراط مباشرت در عقد براى مشروط له؛ و اگر به نحو خصوصيّت متعلّق اجاره به مباشرت مستأجر باشد و ممكن بر او نباشد، انفساخ يا خيار فسخ براى مستأجر، خالى از وجه نيست</w:t>
      </w:r>
      <w:r>
        <w:rPr>
          <w:rFonts w:eastAsia="IRNazanin" w:cs="IRNazanin"/>
          <w:color w:val="111111"/>
          <w:sz w:val="28"/>
          <w:szCs w:val="28"/>
          <w:rtl w:val="true"/>
          <w:lang w:bidi="fa-IR"/>
        </w:rPr>
        <w:t xml:space="preserve">. </w:t>
      </w:r>
      <w:bookmarkStart w:id="1696" w:name="pg10256_89619"/>
    </w:p>
    <w:p>
      <w:pPr>
        <w:pStyle w:val="Heading3"/>
        <w:numPr>
          <w:ilvl w:val="2"/>
          <w:numId w:val="1"/>
        </w:numPr>
        <w:rPr/>
      </w:pPr>
      <w:bookmarkStart w:id="1697" w:name="__RefHeading___Toc3598751_1067777946"/>
      <w:bookmarkStart w:id="1698" w:name="_Toc696"/>
      <w:bookmarkEnd w:id="1696"/>
      <w:bookmarkEnd w:id="1697"/>
      <w:r>
        <w:rPr>
          <w:rtl w:val="true"/>
        </w:rPr>
        <w:t>فصل سوّم احكام اجاره</w:t>
      </w:r>
      <w:bookmarkEnd w:id="1698"/>
    </w:p>
    <w:p>
      <w:pPr>
        <w:pStyle w:val="Heading4"/>
        <w:numPr>
          <w:ilvl w:val="3"/>
          <w:numId w:val="1"/>
        </w:numPr>
        <w:rPr/>
      </w:pPr>
      <w:bookmarkStart w:id="1699" w:name="__RefHeading___Toc3598753_1067777946"/>
      <w:bookmarkStart w:id="1700" w:name="_Toc697"/>
      <w:bookmarkEnd w:id="1699"/>
      <w:r>
        <w:rPr>
          <w:rtl w:val="true"/>
        </w:rPr>
        <w:t>فرض عيب غير معلوم و سابق بر عقد در عين مستأجرۀ خاصه</w:t>
      </w:r>
      <w:bookmarkEnd w:id="1700"/>
    </w:p>
    <w:p>
      <w:pPr>
        <w:pStyle w:val="Heading5"/>
        <w:numPr>
          <w:ilvl w:val="4"/>
          <w:numId w:val="1"/>
        </w:numPr>
        <w:rPr/>
      </w:pPr>
      <w:bookmarkStart w:id="1701" w:name="__RefHeading___Toc3598755_1067777946"/>
      <w:bookmarkStart w:id="1702" w:name="_Toc698"/>
      <w:bookmarkEnd w:id="1701"/>
      <w:r>
        <w:rPr>
          <w:rtl w:val="true"/>
        </w:rPr>
        <w:t>اشاره</w:t>
      </w:r>
      <w:bookmarkEnd w:id="1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مستأجرْ عالم به عيبى در عين مستأجرۀ خاصه شد كه سابق بر عقد و غير معلوم او بوده و متضرّر به صبر بر آن مى شود به ضرر مالى يا نقص بر مستوفى مثل ركوب مركوب منكَر، مى تواند فسخ نمايد يا امضا نمايد بدون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استحقاق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تفاوت اجرت معيبه و غير معيبه از مقدار اجرت مسمّات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بين مركوب اعرج و خانه اى كه بعض بيوت آن خراب بوده باشد،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استيفاءِ بعض منفعت معلوم شد، مى تواند فسخ نمايد در تمام با اداى قسط مستوفىٰ از مسمىٰ‌، يا در بعض لاحق با اخذ قسط مسمّى براى منافع غير مستوفات، يا امضا نمايد با اخذ ارش از مسمّىٰ با تصحيح تقسيط در صورت اختلاف اجزاى مدت در ماليّت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معلوم شد عدم امكان انتفاع به عين رأساً يا عدم امكان استيفاى مورد تمليك به اجاره، پس عقد باطل است</w:t>
      </w:r>
      <w:r>
        <w:rPr>
          <w:rFonts w:eastAsia="IRNazanin" w:cs="IRNazanin"/>
          <w:color w:val="111111"/>
          <w:sz w:val="28"/>
          <w:szCs w:val="28"/>
          <w:rtl w:val="true"/>
          <w:lang w:bidi="fa-IR"/>
        </w:rPr>
        <w:t>.</w:t>
      </w:r>
    </w:p>
    <w:p>
      <w:pPr>
        <w:pStyle w:val="Heading5"/>
        <w:numPr>
          <w:ilvl w:val="4"/>
          <w:numId w:val="1"/>
        </w:numPr>
        <w:rPr/>
      </w:pPr>
      <w:bookmarkStart w:id="1703" w:name="__RefHeading___Toc3598757_1067777946"/>
      <w:bookmarkStart w:id="1704" w:name="_Toc699"/>
      <w:bookmarkEnd w:id="1703"/>
      <w:r>
        <w:rPr>
          <w:rtl w:val="true"/>
        </w:rPr>
        <w:t>فرض عيب در عين تسليم شده با تعلّق اجاره به كلى</w:t>
      </w:r>
      <w:bookmarkEnd w:id="17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عيب در عينِ تسليم شده معلوم شد با تعلق اجاره به كلى، پس مطالبۀ بدلِ بى عيب مى نمايد؛ و اگر عاجز از ابدال بود يا آنكه امتناع نمود و اجبار او بى ضررْ ممكن نبود، اختيار فسخ دارد نفس معامله را</w:t>
      </w:r>
      <w:r>
        <w:rPr>
          <w:rFonts w:eastAsia="IRNazanin" w:cs="IRNazanin"/>
          <w:color w:val="111111"/>
          <w:sz w:val="28"/>
          <w:szCs w:val="28"/>
          <w:rtl w:val="true"/>
          <w:lang w:bidi="fa-IR"/>
        </w:rPr>
        <w:t xml:space="preserve">. </w:t>
      </w:r>
      <w:bookmarkStart w:id="1705" w:name="pg10256_89620"/>
    </w:p>
    <w:p>
      <w:pPr>
        <w:pStyle w:val="Heading4"/>
        <w:numPr>
          <w:ilvl w:val="3"/>
          <w:numId w:val="1"/>
        </w:numPr>
        <w:rPr/>
      </w:pPr>
      <w:bookmarkStart w:id="1706" w:name="__RefHeading___Toc3598759_1067777946"/>
      <w:bookmarkStart w:id="1707" w:name="_Toc700"/>
      <w:bookmarkEnd w:id="1705"/>
      <w:bookmarkEnd w:id="1706"/>
      <w:r>
        <w:rPr>
          <w:rtl w:val="true"/>
        </w:rPr>
        <w:t>تعدّى مستأجر در عين</w:t>
      </w:r>
      <w:bookmarkEnd w:id="1707"/>
    </w:p>
    <w:p>
      <w:pPr>
        <w:pStyle w:val="Heading5"/>
        <w:numPr>
          <w:ilvl w:val="4"/>
          <w:numId w:val="1"/>
        </w:numPr>
        <w:rPr/>
      </w:pPr>
      <w:bookmarkStart w:id="1708" w:name="__RefHeading___Toc3598761_1067777946"/>
      <w:bookmarkStart w:id="1709" w:name="_Toc701"/>
      <w:bookmarkEnd w:id="1708"/>
      <w:r>
        <w:rPr>
          <w:rtl w:val="true"/>
        </w:rPr>
        <w:t>اشاره</w:t>
      </w:r>
      <w:bookmarkEnd w:id="17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مستأجر تعدّى كرد در عين مستأجره، از زمان تعدّى از ائتمان خارج مى شود و ضامن آن است، و احوط ضمان قيمت آن است از وقت تعدّى تا وقت ادا، يعنى اعلى قيمتى كه در اين زمانها بر عين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تعدّى، به زيادتىِ تحميلِ بر دابه باشد، محتمل است ضمان اجرت المثلِ تمام منفعت كه استيفاى مغاير با مأذون بوده است در عرف؛ پس بر مستأجر است رد تفاوت بين مسمىٰ و اجرت المثل منفعت استيفا شده، و محتمل است ضمان آنچه مقابل زيادتى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اجرت زيادتى در حال اجتماع، و ضمان تمام قيمت عين تالفه كه به سبب استيفاى غير مأذون تلف شده است در صورت استناد تلف به زيادتى يا تلف به آفت سماويه بعد از تعدّى وگرنه توزيع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سبب زيادتى سَير از مورد اجاره بوده، ضامن زيادتى استيفا و تمام قيمت عين تالفه است يا به نحو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بيان مختار در ضمان منفعت در بعض مسائل سابقه</w:t>
      </w:r>
      <w:r>
        <w:rPr>
          <w:rFonts w:eastAsia="IRNazanin" w:cs="IRNazanin"/>
          <w:color w:val="111111"/>
          <w:sz w:val="28"/>
          <w:szCs w:val="28"/>
          <w:rtl w:val="true"/>
          <w:lang w:bidi="fa-IR"/>
        </w:rPr>
        <w:t>.</w:t>
      </w:r>
    </w:p>
    <w:p>
      <w:pPr>
        <w:pStyle w:val="Heading5"/>
        <w:numPr>
          <w:ilvl w:val="4"/>
          <w:numId w:val="1"/>
        </w:numPr>
        <w:rPr/>
      </w:pPr>
      <w:bookmarkStart w:id="1710" w:name="__RefHeading___Toc3598763_1067777946"/>
      <w:bookmarkStart w:id="1711" w:name="_Toc702"/>
      <w:bookmarkEnd w:id="1710"/>
      <w:r>
        <w:rPr>
          <w:rtl w:val="true"/>
        </w:rPr>
        <w:t>تقدّم قول مستأجر در فرض اختلاف در قيمت تالف</w:t>
      </w:r>
      <w:bookmarkEnd w:id="1711"/>
    </w:p>
    <w:p>
      <w:pPr>
        <w:pStyle w:val="BookText"/>
        <w:rPr/>
      </w:pPr>
      <w:r>
        <w:rPr>
          <w:rFonts w:ascii="Amiri" w:hAnsi="Amiri" w:eastAsia="Amiri" w:cs="Amiri"/>
          <w:color w:val="111111"/>
          <w:sz w:val="28"/>
          <w:sz w:val="28"/>
          <w:szCs w:val="28"/>
          <w:rtl w:val="true"/>
          <w:lang w:bidi="ar-SA"/>
        </w:rPr>
        <w:t>در صورت اختلاف بين مالك و مستأجرِ ضامن، در قيمت عين تالفۀ در يد او، قول منكر زيادتى قيمت كه مستأجر است مقدم است</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3598765_1067777946"/>
      <w:bookmarkStart w:id="1713" w:name="_Toc703"/>
      <w:bookmarkEnd w:id="1712"/>
      <w:r>
        <w:rPr>
          <w:rtl w:val="true"/>
        </w:rPr>
        <w:t>عدم جواز استيجار ثانى به اقل قيمت در اجارۀ براى عمل مگر در صُوَرى</w:t>
      </w:r>
      <w:bookmarkEnd w:id="1713"/>
    </w:p>
    <w:p>
      <w:pPr>
        <w:pStyle w:val="Heading5"/>
        <w:numPr>
          <w:ilvl w:val="4"/>
          <w:numId w:val="1"/>
        </w:numPr>
        <w:rPr/>
      </w:pPr>
      <w:bookmarkStart w:id="1714" w:name="__RefHeading___Toc3598767_1067777946"/>
      <w:bookmarkStart w:id="1715" w:name="_Toc704"/>
      <w:bookmarkEnd w:id="1714"/>
      <w:r>
        <w:rPr>
          <w:rtl w:val="true"/>
        </w:rPr>
        <w:t>اشاره</w:t>
      </w:r>
      <w:bookmarkEnd w:id="17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سبب اجاره تقبّل نمود عملى را در ذمّۀ خودش براى مستأجر بدون اشتراطِ مباشرتِ عمل، پس نمى تواند بنابر اظهر استيجار نمايد ديگرى را به كمتر از آن تا استفاده اى نمايد از اين دو اجاره، مگر در صورت اصلاح يا احداث يا اخذ نتيجه به نحو صلح يا اشتراط در ضمن عقد، يعنى در معاملۀ اوّل يا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جواز استرباح اجير به مجرّد مغايرت جنس اجرتها در دو اجاره، تأمل است، و احتياط در آن ترك نشود</w:t>
      </w:r>
      <w:r>
        <w:rPr>
          <w:rFonts w:eastAsia="IRNazanin" w:cs="IRNazanin"/>
          <w:color w:val="111111"/>
          <w:sz w:val="28"/>
          <w:szCs w:val="28"/>
          <w:rtl w:val="true"/>
          <w:lang w:bidi="fa-IR"/>
        </w:rPr>
        <w:t>.</w:t>
      </w:r>
      <w:bookmarkStart w:id="1716" w:name="pg10256_89621"/>
    </w:p>
    <w:p>
      <w:pPr>
        <w:pStyle w:val="BookText"/>
        <w:rPr/>
      </w:pPr>
      <w:bookmarkEnd w:id="1716"/>
      <w:r>
        <w:rPr>
          <w:rFonts w:ascii="Amiri" w:hAnsi="Amiri" w:eastAsia="Amiri" w:cs="Amiri"/>
          <w:color w:val="111111"/>
          <w:sz w:val="28"/>
          <w:sz w:val="28"/>
          <w:szCs w:val="28"/>
          <w:rtl w:val="true"/>
          <w:lang w:bidi="ar-SA"/>
        </w:rPr>
        <w:t xml:space="preserve">و الحاق عملِ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صوم 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عمل در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خياطت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منع است، خالى از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بريدن جامه يا عمل در آن و مثل اينها، كافى در جواز است در موارد منع استرباح اجير</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3598769_1067777946"/>
      <w:bookmarkStart w:id="1718" w:name="_Toc705"/>
      <w:bookmarkEnd w:id="1717"/>
      <w:r>
        <w:rPr>
          <w:rtl w:val="true"/>
        </w:rPr>
        <w:t>حكم ضمان در فرض اجارۀ ثانيۀ جايزه</w:t>
      </w:r>
      <w:bookmarkEnd w:id="1718"/>
    </w:p>
    <w:p>
      <w:pPr>
        <w:pStyle w:val="BookText"/>
        <w:rPr/>
      </w:pPr>
      <w:r>
        <w:rPr>
          <w:rFonts w:ascii="IRNazanin" w:hAnsi="IRNazanin" w:eastAsia="IRNazanin"/>
          <w:color w:val="111111"/>
          <w:sz w:val="28"/>
          <w:sz w:val="28"/>
          <w:szCs w:val="28"/>
          <w:rtl w:val="true"/>
          <w:lang w:bidi="fa-IR"/>
        </w:rPr>
        <w:t xml:space="preserve">اگر تسليم عين مستأجره به غير نمود بعد از اجارۀ صحيحه، پس در صورت استفادۀ جواز اجارۀ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 غالبى آن تسليم 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در اجارۀ اولى به صورت عدم مباشرت در عمل يا انتفاع، ضامن نمى شود به تلف در يد مستأجر يا اجير دوّم در صورت امين بودن او نزد اجير يا مستأجر اوّل، وگرنه ضامن است مگر با اذن جديد</w:t>
      </w:r>
      <w:r>
        <w:rPr>
          <w:rFonts w:eastAsia="IRNazanin" w:cs="IRNazanin"/>
          <w:color w:val="111111"/>
          <w:sz w:val="28"/>
          <w:szCs w:val="28"/>
          <w:rtl w:val="true"/>
          <w:lang w:bidi="fa-IR"/>
        </w:rPr>
        <w:t>.</w:t>
      </w:r>
    </w:p>
    <w:p>
      <w:pPr>
        <w:pStyle w:val="Heading4"/>
        <w:numPr>
          <w:ilvl w:val="3"/>
          <w:numId w:val="1"/>
        </w:numPr>
        <w:rPr/>
      </w:pPr>
      <w:bookmarkStart w:id="1719" w:name="__RefHeading___Toc3598771_1067777946"/>
      <w:bookmarkStart w:id="1720" w:name="_Toc706"/>
      <w:bookmarkEnd w:id="1719"/>
      <w:r>
        <w:rPr>
          <w:rtl w:val="true"/>
        </w:rPr>
        <w:t>هزينۀ نگهدارى دابّه</w:t>
      </w:r>
      <w:bookmarkEnd w:id="17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سقى دابّۀ مستأجره و علف دادن آن، تابع عادتى است كه عقد اجاره بر آن واقع بشود يا اشتراط خصوصى؛ و در هر صورت وجوب مالى بر مستأجر ثابت نمى شود مگر آنكه آن هم با اشتراط در ضمن عقد تعيين بشود</w:t>
      </w:r>
      <w:r>
        <w:rPr>
          <w:rFonts w:eastAsia="IRNazanin" w:cs="IRNazanin"/>
          <w:color w:val="111111"/>
          <w:sz w:val="28"/>
          <w:szCs w:val="28"/>
          <w:rtl w:val="true"/>
          <w:lang w:bidi="fa-IR"/>
        </w:rPr>
        <w:t>.</w:t>
      </w:r>
    </w:p>
    <w:p>
      <w:pPr>
        <w:pStyle w:val="Heading4"/>
        <w:numPr>
          <w:ilvl w:val="3"/>
          <w:numId w:val="1"/>
        </w:numPr>
        <w:rPr/>
      </w:pPr>
      <w:bookmarkStart w:id="1721" w:name="__RefHeading___Toc3598773_1067777946"/>
      <w:bookmarkStart w:id="1722" w:name="_Toc707"/>
      <w:bookmarkEnd w:id="1721"/>
      <w:r>
        <w:rPr>
          <w:rtl w:val="true"/>
        </w:rPr>
        <w:t>ضمان در امور طبابت و صنعت و حمل</w:t>
      </w:r>
      <w:bookmarkEnd w:id="1722"/>
    </w:p>
    <w:p>
      <w:pPr>
        <w:pStyle w:val="Heading5"/>
        <w:numPr>
          <w:ilvl w:val="4"/>
          <w:numId w:val="1"/>
        </w:numPr>
        <w:rPr/>
      </w:pPr>
      <w:bookmarkStart w:id="1723" w:name="__RefHeading___Toc3598775_1067777946"/>
      <w:bookmarkStart w:id="1724" w:name="_Toc708"/>
      <w:bookmarkEnd w:id="1723"/>
      <w:r>
        <w:rPr>
          <w:rtl w:val="true"/>
        </w:rPr>
        <w:t>اشاره</w:t>
      </w:r>
      <w:bookmarkEnd w:id="172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عملِ صانع و طبيبِ مباشرِ علاج، تلف شد مورد عمل يا نقصى در آن حاصل شد، پس مقصّر مطلقاً ضامن است؛ و غيرِ مقصّر اگر برائت از مالك يا مريض يا ولىّ او اخذ نمود، ضامن نيست وگرنه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حكم مباشرت است توصيف دوا به نحو متعارف در نسخه نويسى اطبا اگر مباشرْ ديگران باشند، به نحو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ضمان، صورت استناد به خصوصيت عمل است اگر چه حاذق و ماهر و عارف و بدون تقصير بوده است؛ و آنچه در يد او تلف مى شود نه به سبب عمل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در حفظ و تعدّى، قول او مقدّم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حمّال اگر اتلاف غير عمدى او محرز بود و اختلاف در ترك احتياط بود، قول او </w:t>
      </w:r>
    </w:p>
    <w:p>
      <w:pPr>
        <w:pStyle w:val="BookText"/>
        <w:rPr/>
      </w:pPr>
      <w:r>
        <w:rPr>
          <w:rFonts w:ascii="IRNazanin" w:hAnsi="IRNazanin" w:eastAsia="IRNazanin"/>
          <w:color w:val="111111"/>
          <w:sz w:val="28"/>
          <w:sz w:val="28"/>
          <w:szCs w:val="28"/>
          <w:rtl w:val="true"/>
          <w:lang w:bidi="fa-IR"/>
        </w:rPr>
        <w:t xml:space="preserve">مسموع نيست و تضمين به اتلاف مى شود، پس اگر اتفاق بر عدم مخالفت احتياط به سبب تسامح او باشد، عدم ضمان خالى از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 عدم استقرار معاملۀ حمل در عرف بر تقدير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اذن در اتلافِ غير عمدى كشف شود و ترك بعض مراتب احتياط كه شاقّ است مغتفر باشد، پس موردِ حكمِ به ضمان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متيقّن، تلفِ غيرِ منسوب به عامل به اسناد يقينى بود و اختلاف در تفريطِ موجبِ صدق اتلاف يا بدون صدق بود، قول اجير مسموع است و تضمين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مالك بگويد به خياط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جامه كفايت مى كند براى پيراهنِ من، آن را قطع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قطع نمود و ظاهر شد عدم كفايت، اظهر عدم ضمان است با عدم تقصير در تحصيل ظن به كفايت به نحو معمول متعارف؛ مثل اينكه سؤال نمايد از خياط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كفايت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 نمايد او را به قطع، كه خياط ضامن نيست مگر در صورت تعمّد و غرور و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خياط ثوب را اتلاف نمود بعد از عمل، پس اگر در يد مالك بود، بر او است اجرت براى عامل، و بر عامل است عوض جامه كه در آن عمل واقع شده است يعنى 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يد عامل بوده، مخيّر است مالك بين اينكه مذكور شد، يا آنكه فسخ معامله نمايد و اجرت را اگر داده استرجاع نمايد و بدل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دوخته نشده بوده از عامل متلِف اخذ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حاصل در ثوب به سبب عمل، مضمون نيست، به واسطۀ اذن در عمل و لوازم آن؛ و موجب فسخ، ترك تسليم بعد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تلف به سبب آفت سماويه بود، مستحق مطالبۀ اجرت است و تلف ثوبْ مضمون است اگر عامل تفريط نكرده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موردى كه اجيرِ حمل، ضامن اتلاف محمول است، براى او اجرت حمل تا </w:t>
      </w:r>
      <w:bookmarkStart w:id="1725" w:name="pg10256_89623"/>
    </w:p>
    <w:p>
      <w:pPr>
        <w:pStyle w:val="BookText"/>
        <w:rPr/>
      </w:pPr>
      <w:bookmarkEnd w:id="1725"/>
      <w:r>
        <w:rPr>
          <w:rFonts w:ascii="IRNazanin" w:hAnsi="IRNazanin" w:eastAsia="IRNazanin"/>
          <w:color w:val="111111"/>
          <w:sz w:val="28"/>
          <w:sz w:val="28"/>
          <w:szCs w:val="28"/>
          <w:rtl w:val="true"/>
          <w:lang w:bidi="fa-IR"/>
        </w:rPr>
        <w:t>موضع اتلاف است و بر او است بدل آنچه اتلاف كرده است از محمول</w:t>
      </w:r>
      <w:r>
        <w:rPr>
          <w:rFonts w:eastAsia="IRNazanin" w:cs="IRNazanin"/>
          <w:color w:val="111111"/>
          <w:sz w:val="28"/>
          <w:szCs w:val="28"/>
          <w:rtl w:val="true"/>
          <w:lang w:bidi="fa-IR"/>
        </w:rPr>
        <w:t>.</w:t>
      </w:r>
    </w:p>
    <w:p>
      <w:pPr>
        <w:pStyle w:val="Heading5"/>
        <w:numPr>
          <w:ilvl w:val="4"/>
          <w:numId w:val="1"/>
        </w:numPr>
        <w:rPr/>
      </w:pPr>
      <w:bookmarkStart w:id="1726" w:name="__RefHeading___Toc3598777_1067777946"/>
      <w:bookmarkStart w:id="1727" w:name="_Toc709"/>
      <w:bookmarkEnd w:id="1726"/>
      <w:r>
        <w:rPr>
          <w:rtl w:val="true"/>
        </w:rPr>
        <w:t>عدم استحقاق اجرت زيادتى در فرض زيادتى عمل برقرار</w:t>
      </w:r>
      <w:bookmarkEnd w:id="1727"/>
    </w:p>
    <w:p>
      <w:pPr>
        <w:pStyle w:val="BookText"/>
        <w:rPr/>
      </w:pPr>
      <w:r>
        <w:rPr>
          <w:rFonts w:ascii="IRNazanin" w:hAnsi="IRNazanin" w:eastAsia="IRNazanin"/>
          <w:color w:val="111111"/>
          <w:sz w:val="28"/>
          <w:sz w:val="28"/>
          <w:szCs w:val="28"/>
          <w:rtl w:val="true"/>
          <w:lang w:bidi="fa-IR"/>
        </w:rPr>
        <w:t>اگر استيجار كرد براى بافندگى جنسى از غزل به قدر معيّن در طول و قصر، پس زياده از معيّن انجام داد، پس اگر اختلاف به مجرد زيادتى و نقيصه است، بر زيادتى استحقاق اجرت ندارد و اجرت مقدار معيّن را مستحق است</w:t>
      </w:r>
      <w:r>
        <w:rPr>
          <w:rFonts w:eastAsia="IRNazanin" w:cs="IRNazanin"/>
          <w:color w:val="111111"/>
          <w:sz w:val="28"/>
          <w:szCs w:val="28"/>
          <w:rtl w:val="true"/>
          <w:lang w:bidi="fa-IR"/>
        </w:rPr>
        <w:t>.</w:t>
      </w:r>
    </w:p>
    <w:p>
      <w:pPr>
        <w:pStyle w:val="Heading4"/>
        <w:numPr>
          <w:ilvl w:val="3"/>
          <w:numId w:val="1"/>
        </w:numPr>
        <w:rPr/>
      </w:pPr>
      <w:bookmarkStart w:id="1728" w:name="__RefHeading___Toc3598779_1067777946"/>
      <w:bookmarkStart w:id="1729" w:name="_Toc710"/>
      <w:bookmarkEnd w:id="1728"/>
      <w:r>
        <w:rPr>
          <w:rtl w:val="true"/>
        </w:rPr>
        <w:t>نفقۀ اجير</w:t>
      </w:r>
      <w:bookmarkEnd w:id="17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نفقۀ اجير در زمان عمل به اجاره چه متوقف بر مسافرت باشد يا نه، بر خود او است، مگر با اشتراط يا اقتضاى قراين مثل عادت در مورد اجاره در طرفين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استفاده، استحقاق اجير، ثابتِ متعارف است، نه اقل كفايت به حسب امكان</w:t>
      </w:r>
      <w:r>
        <w:rPr>
          <w:rFonts w:eastAsia="IRNazanin" w:cs="IRNazanin"/>
          <w:color w:val="111111"/>
          <w:sz w:val="28"/>
          <w:szCs w:val="28"/>
          <w:rtl w:val="true"/>
          <w:lang w:bidi="fa-IR"/>
        </w:rPr>
        <w:t>.</w:t>
      </w:r>
    </w:p>
    <w:p>
      <w:pPr>
        <w:pStyle w:val="Heading4"/>
        <w:numPr>
          <w:ilvl w:val="3"/>
          <w:numId w:val="1"/>
        </w:numPr>
        <w:rPr/>
      </w:pPr>
      <w:bookmarkStart w:id="1730" w:name="__RefHeading___Toc3598781_1067777946"/>
      <w:bookmarkStart w:id="1731" w:name="_Toc711"/>
      <w:bookmarkEnd w:id="1730"/>
      <w:r>
        <w:rPr>
          <w:rtl w:val="true"/>
        </w:rPr>
        <w:t>اجارۀ مملوك و اتلاف مال</w:t>
      </w:r>
      <w:bookmarkEnd w:id="173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اجاره داد مملوكِ خود را پس اتلاف كرد از مال مستأجر تا تلف شد در يد او با تفريط مملوك، بر مولىٰ است از كسب مملوك و استسعاء مى شود؛ و اگر عاجز شد يا وافى نبود، در ذمّۀ مملوك است كه بعد از عتق ادا نمايد، و بر مالك از مال ديگرش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مملوكْ خود را با اذن يا اجازۀ مالك اجاره داد</w:t>
      </w:r>
      <w:r>
        <w:rPr>
          <w:rFonts w:eastAsia="IRNazanin" w:cs="IRNazanin"/>
          <w:color w:val="111111"/>
          <w:sz w:val="28"/>
          <w:szCs w:val="28"/>
          <w:rtl w:val="true"/>
          <w:lang w:bidi="fa-IR"/>
        </w:rPr>
        <w:t>.</w:t>
      </w:r>
    </w:p>
    <w:p>
      <w:pPr>
        <w:pStyle w:val="Heading4"/>
        <w:numPr>
          <w:ilvl w:val="3"/>
          <w:numId w:val="1"/>
        </w:numPr>
        <w:rPr/>
      </w:pPr>
      <w:bookmarkStart w:id="1732" w:name="__RefHeading___Toc3598783_1067777946"/>
      <w:bookmarkStart w:id="1733" w:name="_Toc712"/>
      <w:bookmarkEnd w:id="1732"/>
      <w:r>
        <w:rPr>
          <w:rtl w:val="true"/>
        </w:rPr>
        <w:t>حكم ضمان صاحب حمام نسبت به مال افراد</w:t>
      </w:r>
      <w:bookmarkEnd w:id="1733"/>
    </w:p>
    <w:p>
      <w:pPr>
        <w:pStyle w:val="Heading5"/>
        <w:numPr>
          <w:ilvl w:val="4"/>
          <w:numId w:val="1"/>
        </w:numPr>
        <w:rPr/>
      </w:pPr>
      <w:bookmarkStart w:id="1734" w:name="__RefHeading___Toc3598785_1067777946"/>
      <w:bookmarkStart w:id="1735" w:name="_Toc713"/>
      <w:bookmarkEnd w:id="1734"/>
      <w:r>
        <w:rPr>
          <w:rtl w:val="true"/>
        </w:rPr>
        <w:t>اشاره</w:t>
      </w:r>
      <w:bookmarkEnd w:id="173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حمام، ضامن تلف اموال داخل شونده ها نيست، مگر در صورت ايداع با قبول او اگر تفريط در حفظ يا اتلاف مال نمايد</w:t>
      </w:r>
      <w:r>
        <w:rPr>
          <w:rFonts w:eastAsia="IRNazanin" w:cs="IRNazanin"/>
          <w:color w:val="111111"/>
          <w:sz w:val="28"/>
          <w:szCs w:val="28"/>
          <w:rtl w:val="true"/>
          <w:lang w:bidi="fa-IR"/>
        </w:rPr>
        <w:t>.</w:t>
      </w:r>
    </w:p>
    <w:p>
      <w:pPr>
        <w:pStyle w:val="Heading5"/>
        <w:numPr>
          <w:ilvl w:val="4"/>
          <w:numId w:val="1"/>
        </w:numPr>
        <w:rPr/>
      </w:pPr>
      <w:bookmarkStart w:id="1736" w:name="__RefHeading___Toc3598787_1067777946"/>
      <w:bookmarkStart w:id="1737" w:name="_Toc714"/>
      <w:bookmarkEnd w:id="1736"/>
      <w:r>
        <w:rPr>
          <w:rtl w:val="true"/>
        </w:rPr>
        <w:t>حكم ضمان اجير براى حفظ متاع</w:t>
      </w:r>
      <w:bookmarkEnd w:id="173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شخصى اجير شد و جاى صاحب متاع گذاشته شد، پس ضامن </w:t>
      </w:r>
      <w:bookmarkStart w:id="1738" w:name="pg10256_89624"/>
    </w:p>
    <w:p>
      <w:pPr>
        <w:pStyle w:val="BookText"/>
        <w:rPr/>
      </w:pPr>
      <w:bookmarkEnd w:id="1738"/>
      <w:r>
        <w:rPr>
          <w:rFonts w:ascii="IRNazanin" w:hAnsi="IRNazanin" w:eastAsia="IRNazanin"/>
          <w:color w:val="111111"/>
          <w:sz w:val="28"/>
          <w:sz w:val="28"/>
          <w:szCs w:val="28"/>
          <w:rtl w:val="true"/>
          <w:lang w:bidi="fa-IR"/>
        </w:rPr>
        <w:t>نيست مگر با اتلاف يا تعدّى و تفريط در حفظ؛ و تا زمان تفريط، مستحق اجرت مقرّره است؛ و در آنچه اتلاف نكرده است يعنى بدون اختيار، مستحق اجرت مقرّره است و گاهى توزيع مى شود</w:t>
      </w:r>
      <w:r>
        <w:rPr>
          <w:rFonts w:eastAsia="IRNazanin" w:cs="IRNazanin"/>
          <w:color w:val="111111"/>
          <w:sz w:val="28"/>
          <w:szCs w:val="28"/>
          <w:rtl w:val="true"/>
          <w:lang w:bidi="fa-IR"/>
        </w:rPr>
        <w:t>.</w:t>
      </w:r>
    </w:p>
    <w:p>
      <w:pPr>
        <w:pStyle w:val="Heading4"/>
        <w:numPr>
          <w:ilvl w:val="3"/>
          <w:numId w:val="1"/>
        </w:numPr>
        <w:rPr/>
      </w:pPr>
      <w:bookmarkStart w:id="1739" w:name="__RefHeading___Toc3598789_1067777946"/>
      <w:bookmarkStart w:id="1740" w:name="_Toc715"/>
      <w:bookmarkEnd w:id="1739"/>
      <w:r>
        <w:rPr>
          <w:rtl w:val="true"/>
        </w:rPr>
        <w:t>صحّت ابراء اجرت يا منفعت ثابت در ذمّه به خلاف منفعت عين خارجيّه</w:t>
      </w:r>
      <w:bookmarkEnd w:id="174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اجرت مقرّره در ذمهْ ثابت شد، قابل ابراء و اسقاط است اگر چه قبل از زمان استحقاق تسلم باشد، و هم چنين منفعت عين كليّه كه در ذمّه ثابت بشود به اجاره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منفعت عين خارجيّه بعد از مملوكيت، قابل ابراء نيست و به اسقاط ساقط نمى شود، بلكه قابل تمليك صحيح است</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3598791_1067777946"/>
      <w:bookmarkStart w:id="1742" w:name="_Toc716"/>
      <w:bookmarkEnd w:id="1741"/>
      <w:r>
        <w:rPr>
          <w:rtl w:val="true"/>
        </w:rPr>
        <w:t>اجارۀ مملوك و عتق او</w:t>
      </w:r>
      <w:bookmarkEnd w:id="174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اجاره داد مملوك خود را پس از آن عتق نمود، اجاره باطل نمى شود و عتق صحيح است و به منزلۀ بيع عين مسلوب المنفعه تا مدتى است، و مستأجر استيفاى عمل از مورد اجاره مى نمايد و بر او است اجرت مقرره براى موجر كه مالك قبل از عتق بوده، و براى مملوك بر مالكِ معتِق، اجرت المثل عمل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نفقۀ اين اجير به حسب شرط، بر مشروط عليه است؛ و اگر شرط نشده، مى تواند به قدر ضرورىِ نفقه خودش، كسب نمايد براى خودش؛ و آن مدت تفويت شده بر مستأجر در ذمۀ اجير است كه بعد از تمكّن و انقضاءِ مدت اجاره، ادا نمايد به مستأجر با استيذان از مستأجر در اين كسب و زمان مخصوص آن بنابر احوط</w:t>
      </w:r>
      <w:r>
        <w:rPr>
          <w:rFonts w:eastAsia="IRNazanin" w:cs="IRNazanin"/>
          <w:color w:val="111111"/>
          <w:sz w:val="28"/>
          <w:szCs w:val="28"/>
          <w:rtl w:val="true"/>
          <w:lang w:bidi="fa-IR"/>
        </w:rPr>
        <w:t>.</w:t>
      </w:r>
    </w:p>
    <w:p>
      <w:pPr>
        <w:pStyle w:val="Heading4"/>
        <w:numPr>
          <w:ilvl w:val="3"/>
          <w:numId w:val="1"/>
        </w:numPr>
        <w:rPr/>
      </w:pPr>
      <w:bookmarkStart w:id="1743" w:name="__RefHeading___Toc3598793_1067777946"/>
      <w:bookmarkStart w:id="1744" w:name="_Toc717"/>
      <w:bookmarkEnd w:id="1743"/>
      <w:r>
        <w:rPr>
          <w:rtl w:val="true"/>
        </w:rPr>
        <w:t>اجارۀ صبىّ توسط وصىّ‌</w:t>
      </w:r>
      <w:bookmarkEnd w:id="1744"/>
    </w:p>
    <w:p>
      <w:pPr>
        <w:pStyle w:val="Heading5"/>
        <w:numPr>
          <w:ilvl w:val="4"/>
          <w:numId w:val="1"/>
        </w:numPr>
        <w:rPr/>
      </w:pPr>
      <w:bookmarkStart w:id="1745" w:name="__RefHeading___Toc3598795_1067777946"/>
      <w:bookmarkStart w:id="1746" w:name="_Toc718"/>
      <w:bookmarkEnd w:id="1745"/>
      <w:r>
        <w:rPr>
          <w:rtl w:val="true"/>
        </w:rPr>
        <w:t>اشاره</w:t>
      </w:r>
      <w:bookmarkEnd w:id="174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وصى به ولايت، اجاره داد صبىّ را در مدتى كه مى داند بلوغ با رشد او را در بعض آن مدت، صحيح است در اجاره در غير مدت علم به بلوغ با رُشد، و موقوف به اجازۀ بعد از بلوغ و رشد است در آن مقدار فاقد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مدتى كه احتمال بلوغ مى دهد، اجاره محكوم به صحّت است در ظاهر؛ و اگر كشف شد بلوغ در آن،</w:t>
      </w:r>
      <w:bookmarkStart w:id="1747" w:name="pg10256_89625"/>
    </w:p>
    <w:p>
      <w:pPr>
        <w:pStyle w:val="BookText"/>
        <w:rPr/>
      </w:pPr>
      <w:bookmarkEnd w:id="1747"/>
      <w:r>
        <w:rPr>
          <w:rFonts w:ascii="Amiri" w:hAnsi="Amiri" w:eastAsia="Amiri" w:cs="Amiri"/>
          <w:color w:val="111111"/>
          <w:sz w:val="28"/>
          <w:sz w:val="28"/>
          <w:szCs w:val="28"/>
          <w:rtl w:val="true"/>
          <w:lang w:bidi="ar-SA"/>
        </w:rPr>
        <w:t>موقوف است در واقع به اجازۀ صحيحه و صحيح است فعلاً در واقع در مورد ثبوت ولايت در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اجاره براى مصلحت صبىّ براى بعد از بلوغ او باشد و فوتى باشد آن مصلحت كه فقط قبل از بلوغ، وقت اجارۀ آن است، اظهر اناطۀ صحتِ اجاره به اذن حاكم است، و وصى در مدت متأخّره از بلوغ، اجنبى است</w:t>
      </w:r>
      <w:r>
        <w:rPr>
          <w:rFonts w:eastAsia="IRNazanin" w:cs="IRNazanin"/>
          <w:color w:val="111111"/>
          <w:sz w:val="28"/>
          <w:szCs w:val="28"/>
          <w:rtl w:val="true"/>
          <w:lang w:bidi="fa-IR"/>
        </w:rPr>
        <w:t>.</w:t>
      </w:r>
    </w:p>
    <w:p>
      <w:pPr>
        <w:pStyle w:val="Heading5"/>
        <w:numPr>
          <w:ilvl w:val="4"/>
          <w:numId w:val="1"/>
        </w:numPr>
        <w:rPr/>
      </w:pPr>
      <w:bookmarkStart w:id="1748" w:name="__RefHeading___Toc3598797_1067777946"/>
      <w:bookmarkStart w:id="1749" w:name="_Toc719"/>
      <w:bookmarkEnd w:id="1748"/>
      <w:r>
        <w:rPr>
          <w:rtl w:val="true"/>
        </w:rPr>
        <w:t>عدم بطلان اجاره در فرض وفات ولىّ به وصايت و ناظر وقف</w:t>
      </w:r>
      <w:bookmarkEnd w:id="1749"/>
    </w:p>
    <w:p>
      <w:pPr>
        <w:pStyle w:val="BookText"/>
        <w:rPr/>
      </w:pPr>
      <w:r>
        <w:rPr>
          <w:rFonts w:ascii="IRNazanin" w:hAnsi="IRNazanin" w:eastAsia="IRNazanin"/>
          <w:color w:val="111111"/>
          <w:sz w:val="28"/>
          <w:sz w:val="28"/>
          <w:szCs w:val="28"/>
          <w:rtl w:val="true"/>
          <w:lang w:bidi="fa-IR"/>
        </w:rPr>
        <w:t>و اگر ولىِّ به وصايت، وفات نمايد بعد از اجارۀ صحيحه، يا آنكه ولايت منتقل به غير بشود نه بواسطۀ خيانت در اين اجاره، پس اجارۀ صحيحه او باطل نمى شود و به منزلۀ موت وكيل است بعد از عقد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اجارۀ صحيحه از ناظر وقف براى مدتى بود كه خودش در اثناى آن وفات نمايد، اجاره باطل نمى شود در صورتى كه اجاره براى مصلحت موجودين در حال اجاره و بعد از آن و ولايت ناظر بوده است</w:t>
      </w:r>
      <w:r>
        <w:rPr>
          <w:rFonts w:eastAsia="IRNazanin" w:cs="IRNazanin"/>
          <w:color w:val="111111"/>
          <w:sz w:val="28"/>
          <w:szCs w:val="28"/>
          <w:rtl w:val="true"/>
          <w:lang w:bidi="fa-IR"/>
        </w:rPr>
        <w:t>.</w:t>
      </w:r>
    </w:p>
    <w:p>
      <w:pPr>
        <w:pStyle w:val="Heading5"/>
        <w:numPr>
          <w:ilvl w:val="4"/>
          <w:numId w:val="1"/>
        </w:numPr>
        <w:rPr/>
      </w:pPr>
      <w:bookmarkStart w:id="1750" w:name="__RefHeading___Toc3598799_1067777946"/>
      <w:bookmarkStart w:id="1751" w:name="_Toc720"/>
      <w:bookmarkEnd w:id="1750"/>
      <w:r>
        <w:rPr>
          <w:rtl w:val="true"/>
        </w:rPr>
        <w:t>وفات اجير در حين عمل</w:t>
      </w:r>
      <w:bookmarkEnd w:id="1751"/>
    </w:p>
    <w:p>
      <w:pPr>
        <w:pStyle w:val="BookText"/>
        <w:rPr/>
      </w:pPr>
      <w:r>
        <w:rPr>
          <w:rFonts w:ascii="IRNazanin" w:hAnsi="IRNazanin" w:eastAsia="IRNazanin"/>
          <w:color w:val="111111"/>
          <w:sz w:val="28"/>
          <w:sz w:val="28"/>
          <w:szCs w:val="28"/>
          <w:rtl w:val="true"/>
          <w:lang w:bidi="fa-IR"/>
        </w:rPr>
        <w:t>اگر تسلّم نمود اجيرى را براى عمل به اجارۀ صحيحه، پس اجير وفات نمود به سبب عمل يا غير آن، ضامن نيست مستأجر، در كبير و صغير و آزاد و مملوك در صورت عدم تسبيب به اتلاف و عدم تفريط در مورد وجوب حفظ و در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موت در مدت اجاره و بعد از آن نيست با تخليۀ آنچه تخليۀ آن لازم است، و اگر تخليه نكرده با مطالبه و حبس نمود، ضامن مملوك است به جهت غصب</w:t>
      </w:r>
      <w:r>
        <w:rPr>
          <w:rFonts w:eastAsia="IRNazanin" w:cs="IRNazanin"/>
          <w:color w:val="111111"/>
          <w:sz w:val="28"/>
          <w:szCs w:val="28"/>
          <w:rtl w:val="true"/>
          <w:lang w:bidi="fa-IR"/>
        </w:rPr>
        <w:t>.</w:t>
      </w:r>
    </w:p>
    <w:p>
      <w:pPr>
        <w:pStyle w:val="Heading4"/>
        <w:numPr>
          <w:ilvl w:val="3"/>
          <w:numId w:val="1"/>
        </w:numPr>
        <w:rPr/>
      </w:pPr>
      <w:bookmarkStart w:id="1752" w:name="__RefHeading___Toc3598801_1067777946"/>
      <w:bookmarkStart w:id="1753" w:name="_Toc721"/>
      <w:bookmarkEnd w:id="1752"/>
      <w:r>
        <w:rPr>
          <w:rtl w:val="true"/>
        </w:rPr>
        <w:t>ضمان در فرض اذن در عملِ اجرت دار</w:t>
      </w:r>
      <w:bookmarkEnd w:id="175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اذن داد در عملى كه به حسب عادتْ اجرت دارد، ضامن اجرت المثل آن عمل است، خواه اجيرْ معتاد براى آن عمل با اجرت باشد يا نه، و قصد عامل بيش از اجرت المثل را، يا قصد اذن دهنده كمتر از اجرت المثل را، اعتبار ندارد، و بايد</w:t>
      </w:r>
      <w:bookmarkStart w:id="1754" w:name="pg10256_89626"/>
    </w:p>
    <w:p>
      <w:pPr>
        <w:pStyle w:val="BookText"/>
        <w:rPr/>
      </w:pPr>
      <w:bookmarkEnd w:id="1754"/>
      <w:r>
        <w:rPr>
          <w:rFonts w:ascii="Amiri" w:hAnsi="Amiri" w:eastAsia="Amiri" w:cs="Amiri"/>
          <w:color w:val="111111"/>
          <w:sz w:val="28"/>
          <w:sz w:val="28"/>
          <w:szCs w:val="28"/>
          <w:rtl w:val="true"/>
          <w:lang w:bidi="ar-SA"/>
        </w:rPr>
        <w:t>امارۀ معتبره در ارادۀ مجانيّت از اذن دهنده يا عامل،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معلوم نباشد كه عاملْ قصد تبرّع كرده، پس مطالبۀ اجرت نمود، مسموع است ادّعاى عدم قصد مجانيّت از او و فرقى بين امر و اذن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حسب متعارف، آن عمل اجرت ندارد، به مجرّد قصد و ادّعاى آن، ضمان ثابت نيست اگر چه قابل معاوضه با تراضى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هر دو، قصد عوض و مجانيّت، منتفى باشد، پس اظهر ثبوت ضمان است در واقع با بودن عمل به حسب عرفْ اجرت دار، و فقط با امارۀ مجانيّت از آذن يا عامل، منتفى مى شود</w:t>
      </w:r>
      <w:r>
        <w:rPr>
          <w:rFonts w:eastAsia="IRNazanin" w:cs="IRNazanin"/>
          <w:color w:val="111111"/>
          <w:sz w:val="28"/>
          <w:szCs w:val="28"/>
          <w:rtl w:val="true"/>
          <w:lang w:bidi="fa-IR"/>
        </w:rPr>
        <w:t>.</w:t>
      </w:r>
    </w:p>
    <w:p>
      <w:pPr>
        <w:pStyle w:val="Heading4"/>
        <w:numPr>
          <w:ilvl w:val="3"/>
          <w:numId w:val="1"/>
        </w:numPr>
        <w:rPr/>
      </w:pPr>
      <w:bookmarkStart w:id="1755" w:name="__RefHeading___Toc3598803_1067777946"/>
      <w:bookmarkStart w:id="1756" w:name="_Toc722"/>
      <w:bookmarkEnd w:id="1755"/>
      <w:r>
        <w:rPr>
          <w:rtl w:val="true"/>
        </w:rPr>
        <w:t>هزينۀ مقدّمات عمل در اجاره</w:t>
      </w:r>
      <w:bookmarkEnd w:id="1756"/>
    </w:p>
    <w:p>
      <w:pPr>
        <w:pStyle w:val="Heading5"/>
        <w:numPr>
          <w:ilvl w:val="4"/>
          <w:numId w:val="1"/>
        </w:numPr>
        <w:rPr/>
      </w:pPr>
      <w:bookmarkStart w:id="1757" w:name="__RefHeading___Toc3598805_1067777946"/>
      <w:bookmarkStart w:id="1758" w:name="_Toc723"/>
      <w:bookmarkEnd w:id="1757"/>
      <w:r>
        <w:rPr>
          <w:rtl w:val="true"/>
        </w:rPr>
        <w:t>اشاره</w:t>
      </w:r>
      <w:bookmarkEnd w:id="175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خيوط در خياطت و مداد در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عرف و عادت متعاملَين است در ثبوت بر اجير يا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خلافِ عادت، مقصود متعاملين باشد، بايد تعيين بشود به نحو اشتراط</w:t>
      </w:r>
      <w:r>
        <w:rPr>
          <w:rFonts w:eastAsia="IRNazanin" w:cs="IRNazanin"/>
          <w:color w:val="111111"/>
          <w:sz w:val="28"/>
          <w:szCs w:val="28"/>
          <w:rtl w:val="true"/>
          <w:lang w:bidi="fa-IR"/>
        </w:rPr>
        <w:t>.</w:t>
      </w:r>
    </w:p>
    <w:p>
      <w:pPr>
        <w:pStyle w:val="Heading5"/>
        <w:numPr>
          <w:ilvl w:val="4"/>
          <w:numId w:val="1"/>
        </w:numPr>
        <w:rPr/>
      </w:pPr>
      <w:bookmarkStart w:id="1759" w:name="__RefHeading___Toc3598807_1067777946"/>
      <w:bookmarkStart w:id="1760" w:name="_Toc724"/>
      <w:bookmarkEnd w:id="1759"/>
      <w:r>
        <w:rPr>
          <w:rtl w:val="true"/>
        </w:rPr>
        <w:t>هزينۀ نگهدارى و تعميرات و لوازم انتفاع خانۀ مستأجَره</w:t>
      </w:r>
      <w:bookmarkEnd w:id="176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وسيلۀ بستن و باز كردن درب خانه، بر موجر است اگر متصل به درب باشد نه مثل قفل و كليد خارج از درب؛ بلكه در صورت اتصال اگر محتاج به تعمير شد يا آنكه مفتاح آن گم شد از مستأجر بدون تفريط در حفظ، بر موجر است ابدال و تعمير آن، و هم چنين ساير مقدمات و لوازم حدوث انتفاع يا بقاى آن در صوت عدم تفريط از مستأجر، حتى مثل اصلاح راه آب در داخل منزل و تفريع مستراح در صورت حاجت در انتفاع حدوثى يا بقايى بدون تفريط از مستأجر و برف روبى سطح خانه و يا عرصۀ آن به نحوى كه مانع از انتفاع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رفع يد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بر مستأجر نيست آنچه ضرر بر خانه دارد اگر ازاله نشد از برف اگر چه شرط انتفاع نباشد، مثل ساير تعميرات</w:t>
      </w:r>
      <w:r>
        <w:rPr>
          <w:rFonts w:eastAsia="IRNazanin" w:cs="IRNazanin"/>
          <w:color w:val="111111"/>
          <w:sz w:val="28"/>
          <w:szCs w:val="28"/>
          <w:rtl w:val="true"/>
          <w:lang w:bidi="fa-IR"/>
        </w:rPr>
        <w:t xml:space="preserve">. </w:t>
      </w:r>
      <w:bookmarkStart w:id="1761" w:name="pg10256_89627"/>
    </w:p>
    <w:p>
      <w:pPr>
        <w:pStyle w:val="Heading4"/>
        <w:numPr>
          <w:ilvl w:val="3"/>
          <w:numId w:val="1"/>
        </w:numPr>
        <w:rPr/>
      </w:pPr>
      <w:bookmarkStart w:id="1762" w:name="__RefHeading___Toc3598809_1067777946"/>
      <w:bookmarkStart w:id="1763" w:name="_Toc725"/>
      <w:bookmarkEnd w:id="1761"/>
      <w:bookmarkEnd w:id="1762"/>
      <w:r>
        <w:rPr>
          <w:rtl w:val="true"/>
        </w:rPr>
        <w:t>در تنازع است</w:t>
      </w:r>
      <w:bookmarkEnd w:id="1763"/>
    </w:p>
    <w:p>
      <w:pPr>
        <w:pStyle w:val="Heading5"/>
        <w:numPr>
          <w:ilvl w:val="4"/>
          <w:numId w:val="1"/>
        </w:numPr>
        <w:rPr/>
      </w:pPr>
      <w:bookmarkStart w:id="1764" w:name="__RefHeading___Toc3598811_1067777946"/>
      <w:bookmarkStart w:id="1765" w:name="_Toc726"/>
      <w:bookmarkEnd w:id="1764"/>
      <w:r>
        <w:rPr>
          <w:rtl w:val="true"/>
        </w:rPr>
        <w:t>صور مختلف اختلاف طرفين در وقوع اجاره</w:t>
      </w:r>
      <w:bookmarkEnd w:id="1765"/>
    </w:p>
    <w:p>
      <w:pPr>
        <w:pStyle w:val="Heading6"/>
        <w:numPr>
          <w:ilvl w:val="5"/>
          <w:numId w:val="1"/>
        </w:numPr>
        <w:rPr/>
      </w:pPr>
      <w:bookmarkStart w:id="1766" w:name="__RefHeading___Toc3598813_1067777946"/>
      <w:bookmarkStart w:id="1767" w:name="_Toc727"/>
      <w:bookmarkEnd w:id="1766"/>
      <w:r>
        <w:rPr>
          <w:rtl w:val="true"/>
        </w:rPr>
        <w:t>اشاره</w:t>
      </w:r>
      <w:bookmarkEnd w:id="17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نمودند در وقوع اجاره، قول منكر آن با يمين او مقدم است؛ پس اگر نزاع قبل از تصرّف و استيفاى منفعت است، مال هر كدام به صاحب آن راجع است؛ و اگر بعد از استيفاءِ بعض يا تمام منفعتِ موقّته است، پس در صورت مدّعى بودن مالك، به سبب حلفِ متصرف، اجاره منتفى مى شود و اجرت المثل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اجرت المثل ازيد از مسمىٰ به قول مالك است، نمى تواند متصرّفْ مطالبۀ زيادتى بعد از دفع نمايد، به سبب منافات با انكار اجاره؛ بلكه به اعتقاد او لازم است ايصال آن زيادتى به مالك به هر طريقى كه ممكن باشد؛ اگر چه مالك نمى تواند به عنوان زيادتى قبول نمايد به سبب ادّعاى اجاره كه مسمّاى آن اقل از اجرت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مسمّى به حسب دعوى، ازيد از اجرت المثل باشد، منكر مطالبۀ زيادتى مى نمايد بعد از دفع، و بر او زيادتى نيست اگر دفع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مدّعى بودنِ متصرّف، مالك بعد از حلف و اسقاط اجاره، مستحق اجرت المثل است، و مى تواند مطالبۀ زيادتى آن از مسمّى را بنمايد قبل از اخذ، و بر او رد زيادتى نيست بعد از اخذ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مسمّى ازيد باشد نمى تواند مطالبۀ زيادتى نمايد، بلكه متصرّف بايد ايصالِ آن زيادتى كه مطابق دعواى او است به مالك نمايد به هر طريقى كه ممكن باشد اگر چه به اخفاى آن در ضمن اموال مالك باشد، و اگر دفع نموده بوده نمى تواند استرجاع نمايد آن زيادتى مسمّى را؛ بلكه بر مالك است ايصال زيادتى به متصرف به هر نحو كه ممكن بشود؛ و اگر ممكن نشد، امر آن زيادتى مربوط به حاكم شرع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مدعىِ اجارهْ مالك بود، نمى تواند تضمين عين در مدت نمايد به سبب </w:t>
      </w:r>
      <w:bookmarkStart w:id="1768" w:name="pg10256_89628"/>
    </w:p>
    <w:p>
      <w:pPr>
        <w:pStyle w:val="BookText"/>
        <w:rPr/>
      </w:pPr>
      <w:bookmarkEnd w:id="1768"/>
      <w:r>
        <w:rPr>
          <w:rFonts w:ascii="IRNazanin" w:hAnsi="IRNazanin" w:eastAsia="IRNazanin"/>
          <w:color w:val="111111"/>
          <w:sz w:val="28"/>
          <w:sz w:val="28"/>
          <w:szCs w:val="28"/>
          <w:rtl w:val="true"/>
          <w:lang w:bidi="fa-IR"/>
        </w:rPr>
        <w:t xml:space="preserve">اعتراف به امانت مالكيّه؛ و اگر مدّعى اجارهْ متصرِّف بود، مى تواند مالك تضمين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انكار اجاره اگر منكرِ اذن هم باشد</w:t>
      </w:r>
      <w:r>
        <w:rPr>
          <w:rFonts w:eastAsia="IRNazanin" w:cs="IRNazanin"/>
          <w:color w:val="111111"/>
          <w:sz w:val="28"/>
          <w:szCs w:val="28"/>
          <w:rtl w:val="true"/>
          <w:lang w:bidi="fa-IR"/>
        </w:rPr>
        <w:t>.</w:t>
      </w:r>
    </w:p>
    <w:p>
      <w:pPr>
        <w:pStyle w:val="Heading6"/>
        <w:numPr>
          <w:ilvl w:val="5"/>
          <w:numId w:val="1"/>
        </w:numPr>
        <w:rPr/>
      </w:pPr>
      <w:bookmarkStart w:id="1769" w:name="__RefHeading___Toc3598815_1067777946"/>
      <w:bookmarkStart w:id="1770" w:name="_Toc728"/>
      <w:bookmarkEnd w:id="1769"/>
      <w:r>
        <w:rPr>
          <w:rtl w:val="true"/>
        </w:rPr>
        <w:t>اختلاف در مقدار يا نوع متعلّق اجاره</w:t>
      </w:r>
      <w:bookmarkEnd w:id="1770"/>
    </w:p>
    <w:p>
      <w:pPr>
        <w:pStyle w:val="BookText"/>
        <w:rPr/>
      </w:pPr>
      <w:r>
        <w:rPr>
          <w:rFonts w:ascii="IRNazanin" w:hAnsi="IRNazanin" w:eastAsia="IRNazanin"/>
          <w:color w:val="111111"/>
          <w:sz w:val="28"/>
          <w:sz w:val="28"/>
          <w:szCs w:val="28"/>
          <w:rtl w:val="true"/>
          <w:lang w:bidi="fa-IR"/>
        </w:rPr>
        <w:t>و اگر اختلاف در مقدار متعلّق اجاره از منفعت و عمل باشد، قول منكر زيادتى مقدّم است با يمين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اختلاف در مثل تعلّق اجاره به خانه يا دابّه، حكم به تحالف مى شود</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3598817_1067777946"/>
      <w:bookmarkStart w:id="1772" w:name="_Toc729"/>
      <w:bookmarkEnd w:id="1771"/>
      <w:r>
        <w:rPr>
          <w:rtl w:val="true"/>
        </w:rPr>
        <w:t>تقدّم قول نافىِ رد</w:t>
      </w:r>
      <w:bookmarkEnd w:id="1772"/>
    </w:p>
    <w:p>
      <w:pPr>
        <w:pStyle w:val="BookText"/>
        <w:rPr/>
      </w:pPr>
      <w:r>
        <w:rPr>
          <w:rFonts w:ascii="Amiri" w:hAnsi="Amiri" w:eastAsia="Amiri" w:cs="Amiri"/>
          <w:color w:val="111111"/>
          <w:sz w:val="28"/>
          <w:sz w:val="28"/>
          <w:szCs w:val="28"/>
          <w:rtl w:val="true"/>
          <w:lang w:bidi="ar-SA"/>
        </w:rPr>
        <w:t>و در اختلاف در رد عين مستأجره به مالك، قول نافى رد كه مالك است و موافق با اصل است مقدم است</w:t>
      </w:r>
      <w:r>
        <w:rPr>
          <w:rFonts w:eastAsia="Amiri" w:cs="Amiri" w:ascii="Amiri" w:hAnsi="Amiri"/>
          <w:color w:val="111111"/>
          <w:sz w:val="28"/>
          <w:szCs w:val="28"/>
          <w:rtl w:val="true"/>
          <w:lang w:bidi="ar-SA"/>
        </w:rPr>
        <w:t>.</w:t>
      </w:r>
    </w:p>
    <w:p>
      <w:pPr>
        <w:pStyle w:val="Heading6"/>
        <w:numPr>
          <w:ilvl w:val="5"/>
          <w:numId w:val="1"/>
        </w:numPr>
        <w:rPr/>
      </w:pPr>
      <w:bookmarkStart w:id="1773" w:name="__RefHeading___Toc3598819_1067777946"/>
      <w:bookmarkStart w:id="1774" w:name="_Toc730"/>
      <w:bookmarkEnd w:id="1773"/>
      <w:r>
        <w:rPr>
          <w:rtl w:val="true"/>
        </w:rPr>
        <w:t>تقدّم قول مستأجر در اختلاف در مقدار اجرت</w:t>
      </w:r>
      <w:bookmarkEnd w:id="1774"/>
    </w:p>
    <w:p>
      <w:pPr>
        <w:pStyle w:val="BookText"/>
        <w:rPr/>
      </w:pPr>
      <w:r>
        <w:rPr>
          <w:rFonts w:ascii="Amiri" w:hAnsi="Amiri" w:eastAsia="Amiri" w:cs="Amiri"/>
          <w:color w:val="111111"/>
          <w:sz w:val="28"/>
          <w:sz w:val="28"/>
          <w:szCs w:val="28"/>
          <w:rtl w:val="true"/>
          <w:lang w:bidi="ar-SA"/>
        </w:rPr>
        <w:t>و در اختلاف در قدر اجرت، قول مستأجر مقدم است كه موافق با اصل است</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3598821_1067777946"/>
      <w:bookmarkStart w:id="1776" w:name="_Toc731"/>
      <w:bookmarkEnd w:id="1775"/>
      <w:r>
        <w:rPr>
          <w:rtl w:val="true"/>
        </w:rPr>
        <w:t>قبول قول سازنده در ادّعاى تلف</w:t>
      </w:r>
      <w:bookmarkEnd w:id="17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صانع ادّعاى تلف متاعِ مالك در يد او نمود، اظهر قبول قول او است با يمين او در ادّعاى تلف و عدم اتلاف و عدم تفريط در هركدام كه منكرِ موجب ضمان باشد</w:t>
      </w:r>
      <w:r>
        <w:rPr>
          <w:rFonts w:eastAsia="IRNazanin" w:cs="IRNazanin"/>
          <w:color w:val="111111"/>
          <w:sz w:val="28"/>
          <w:szCs w:val="28"/>
          <w:rtl w:val="true"/>
          <w:lang w:bidi="fa-IR"/>
        </w:rPr>
        <w:t>.</w:t>
      </w:r>
    </w:p>
    <w:p>
      <w:pPr>
        <w:pStyle w:val="Heading5"/>
        <w:numPr>
          <w:ilvl w:val="4"/>
          <w:numId w:val="1"/>
        </w:numPr>
        <w:rPr/>
      </w:pPr>
      <w:bookmarkStart w:id="1777" w:name="__RefHeading___Toc3598823_1067777946"/>
      <w:bookmarkStart w:id="1778" w:name="_Toc732"/>
      <w:bookmarkEnd w:id="1777"/>
      <w:r>
        <w:rPr>
          <w:rtl w:val="true"/>
        </w:rPr>
        <w:t>اختلاف مالك با خياط در نوع لباس سفارشى</w:t>
      </w:r>
      <w:bookmarkEnd w:id="1778"/>
    </w:p>
    <w:p>
      <w:pPr>
        <w:pStyle w:val="Heading6"/>
        <w:numPr>
          <w:ilvl w:val="5"/>
          <w:numId w:val="1"/>
        </w:numPr>
        <w:rPr/>
      </w:pPr>
      <w:bookmarkStart w:id="1779" w:name="__RefHeading___Toc3598825_1067777946"/>
      <w:bookmarkStart w:id="1780" w:name="_Toc733"/>
      <w:bookmarkEnd w:id="1779"/>
      <w:r>
        <w:rPr>
          <w:rtl w:val="true"/>
        </w:rPr>
        <w:t>اشاره</w:t>
      </w:r>
      <w:bookmarkEnd w:id="17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كرد مالك ثوب با خياط بعد از قطع قبا، در اينكه مأذون او قميص يا قبا بوده، اظهر تحالف است؛ پس دعواى هركدام بر ديگرى با يمين طرف، ساقط است و نه ارش است بر خياط و نه اجرت است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توانند در تفاوت بين دو هيئت در قيمت، صلح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بشكافد آنچه را كه دوخته شده است بدون اذن مالك اگر خيط از مالك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قيمت خيوط، صلح است</w:t>
      </w:r>
      <w:bookmarkStart w:id="1781" w:name="pg10256_89629"/>
    </w:p>
    <w:p>
      <w:pPr>
        <w:pStyle w:val="BookText"/>
        <w:rPr/>
      </w:pPr>
      <w:bookmarkEnd w:id="1781"/>
      <w:r>
        <w:rPr>
          <w:rFonts w:ascii="IRNazanin" w:hAnsi="IRNazanin" w:eastAsia="IRNazanin"/>
          <w:color w:val="111111"/>
          <w:sz w:val="28"/>
          <w:sz w:val="28"/>
          <w:szCs w:val="28"/>
          <w:rtl w:val="true"/>
          <w:lang w:bidi="fa-IR"/>
        </w:rPr>
        <w:t>اگر از خياط بوده است و رد عين آنها، موجب نقص زايد در ثوب مى شود</w:t>
      </w:r>
      <w:r>
        <w:rPr>
          <w:rFonts w:eastAsia="IRNazanin" w:cs="IRNazanin"/>
          <w:color w:val="111111"/>
          <w:sz w:val="28"/>
          <w:szCs w:val="28"/>
          <w:rtl w:val="true"/>
          <w:lang w:bidi="fa-IR"/>
        </w:rPr>
        <w:t>.</w:t>
      </w:r>
    </w:p>
    <w:p>
      <w:pPr>
        <w:pStyle w:val="Heading6"/>
        <w:numPr>
          <w:ilvl w:val="5"/>
          <w:numId w:val="1"/>
        </w:numPr>
        <w:rPr/>
      </w:pPr>
      <w:bookmarkStart w:id="1782" w:name="__RefHeading___Toc3598827_1067777946"/>
      <w:bookmarkStart w:id="1783" w:name="_Toc734"/>
      <w:bookmarkEnd w:id="1782"/>
      <w:r>
        <w:rPr>
          <w:rtl w:val="true"/>
        </w:rPr>
        <w:t>اختلاف در استحقاق ارش يا اجرت خياطت</w:t>
      </w:r>
      <w:bookmarkEnd w:id="1783"/>
    </w:p>
    <w:p>
      <w:pPr>
        <w:pStyle w:val="BookText"/>
        <w:rPr/>
      </w:pPr>
      <w:r>
        <w:rPr>
          <w:rFonts w:ascii="IRNazanin" w:hAnsi="IRNazanin" w:eastAsia="IRNazanin"/>
          <w:color w:val="111111"/>
          <w:sz w:val="28"/>
          <w:sz w:val="28"/>
          <w:szCs w:val="28"/>
          <w:rtl w:val="true"/>
          <w:lang w:bidi="fa-IR"/>
        </w:rPr>
        <w:t>و اگر اختلاف و منازعه، در استحقاق ارش يا اجرت باشد اگر چه علت، اختلاف در عقد باشد، محتمل است ضمان خياطْ زيادتى ارش بر اجرت را با عدم بيّنه براى مدعاى خودش، و عدم ضمان مالكْ زيادتى اجرت را در صورت عدم بيّنه و با حلف مالك بر عدم استحقاق اجرت، به جهت تداعى و تحالف در مقدار مشترك و عدم ثبوت اذن در زايد و دفع حلف مالك، استحقاق زيادتى اجرت را با عدم بينۀ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زيادتى ارش و 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خالى از وجه نيست اگر چه صلح در تفاوت بين ارش و اجرت، اصلح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خياط مطالبۀ صلح به اداى قيمت ثوب نمود، واجب نيست بر مالكْ اجابت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المقام بحمده تعالى يوم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الحرام من سنة</w:t>
      </w:r>
    </w:p>
    <w:p>
      <w:pPr>
        <w:pStyle w:val="BookText"/>
        <w:rPr/>
      </w:pPr>
      <w:r>
        <w:rPr>
          <w:rFonts w:ascii="Amiri" w:hAnsi="Amiri" w:eastAsia="Amiri" w:cs="Amiri"/>
          <w:color w:val="111111"/>
          <w:sz w:val="28"/>
          <w:sz w:val="28"/>
          <w:szCs w:val="28"/>
          <w:rtl w:val="true"/>
          <w:lang w:bidi="ar-SA"/>
        </w:rPr>
        <w:t xml:space="preserve">الف و أربعمائة واثنين 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محمد تقى البهجة الغروى الجيلانى</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4" w:name="pg10256_89631"/>
      <w:bookmarkStart w:id="1785" w:name="pg10256_89631"/>
      <w:bookmarkEnd w:id="1785"/>
    </w:p>
    <w:p>
      <w:pPr>
        <w:pStyle w:val="Heading2"/>
        <w:numPr>
          <w:ilvl w:val="1"/>
          <w:numId w:val="1"/>
        </w:numPr>
        <w:rPr/>
      </w:pPr>
      <w:bookmarkStart w:id="1786" w:name="pg10256_89631"/>
      <w:bookmarkStart w:id="1787" w:name="__RefHeading___Toc3598829_1067777946"/>
      <w:bookmarkStart w:id="1788" w:name="_Toc735"/>
      <w:bookmarkEnd w:id="1786"/>
      <w:bookmarkEnd w:id="1787"/>
      <w:r>
        <w:rPr>
          <w:rtl w:val="true"/>
        </w:rPr>
        <w:t>كتاب وكالت</w:t>
      </w:r>
      <w:bookmarkEnd w:id="1788"/>
    </w:p>
    <w:p>
      <w:pPr>
        <w:pStyle w:val="Heading3"/>
        <w:numPr>
          <w:ilvl w:val="2"/>
          <w:numId w:val="1"/>
        </w:numPr>
        <w:rPr/>
      </w:pPr>
      <w:bookmarkStart w:id="1789" w:name="__RefHeading___Toc3598831_1067777946"/>
      <w:bookmarkStart w:id="1790" w:name="_Toc736"/>
      <w:bookmarkEnd w:id="1789"/>
      <w:r>
        <w:rPr>
          <w:rtl w:val="true"/>
        </w:rPr>
        <w:t>اشاره</w:t>
      </w:r>
      <w:bookmarkEnd w:id="1790"/>
    </w:p>
    <w:p>
      <w:pPr>
        <w:pStyle w:val="BookText"/>
        <w:rPr/>
      </w:pPr>
      <w:r>
        <w:rPr>
          <w:rFonts w:ascii="Amiri" w:hAnsi="Amiri" w:eastAsia="Amiri" w:cs="Amiri"/>
          <w:color w:val="111111"/>
          <w:sz w:val="28"/>
          <w:sz w:val="28"/>
          <w:szCs w:val="28"/>
          <w:rtl w:val="true"/>
          <w:lang w:bidi="ar-SA"/>
        </w:rPr>
        <w:t>وكالت و عقد آن</w:t>
      </w:r>
    </w:p>
    <w:p>
      <w:pPr>
        <w:pStyle w:val="BookText"/>
        <w:rPr/>
      </w:pPr>
      <w:r>
        <w:rPr>
          <w:rFonts w:ascii="Amiri" w:hAnsi="Amiri" w:eastAsia="Amiri" w:cs="Amiri"/>
          <w:color w:val="111111"/>
          <w:sz w:val="28"/>
          <w:sz w:val="28"/>
          <w:szCs w:val="28"/>
          <w:rtl w:val="true"/>
          <w:lang w:bidi="ar-SA"/>
        </w:rPr>
        <w:t>موارد صحّت و عدم صحّت وكالت</w:t>
      </w:r>
    </w:p>
    <w:p>
      <w:pPr>
        <w:pStyle w:val="BookText"/>
        <w:rPr/>
      </w:pPr>
      <w:r>
        <w:rPr>
          <w:rFonts w:ascii="Amiri" w:hAnsi="Amiri" w:eastAsia="Amiri" w:cs="Amiri"/>
          <w:color w:val="111111"/>
          <w:sz w:val="28"/>
          <w:sz w:val="28"/>
          <w:szCs w:val="28"/>
          <w:rtl w:val="true"/>
          <w:lang w:bidi="ar-SA"/>
        </w:rPr>
        <w:t>شرايط موكّل</w:t>
      </w:r>
    </w:p>
    <w:p>
      <w:pPr>
        <w:pStyle w:val="BookText"/>
        <w:rPr/>
      </w:pPr>
      <w:r>
        <w:rPr>
          <w:rFonts w:ascii="Amiri" w:hAnsi="Amiri" w:eastAsia="Amiri" w:cs="Amiri"/>
          <w:color w:val="111111"/>
          <w:sz w:val="28"/>
          <w:sz w:val="28"/>
          <w:szCs w:val="28"/>
          <w:rtl w:val="true"/>
          <w:lang w:bidi="ar-SA"/>
        </w:rPr>
        <w:t>شرايط وكيل</w:t>
      </w:r>
    </w:p>
    <w:p>
      <w:pPr>
        <w:pStyle w:val="BookText"/>
        <w:rPr/>
      </w:pPr>
      <w:r>
        <w:rPr>
          <w:rFonts w:ascii="IRNazanin" w:hAnsi="IRNazanin" w:eastAsia="IRNazanin"/>
          <w:color w:val="111111"/>
          <w:sz w:val="28"/>
          <w:sz w:val="28"/>
          <w:szCs w:val="28"/>
          <w:rtl w:val="true"/>
          <w:lang w:bidi="fa-IR"/>
        </w:rPr>
        <w:t>آنچه وكالت با آن ثابت مى شود</w:t>
      </w:r>
    </w:p>
    <w:p>
      <w:pPr>
        <w:pStyle w:val="BookText"/>
        <w:rPr/>
      </w:pPr>
      <w:r>
        <w:rPr>
          <w:rFonts w:ascii="Amiri" w:hAnsi="Amiri" w:eastAsia="Amiri" w:cs="Amiri"/>
          <w:color w:val="111111"/>
          <w:sz w:val="28"/>
          <w:sz w:val="28"/>
          <w:szCs w:val="28"/>
          <w:rtl w:val="true"/>
          <w:lang w:bidi="ar-SA"/>
        </w:rPr>
        <w:t>مسائل وكالت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تنازع در وكالت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1" w:name="pg10256_89633"/>
      <w:bookmarkStart w:id="1792" w:name="pg10256_89633"/>
      <w:bookmarkEnd w:id="1792"/>
    </w:p>
    <w:p>
      <w:pPr>
        <w:pStyle w:val="Heading3"/>
        <w:numPr>
          <w:ilvl w:val="2"/>
          <w:numId w:val="1"/>
        </w:numPr>
        <w:rPr/>
      </w:pPr>
      <w:bookmarkStart w:id="1793" w:name="pg10256_89633"/>
      <w:bookmarkStart w:id="1794" w:name="__RefHeading___Toc3598833_1067777946"/>
      <w:bookmarkStart w:id="1795" w:name="_Toc737"/>
      <w:bookmarkEnd w:id="1793"/>
      <w:bookmarkEnd w:id="1794"/>
      <w:r>
        <w:rPr>
          <w:rtl w:val="true"/>
        </w:rPr>
        <w:t>فصل اوّل وكالت و عقد آن</w:t>
      </w:r>
      <w:bookmarkEnd w:id="1795"/>
    </w:p>
    <w:p>
      <w:pPr>
        <w:pStyle w:val="Heading4"/>
        <w:numPr>
          <w:ilvl w:val="3"/>
          <w:numId w:val="1"/>
        </w:numPr>
        <w:rPr/>
      </w:pPr>
      <w:bookmarkStart w:id="1796" w:name="__RefHeading___Toc3598835_1067777946"/>
      <w:bookmarkStart w:id="1797" w:name="_Toc738"/>
      <w:bookmarkEnd w:id="1796"/>
      <w:r>
        <w:rPr>
          <w:rtl w:val="true"/>
        </w:rPr>
        <w:t>اشاره</w:t>
      </w:r>
      <w:bookmarkEnd w:id="17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انبيائه و على آله سادة الاوصياء</w:t>
      </w:r>
    </w:p>
    <w:p>
      <w:pPr>
        <w:pStyle w:val="BookText"/>
        <w:rPr/>
      </w:pPr>
      <w:r>
        <w:rPr>
          <w:rFonts w:ascii="Amiri" w:hAnsi="Amiri" w:eastAsia="Amiri" w:cs="Amiri"/>
          <w:color w:val="111111"/>
          <w:sz w:val="28"/>
          <w:sz w:val="28"/>
          <w:szCs w:val="28"/>
          <w:rtl w:val="true"/>
          <w:lang w:bidi="ar-SA"/>
        </w:rPr>
        <w:t>و اللعن على اعدائهم اجمعين</w:t>
      </w:r>
      <w:r>
        <w:rPr>
          <w:rStyle w:val="FootnoteAnchor"/>
          <w:rtl w:val="true"/>
        </w:rPr>
        <w:footnoteReference w:id="6"/>
      </w:r>
    </w:p>
    <w:p>
      <w:pPr>
        <w:pStyle w:val="Heading4"/>
        <w:numPr>
          <w:ilvl w:val="3"/>
          <w:numId w:val="1"/>
        </w:numPr>
        <w:rPr/>
      </w:pPr>
      <w:bookmarkStart w:id="1798" w:name="__RefHeading___Toc3598837_1067777946"/>
      <w:bookmarkStart w:id="1799" w:name="_Toc739"/>
      <w:bookmarkEnd w:id="1798"/>
      <w:r>
        <w:rPr>
          <w:rtl w:val="true"/>
        </w:rPr>
        <w:t>تعريف وكالت</w:t>
      </w:r>
      <w:bookmarkEnd w:id="1799"/>
    </w:p>
    <w:p>
      <w:pPr>
        <w:pStyle w:val="BookText"/>
        <w:rPr/>
      </w:pPr>
      <w:r>
        <w:rPr>
          <w:rFonts w:ascii="IRNazanin" w:hAnsi="IRNazanin" w:eastAsia="IRNazanin"/>
          <w:color w:val="111111"/>
          <w:sz w:val="28"/>
          <w:sz w:val="28"/>
          <w:szCs w:val="28"/>
          <w:rtl w:val="true"/>
          <w:lang w:bidi="fa-IR"/>
        </w:rPr>
        <w:t>و بعد، پس كلام در وكالت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استنابه در تصرفات قوليّه و فعليّه به عقد مشتمل بر ايجاب و قبول</w:t>
      </w:r>
      <w:r>
        <w:rPr>
          <w:rFonts w:eastAsia="IRNazanin" w:cs="IRNazanin"/>
          <w:color w:val="111111"/>
          <w:sz w:val="28"/>
          <w:szCs w:val="28"/>
          <w:rtl w:val="true"/>
          <w:lang w:bidi="fa-IR"/>
        </w:rPr>
        <w:t>».</w:t>
      </w:r>
    </w:p>
    <w:p>
      <w:pPr>
        <w:pStyle w:val="Heading4"/>
        <w:numPr>
          <w:ilvl w:val="3"/>
          <w:numId w:val="1"/>
        </w:numPr>
        <w:rPr/>
      </w:pPr>
      <w:bookmarkStart w:id="1800" w:name="__RefHeading___Toc3598839_1067777946"/>
      <w:bookmarkStart w:id="1801" w:name="_Toc740"/>
      <w:bookmarkEnd w:id="1800"/>
      <w:r>
        <w:rPr>
          <w:rtl w:val="true"/>
        </w:rPr>
        <w:t>نحوۀ تحقّق وكالت</w:t>
      </w:r>
      <w:bookmarkEnd w:id="1801"/>
    </w:p>
    <w:p>
      <w:pPr>
        <w:pStyle w:val="BookText"/>
        <w:rPr/>
      </w:pPr>
      <w:r>
        <w:rPr>
          <w:rFonts w:ascii="IRNazanin" w:hAnsi="IRNazanin" w:eastAsia="IRNazanin"/>
          <w:color w:val="111111"/>
          <w:sz w:val="28"/>
          <w:sz w:val="28"/>
          <w:szCs w:val="28"/>
          <w:rtl w:val="true"/>
          <w:lang w:bidi="fa-IR"/>
        </w:rPr>
        <w:t>و تحقق پيدا مى كند به دو لفظ؛ و به مركب از لفظ و فعل، مثل آنكه توكيل نمايد در معامله اى پس بدون فصل انجام دهد آن را؛ و به دو فعل، مثل آنكه بدهد متاعى را براى بيع و بگيرد آن را براى همين مطلب و افهام نمايند غرض را به همديگر؛ و هم چنين انشاى توكيل به كتابت و انشاى قبول آن، و به هر چيزى كه دال به مضمونِ ايجاب و قبول باشد، اگر چه غير اولْ داخل در معاطاتِ اين عقد جايز باشد</w:t>
      </w:r>
      <w:r>
        <w:rPr>
          <w:rFonts w:eastAsia="IRNazanin" w:cs="IRNazanin"/>
          <w:color w:val="111111"/>
          <w:sz w:val="28"/>
          <w:szCs w:val="28"/>
          <w:rtl w:val="true"/>
          <w:lang w:bidi="fa-IR"/>
        </w:rPr>
        <w:t>.</w:t>
      </w:r>
    </w:p>
    <w:p>
      <w:pPr>
        <w:pStyle w:val="Heading4"/>
        <w:numPr>
          <w:ilvl w:val="3"/>
          <w:numId w:val="1"/>
        </w:numPr>
        <w:rPr/>
      </w:pPr>
      <w:bookmarkStart w:id="1802" w:name="__RefHeading___Toc3598841_1067777946"/>
      <w:bookmarkStart w:id="1803" w:name="_Toc741"/>
      <w:bookmarkEnd w:id="1802"/>
      <w:r>
        <w:rPr>
          <w:rtl w:val="true"/>
        </w:rPr>
        <w:t>عقد وكالت</w:t>
      </w:r>
      <w:bookmarkEnd w:id="1803"/>
    </w:p>
    <w:p>
      <w:pPr>
        <w:pStyle w:val="Heading5"/>
        <w:numPr>
          <w:ilvl w:val="4"/>
          <w:numId w:val="1"/>
        </w:numPr>
        <w:rPr/>
      </w:pPr>
      <w:bookmarkStart w:id="1804" w:name="__RefHeading___Toc3598843_1067777946"/>
      <w:bookmarkStart w:id="1805" w:name="_Toc742"/>
      <w:bookmarkEnd w:id="1804"/>
      <w:r>
        <w:rPr>
          <w:rtl w:val="true"/>
        </w:rPr>
        <w:t>احوطيّت ترك فصل بين ايجاب و قبول</w:t>
      </w:r>
      <w:bookmarkEnd w:id="180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در وكالت عقديّه، اعتبار امور معتبرۀ در عقود است به ترك فصل بين </w:t>
      </w:r>
      <w:bookmarkStart w:id="1806" w:name="pg10256_89634"/>
    </w:p>
    <w:p>
      <w:pPr>
        <w:pStyle w:val="BookText"/>
        <w:rPr/>
      </w:pPr>
      <w:bookmarkEnd w:id="1806"/>
      <w:r>
        <w:rPr>
          <w:rFonts w:ascii="IRNazanin" w:hAnsi="IRNazanin" w:eastAsia="IRNazanin"/>
          <w:color w:val="111111"/>
          <w:sz w:val="28"/>
          <w:sz w:val="28"/>
          <w:szCs w:val="28"/>
          <w:rtl w:val="true"/>
          <w:lang w:bidi="fa-IR"/>
        </w:rPr>
        <w:t>ايجاب و قبول آن به غير متعارف، اگر چه فى الجمله عمل با سبق اذن و اعلام آن، صحيح واقع مى شود</w:t>
      </w:r>
      <w:r>
        <w:rPr>
          <w:rFonts w:eastAsia="IRNazanin" w:cs="IRNazanin"/>
          <w:color w:val="111111"/>
          <w:sz w:val="28"/>
          <w:szCs w:val="28"/>
          <w:rtl w:val="true"/>
          <w:lang w:bidi="fa-IR"/>
        </w:rPr>
        <w:t>.</w:t>
      </w:r>
    </w:p>
    <w:p>
      <w:pPr>
        <w:pStyle w:val="Heading5"/>
        <w:numPr>
          <w:ilvl w:val="4"/>
          <w:numId w:val="1"/>
        </w:numPr>
        <w:rPr/>
      </w:pPr>
      <w:bookmarkStart w:id="1807" w:name="__RefHeading___Toc3598845_1067777946"/>
      <w:bookmarkStart w:id="1808" w:name="_Toc743"/>
      <w:bookmarkEnd w:id="1807"/>
      <w:r>
        <w:rPr>
          <w:rtl w:val="true"/>
        </w:rPr>
        <w:t>اعتبار تنجيز</w:t>
      </w:r>
      <w:bookmarkEnd w:id="1808"/>
    </w:p>
    <w:p>
      <w:pPr>
        <w:pStyle w:val="BookText"/>
        <w:rPr/>
      </w:pPr>
      <w:r>
        <w:rPr>
          <w:rFonts w:ascii="IRNazanin" w:hAnsi="IRNazanin" w:eastAsia="IRNazanin"/>
          <w:color w:val="111111"/>
          <w:sz w:val="28"/>
          <w:sz w:val="28"/>
          <w:szCs w:val="28"/>
          <w:rtl w:val="true"/>
          <w:lang w:bidi="fa-IR"/>
        </w:rPr>
        <w:t>احوط اعتبار تنجيز است در صحّت وكالت عقديّه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معلّق بر امرِ حاصلِ معلوم الحصول، اظهر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با تنجيز وكالت، تعليق در تصرّف؛ و در صورت تعليق و عدم صحّت وكالت شرعاً، در جواز تصرّف شرعاً تأمل است در صورت عدم استظهار عدم خصوصيّت وكالت در اذن در تصرّف، چنانچه غالبْ استظهار و عدم فرق عرفى است بين استنابۀ توكيليّه و اذنيّه</w:t>
      </w:r>
      <w:r>
        <w:rPr>
          <w:rFonts w:eastAsia="IRNazanin" w:cs="IRNazanin"/>
          <w:color w:val="111111"/>
          <w:sz w:val="28"/>
          <w:szCs w:val="28"/>
          <w:rtl w:val="true"/>
          <w:lang w:bidi="fa-IR"/>
        </w:rPr>
        <w:t>.</w:t>
      </w:r>
    </w:p>
    <w:p>
      <w:pPr>
        <w:pStyle w:val="Heading5"/>
        <w:numPr>
          <w:ilvl w:val="4"/>
          <w:numId w:val="1"/>
        </w:numPr>
        <w:rPr/>
      </w:pPr>
      <w:bookmarkStart w:id="1809" w:name="__RefHeading___Toc3598847_1067777946"/>
      <w:bookmarkStart w:id="1810" w:name="_Toc744"/>
      <w:bookmarkEnd w:id="1809"/>
      <w:r>
        <w:rPr>
          <w:rtl w:val="true"/>
        </w:rPr>
        <w:t>اعتبار عقلايى بودن و عدم ابهام و ترديد در متعلّق</w:t>
      </w:r>
      <w:bookmarkEnd w:id="1810"/>
    </w:p>
    <w:p>
      <w:pPr>
        <w:pStyle w:val="BookText"/>
        <w:rPr/>
      </w:pPr>
      <w:r>
        <w:rPr>
          <w:rFonts w:ascii="Amiri" w:hAnsi="Amiri" w:eastAsia="Amiri" w:cs="Amiri"/>
          <w:color w:val="111111"/>
          <w:sz w:val="28"/>
          <w:sz w:val="28"/>
          <w:szCs w:val="28"/>
          <w:rtl w:val="true"/>
          <w:lang w:bidi="ar-SA"/>
        </w:rPr>
        <w:t xml:space="preserve">معتبر است در صحّت وكالت، عقلايى بودن آن و متعلّقش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تناسب بين ثمن و مثمن مثلاً كه يكى از آنها ذكر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ابهام و ترديد در متعلّق، و صحيح است اطلاق متعلق و عموم آن، و لازم نيست توصيف لازم در سَلَم</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598849_1067777946"/>
      <w:bookmarkStart w:id="1812" w:name="_Toc745"/>
      <w:bookmarkEnd w:id="1811"/>
      <w:r>
        <w:rPr>
          <w:rtl w:val="true"/>
        </w:rPr>
        <w:t>جايز بودن عقد وكالت و عدم اعتبار اعلام فسخ</w:t>
      </w:r>
      <w:bookmarkEnd w:id="1812"/>
    </w:p>
    <w:p>
      <w:pPr>
        <w:pStyle w:val="BookText"/>
        <w:rPr/>
      </w:pPr>
      <w:r>
        <w:rPr>
          <w:rFonts w:ascii="IRNazanin" w:hAnsi="IRNazanin" w:eastAsia="IRNazanin"/>
          <w:color w:val="111111"/>
          <w:sz w:val="28"/>
          <w:sz w:val="28"/>
          <w:szCs w:val="28"/>
          <w:rtl w:val="true"/>
          <w:lang w:bidi="fa-IR"/>
        </w:rPr>
        <w:t>عقد وكالت جايز است از طرفين، پس وكيل مى تواند خودش را معزول نمايد با حضور موكِّل و غيبت او، و منعزل مى شود به عزل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عزل و فسخ به موكّل، معتبر نيست در انعزال به عزل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اذن از قِبَل موكّل در صورت عدم اناطۀ اذن به عقد وكالت، باقى است، پس تصرفات وكيل، صحيح است مادام كه موكّلْ عالم به عزلِ وكيلْ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عالم باشد و اظهارى نسبت به اذن نباشد، مستصحبْ بقاى اذن است، و عمل به قاعده مى شود در صورت انكشاف زوال اذن و مقارنت تصرّف با 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عدم اذن كه اظهار شده بوده و اعلام نشده بود به وكيل منعزل</w:t>
      </w:r>
      <w:r>
        <w:rPr>
          <w:rFonts w:eastAsia="IRNazanin" w:cs="IRNazanin"/>
          <w:color w:val="111111"/>
          <w:sz w:val="28"/>
          <w:szCs w:val="28"/>
          <w:rtl w:val="true"/>
          <w:lang w:bidi="fa-IR"/>
        </w:rPr>
        <w:t xml:space="preserve">. </w:t>
      </w:r>
      <w:bookmarkStart w:id="1813" w:name="pg10256_89635"/>
    </w:p>
    <w:p>
      <w:pPr>
        <w:pStyle w:val="Heading4"/>
        <w:numPr>
          <w:ilvl w:val="3"/>
          <w:numId w:val="1"/>
        </w:numPr>
        <w:rPr/>
      </w:pPr>
      <w:bookmarkStart w:id="1814" w:name="__RefHeading___Toc3598851_1067777946"/>
      <w:bookmarkStart w:id="1815" w:name="_Toc746"/>
      <w:bookmarkEnd w:id="1813"/>
      <w:bookmarkEnd w:id="1814"/>
      <w:r>
        <w:rPr>
          <w:rtl w:val="true"/>
        </w:rPr>
        <w:t>نفوذ تصرّفات وكيل قبل از علم يا بيّنه بر عزل توسط موكّل</w:t>
      </w:r>
      <w:bookmarkEnd w:id="1815"/>
    </w:p>
    <w:p>
      <w:pPr>
        <w:pStyle w:val="BookText"/>
        <w:rPr/>
      </w:pPr>
      <w:r>
        <w:rPr>
          <w:rFonts w:ascii="IRNazanin" w:hAnsi="IRNazanin" w:eastAsia="IRNazanin"/>
          <w:color w:val="111111"/>
          <w:sz w:val="28"/>
          <w:sz w:val="28"/>
          <w:szCs w:val="28"/>
          <w:rtl w:val="true"/>
          <w:lang w:bidi="fa-IR"/>
        </w:rPr>
        <w:t>موكّل مى تواند عزل نمايد وكيل را، لكن اگر عزل كرد و اعلام نكرد به وكيل، تصرفات وكيل نافذ است قبل از علم يا ثابت شدن عزل بر او به واسطۀ بيّنه، حتى در وكالت در مثل استيفاى قصاص و در نكاح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صورت عدم ابلاغ، بين اشهاد موكّل بر عزل و عدم آن نيست، و قيام اخبار ثقه به عزل مقام بيّنه و عدم آن، مذكور خواهد شد، ان شاء اللّٰه تعالى</w:t>
      </w:r>
      <w:r>
        <w:rPr>
          <w:rFonts w:eastAsia="IRNazanin" w:cs="IRNazanin"/>
          <w:color w:val="111111"/>
          <w:sz w:val="28"/>
          <w:szCs w:val="28"/>
          <w:rtl w:val="true"/>
          <w:lang w:bidi="fa-IR"/>
        </w:rPr>
        <w:t>.</w:t>
      </w:r>
    </w:p>
    <w:p>
      <w:pPr>
        <w:pStyle w:val="Heading4"/>
        <w:numPr>
          <w:ilvl w:val="3"/>
          <w:numId w:val="1"/>
        </w:numPr>
        <w:rPr/>
      </w:pPr>
      <w:bookmarkStart w:id="1816" w:name="__RefHeading___Toc3598853_1067777946"/>
      <w:bookmarkStart w:id="1817" w:name="_Toc747"/>
      <w:bookmarkEnd w:id="1816"/>
      <w:r>
        <w:rPr>
          <w:rtl w:val="true"/>
        </w:rPr>
        <w:t>لحوق اذن انشايى در تصرّف به توكيل عقدى</w:t>
      </w:r>
      <w:bookmarkEnd w:id="1817"/>
    </w:p>
    <w:p>
      <w:pPr>
        <w:pStyle w:val="BookText"/>
        <w:rPr/>
      </w:pPr>
      <w:r>
        <w:rPr>
          <w:rFonts w:ascii="Amiri" w:hAnsi="Amiri" w:eastAsia="Amiri" w:cs="Amiri"/>
          <w:color w:val="111111"/>
          <w:sz w:val="28"/>
          <w:sz w:val="28"/>
          <w:szCs w:val="28"/>
          <w:rtl w:val="true"/>
          <w:lang w:bidi="ar-SA"/>
        </w:rPr>
        <w:t xml:space="preserve">و در لحوق اذن انشايىِ اعلام شده در تصرّف، به توكيل عقدى در اين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نفوذ تصرّف بعد از عزل و قبل از ابلاغ آن است تأمل است و لحوقْ خالى از وجه نيست</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3598855_1067777946"/>
      <w:bookmarkStart w:id="1819" w:name="_Toc748"/>
      <w:bookmarkEnd w:id="1818"/>
      <w:r>
        <w:rPr>
          <w:rtl w:val="true"/>
        </w:rPr>
        <w:t>بطلان وكالت با موت يكى از طرفين</w:t>
      </w:r>
      <w:bookmarkEnd w:id="1819"/>
    </w:p>
    <w:p>
      <w:pPr>
        <w:pStyle w:val="BookText"/>
        <w:rPr/>
      </w:pPr>
      <w:r>
        <w:rPr>
          <w:rFonts w:ascii="IRNazanin" w:hAnsi="IRNazanin" w:eastAsia="IRNazanin"/>
          <w:color w:val="111111"/>
          <w:sz w:val="28"/>
          <w:sz w:val="28"/>
          <w:szCs w:val="28"/>
          <w:rtl w:val="true"/>
          <w:lang w:bidi="fa-IR"/>
        </w:rPr>
        <w:t>و وكالت با موت وكيل يا موكّل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تصرفات وكيل با عدم علم به موت موكّل، آنچه مصادف با موت او است باطل است بدون اجازۀ ورثه؛ و عين مملوكِ موكّل در يد وكيل، مردود به ورثۀ موكّل است؛ و اگر تلف شد بدون تفريط بعد از علم به موت و ارادۀ رد در اوّل زمان امكان، اظهر عدم ضمان وكيل است</w:t>
      </w:r>
      <w:r>
        <w:rPr>
          <w:rFonts w:eastAsia="IRNazanin" w:cs="IRNazanin"/>
          <w:color w:val="111111"/>
          <w:sz w:val="28"/>
          <w:szCs w:val="28"/>
          <w:rtl w:val="true"/>
          <w:lang w:bidi="fa-IR"/>
        </w:rPr>
        <w:t>.</w:t>
      </w:r>
    </w:p>
    <w:p>
      <w:pPr>
        <w:pStyle w:val="Heading4"/>
        <w:numPr>
          <w:ilvl w:val="3"/>
          <w:numId w:val="1"/>
        </w:numPr>
        <w:rPr/>
      </w:pPr>
      <w:bookmarkStart w:id="1820" w:name="__RefHeading___Toc3598857_1067777946"/>
      <w:bookmarkStart w:id="1821" w:name="_Toc749"/>
      <w:bookmarkEnd w:id="1820"/>
      <w:r>
        <w:rPr>
          <w:rtl w:val="true"/>
        </w:rPr>
        <w:t>بطلان وكالت به جنون و اغما</w:t>
      </w:r>
      <w:bookmarkEnd w:id="1821"/>
    </w:p>
    <w:p>
      <w:pPr>
        <w:pStyle w:val="BookText"/>
        <w:rPr/>
      </w:pPr>
      <w:r>
        <w:rPr>
          <w:rFonts w:ascii="Amiri" w:hAnsi="Amiri" w:eastAsia="Amiri" w:cs="Amiri"/>
          <w:color w:val="111111"/>
          <w:sz w:val="28"/>
          <w:sz w:val="28"/>
          <w:szCs w:val="28"/>
          <w:rtl w:val="true"/>
          <w:lang w:bidi="ar-SA"/>
        </w:rPr>
        <w:t>باطل مى شود وكالت، به عروض جنون و اغماى به هر كدام از موكّل و وكيل؛ و در نفوذ تصرّفات بعد از زوال اين عارضها به واسطۀ بقاى اذن، تأمل است در غير صورت فهم عدم خصوصيّت توكيل و مخصّصيت آنْ اذن در تصرّف را؛ و احتياج به وكالت جديده بعد از زوال عارض، موافق با احتياط است؛ و تصرفات ممكنه در حال وجود اين عارضها، نافذ نيست</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3598859_1067777946"/>
      <w:bookmarkStart w:id="1823" w:name="_Toc750"/>
      <w:bookmarkEnd w:id="1822"/>
      <w:r>
        <w:rPr>
          <w:rtl w:val="true"/>
        </w:rPr>
        <w:t>بطلان وكالت به محجوريّت موكِّل</w:t>
      </w:r>
      <w:bookmarkEnd w:id="182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محجوريّت موكِّل، موجب بطلان وكالت است، و نافذ نيست تصرّفات </w:t>
      </w:r>
      <w:bookmarkStart w:id="1824" w:name="pg10256_89636"/>
    </w:p>
    <w:p>
      <w:pPr>
        <w:pStyle w:val="BookText"/>
        <w:rPr/>
      </w:pPr>
      <w:bookmarkEnd w:id="1824"/>
      <w:r>
        <w:rPr>
          <w:rFonts w:ascii="Amiri" w:hAnsi="Amiri" w:eastAsia="Amiri" w:cs="Amiri"/>
          <w:color w:val="111111"/>
          <w:sz w:val="28"/>
          <w:sz w:val="28"/>
          <w:szCs w:val="28"/>
          <w:rtl w:val="true"/>
          <w:lang w:bidi="ar-SA"/>
        </w:rPr>
        <w:t>وكيل در موارد عدم نفوذ تصرّفِ مباشرىِ موكّل؛ و احتياج وكالت به تجديد عقد بعد از زوال حجر، موافق احتياط است</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3598861_1067777946"/>
      <w:bookmarkStart w:id="1826" w:name="_Toc751"/>
      <w:bookmarkEnd w:id="1825"/>
      <w:r>
        <w:rPr>
          <w:rtl w:val="true"/>
        </w:rPr>
        <w:t>الحاق سكر و استرقاق موكّل كافر به جنون و اغما</w:t>
      </w:r>
      <w:bookmarkEnd w:id="1826"/>
    </w:p>
    <w:p>
      <w:pPr>
        <w:pStyle w:val="BookText"/>
        <w:rPr/>
      </w:pPr>
      <w:r>
        <w:rPr>
          <w:rFonts w:ascii="Amiri" w:hAnsi="Amiri" w:eastAsia="Amiri" w:cs="Amiri"/>
          <w:color w:val="111111"/>
          <w:sz w:val="28"/>
          <w:sz w:val="28"/>
          <w:szCs w:val="28"/>
          <w:rtl w:val="true"/>
          <w:lang w:bidi="ar-SA"/>
        </w:rPr>
        <w:t>و احوط الحاق مطلق سكر، به جنون و اغما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موكّل كافر بود و استرقاق شد، توكيل او در تصرّف وكيل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استرقاق وكيل، مذكور مى شود</w:t>
      </w:r>
      <w:r>
        <w:rPr>
          <w:rFonts w:eastAsia="IRNazanin" w:cs="IRNazanin"/>
          <w:color w:val="111111"/>
          <w:sz w:val="28"/>
          <w:szCs w:val="28"/>
          <w:rtl w:val="true"/>
          <w:lang w:bidi="fa-IR"/>
        </w:rPr>
        <w:t>.</w:t>
      </w:r>
    </w:p>
    <w:p>
      <w:pPr>
        <w:pStyle w:val="Heading4"/>
        <w:numPr>
          <w:ilvl w:val="3"/>
          <w:numId w:val="1"/>
        </w:numPr>
        <w:rPr/>
      </w:pPr>
      <w:bookmarkStart w:id="1827" w:name="__RefHeading___Toc3598863_1067777946"/>
      <w:bookmarkStart w:id="1828" w:name="_Toc752"/>
      <w:bookmarkEnd w:id="1827"/>
      <w:r>
        <w:rPr>
          <w:rtl w:val="true"/>
        </w:rPr>
        <w:t>عدم بطلان وكالت به نوم</w:t>
      </w:r>
      <w:bookmarkEnd w:id="1828"/>
    </w:p>
    <w:p>
      <w:pPr>
        <w:pStyle w:val="BookText"/>
        <w:rPr/>
      </w:pPr>
      <w:r>
        <w:rPr>
          <w:rFonts w:ascii="IRNazanin" w:hAnsi="IRNazanin" w:eastAsia="IRNazanin"/>
          <w:color w:val="111111"/>
          <w:sz w:val="28"/>
          <w:sz w:val="28"/>
          <w:szCs w:val="28"/>
          <w:rtl w:val="true"/>
          <w:lang w:bidi="fa-IR"/>
        </w:rPr>
        <w:t>و نوم، موجب بطلان وكالت نمى شود مگر آنكه اصل آن يا طول كشيدن آن مرضى مثل اغما باشد كه بطلان وكالت به نحوى كه محتاج به تجديد عقد وكالت باشد، موافق احتياط است</w:t>
      </w:r>
      <w:r>
        <w:rPr>
          <w:rFonts w:eastAsia="IRNazanin" w:cs="IRNazanin"/>
          <w:color w:val="111111"/>
          <w:sz w:val="28"/>
          <w:szCs w:val="28"/>
          <w:rtl w:val="true"/>
          <w:lang w:bidi="fa-IR"/>
        </w:rPr>
        <w:t>.</w:t>
      </w:r>
    </w:p>
    <w:p>
      <w:pPr>
        <w:pStyle w:val="Heading4"/>
        <w:numPr>
          <w:ilvl w:val="3"/>
          <w:numId w:val="1"/>
        </w:numPr>
        <w:rPr/>
      </w:pPr>
      <w:bookmarkStart w:id="1829" w:name="__RefHeading___Toc3598865_1067777946"/>
      <w:bookmarkStart w:id="1830" w:name="_Toc753"/>
      <w:bookmarkEnd w:id="1829"/>
      <w:r>
        <w:rPr>
          <w:rtl w:val="true"/>
        </w:rPr>
        <w:t>حكم بطلان وكالت به سبب فسق در فرض اعتبار عدالت</w:t>
      </w:r>
      <w:bookmarkEnd w:id="1830"/>
    </w:p>
    <w:p>
      <w:pPr>
        <w:pStyle w:val="BookText"/>
        <w:rPr/>
      </w:pPr>
      <w:r>
        <w:rPr>
          <w:rFonts w:ascii="IRNazanin" w:hAnsi="IRNazanin" w:eastAsia="IRNazanin"/>
          <w:color w:val="111111"/>
          <w:sz w:val="28"/>
          <w:sz w:val="28"/>
          <w:szCs w:val="28"/>
          <w:rtl w:val="true"/>
          <w:lang w:bidi="fa-IR"/>
        </w:rPr>
        <w:t xml:space="preserve">و در بطلان وكالت به آنچه موجب فسق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مواردى كه معتبر است عدالت در تصرّف وكيل، مثل تولّى مال يتيم بنابر اعتبار 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عدم تعدّى از مشروع در خصوص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نحوى كه سبب تجديد عقد باشد بعد از زوال فسق، تأمل است، و ثمرۀ آن، در صورت عدم فهم اطلاق اذن است</w:t>
      </w:r>
      <w:r>
        <w:rPr>
          <w:rFonts w:eastAsia="IRNazanin" w:cs="IRNazanin"/>
          <w:color w:val="111111"/>
          <w:sz w:val="28"/>
          <w:szCs w:val="28"/>
          <w:rtl w:val="true"/>
          <w:lang w:bidi="fa-IR"/>
        </w:rPr>
        <w:t>.</w:t>
      </w:r>
    </w:p>
    <w:p>
      <w:pPr>
        <w:pStyle w:val="Heading4"/>
        <w:numPr>
          <w:ilvl w:val="3"/>
          <w:numId w:val="1"/>
        </w:numPr>
        <w:rPr/>
      </w:pPr>
      <w:bookmarkStart w:id="1831" w:name="__RefHeading___Toc3598867_1067777946"/>
      <w:bookmarkStart w:id="1832" w:name="_Toc754"/>
      <w:bookmarkEnd w:id="1831"/>
      <w:r>
        <w:rPr>
          <w:rtl w:val="true"/>
        </w:rPr>
        <w:t>بطلان وكالت به موت و تلف متعلّق آن</w:t>
      </w:r>
      <w:bookmarkEnd w:id="183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وكالت به موت و تلفِ متعلَّق آن باطل مى شود، مثل موت عبدى كه وكالت در بيع او بوده و موت زنى كه وكالت در طلاق او داشته، قبل از بيع و طلاق؛ و تلف دينارى كه وكالت در شراى به عين آن داشته؛ و هم چنين اگر توكيلْ مطلق بوده و لكن به قرينهْ مفهوم مى شده كه شراى با عين يا آنكه دفع ثمن با عين آن باشد؛ وگرنه چنانچه غالبْ عدم خصوصيّت، است تلف آن با ضمان بدل و وكالت در استيفا و اخذ آن، يا </w:t>
      </w:r>
      <w:bookmarkStart w:id="1833" w:name="pg10256_89637"/>
    </w:p>
    <w:p>
      <w:pPr>
        <w:pStyle w:val="BookText"/>
        <w:rPr/>
      </w:pPr>
      <w:bookmarkEnd w:id="1833"/>
      <w:r>
        <w:rPr>
          <w:rFonts w:ascii="Amiri" w:hAnsi="Amiri" w:eastAsia="Amiri" w:cs="Amiri"/>
          <w:color w:val="111111"/>
          <w:sz w:val="28"/>
          <w:sz w:val="28"/>
          <w:szCs w:val="28"/>
          <w:rtl w:val="true"/>
          <w:lang w:bidi="ar-SA"/>
        </w:rPr>
        <w:t>استغناى از وكالت در استيفاى به مثل شراى از متلِف آن، اظهر عدم بطلان وكالت و صحّت شراء و تماميّت آن است</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3598869_1067777946"/>
      <w:bookmarkStart w:id="1835" w:name="_Toc755"/>
      <w:bookmarkEnd w:id="1834"/>
      <w:r>
        <w:rPr>
          <w:rtl w:val="true"/>
        </w:rPr>
        <w:t>بطلان وكالت به فعل مورد وكالت يا منافى متعلّق وكالت توسّط موكّل</w:t>
      </w:r>
      <w:bookmarkEnd w:id="1835"/>
    </w:p>
    <w:p>
      <w:pPr>
        <w:pStyle w:val="BookText"/>
        <w:rPr/>
      </w:pPr>
      <w:r>
        <w:rPr>
          <w:rFonts w:ascii="IRNazanin" w:hAnsi="IRNazanin" w:eastAsia="IRNazanin"/>
          <w:color w:val="111111"/>
          <w:sz w:val="28"/>
          <w:sz w:val="28"/>
          <w:szCs w:val="28"/>
          <w:rtl w:val="true"/>
          <w:lang w:bidi="fa-IR"/>
        </w:rPr>
        <w:t>و هم چنين باطل مى شود وكالت به فعل موكّلْ مثلِ متعلَّق آن را، مثل بيع عبد بعد از توكيل در بيع، و هم چنين به فعل منافىِ متعلَّق وكالت، مثل عتق عبدى كه توكيل در بيع آن كرده بوده، قبل از بيع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نيست وطى زوجه بعد از توكيل در طلاق او يا وطى امه بعد از توكيل در بيع او، به جهت عدم منافات، مگر با قرينه بر انشاى عزل وكالت به اينها</w:t>
      </w:r>
      <w:r>
        <w:rPr>
          <w:rFonts w:eastAsia="IRNazanin" w:cs="IRNazanin"/>
          <w:color w:val="111111"/>
          <w:sz w:val="28"/>
          <w:szCs w:val="28"/>
          <w:rtl w:val="true"/>
          <w:lang w:bidi="fa-IR"/>
        </w:rPr>
        <w:t>.</w:t>
      </w:r>
    </w:p>
    <w:p>
      <w:pPr>
        <w:pStyle w:val="Heading4"/>
        <w:numPr>
          <w:ilvl w:val="3"/>
          <w:numId w:val="1"/>
        </w:numPr>
        <w:rPr/>
      </w:pPr>
      <w:bookmarkStart w:id="1836" w:name="__RefHeading___Toc3598871_1067777946"/>
      <w:bookmarkStart w:id="1837" w:name="_Toc756"/>
      <w:bookmarkEnd w:id="1836"/>
      <w:r>
        <w:rPr>
          <w:rtl w:val="true"/>
        </w:rPr>
        <w:t>تلف قسمتى از مورد وكالت</w:t>
      </w:r>
      <w:bookmarkEnd w:id="1837"/>
    </w:p>
    <w:p>
      <w:pPr>
        <w:pStyle w:val="BookText"/>
        <w:rPr/>
      </w:pPr>
      <w:r>
        <w:rPr>
          <w:rFonts w:ascii="IRNazanin" w:hAnsi="IRNazanin" w:eastAsia="IRNazanin"/>
          <w:color w:val="111111"/>
          <w:sz w:val="28"/>
          <w:sz w:val="28"/>
          <w:szCs w:val="28"/>
          <w:rtl w:val="true"/>
          <w:lang w:bidi="fa-IR"/>
        </w:rPr>
        <w:t xml:space="preserve">و اگر بعض متعلَّق وكالت، تلف شد، پس با انحلال و تعدّد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جامه و دو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بطلان وكالت است در بعض ديگر؛ و با وحدت عرفيّه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يك جامه و يك كتاب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بطلان وكالت است، و هم چنين اذن در بيع آن مثلاً، و هم چنين اذنى كه در ضمن وكالت است كه اذن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با شك در وحدت و تعدّد و انتفاى اطلاق و صدق عرفى كافى، جريان حكم بطلان است</w:t>
      </w:r>
      <w:r>
        <w:rPr>
          <w:rFonts w:eastAsia="IRNazanin" w:cs="IRNazanin"/>
          <w:color w:val="111111"/>
          <w:sz w:val="28"/>
          <w:szCs w:val="28"/>
          <w:rtl w:val="true"/>
          <w:lang w:bidi="fa-IR"/>
        </w:rPr>
        <w:t>.</w:t>
      </w:r>
    </w:p>
    <w:p>
      <w:pPr>
        <w:pStyle w:val="Heading4"/>
        <w:numPr>
          <w:ilvl w:val="3"/>
          <w:numId w:val="1"/>
        </w:numPr>
        <w:rPr/>
      </w:pPr>
      <w:bookmarkStart w:id="1838" w:name="__RefHeading___Toc3598873_1067777946"/>
      <w:bookmarkStart w:id="1839" w:name="_Toc757"/>
      <w:bookmarkEnd w:id="1838"/>
      <w:r>
        <w:rPr>
          <w:rtl w:val="true"/>
        </w:rPr>
        <w:t>كفايت بطلان واقعى در انعزال واقعى</w:t>
      </w:r>
      <w:bookmarkEnd w:id="1839"/>
    </w:p>
    <w:p>
      <w:pPr>
        <w:pStyle w:val="BookText"/>
        <w:rPr/>
      </w:pPr>
      <w:r>
        <w:rPr>
          <w:rFonts w:ascii="IRNazanin" w:hAnsi="IRNazanin" w:eastAsia="IRNazanin"/>
          <w:color w:val="111111"/>
          <w:sz w:val="28"/>
          <w:sz w:val="28"/>
          <w:szCs w:val="28"/>
          <w:rtl w:val="true"/>
          <w:lang w:bidi="fa-IR"/>
        </w:rPr>
        <w:t>و آنچه گذشت در اناطۀ انعزالِ به عزل، به اعلام، جارى نيست در انعزالِ به بطلان و انفساخ عقد وكالت، بلكه كافى است بطلان واقعى در انعزال واقعى؛ پس تصرفات بعد از تلفِ موجب بطلان وكالت، باطل و فضولى واقع مى شود اگر چه قبل از علم به تلفِ مبطل باشد</w:t>
      </w:r>
      <w:r>
        <w:rPr>
          <w:rFonts w:eastAsia="IRNazanin" w:cs="IRNazanin"/>
          <w:color w:val="111111"/>
          <w:sz w:val="28"/>
          <w:szCs w:val="28"/>
          <w:rtl w:val="true"/>
          <w:lang w:bidi="fa-IR"/>
        </w:rPr>
        <w:t>.</w:t>
      </w:r>
    </w:p>
    <w:p>
      <w:pPr>
        <w:pStyle w:val="Heading4"/>
        <w:numPr>
          <w:ilvl w:val="3"/>
          <w:numId w:val="1"/>
        </w:numPr>
        <w:rPr/>
      </w:pPr>
      <w:bookmarkStart w:id="1840" w:name="__RefHeading___Toc3598875_1067777946"/>
      <w:bookmarkStart w:id="1841" w:name="_Toc758"/>
      <w:bookmarkEnd w:id="1840"/>
      <w:r>
        <w:rPr>
          <w:rtl w:val="true"/>
        </w:rPr>
        <w:t>نحوۀ فعل و قول عزل وكالت</w:t>
      </w:r>
      <w:bookmarkEnd w:id="184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كافى است در عزل قولى و فعلى، آنچه با او انشاى فسخ استنابت بشود، مثل </w:t>
      </w:r>
      <w:bookmarkStart w:id="1842" w:name="pg10256_89638"/>
    </w:p>
    <w:p>
      <w:pPr>
        <w:pStyle w:val="BookText"/>
        <w:rPr/>
      </w:pPr>
      <w:bookmarkEnd w:id="1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الوكالة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كنار نمودم از 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از انشاى فعلى معلوم اگر چه به سبب انضمام قراين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نيست انشاى نفسانى، به مقتضاى اصل</w:t>
      </w:r>
      <w:r>
        <w:rPr>
          <w:rFonts w:eastAsia="IRNazanin" w:cs="IRNazanin"/>
          <w:color w:val="111111"/>
          <w:sz w:val="28"/>
          <w:szCs w:val="28"/>
          <w:rtl w:val="true"/>
          <w:lang w:bidi="fa-IR"/>
        </w:rPr>
        <w:t>.</w:t>
      </w:r>
    </w:p>
    <w:p>
      <w:pPr>
        <w:pStyle w:val="Heading4"/>
        <w:numPr>
          <w:ilvl w:val="3"/>
          <w:numId w:val="1"/>
        </w:numPr>
        <w:rPr/>
      </w:pPr>
      <w:bookmarkStart w:id="1843" w:name="__RefHeading___Toc3598877_1067777946"/>
      <w:bookmarkStart w:id="1844" w:name="_Toc759"/>
      <w:bookmarkEnd w:id="1843"/>
      <w:r>
        <w:rPr>
          <w:rtl w:val="true"/>
        </w:rPr>
        <w:t>دايرۀ اختيارات وكيل</w:t>
      </w:r>
      <w:bookmarkEnd w:id="1844"/>
    </w:p>
    <w:p>
      <w:pPr>
        <w:pStyle w:val="BookText"/>
        <w:rPr/>
      </w:pPr>
      <w:r>
        <w:rPr>
          <w:rFonts w:ascii="IRNazanin" w:hAnsi="IRNazanin" w:eastAsia="IRNazanin"/>
          <w:color w:val="111111"/>
          <w:sz w:val="28"/>
          <w:sz w:val="28"/>
          <w:szCs w:val="28"/>
          <w:rtl w:val="true"/>
          <w:lang w:bidi="fa-IR"/>
        </w:rPr>
        <w:t>وكيل بايد اقتصار نمايد بر آنچه استفادۀ اذن توكيلى مى شود اگر چه با انضمام قراين باشد، و با اطلاق در توكيل بيع و شراء، اقتصار مى نمايد بر بيع و ابتياع به ثمن المثل به نقد بلد و به نحو حالّ و بيع به صحيح و ابتياع صحيح نه معيب</w:t>
      </w:r>
      <w:r>
        <w:rPr>
          <w:rFonts w:eastAsia="IRNazanin" w:cs="IRNazanin"/>
          <w:color w:val="111111"/>
          <w:sz w:val="28"/>
          <w:szCs w:val="28"/>
          <w:rtl w:val="true"/>
          <w:lang w:bidi="fa-IR"/>
        </w:rPr>
        <w:t>.</w:t>
      </w:r>
    </w:p>
    <w:p>
      <w:pPr>
        <w:pStyle w:val="Heading4"/>
        <w:numPr>
          <w:ilvl w:val="3"/>
          <w:numId w:val="1"/>
        </w:numPr>
        <w:rPr/>
      </w:pPr>
      <w:bookmarkStart w:id="1845" w:name="__RefHeading___Toc3598879_1067777946"/>
      <w:bookmarkStart w:id="1846" w:name="_Toc760"/>
      <w:bookmarkEnd w:id="1845"/>
      <w:r>
        <w:rPr>
          <w:rtl w:val="true"/>
        </w:rPr>
        <w:t>حكم تخلّف وكيل از اختيارات خود</w:t>
      </w:r>
      <w:bookmarkEnd w:id="1846"/>
    </w:p>
    <w:p>
      <w:pPr>
        <w:pStyle w:val="BookText"/>
        <w:rPr/>
      </w:pPr>
      <w:r>
        <w:rPr>
          <w:rFonts w:ascii="IRNazanin" w:hAnsi="IRNazanin" w:eastAsia="IRNazanin"/>
          <w:color w:val="111111"/>
          <w:sz w:val="28"/>
          <w:sz w:val="28"/>
          <w:szCs w:val="28"/>
          <w:rtl w:val="true"/>
          <w:lang w:bidi="fa-IR"/>
        </w:rPr>
        <w:t>و مخالفت وكيل، موجب فضولى بودن تصرّف است مگر آنكه زيادتى و نقيصه به قدر تسامحِ نوع باشد و باذلى بدون آنها نباشد با تساوى در سهولت انجام تصرّف يا لوازم آن، وگرنه بايد رعايت شود؛ و با شك در اذن، معامله نشود، و اگر انجام داد فضولى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باذلِ زيادتى اگر بعد از انجام امر، در مدت خيار باشد كه اصلحْ فسخ است، پس بايد فسخ نمايد براى رعايت مصلحت مالك، و اذن در فسخْ مستفاد از اذن در بيع به ثمن المثل است؛ و اگر تركِ فسخ كرد در صورت مصلحت در فسخ، آثم است، و در ضمان او به سبب اضرار در ترك فسخ يا تفويت مالْ تأمل است؛ و فسخ در موضع مصلحت در ترك آن، نافذ نيست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عدم انفساخ معامله است به مجرّد پيدا شدن باذل زيادتى در مدت خيار با اختلاف مدّت در خيار شرط به حسب طول و قصر و زمان پيدا شدن باذل، مگر در صورت قرب زمان پيدا شدن باذل و عدم تسامح شخص موكّل با تسامح نوع و معلوميّت آن بر وكيل با سهولت امر در صبر و عاقبت آن با امكان استدراك تكوينى اگر چه به صورت فسخ معامله باشد به نحوى كه كاشف از عدم اذن در حين معامله </w:t>
      </w:r>
      <w:bookmarkStart w:id="1847" w:name="pg10256_89639"/>
    </w:p>
    <w:p>
      <w:pPr>
        <w:pStyle w:val="BookText"/>
        <w:rPr/>
      </w:pPr>
      <w:bookmarkEnd w:id="1847"/>
      <w:r>
        <w:rPr>
          <w:rFonts w:ascii="IRNazanin" w:hAnsi="IRNazanin" w:eastAsia="IRNazanin"/>
          <w:color w:val="111111"/>
          <w:sz w:val="28"/>
          <w:sz w:val="28"/>
          <w:szCs w:val="28"/>
          <w:rtl w:val="true"/>
          <w:lang w:bidi="fa-IR"/>
        </w:rPr>
        <w:t>بوده باشد و كاشف از فضولى بودن از اوّل، اگر چه با اعتقاد اذن انجام شده است كه در فرض مذكور، انفساخ به معناى مذكور، بى وجه نيست؛ و هم چنين در صورت تعيين ثمن اگر باذلى پيدا شود اگر چه بعد از معامله باشد در مدت خيار در تقدير فهم عدم خصوصيّت و ارادۀ صورت عدم باذل 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تصرفات بر خلاف مصلحت موكّل و اذن يقينى موكّل، فضولى است؛ و معتبر در مقدار عوض و عيب، خفاى بر نوع و اهل خبره در مثل آن موردِ معامله و توكيل است، نه بر شخص وكيل فقط، كه در اوّل خيار براى مالكِ موكّل، ثابت است و در دوّم فضولى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اعتبار به تعمّد خيانت در مردود بودن مى نمايد، ممكن است حمل آن به صورت موافقت ظن شخصى وكيل با ظن نوع و مخالفت ظن نوع با واقع كه در صورت مخالفت، خيار غبن يا عيبْ ثابت است؛ و در صورت احتمالِ موافقت با واقع، لازم است؛ و در صورت مخالفت ظن شخصى با نوعى، فضولى و مردود است با ملاحظۀ خصوصيّات مذكوره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جواز و صحّت جريان وكيل است در موارد توكيل و افراد آنچه مقتضاى اطلاق است از نقد و حلول مگر آنكه انصراف واضح و مانع از اطلاق به سبب مصلحت در خلاف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جايز است بيع بعض مبيع اگر مخالف مصلحت نباشد</w:t>
      </w:r>
      <w:r>
        <w:rPr>
          <w:rFonts w:eastAsia="IRNazanin" w:cs="IRNazanin"/>
          <w:color w:val="111111"/>
          <w:sz w:val="28"/>
          <w:szCs w:val="28"/>
          <w:rtl w:val="true"/>
          <w:lang w:bidi="fa-IR"/>
        </w:rPr>
        <w:t>.</w:t>
      </w:r>
    </w:p>
    <w:p>
      <w:pPr>
        <w:pStyle w:val="Heading4"/>
        <w:numPr>
          <w:ilvl w:val="3"/>
          <w:numId w:val="1"/>
        </w:numPr>
        <w:rPr/>
      </w:pPr>
      <w:bookmarkStart w:id="1848" w:name="__RefHeading___Toc3598881_1067777946"/>
      <w:bookmarkStart w:id="1849" w:name="_Toc761"/>
      <w:bookmarkEnd w:id="1848"/>
      <w:r>
        <w:rPr>
          <w:rtl w:val="true"/>
        </w:rPr>
        <w:t>اختلاف موكّل و وكيل در اذن در معامله به مبلغى معيّن</w:t>
      </w:r>
      <w:bookmarkEnd w:id="184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وكيل بيع نمود به ثمنى، پس موكّل انكار نمود اذن و توكيل در بيع به آن قدر را، قول او با يمين او مقدم است با عدم بيّنۀ وكيل، چه آنكه آن قدرْ مطابق با ثمن المثل باشد يا مخالف، و مستند دعواى وكيل، اذن خصوصى يا اطلاق منصرف به ثمن المثل باشد</w:t>
      </w:r>
      <w:r>
        <w:rPr>
          <w:rFonts w:eastAsia="IRNazanin" w:cs="IRNazanin"/>
          <w:color w:val="111111"/>
          <w:sz w:val="28"/>
          <w:szCs w:val="28"/>
          <w:rtl w:val="true"/>
          <w:lang w:bidi="fa-IR"/>
        </w:rPr>
        <w:t xml:space="preserve">. </w:t>
      </w:r>
      <w:bookmarkStart w:id="1850" w:name="pg10256_89640"/>
    </w:p>
    <w:p>
      <w:pPr>
        <w:pStyle w:val="Heading4"/>
        <w:numPr>
          <w:ilvl w:val="3"/>
          <w:numId w:val="1"/>
        </w:numPr>
        <w:rPr/>
      </w:pPr>
      <w:bookmarkStart w:id="1851" w:name="__RefHeading___Toc3598883_1067777946"/>
      <w:bookmarkStart w:id="1852" w:name="_Toc762"/>
      <w:bookmarkEnd w:id="1850"/>
      <w:bookmarkEnd w:id="1851"/>
      <w:r>
        <w:rPr>
          <w:rtl w:val="true"/>
        </w:rPr>
        <w:t>اختلاف در عين مورد وكالت و جنس ثمن</w:t>
      </w:r>
      <w:bookmarkEnd w:id="1852"/>
    </w:p>
    <w:p>
      <w:pPr>
        <w:pStyle w:val="BookText"/>
        <w:rPr/>
      </w:pPr>
      <w:r>
        <w:rPr>
          <w:rFonts w:ascii="IRNazanin" w:hAnsi="IRNazanin" w:eastAsia="IRNazanin"/>
          <w:color w:val="111111"/>
          <w:sz w:val="28"/>
          <w:sz w:val="28"/>
          <w:szCs w:val="28"/>
          <w:rtl w:val="true"/>
          <w:lang w:bidi="fa-IR"/>
        </w:rPr>
        <w:t>و هم چنين اختلاف در عين مورد وكالت در بيع آن و در جنس ثمن، راجع به تداعى نمى شود بنابر اظهر، به خلاف اختلاف در جرى بر طبق وكالت معلومه و وقوع خيانت در آن كه قول امينْ مقدم است با يمين او</w:t>
      </w:r>
      <w:r>
        <w:rPr>
          <w:rFonts w:eastAsia="IRNazanin" w:cs="IRNazanin"/>
          <w:color w:val="111111"/>
          <w:sz w:val="28"/>
          <w:szCs w:val="28"/>
          <w:rtl w:val="true"/>
          <w:lang w:bidi="fa-IR"/>
        </w:rPr>
        <w:t>.</w:t>
      </w:r>
    </w:p>
    <w:p>
      <w:pPr>
        <w:pStyle w:val="Heading4"/>
        <w:numPr>
          <w:ilvl w:val="3"/>
          <w:numId w:val="1"/>
        </w:numPr>
        <w:rPr/>
      </w:pPr>
      <w:bookmarkStart w:id="1853" w:name="__RefHeading___Toc3598885_1067777946"/>
      <w:bookmarkStart w:id="1854" w:name="_Toc763"/>
      <w:bookmarkEnd w:id="1853"/>
      <w:r>
        <w:rPr>
          <w:rtl w:val="true"/>
        </w:rPr>
        <w:t>استرجاع عين در صورت اختلاف و تقديم قول مالك</w:t>
      </w:r>
      <w:bookmarkEnd w:id="1854"/>
    </w:p>
    <w:p>
      <w:pPr>
        <w:pStyle w:val="BookText"/>
        <w:rPr/>
      </w:pPr>
      <w:r>
        <w:rPr>
          <w:rFonts w:ascii="IRNazanin" w:hAnsi="IRNazanin" w:eastAsia="IRNazanin"/>
          <w:color w:val="111111"/>
          <w:sz w:val="28"/>
          <w:sz w:val="28"/>
          <w:szCs w:val="28"/>
          <w:rtl w:val="true"/>
          <w:lang w:bidi="fa-IR"/>
        </w:rPr>
        <w:t>و در صورت اختلاف در وكالت و تقديم قول مالك، استرجاع مى شود عين باقيه در يد مشترى با اعتراف او به وكالت، يا حلف مالك براى او بعد از رد يمين در صورت دعواى علم بر مشترى به وكالت؛ و اگر عين تلف شده بوده در يد مشترى، رجوع به مثل يا قيمت آن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وكيل و مشترى تصادق در وكالت و ثمن داشتند و دفع نموده بود وكيل متاع را به مشترى پس تلف شد در يد او، موكّل مى تواند رجوع به هر كدام نمايد؛ و اگر رجوع به مشترى نمود، با عدم دفع ثمن، رجوع به وكيل نمى نمايد با تصادق در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دفع ثمن نموده بود، مقدار غرامت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مساوات با ثمن يا 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وكيل استرجاع مى نمايد به عنوان مقاصّه از مالك واقعى آن كه موكّل است به زعم مشترى و وكيل، و زايد آن در يد وكيل باقى مى ماند و بايد به عنوانى ايصال به مالك آن نمايد كه موكّل است به اعتقاد وكيل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مشترىِ غارمْ براى مالك، تصديق نكرد وكيل را در وكالت مقصودۀ او، رجوع مى نمايد به آنچه غرامت كرده است براى مالك از قيمت منافع فايته در يد او يا مستوفات؛ و در قيمت عين در مقدار زايد بر ثمن اگر مغرور بوده است، اظهر رجوع به وكيل است، و آنچه مقابل ثمن است، رجوع نمى نمايد بلكه رجوع به ثمن مى نمايد بعد از دفع اگر زايد از مقدار غرامت او باشد يا ناقص يا مساوى، به اقتضاى فساد بيع در ظاهر شرع</w:t>
      </w:r>
      <w:r>
        <w:rPr>
          <w:rFonts w:eastAsia="IRNazanin" w:cs="IRNazanin"/>
          <w:color w:val="111111"/>
          <w:sz w:val="28"/>
          <w:szCs w:val="28"/>
          <w:rtl w:val="true"/>
          <w:lang w:bidi="fa-IR"/>
        </w:rPr>
        <w:t xml:space="preserve">. </w:t>
      </w:r>
      <w:bookmarkStart w:id="1855" w:name="pg10256_89641"/>
    </w:p>
    <w:p>
      <w:pPr>
        <w:pStyle w:val="BookText"/>
        <w:rPr/>
      </w:pPr>
      <w:bookmarkEnd w:id="1855"/>
      <w:r>
        <w:rPr>
          <w:rFonts w:ascii="IRNazanin" w:hAnsi="IRNazanin" w:eastAsia="IRNazanin"/>
          <w:color w:val="111111"/>
          <w:sz w:val="28"/>
          <w:sz w:val="28"/>
          <w:szCs w:val="28"/>
          <w:rtl w:val="true"/>
          <w:lang w:bidi="fa-IR"/>
        </w:rPr>
        <w:t xml:space="preserve">و اگر رجوع كرد مالك به وكيل و قيمت را از او اخذ نمود، رجوع مى نمايد وكيل در صورت عدم اخذ ثمن، به اقل از ثمن و غرامت در صورت تصادق وكيل و مشترى؛ و زايد از ثمن كه مورد نفى مالكيّت از مالك و مشترى است، به حكم مجهول المالك است، كه دفع به حاكم براى ايصال به مصرف 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مالك است در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وكيلْ قابضِ ثمن بود و تغريم به اقل از آن شد، زايد به اعتقاد او، مال موكّل است و بايد به عنوانى ايصال به او بشود در صورت تصادق با مشترى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مشترى تصديق وكيل نكرد و نفى علم نمود و دفع ثمن نكرده بود پس تغريم شد وكيل براى مالك، پس زايد بر غرامت را از ثمن نمى تواند رجوع به مشترى نمايد، به جهت اعتراف به ظلم مالك، بلكه اقل از غرامت و ثمن را مطالبه مى نمايد، مثل صورت تصديق</w:t>
      </w:r>
      <w:r>
        <w:rPr>
          <w:rFonts w:eastAsia="IRNazanin" w:cs="IRNazanin"/>
          <w:color w:val="111111"/>
          <w:sz w:val="28"/>
          <w:szCs w:val="28"/>
          <w:rtl w:val="true"/>
          <w:lang w:bidi="fa-IR"/>
        </w:rPr>
        <w:t>.</w:t>
      </w:r>
    </w:p>
    <w:p>
      <w:pPr>
        <w:pStyle w:val="Heading4"/>
        <w:numPr>
          <w:ilvl w:val="3"/>
          <w:numId w:val="1"/>
        </w:numPr>
        <w:rPr/>
      </w:pPr>
      <w:bookmarkStart w:id="1856" w:name="__RefHeading___Toc3598887_1067777946"/>
      <w:bookmarkStart w:id="1857" w:name="_Toc764"/>
      <w:bookmarkEnd w:id="1856"/>
      <w:r>
        <w:rPr>
          <w:rtl w:val="true"/>
        </w:rPr>
        <w:t>ضمان وكيل در بيع و شراء در صورت تسليم قبل از تسلّم</w:t>
      </w:r>
      <w:bookmarkEnd w:id="1857"/>
    </w:p>
    <w:p>
      <w:pPr>
        <w:pStyle w:val="BookText"/>
        <w:rPr/>
      </w:pPr>
      <w:r>
        <w:rPr>
          <w:rFonts w:ascii="IRNazanin" w:hAnsi="IRNazanin" w:eastAsia="IRNazanin"/>
          <w:color w:val="111111"/>
          <w:sz w:val="28"/>
          <w:sz w:val="28"/>
          <w:szCs w:val="28"/>
          <w:rtl w:val="true"/>
          <w:lang w:bidi="fa-IR"/>
        </w:rPr>
        <w:t>وكيل در انشاى بيع، وكيل در لوازم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وكيل در بيع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منصرف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لوازم عرفيه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در تسليم مبيع با تسلّم ثمن است از مشترى حتى در صورت ذمى بودن مبيع، و اگر تسليم قبل از تسلم كرد، ضامن است مبيع را براى 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وكيل در شراء، نسبت به تسليم ثمن، در آنچه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به ضمان مبيعِ تالف بعد از اقباض و قبل از قبض ثمن، يا ثمن در مثل اين فرض نسبت به وكالت در شراء، مرجع آن به ضمان قيمت تالف است در صورت مساوات يا اقليت از عوض بنابر انفساخ معامله با اين قبض مخالف با اقباض مأذون؛ لكن چون اذن در تقابض بوده و ثمن هم قبض آن مورد وكالت بوده و خيانت در ترك قبض آن شده، پس زيادتى قيمت آن مضمون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صورت اكثريّت از قيمت عوض، پس ظاهرْ عدم ضمان زيادتى قيمت </w:t>
      </w:r>
      <w:bookmarkStart w:id="1858" w:name="pg10256_89642"/>
    </w:p>
    <w:p>
      <w:pPr>
        <w:pStyle w:val="BookText"/>
        <w:rPr/>
      </w:pPr>
      <w:bookmarkEnd w:id="1858"/>
      <w:r>
        <w:rPr>
          <w:rFonts w:ascii="IRNazanin" w:hAnsi="IRNazanin" w:eastAsia="IRNazanin"/>
          <w:color w:val="111111"/>
          <w:sz w:val="28"/>
          <w:sz w:val="28"/>
          <w:szCs w:val="28"/>
          <w:rtl w:val="true"/>
          <w:lang w:bidi="fa-IR"/>
        </w:rPr>
        <w:t>عين از قيمت عوض است به جهت رضاى مالك به ثمن اقل از قيمت عين، مگر آنكه مورد وكالتْ معامله به شخصِ عوض بوده كه رضاى به اقل در قيمت از قيمت عين على اىّ تقدير نبوده، بلكه اناطه به شخص عوض داشته كه سالم براى مالك نه شخص و نه قيمت عين شده در فرض زيادتى قيمت عين از قيمت عوض شخصى</w:t>
      </w:r>
      <w:r>
        <w:rPr>
          <w:rFonts w:eastAsia="IRNazanin" w:cs="IRNazanin"/>
          <w:color w:val="111111"/>
          <w:sz w:val="28"/>
          <w:szCs w:val="28"/>
          <w:rtl w:val="true"/>
          <w:lang w:bidi="fa-IR"/>
        </w:rPr>
        <w:t>.</w:t>
      </w:r>
    </w:p>
    <w:p>
      <w:pPr>
        <w:pStyle w:val="Heading4"/>
        <w:numPr>
          <w:ilvl w:val="3"/>
          <w:numId w:val="1"/>
        </w:numPr>
        <w:rPr/>
      </w:pPr>
      <w:bookmarkStart w:id="1859" w:name="__RefHeading___Toc3598889_1067777946"/>
      <w:bookmarkStart w:id="1860" w:name="_Toc765"/>
      <w:bookmarkEnd w:id="1859"/>
      <w:r>
        <w:rPr>
          <w:rtl w:val="true"/>
        </w:rPr>
        <w:t>مقتضاى اطلاق وكالت در خريد اذن در تسليم با تسلّم است</w:t>
      </w:r>
      <w:bookmarkEnd w:id="1860"/>
    </w:p>
    <w:p>
      <w:pPr>
        <w:pStyle w:val="BookText"/>
        <w:rPr/>
      </w:pPr>
      <w:r>
        <w:rPr>
          <w:rFonts w:ascii="IRNazanin" w:hAnsi="IRNazanin" w:eastAsia="IRNazanin"/>
          <w:color w:val="111111"/>
          <w:sz w:val="28"/>
          <w:sz w:val="28"/>
          <w:szCs w:val="28"/>
          <w:rtl w:val="true"/>
          <w:lang w:bidi="fa-IR"/>
        </w:rPr>
        <w:t>و هم چنين مقتضاى اطلاقِ وكالت در شراء، اذن در تسليم ثمن با تسلم مبيع است به نحوى كه در وكالت در بيع گذشت، و حكم آنها متحد است در استفادۀ اذن در قبض مثمن در وكالت در شراء و استفادۀ اذن در قبض ثمن در وكالت در بيع</w:t>
      </w:r>
      <w:r>
        <w:rPr>
          <w:rFonts w:eastAsia="IRNazanin" w:cs="IRNazanin"/>
          <w:color w:val="111111"/>
          <w:sz w:val="28"/>
          <w:szCs w:val="28"/>
          <w:rtl w:val="true"/>
          <w:lang w:bidi="fa-IR"/>
        </w:rPr>
        <w:t>.</w:t>
      </w:r>
    </w:p>
    <w:p>
      <w:pPr>
        <w:pStyle w:val="Heading4"/>
        <w:numPr>
          <w:ilvl w:val="3"/>
          <w:numId w:val="1"/>
        </w:numPr>
        <w:rPr/>
      </w:pPr>
      <w:bookmarkStart w:id="1861" w:name="__RefHeading___Toc3598891_1067777946"/>
      <w:bookmarkStart w:id="1862" w:name="_Toc766"/>
      <w:bookmarkEnd w:id="1861"/>
      <w:r>
        <w:rPr>
          <w:rtl w:val="true"/>
        </w:rPr>
        <w:t>لزوم رد به عيب و وكالت حقيقى بر خريد</w:t>
      </w:r>
      <w:bookmarkEnd w:id="1862"/>
    </w:p>
    <w:p>
      <w:pPr>
        <w:pStyle w:val="BookText"/>
        <w:rPr/>
      </w:pPr>
      <w:r>
        <w:rPr>
          <w:rFonts w:ascii="IRNazanin" w:hAnsi="IRNazanin" w:eastAsia="IRNazanin"/>
          <w:color w:val="111111"/>
          <w:sz w:val="28"/>
          <w:sz w:val="28"/>
          <w:szCs w:val="28"/>
          <w:rtl w:val="true"/>
          <w:lang w:bidi="fa-IR"/>
        </w:rPr>
        <w:t>و در وكالت در شراى حقيقى، نه در انشاى اشتراء فقط، مى تواند بلكه لازم است وكيل رد به عيب نمايد، چه آنكه موكّل حاضر باشد يا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منع كرد موكّل از رد به عيب يا از ساير مصالح او متّبع است و نمى تواند وكيل رد نمايد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بايع مثلاً استمهال نمود تا حضور موكّل، لازم نيست اجابت او و رد وكيل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رضاى بايع و علم وكيل به آن نمود، حلف بر نفى علم، ايقاع مى نمايد و رد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رد در صورت مذكوره، موكّل حاضر شد و ادّعاى اسقاط خيار در زمانى قبل از رد نمود، به نحوى كه ممكن باشد در حق او، منكشف مى شود بطلان رد به انتفاى حق خيار قبل از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وكيل راضى شد و اسقاط خيار كرد بر طبق مصلحت موكّل پس از آن موكلْ حاضر شد و رد نمود، نافذ نيست رد لاحق، به جهت انتفاى موضوع كه خيار است</w:t>
      </w:r>
      <w:r>
        <w:rPr>
          <w:rFonts w:eastAsia="IRNazanin" w:cs="IRNazanin"/>
          <w:color w:val="111111"/>
          <w:sz w:val="28"/>
          <w:szCs w:val="28"/>
          <w:rtl w:val="true"/>
          <w:lang w:bidi="fa-IR"/>
        </w:rPr>
        <w:t xml:space="preserve">. </w:t>
      </w:r>
      <w:bookmarkStart w:id="1863" w:name="pg10256_89643"/>
    </w:p>
    <w:p>
      <w:pPr>
        <w:pStyle w:val="Heading3"/>
        <w:numPr>
          <w:ilvl w:val="2"/>
          <w:numId w:val="1"/>
        </w:numPr>
        <w:rPr/>
      </w:pPr>
      <w:bookmarkStart w:id="1864" w:name="__RefHeading___Toc3598893_1067777946"/>
      <w:bookmarkStart w:id="1865" w:name="_Toc767"/>
      <w:bookmarkEnd w:id="1863"/>
      <w:bookmarkEnd w:id="1864"/>
      <w:r>
        <w:rPr>
          <w:rtl w:val="true"/>
        </w:rPr>
        <w:t>فصل دوّم موارد صحّت و عدم صحّت وكالت</w:t>
      </w:r>
      <w:bookmarkEnd w:id="1865"/>
    </w:p>
    <w:p>
      <w:pPr>
        <w:pStyle w:val="Heading4"/>
        <w:numPr>
          <w:ilvl w:val="3"/>
          <w:numId w:val="1"/>
        </w:numPr>
        <w:rPr/>
      </w:pPr>
      <w:bookmarkStart w:id="1866" w:name="__RefHeading___Toc3598895_1067777946"/>
      <w:bookmarkStart w:id="1867" w:name="_Toc768"/>
      <w:bookmarkEnd w:id="1866"/>
      <w:r>
        <w:rPr>
          <w:rtl w:val="true"/>
        </w:rPr>
        <w:t>لزوم مشروعيّت فعل در صحّت وكالت</w:t>
      </w:r>
      <w:bookmarkEnd w:id="1867"/>
    </w:p>
    <w:p>
      <w:pPr>
        <w:pStyle w:val="BookText"/>
        <w:rPr/>
      </w:pPr>
      <w:r>
        <w:rPr>
          <w:rFonts w:ascii="IRNazanin" w:hAnsi="IRNazanin" w:eastAsia="IRNazanin"/>
          <w:color w:val="111111"/>
          <w:sz w:val="28"/>
          <w:sz w:val="28"/>
          <w:szCs w:val="28"/>
          <w:rtl w:val="true"/>
          <w:lang w:bidi="fa-IR"/>
        </w:rPr>
        <w:t>معتبر است در صحّت وكالت، مشروعيّت فعل به نحو مباشرت از موكّل، و امكان آن از زمان توكيل تا زمان تصرّف بنابر احوط، مگر در تابع مثل توكيل در شراء و بيع بعد از 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جايز نيست توكيل در امرى كه حرام است بر غير شخصى، يا حرام است بر موكّل مباشرت آن نه بر وكيل، مثل توكيل حايض و جنبْ كنس مسجد را در حال مكث يا عبور از مسجدين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مانعى ندارد توكيل غير در شراء به مال وكيل براى موكّل، چنانكه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عبدك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مستلزم توكيل در تمليك ثمن به موكّل و شراى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شراء ذمى نباشد بنابر اظهر</w:t>
      </w:r>
      <w:r>
        <w:rPr>
          <w:rFonts w:eastAsia="IRNazanin" w:cs="IRNazanin"/>
          <w:color w:val="111111"/>
          <w:sz w:val="28"/>
          <w:szCs w:val="28"/>
          <w:rtl w:val="true"/>
          <w:lang w:bidi="fa-IR"/>
        </w:rPr>
        <w:t>.</w:t>
      </w:r>
    </w:p>
    <w:p>
      <w:pPr>
        <w:pStyle w:val="Heading4"/>
        <w:numPr>
          <w:ilvl w:val="3"/>
          <w:numId w:val="1"/>
        </w:numPr>
        <w:rPr/>
      </w:pPr>
      <w:bookmarkStart w:id="1868" w:name="__RefHeading___Toc3598897_1067777946"/>
      <w:bookmarkStart w:id="1869" w:name="_Toc769"/>
      <w:bookmarkEnd w:id="1868"/>
      <w:r>
        <w:rPr>
          <w:rtl w:val="true"/>
        </w:rPr>
        <w:t>اعتبار عدم علم به تعلّق غرض به صورت فعل به مباشرت</w:t>
      </w:r>
      <w:bookmarkEnd w:id="1869"/>
    </w:p>
    <w:p>
      <w:pPr>
        <w:pStyle w:val="BookText"/>
        <w:rPr/>
      </w:pPr>
      <w:r>
        <w:rPr>
          <w:rFonts w:ascii="IRNazanin" w:hAnsi="IRNazanin" w:eastAsia="IRNazanin"/>
          <w:color w:val="111111"/>
          <w:sz w:val="28"/>
          <w:sz w:val="28"/>
          <w:szCs w:val="28"/>
          <w:rtl w:val="true"/>
          <w:lang w:bidi="fa-IR"/>
        </w:rPr>
        <w:t>و معتبر است عدم علم به تعلّق غرض به صدور فعل از شخصى به نحو مباشرت كه توكيل او با اين علم نافذ نيست، و هم چنين نيابت شخص بى اثر است در جهت مقصوده كه اسقاط تكليف از موكِّل و منوب عنه باشد</w:t>
      </w:r>
      <w:r>
        <w:rPr>
          <w:rFonts w:eastAsia="IRNazanin" w:cs="IRNazanin"/>
          <w:color w:val="111111"/>
          <w:sz w:val="28"/>
          <w:szCs w:val="28"/>
          <w:rtl w:val="true"/>
          <w:lang w:bidi="fa-IR"/>
        </w:rPr>
        <w:t>.</w:t>
      </w:r>
    </w:p>
    <w:p>
      <w:pPr>
        <w:pStyle w:val="Heading4"/>
        <w:numPr>
          <w:ilvl w:val="3"/>
          <w:numId w:val="1"/>
        </w:numPr>
        <w:rPr/>
      </w:pPr>
      <w:bookmarkStart w:id="1870" w:name="__RefHeading___Toc3598899_1067777946"/>
      <w:bookmarkStart w:id="1871" w:name="_Toc770"/>
      <w:bookmarkEnd w:id="1870"/>
      <w:r>
        <w:rPr>
          <w:rtl w:val="true"/>
        </w:rPr>
        <w:t>موارد تعلّق غرض به مباشرت و عدم آن در عبادات و توصّليات و غير آن</w:t>
      </w:r>
      <w:bookmarkEnd w:id="18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تعيين موارد تعلّق غرض به مباشرت و عدم آن، خفا است، و ظاهرْ عدم اعتبار </w:t>
      </w:r>
    </w:p>
    <w:p>
      <w:pPr>
        <w:pStyle w:val="BookText"/>
        <w:rPr/>
      </w:pPr>
      <w:r>
        <w:rPr>
          <w:rFonts w:ascii="IRNazanin" w:hAnsi="IRNazanin" w:eastAsia="IRNazanin"/>
          <w:color w:val="111111"/>
          <w:sz w:val="28"/>
          <w:sz w:val="28"/>
          <w:szCs w:val="28"/>
          <w:rtl w:val="true"/>
          <w:lang w:bidi="fa-IR"/>
        </w:rPr>
        <w:t xml:space="preserve">است در توصّليات و اسباب تملّك و اباحه، مثل عقود معاوضيّه و نكاح و ايقاعات و نحو اينها از قبيل اصطياد و احتطاب و احتشاش، مگر در صورت دلالت دليل خاص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عبادات، پس آنچه معلوم است اعتبار مباشرت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واجب به اصل و روزه و حج واجب از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عدم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زكات واجبه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ارتياب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غير اينها آيا واجب است مباشرت مگر با دلالت دليل بر خلاف، يا غير واجب است مگر با دلالت دليل بر وجوب‌؟ حكم كلى در آن معلوم نيست و متّبع بودن دليل و مفاد آن، قابل انكار نيست؛ چنانچه مواردى براى استنابه و جواز آن در خصوص عباداتى مذكور و ثابت است، مثل استنابه در غسل و مسح اعضاى طهارت با عجز و مباشرت نيّت، بلكه به نحو اوسع از توكيل و استنابه در حج واجب از عاجز، و نماز در طواف واجب از عاجز، و نماز طواف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فرض عدم دلالت دليل، محتمل عدم اعتبار مباشرت است، زيرا امرى است غير تقرّب وگرنه در مواردى ساقط نمى شد كه در آنها قربت لازم است؛ و عدم علم به غرض، مثبِت اعتبار تقرب است نه همۀ مشكوكات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اطلاق بنابر جريان در مثل ساير مشكوكات، و پس از آن اصل عدم اعتبار است در غير موارد ثبوت نه به سبب اطلاق دليل وكالت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اظهر اعتبار مباشرت است در عبادات بدنيّه تا قيام دليل بر عدم مطلقاً يا در صورت عجز، به واسطۀ ارتكاز اختصاصى بودن عبادت به طورى كه خلاف آن محتاج به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تقرّب با مباشرتِ مأمور براى او اكمل است از تقرّب نايب اگر چه به استنابۀ او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مرتبۀ فاضله، محتاج به بيان اعتبار در عبادات واجبه و مستحبه نيست بلكه اعتبار اوسع از آن بيانى است، چنانچه نقل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جماعتى از </w:t>
      </w:r>
      <w:bookmarkStart w:id="1872" w:name="pg10256_89645"/>
    </w:p>
    <w:p>
      <w:pPr>
        <w:pStyle w:val="BookText"/>
        <w:rPr/>
      </w:pPr>
      <w:bookmarkEnd w:id="1872"/>
      <w:r>
        <w:rPr>
          <w:rFonts w:ascii="Amiri" w:hAnsi="Amiri" w:eastAsia="Amiri" w:cs="Amiri"/>
          <w:color w:val="111111"/>
          <w:sz w:val="28"/>
          <w:sz w:val="28"/>
          <w:szCs w:val="28"/>
          <w:rtl w:val="true"/>
          <w:lang w:bidi="ar-SA"/>
        </w:rPr>
        <w:t>اصحاب بر منع از نيابت در عبادات در غير موارد تنصيص، و اظهر اقتصار در منع، بر عبادات بدنيّه است</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3598901_1067777946"/>
      <w:bookmarkStart w:id="1874" w:name="_Toc771"/>
      <w:bookmarkEnd w:id="1873"/>
      <w:r>
        <w:rPr>
          <w:rtl w:val="true"/>
        </w:rPr>
        <w:t>نيابت در اجبار صيغه نذر و شبه آن</w:t>
      </w:r>
      <w:bookmarkEnd w:id="1874"/>
    </w:p>
    <w:p>
      <w:pPr>
        <w:pStyle w:val="BookText"/>
        <w:rPr/>
      </w:pPr>
      <w:r>
        <w:rPr>
          <w:rFonts w:ascii="Amiri" w:hAnsi="Amiri" w:eastAsia="Amiri" w:cs="Amiri"/>
          <w:color w:val="111111"/>
          <w:sz w:val="28"/>
          <w:sz w:val="28"/>
          <w:szCs w:val="28"/>
          <w:rtl w:val="true"/>
          <w:lang w:bidi="ar-SA"/>
        </w:rPr>
        <w:t>و اظهر عدم مانع از صحّت نيابت در اجراى صيغه در مثل نذر و عهد و يمين و نحو اينها از انشائيات غير محرّمه است</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3598903_1067777946"/>
      <w:bookmarkStart w:id="1876" w:name="_Toc772"/>
      <w:bookmarkEnd w:id="1875"/>
      <w:r>
        <w:rPr>
          <w:rtl w:val="true"/>
        </w:rPr>
        <w:t>وكالت در التقاط مملّك</w:t>
      </w:r>
      <w:bookmarkEnd w:id="1876"/>
    </w:p>
    <w:p>
      <w:pPr>
        <w:pStyle w:val="BookText"/>
        <w:rPr/>
      </w:pPr>
      <w:r>
        <w:rPr>
          <w:rFonts w:ascii="IRNazanin" w:hAnsi="IRNazanin" w:eastAsia="IRNazanin"/>
          <w:color w:val="111111"/>
          <w:sz w:val="28"/>
          <w:sz w:val="28"/>
          <w:szCs w:val="28"/>
          <w:rtl w:val="true"/>
          <w:lang w:bidi="fa-IR"/>
        </w:rPr>
        <w:t xml:space="preserve">و اما التقاط مملّك، پس جريان وكالت در آن، مبنى بر اعتبار قصد تملّك در حصول ملك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 آن در محل خود مذكور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چنين احتطاب و احتشاش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التقاطِ موجبِ تعريف، پس مشكل است جريان نيابت در آن به نحوى كه حكم بر منوب عنه غير مباشر، ثابت بشود</w:t>
      </w:r>
      <w:r>
        <w:rPr>
          <w:rFonts w:eastAsia="IRNazanin" w:cs="IRNazanin"/>
          <w:color w:val="111111"/>
          <w:sz w:val="28"/>
          <w:szCs w:val="28"/>
          <w:rtl w:val="true"/>
          <w:lang w:bidi="fa-IR"/>
        </w:rPr>
        <w:t>.</w:t>
      </w:r>
    </w:p>
    <w:p>
      <w:pPr>
        <w:pStyle w:val="Heading4"/>
        <w:numPr>
          <w:ilvl w:val="3"/>
          <w:numId w:val="1"/>
        </w:numPr>
        <w:rPr/>
      </w:pPr>
      <w:bookmarkStart w:id="1877" w:name="__RefHeading___Toc3598905_1067777946"/>
      <w:bookmarkStart w:id="1878" w:name="_Toc773"/>
      <w:bookmarkEnd w:id="1877"/>
      <w:r>
        <w:rPr>
          <w:rtl w:val="true"/>
        </w:rPr>
        <w:t>وكالت در شهادت و قضا</w:t>
      </w:r>
      <w:bookmarkEnd w:id="1878"/>
    </w:p>
    <w:p>
      <w:pPr>
        <w:pStyle w:val="BookText"/>
        <w:rPr/>
      </w:pPr>
      <w:r>
        <w:rPr>
          <w:rFonts w:ascii="Amiri" w:hAnsi="Amiri" w:eastAsia="Amiri" w:cs="Amiri"/>
          <w:color w:val="111111"/>
          <w:sz w:val="28"/>
          <w:sz w:val="28"/>
          <w:szCs w:val="28"/>
          <w:rtl w:val="true"/>
          <w:lang w:bidi="ar-SA"/>
        </w:rPr>
        <w:t>و وكالت در اقامۀ شهادتْ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بر شهادت، توكيل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استنابه در فَصل 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قضا، مشروط به علم و عدالتِ مباشرِ قضاوت است و وكالت پذير نيست، و در زمان حضور و بسط يد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خاص هم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انشاى حَجر بعد از ثبوت مقدّمات نزد حاكم، مثل انشاى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توكيل غرما در طلب حَجر از حاكم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محجور عليه توكيل نمى نمايد</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3598907_1067777946"/>
      <w:bookmarkStart w:id="1880" w:name="_Toc774"/>
      <w:bookmarkEnd w:id="1879"/>
      <w:r>
        <w:rPr>
          <w:rtl w:val="true"/>
        </w:rPr>
        <w:t>توكيل در رد اسلام و استنابه در اقرار</w:t>
      </w:r>
      <w:bookmarkEnd w:id="1880"/>
    </w:p>
    <w:p>
      <w:pPr>
        <w:pStyle w:val="BookText"/>
        <w:rPr/>
      </w:pPr>
      <w:r>
        <w:rPr>
          <w:rFonts w:ascii="IRNazanin" w:hAnsi="IRNazanin" w:eastAsia="IRNazanin"/>
          <w:color w:val="111111"/>
          <w:sz w:val="28"/>
          <w:sz w:val="28"/>
          <w:szCs w:val="28"/>
          <w:rtl w:val="true"/>
          <w:lang w:bidi="fa-IR"/>
        </w:rPr>
        <w:t>و توكيل در رد سلام با فوريت،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استنابه در اقرار در ترتّب حكم بر منوب عنه</w:t>
      </w:r>
      <w:r>
        <w:rPr>
          <w:rFonts w:eastAsia="IRNazanin" w:cs="IRNazanin"/>
          <w:color w:val="111111"/>
          <w:sz w:val="28"/>
          <w:szCs w:val="28"/>
          <w:rtl w:val="true"/>
          <w:lang w:bidi="fa-IR"/>
        </w:rPr>
        <w:t>.</w:t>
      </w:r>
    </w:p>
    <w:p>
      <w:pPr>
        <w:pStyle w:val="Heading4"/>
        <w:numPr>
          <w:ilvl w:val="3"/>
          <w:numId w:val="1"/>
        </w:numPr>
        <w:rPr/>
      </w:pPr>
      <w:bookmarkStart w:id="1881" w:name="__RefHeading___Toc3598909_1067777946"/>
      <w:bookmarkStart w:id="1882" w:name="_Toc775"/>
      <w:bookmarkEnd w:id="1881"/>
      <w:r>
        <w:rPr>
          <w:rtl w:val="true"/>
        </w:rPr>
        <w:t>ساير موارد صحّت وكالت</w:t>
      </w:r>
      <w:bookmarkEnd w:id="18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است توكيل در انشائيات از عقود و ايقاعات، و توابع آنها از قبض و دفع؛ و </w:t>
      </w:r>
      <w:bookmarkStart w:id="1883" w:name="pg10256_89646"/>
    </w:p>
    <w:p>
      <w:pPr>
        <w:pStyle w:val="BookText"/>
        <w:rPr/>
      </w:pPr>
      <w:bookmarkEnd w:id="1883"/>
      <w:r>
        <w:rPr>
          <w:rFonts w:ascii="IRNazanin" w:hAnsi="IRNazanin" w:eastAsia="IRNazanin"/>
          <w:color w:val="111111"/>
          <w:sz w:val="28"/>
          <w:sz w:val="28"/>
          <w:szCs w:val="28"/>
          <w:rtl w:val="true"/>
          <w:lang w:bidi="fa-IR"/>
        </w:rPr>
        <w:t>استيفاى قصاص و حدود اگر چه مستحِق حاضر باشد؛ و در اثبات حدود آدمى، بلكه حدّ الهى در توكيل والى بحقْ فرد را، نه توكيل بعض افرادْ ديگران را؛ و در جهاد در صورت عدم تعيّن بر منوب عنه از غير جهت عدد؛ و در اثبات حجج و حقوق ماليّه و غير آنها با اظهار آن نزد حاكم و اقامۀ بيّنۀ عادله بر آن؛ و احلاف منكر و طلب حكم بر خصم، چنانچه وكيل از مدّعىٰ عليه، وظيفۀ او است انكار نزد حاكم و طعن شهود و اقامۀ بيّنة بر جرح آنها و مطالبۀ سماع شهادت ايشان و حكم بر طبق مقصود منكِر و سعى در دفع از موكّل خود به نحو مشروع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 در خصومت نمى تواند صلح حق يا ابراى آن يا بعضى از آن نمايد مگر با تصريح يا اطلاق واضح كه به منزلۀ تصريح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جايز است توكيل در هر جايى كه عبادت نباشد و معلوم نباشد تعلّق غرض به مباشرِ معيّن و ثابت نباشد عدم جواز توكيل در آن از شرع، چنانكه معتبر نمى شود عباديت در اين گونه از موارد شك</w:t>
      </w:r>
      <w:r>
        <w:rPr>
          <w:rFonts w:eastAsia="IRNazanin" w:cs="IRNazanin"/>
          <w:color w:val="111111"/>
          <w:sz w:val="28"/>
          <w:szCs w:val="28"/>
          <w:rtl w:val="true"/>
          <w:lang w:bidi="fa-IR"/>
        </w:rPr>
        <w:t>.</w:t>
      </w:r>
    </w:p>
    <w:p>
      <w:pPr>
        <w:pStyle w:val="Heading4"/>
        <w:numPr>
          <w:ilvl w:val="3"/>
          <w:numId w:val="1"/>
        </w:numPr>
        <w:rPr/>
      </w:pPr>
      <w:bookmarkStart w:id="1884" w:name="__RefHeading___Toc3598911_1067777946"/>
      <w:bookmarkStart w:id="1885" w:name="_Toc776"/>
      <w:bookmarkEnd w:id="1884"/>
      <w:r>
        <w:rPr>
          <w:rtl w:val="true"/>
        </w:rPr>
        <w:t>ادّعاى ادا يا ابراء توسط منكر ديْن در اثناى دفاع وكيل</w:t>
      </w:r>
      <w:bookmarkEnd w:id="1885"/>
    </w:p>
    <w:p>
      <w:pPr>
        <w:pStyle w:val="BookText"/>
        <w:rPr/>
      </w:pPr>
      <w:r>
        <w:rPr>
          <w:rFonts w:ascii="IRNazanin" w:hAnsi="IRNazanin" w:eastAsia="IRNazanin"/>
          <w:color w:val="111111"/>
          <w:sz w:val="28"/>
          <w:sz w:val="28"/>
          <w:szCs w:val="28"/>
          <w:rtl w:val="true"/>
          <w:lang w:bidi="fa-IR"/>
        </w:rPr>
        <w:t>اگر منكر دَين در اثناى دفاع وكيل او از او، ادّعاى ادا يا ابراء نمود، مدّعى مى گردد و بر وكيل او در خصومات، اقامۀ بيّنه بر اين دعوى و مطالبۀ حكم بر طبق آن است، و وكيلِ خصم، وظيفۀ او انكار و طعن بر شهود و غير اينها است</w:t>
      </w:r>
      <w:r>
        <w:rPr>
          <w:rFonts w:eastAsia="IRNazanin" w:cs="IRNazanin"/>
          <w:color w:val="111111"/>
          <w:sz w:val="28"/>
          <w:szCs w:val="28"/>
          <w:rtl w:val="true"/>
          <w:lang w:bidi="fa-IR"/>
        </w:rPr>
        <w:t>.</w:t>
      </w:r>
    </w:p>
    <w:p>
      <w:pPr>
        <w:pStyle w:val="Heading4"/>
        <w:numPr>
          <w:ilvl w:val="3"/>
          <w:numId w:val="1"/>
        </w:numPr>
        <w:rPr/>
      </w:pPr>
      <w:bookmarkStart w:id="1886" w:name="__RefHeading___Toc3598913_1067777946"/>
      <w:bookmarkStart w:id="1887" w:name="_Toc777"/>
      <w:bookmarkEnd w:id="1886"/>
      <w:r>
        <w:rPr>
          <w:rtl w:val="true"/>
        </w:rPr>
        <w:t>عدم قبول اقرار وكيل از طرف مدّعى يا منكر</w:t>
      </w:r>
      <w:bookmarkEnd w:id="1887"/>
    </w:p>
    <w:p>
      <w:pPr>
        <w:pStyle w:val="BookText"/>
        <w:rPr/>
      </w:pPr>
      <w:r>
        <w:rPr>
          <w:rFonts w:ascii="IRNazanin" w:hAnsi="IRNazanin" w:eastAsia="IRNazanin"/>
          <w:color w:val="111111"/>
          <w:sz w:val="28"/>
          <w:sz w:val="28"/>
          <w:szCs w:val="28"/>
          <w:rtl w:val="true"/>
          <w:lang w:bidi="fa-IR"/>
        </w:rPr>
        <w:t>اقرار وكيل از مدّعى يا منكر، منافى وكالت او است و قبول نمى شود؛ به خلاف توكيل اصيل در خصوص اقرار كه به منزلۀ ترك دعوى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اعمال مقرّ فيما بعد، بى اثر است چون معتقد ظلم است</w:t>
      </w:r>
      <w:r>
        <w:rPr>
          <w:rFonts w:eastAsia="IRNazanin" w:cs="IRNazanin"/>
          <w:color w:val="111111"/>
          <w:sz w:val="28"/>
          <w:szCs w:val="28"/>
          <w:rtl w:val="true"/>
          <w:lang w:bidi="fa-IR"/>
        </w:rPr>
        <w:t>.</w:t>
      </w:r>
    </w:p>
    <w:p>
      <w:pPr>
        <w:pStyle w:val="Heading4"/>
        <w:numPr>
          <w:ilvl w:val="3"/>
          <w:numId w:val="1"/>
        </w:numPr>
        <w:rPr/>
      </w:pPr>
      <w:bookmarkStart w:id="1888" w:name="__RefHeading___Toc3598915_1067777946"/>
      <w:bookmarkStart w:id="1889" w:name="_Toc778"/>
      <w:bookmarkEnd w:id="1888"/>
      <w:r>
        <w:rPr>
          <w:rtl w:val="true"/>
        </w:rPr>
        <w:t>اعتبار عدم سفاهت در توكيل</w:t>
      </w:r>
      <w:bookmarkEnd w:id="188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 است در توكيل كه از غايت توسعه يا تضييق، سفهى نباشد به طورى كه تقييد او به مصلحتْ مناسب نباشد و جمع بين متخالفَين محسوب باشد</w:t>
      </w:r>
      <w:r>
        <w:rPr>
          <w:rFonts w:eastAsia="Amiri" w:cs="Amiri" w:ascii="Amiri" w:hAnsi="Amiri"/>
          <w:color w:val="111111"/>
          <w:sz w:val="28"/>
          <w:szCs w:val="28"/>
          <w:rtl w:val="true"/>
          <w:lang w:bidi="ar-SA"/>
        </w:rPr>
        <w:t xml:space="preserve">. </w:t>
      </w:r>
      <w:bookmarkStart w:id="1890" w:name="pg10256_89647"/>
    </w:p>
    <w:p>
      <w:pPr>
        <w:pStyle w:val="Heading3"/>
        <w:numPr>
          <w:ilvl w:val="2"/>
          <w:numId w:val="1"/>
        </w:numPr>
        <w:rPr/>
      </w:pPr>
      <w:bookmarkStart w:id="1891" w:name="__RefHeading___Toc3598917_1067777946"/>
      <w:bookmarkStart w:id="1892" w:name="_Toc779"/>
      <w:bookmarkEnd w:id="1890"/>
      <w:bookmarkEnd w:id="1891"/>
      <w:r>
        <w:rPr>
          <w:rtl w:val="true"/>
        </w:rPr>
        <w:t>فصل سوّم شرايط موكّل</w:t>
      </w:r>
      <w:bookmarkEnd w:id="1892"/>
    </w:p>
    <w:p>
      <w:pPr>
        <w:pStyle w:val="Heading4"/>
        <w:numPr>
          <w:ilvl w:val="3"/>
          <w:numId w:val="1"/>
        </w:numPr>
        <w:rPr/>
      </w:pPr>
      <w:bookmarkStart w:id="1893" w:name="__RefHeading___Toc3598919_1067777946"/>
      <w:bookmarkStart w:id="1894" w:name="_Toc780"/>
      <w:bookmarkEnd w:id="1893"/>
      <w:r>
        <w:rPr>
          <w:rtl w:val="true"/>
        </w:rPr>
        <w:t>بلوغ، عقل و اختيار</w:t>
      </w:r>
      <w:bookmarkEnd w:id="1894"/>
    </w:p>
    <w:p>
      <w:pPr>
        <w:pStyle w:val="BookText"/>
        <w:rPr/>
      </w:pPr>
      <w:r>
        <w:rPr>
          <w:rFonts w:ascii="IRNazanin" w:hAnsi="IRNazanin" w:eastAsia="IRNazanin"/>
          <w:color w:val="111111"/>
          <w:sz w:val="28"/>
          <w:sz w:val="28"/>
          <w:szCs w:val="28"/>
          <w:rtl w:val="true"/>
          <w:lang w:bidi="fa-IR"/>
        </w:rPr>
        <w:t>معتبر است در موكّل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قصد انشا و عدم اكراه و اجبار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جايز باشد تصرّف مباشرى او در آنچه در آن توكيل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مغنى از دو شرط اوّل است، و لازم آن عدم صحّت توكيل محجور عليه براى سفاهت يا افلاس است در آنچه از اموال او مورد حَجر است، نه در غير آنها مثل طلاق</w:t>
      </w:r>
      <w:r>
        <w:rPr>
          <w:rFonts w:eastAsia="IRNazanin" w:cs="IRNazanin"/>
          <w:color w:val="111111"/>
          <w:sz w:val="28"/>
          <w:szCs w:val="28"/>
          <w:rtl w:val="true"/>
          <w:lang w:bidi="fa-IR"/>
        </w:rPr>
        <w:t>.</w:t>
      </w:r>
    </w:p>
    <w:p>
      <w:pPr>
        <w:pStyle w:val="Heading4"/>
        <w:numPr>
          <w:ilvl w:val="3"/>
          <w:numId w:val="1"/>
        </w:numPr>
        <w:rPr/>
      </w:pPr>
      <w:bookmarkStart w:id="1895" w:name="__RefHeading___Toc3598921_1067777946"/>
      <w:bookmarkStart w:id="1896" w:name="_Toc781"/>
      <w:bookmarkEnd w:id="1895"/>
      <w:r>
        <w:rPr>
          <w:rtl w:val="true"/>
        </w:rPr>
        <w:t>جواز توكيل صبىّ ده ساله</w:t>
      </w:r>
      <w:bookmarkEnd w:id="1896"/>
    </w:p>
    <w:p>
      <w:pPr>
        <w:pStyle w:val="BookText"/>
        <w:rPr/>
      </w:pPr>
      <w:r>
        <w:rPr>
          <w:rFonts w:ascii="IRNazanin" w:hAnsi="IRNazanin" w:eastAsia="IRNazanin"/>
          <w:color w:val="111111"/>
          <w:sz w:val="28"/>
          <w:sz w:val="28"/>
          <w:szCs w:val="28"/>
          <w:rtl w:val="true"/>
          <w:lang w:bidi="fa-IR"/>
        </w:rPr>
        <w:t>و جواز توكيل صبىّ كه به ده سال رسيده باشد در وصيت، مبنى بر جواز وصيّت مميّز ده ساله است؛ و هم چنين توكيل او در صدقه و عتق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مورد توكيل صبىّ خاص جايز باشد، وكالت او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معلوم شد عدم جواز توكيل مجنون اگر چه ادوارى باشد، بنابر مبطليّت لحوق آن وكالت سابقه را، چنانچه گذشت</w:t>
      </w:r>
      <w:r>
        <w:rPr>
          <w:rFonts w:eastAsia="IRNazanin" w:cs="IRNazanin"/>
          <w:color w:val="111111"/>
          <w:sz w:val="28"/>
          <w:szCs w:val="28"/>
          <w:rtl w:val="true"/>
          <w:lang w:bidi="fa-IR"/>
        </w:rPr>
        <w:t>.</w:t>
      </w:r>
    </w:p>
    <w:p>
      <w:pPr>
        <w:pStyle w:val="Heading4"/>
        <w:numPr>
          <w:ilvl w:val="3"/>
          <w:numId w:val="1"/>
        </w:numPr>
        <w:rPr/>
      </w:pPr>
      <w:bookmarkStart w:id="1897" w:name="__RefHeading___Toc3598923_1067777946"/>
      <w:bookmarkStart w:id="1898" w:name="_Toc782"/>
      <w:bookmarkEnd w:id="1897"/>
      <w:r>
        <w:rPr>
          <w:rtl w:val="true"/>
        </w:rPr>
        <w:t>حكم توكيل عبد</w:t>
      </w:r>
      <w:bookmarkEnd w:id="189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مملوك مكاتب مى تواند توكيل نمايد در تكسّبى كه از او جايز است مباشرت آن، و هم چنين وكالت از غير اگر تكسب باشد، و در غير تكسب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توكيل قنّ از مماليك جايز نيست مگر با اذن مولى يا آنكه در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مباشرت او بدون اذن جايز باشد، مثل طلاق</w:t>
      </w:r>
      <w:r>
        <w:rPr>
          <w:rFonts w:eastAsia="IRNazanin" w:cs="IRNazanin"/>
          <w:color w:val="111111"/>
          <w:sz w:val="28"/>
          <w:szCs w:val="28"/>
          <w:rtl w:val="true"/>
          <w:lang w:bidi="fa-IR"/>
        </w:rPr>
        <w:t xml:space="preserve">. </w:t>
      </w:r>
      <w:bookmarkStart w:id="1899" w:name="pg10256_89648"/>
    </w:p>
    <w:p>
      <w:pPr>
        <w:pStyle w:val="BookText"/>
        <w:rPr/>
      </w:pPr>
      <w:bookmarkEnd w:id="1899"/>
      <w:r>
        <w:rPr>
          <w:rFonts w:ascii="IRNazanin" w:hAnsi="IRNazanin" w:eastAsia="IRNazanin"/>
          <w:color w:val="111111"/>
          <w:sz w:val="28"/>
          <w:sz w:val="28"/>
          <w:szCs w:val="28"/>
          <w:rtl w:val="true"/>
          <w:lang w:bidi="fa-IR"/>
        </w:rPr>
        <w:t>و اگر توكيل كرد كسى مملوك را براى خريدن خودش از مالك و مالك اذن داد، جايز است، و مشترى در حقيقتْ موكّل است كه مغاير با مبيع است، و هم چنين بايعْ آذن است اگر مباشر ايجاب بيع هم مملوك بود با اذن مالك</w:t>
      </w:r>
      <w:r>
        <w:rPr>
          <w:rFonts w:eastAsia="IRNazanin" w:cs="IRNazanin"/>
          <w:color w:val="111111"/>
          <w:sz w:val="28"/>
          <w:szCs w:val="28"/>
          <w:rtl w:val="true"/>
          <w:lang w:bidi="fa-IR"/>
        </w:rPr>
        <w:t>.</w:t>
      </w:r>
    </w:p>
    <w:p>
      <w:pPr>
        <w:pStyle w:val="Heading4"/>
        <w:numPr>
          <w:ilvl w:val="3"/>
          <w:numId w:val="1"/>
        </w:numPr>
        <w:rPr/>
      </w:pPr>
      <w:bookmarkStart w:id="1900" w:name="__RefHeading___Toc3598925_1067777946"/>
      <w:bookmarkStart w:id="1901" w:name="_Toc783"/>
      <w:bookmarkEnd w:id="1900"/>
      <w:r>
        <w:rPr>
          <w:rtl w:val="true"/>
        </w:rPr>
        <w:t>لزوم اذن موكّل در توكيل غير</w:t>
      </w:r>
      <w:bookmarkEnd w:id="1901"/>
    </w:p>
    <w:p>
      <w:pPr>
        <w:pStyle w:val="BookText"/>
        <w:rPr/>
      </w:pPr>
      <w:r>
        <w:rPr>
          <w:rFonts w:ascii="IRNazanin" w:hAnsi="IRNazanin" w:eastAsia="IRNazanin"/>
          <w:color w:val="111111"/>
          <w:sz w:val="28"/>
          <w:sz w:val="28"/>
          <w:szCs w:val="28"/>
          <w:rtl w:val="true"/>
          <w:lang w:bidi="fa-IR"/>
        </w:rPr>
        <w:t>وكيل نمى تواند توكيل نمايد غير را در مباشرت از موكّل مگر با اذن موكّل در اعم از توكيل از 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مى تواند توكيل از خود وكيل نمايد با اذن موكّل در آن به نحوى كه توكيل او مفيدِ جعلِ فعلِ وكيلِ اوّل به منزلۀ فعلِ خود موكّل باشد اعم از فعل مباشرى او يا تنزيلى و نيابتى او؛ و لازمۀ اطلاق در اوّل، تنزيل فعل دو نفر است منزلۀ فعل موكّل اوّل، و لازمۀ اطلاق در دوّم، تنزيل دو فعل وكيل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فعل مباشرى وكيل اوّل و فعل تسبيبى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منزلۀ فعل موكّل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تقييد در هر كدام، رفع اطلاق همان قسم مى نمايد، و اجتماع دو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دو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 شود، و اطلاق محتاج به بيان نيست، بلكه تقييدْ محتاج قراين است از حال يا مقال و انصراف واضح مانع از اطلاق</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3598927_1067777946"/>
      <w:bookmarkStart w:id="1903" w:name="_Toc784"/>
      <w:bookmarkEnd w:id="1902"/>
      <w:r>
        <w:rPr>
          <w:rtl w:val="true"/>
        </w:rPr>
        <w:t>حكم صُوَر مختلف عزل و انعزال وكيل دوّم</w:t>
      </w:r>
      <w:bookmarkEnd w:id="190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وكيل با اذن موكّل، توكيل غير از جانب موكّل نمود، نمى تواند وكيل دوّم را عزل نمايد مگر با توكيل جديد در اعم از عزل وكلاى موكّل اوّل؛ و به موت وكيل اوّل، وكيل دوّم منعزل نمى شود و وكالت او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اذن توكيل از جانب خود وكيل نمود، پس ظاهر، جوازِ عزلِ وكيل اوّل و انعزالِ وكيل دوّم است با عزل اوّلى؛ و با موت اوّلى بلكه با عزل موكّل اوّل، منعزل مى شود وكيل دوّم، يعنى به عزل وكيل دوّم به سبب عزل موكّل اوّل وكيل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عزل موكّل اوّل وكيل دوّم را به استقلال، تأمل است</w:t>
      </w:r>
      <w:r>
        <w:rPr>
          <w:rFonts w:eastAsia="IRNazanin" w:cs="IRNazanin"/>
          <w:color w:val="111111"/>
          <w:sz w:val="28"/>
          <w:szCs w:val="28"/>
          <w:rtl w:val="true"/>
          <w:lang w:bidi="fa-IR"/>
        </w:rPr>
        <w:t xml:space="preserve">. </w:t>
      </w:r>
      <w:bookmarkStart w:id="1904" w:name="pg10256_89649"/>
    </w:p>
    <w:p>
      <w:pPr>
        <w:pStyle w:val="Heading4"/>
        <w:numPr>
          <w:ilvl w:val="3"/>
          <w:numId w:val="1"/>
        </w:numPr>
        <w:rPr/>
      </w:pPr>
      <w:bookmarkStart w:id="1905" w:name="__RefHeading___Toc3598929_1067777946"/>
      <w:bookmarkStart w:id="1906" w:name="_Toc785"/>
      <w:bookmarkEnd w:id="1904"/>
      <w:bookmarkEnd w:id="1905"/>
      <w:r>
        <w:rPr>
          <w:rtl w:val="true"/>
        </w:rPr>
        <w:t>اخذ وكيل توسّط مملوك مأذون در تجارت</w:t>
      </w:r>
      <w:bookmarkEnd w:id="1906"/>
    </w:p>
    <w:p>
      <w:pPr>
        <w:pStyle w:val="BookText"/>
        <w:rPr/>
      </w:pPr>
      <w:r>
        <w:rPr>
          <w:rFonts w:ascii="IRNazanin" w:hAnsi="IRNazanin" w:eastAsia="IRNazanin"/>
          <w:color w:val="111111"/>
          <w:sz w:val="28"/>
          <w:sz w:val="28"/>
          <w:szCs w:val="28"/>
          <w:rtl w:val="true"/>
          <w:lang w:bidi="fa-IR"/>
        </w:rPr>
        <w:t>اگر مملوكْ مأذون در تجارت بود، مأذون است در انجام آن به نحو مباشرت يا توكيل از خود يا از مالك مگر با بيان عدم اطلاق؛ و در غير مورد اذن، نمى تواند مباشرت نمايد يا توكيل نمايد، و ممكن است بيان بشود اذن در توكيل خاص يا عام نه در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با توكيل انجام دهد آنچه را كه با مباشرت بدون اذن مالك مى تواند انجام دهد، مثل طلاق متضمّن تصرّف غير مالى</w:t>
      </w:r>
      <w:r>
        <w:rPr>
          <w:rFonts w:eastAsia="IRNazanin" w:cs="IRNazanin"/>
          <w:color w:val="111111"/>
          <w:sz w:val="28"/>
          <w:szCs w:val="28"/>
          <w:rtl w:val="true"/>
          <w:lang w:bidi="fa-IR"/>
        </w:rPr>
        <w:t>.</w:t>
      </w:r>
    </w:p>
    <w:p>
      <w:pPr>
        <w:pStyle w:val="Heading4"/>
        <w:numPr>
          <w:ilvl w:val="3"/>
          <w:numId w:val="1"/>
        </w:numPr>
        <w:rPr/>
      </w:pPr>
      <w:bookmarkStart w:id="1907" w:name="__RefHeading___Toc3598931_1067777946"/>
      <w:bookmarkStart w:id="1908" w:name="_Toc786"/>
      <w:bookmarkEnd w:id="1907"/>
      <w:r>
        <w:rPr>
          <w:rtl w:val="true"/>
        </w:rPr>
        <w:t>سفيه يا مفلس مى تواند توكيل نمايد در مثل طلاق</w:t>
      </w:r>
      <w:bookmarkEnd w:id="1908"/>
    </w:p>
    <w:p>
      <w:pPr>
        <w:pStyle w:val="BookText"/>
        <w:rPr/>
      </w:pPr>
      <w:r>
        <w:rPr>
          <w:rFonts w:ascii="IRNazanin" w:hAnsi="IRNazanin" w:eastAsia="IRNazanin"/>
          <w:color w:val="111111"/>
          <w:sz w:val="28"/>
          <w:sz w:val="28"/>
          <w:szCs w:val="28"/>
          <w:rtl w:val="true"/>
          <w:lang w:bidi="fa-IR"/>
        </w:rPr>
        <w:t>و هم چنين محجور عليه براى سفه يا افلاس، مى تواند توكيل در طلاق نمايد نسبت به غير تصرّف مالى داخل در حجر؛ و اما تصرّف داخل در حجر، پس صحّت توكيل موقوف بر عدم اعتبار نفوذ تصرّف در حال توكيل است</w:t>
      </w:r>
      <w:r>
        <w:rPr>
          <w:rFonts w:eastAsia="IRNazanin" w:cs="IRNazanin"/>
          <w:color w:val="111111"/>
          <w:sz w:val="28"/>
          <w:szCs w:val="28"/>
          <w:rtl w:val="true"/>
          <w:lang w:bidi="fa-IR"/>
        </w:rPr>
        <w:t>.</w:t>
      </w:r>
    </w:p>
    <w:p>
      <w:pPr>
        <w:pStyle w:val="Heading4"/>
        <w:numPr>
          <w:ilvl w:val="3"/>
          <w:numId w:val="1"/>
        </w:numPr>
        <w:rPr/>
      </w:pPr>
      <w:bookmarkStart w:id="1909" w:name="__RefHeading___Toc3598933_1067777946"/>
      <w:bookmarkStart w:id="1910" w:name="_Toc787"/>
      <w:bookmarkEnd w:id="1909"/>
      <w:r>
        <w:rPr>
          <w:rtl w:val="true"/>
        </w:rPr>
        <w:t>عدم جواز توكيل مُحرِم و معتكف براى موارد محرّم بر آنها</w:t>
      </w:r>
      <w:bookmarkEnd w:id="1910"/>
    </w:p>
    <w:p>
      <w:pPr>
        <w:pStyle w:val="BookText"/>
        <w:rPr/>
      </w:pPr>
      <w:r>
        <w:rPr>
          <w:rFonts w:ascii="IRNazanin" w:hAnsi="IRNazanin" w:eastAsia="IRNazanin"/>
          <w:color w:val="111111"/>
          <w:sz w:val="28"/>
          <w:sz w:val="28"/>
          <w:szCs w:val="28"/>
          <w:rtl w:val="true"/>
          <w:lang w:bidi="fa-IR"/>
        </w:rPr>
        <w:t>توكيل مُحرِم و وكالت او براى ايقاع عقد نكاح در حال احرام جايز نيست به نحوى كه در حج مذكور است از تفصيل، و هم چنين براى شراى صيد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توكيل براى ايقاع عقد در حال احلال بعد از احرام ثابت در حال توكيل، مبنى بر اعتبار جواز مباشرت از زمان توكيل تا زمان عمل به وكالت و عدم اعتبار است؛ و مقتضاى حرمت عقد براى غير در حال احرام، عدم اختصاص ممنوع به توكيل در عقد براى موكّل مُحرِم است؛ پس جايز نيست براى مُحرِمْ توكيل در عقد نكاح براى 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اتحاد حكم معتكف و مُحرِم در حال احرام در نسا، جارى است حكم مذكور در توكيل و وكالتِ معتكف به نحو مذكور در احرام</w:t>
      </w:r>
      <w:r>
        <w:rPr>
          <w:rFonts w:eastAsia="IRNazanin" w:cs="IRNazanin"/>
          <w:color w:val="111111"/>
          <w:sz w:val="28"/>
          <w:szCs w:val="28"/>
          <w:rtl w:val="true"/>
          <w:lang w:bidi="fa-IR"/>
        </w:rPr>
        <w:t>.</w:t>
      </w:r>
    </w:p>
    <w:p>
      <w:pPr>
        <w:pStyle w:val="Heading4"/>
        <w:numPr>
          <w:ilvl w:val="3"/>
          <w:numId w:val="1"/>
        </w:numPr>
        <w:rPr/>
      </w:pPr>
      <w:bookmarkStart w:id="1911" w:name="__RefHeading___Toc3598935_1067777946"/>
      <w:bookmarkStart w:id="1912" w:name="_Toc788"/>
      <w:bookmarkEnd w:id="1911"/>
      <w:r>
        <w:rPr>
          <w:rtl w:val="true"/>
        </w:rPr>
        <w:t>جواز توكيل جهت امور ولد صغير توسط اب و جدّ ابى</w:t>
      </w:r>
      <w:bookmarkEnd w:id="191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 و جدّ ابى مى توانند امورى را كه داخل در ولايت آنها است مربوط به ولد صغير، </w:t>
      </w:r>
      <w:bookmarkStart w:id="1913" w:name="pg10256_89650"/>
    </w:p>
    <w:p>
      <w:pPr>
        <w:pStyle w:val="BookText"/>
        <w:rPr/>
      </w:pPr>
      <w:bookmarkEnd w:id="1913"/>
      <w:r>
        <w:rPr>
          <w:rFonts w:ascii="Amiri" w:hAnsi="Amiri" w:eastAsia="Amiri" w:cs="Amiri"/>
          <w:color w:val="111111"/>
          <w:sz w:val="28"/>
          <w:sz w:val="28"/>
          <w:szCs w:val="28"/>
          <w:rtl w:val="true"/>
          <w:lang w:bidi="ar-SA"/>
        </w:rPr>
        <w:t>انجام دهند با توكيل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وكالت در طلاق اگر چه از جانب زوج حاضر باشد</w:t>
      </w:r>
      <w:r>
        <w:rPr>
          <w:rFonts w:eastAsia="IRNazanin" w:cs="IRNazanin"/>
          <w:color w:val="111111"/>
          <w:sz w:val="28"/>
          <w:szCs w:val="28"/>
          <w:rtl w:val="true"/>
          <w:lang w:bidi="fa-IR"/>
        </w:rPr>
        <w:t>.</w:t>
      </w:r>
    </w:p>
    <w:p>
      <w:pPr>
        <w:pStyle w:val="Heading4"/>
        <w:numPr>
          <w:ilvl w:val="3"/>
          <w:numId w:val="1"/>
        </w:numPr>
        <w:rPr/>
      </w:pPr>
      <w:bookmarkStart w:id="1914" w:name="__RefHeading___Toc3598937_1067777946"/>
      <w:bookmarkStart w:id="1915" w:name="_Toc789"/>
      <w:bookmarkEnd w:id="1914"/>
      <w:r>
        <w:rPr>
          <w:rtl w:val="true"/>
        </w:rPr>
        <w:t>عبارت كلّى وكالت</w:t>
      </w:r>
      <w:bookmarkEnd w:id="191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موكّل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 عبارت را، شامل توكيل و اذن در آن و انجام آن از موكّل و از خود وكيل مى شود</w:t>
      </w:r>
      <w:r>
        <w:rPr>
          <w:rFonts w:eastAsia="IRNazanin" w:cs="IRNazanin"/>
          <w:color w:val="111111"/>
          <w:sz w:val="28"/>
          <w:szCs w:val="28"/>
          <w:rtl w:val="true"/>
          <w:lang w:bidi="fa-IR"/>
        </w:rPr>
        <w:t xml:space="preserve">. </w:t>
      </w:r>
      <w:bookmarkStart w:id="1916" w:name="pg10256_89651"/>
    </w:p>
    <w:p>
      <w:pPr>
        <w:pStyle w:val="Heading3"/>
        <w:numPr>
          <w:ilvl w:val="2"/>
          <w:numId w:val="1"/>
        </w:numPr>
        <w:rPr/>
      </w:pPr>
      <w:bookmarkStart w:id="1917" w:name="__RefHeading___Toc3598939_1067777946"/>
      <w:bookmarkStart w:id="1918" w:name="_Toc790"/>
      <w:bookmarkEnd w:id="1916"/>
      <w:bookmarkEnd w:id="1917"/>
      <w:r>
        <w:rPr>
          <w:rtl w:val="true"/>
        </w:rPr>
        <w:t>فصل چهارم شرايط وكيل</w:t>
      </w:r>
      <w:bookmarkEnd w:id="1918"/>
    </w:p>
    <w:p>
      <w:pPr>
        <w:pStyle w:val="Heading4"/>
        <w:numPr>
          <w:ilvl w:val="3"/>
          <w:numId w:val="1"/>
        </w:numPr>
        <w:rPr/>
      </w:pPr>
      <w:bookmarkStart w:id="1919" w:name="__RefHeading___Toc3598941_1067777946"/>
      <w:bookmarkStart w:id="1920" w:name="_Toc791"/>
      <w:bookmarkEnd w:id="1919"/>
      <w:r>
        <w:rPr>
          <w:rtl w:val="true"/>
        </w:rPr>
        <w:t>بلوغ و كمال عقل</w:t>
      </w:r>
      <w:bookmarkEnd w:id="1920"/>
    </w:p>
    <w:p>
      <w:pPr>
        <w:pStyle w:val="BookText"/>
        <w:rPr/>
      </w:pPr>
      <w:r>
        <w:rPr>
          <w:rFonts w:ascii="IRNazanin" w:hAnsi="IRNazanin" w:eastAsia="IRNazanin"/>
          <w:color w:val="111111"/>
          <w:sz w:val="28"/>
          <w:sz w:val="28"/>
          <w:szCs w:val="28"/>
          <w:rtl w:val="true"/>
          <w:lang w:bidi="fa-IR"/>
        </w:rPr>
        <w:t>معتبر است در 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كلام در وكالت و توكيل صبىّ بالغ عشر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وكالت تا زمان عمل به آن</w:t>
      </w:r>
      <w:r>
        <w:rPr>
          <w:rFonts w:eastAsia="IRNazanin" w:cs="IRNazanin"/>
          <w:color w:val="111111"/>
          <w:sz w:val="28"/>
          <w:szCs w:val="28"/>
          <w:rtl w:val="true"/>
          <w:lang w:bidi="fa-IR"/>
        </w:rPr>
        <w:t>.</w:t>
      </w:r>
    </w:p>
    <w:p>
      <w:pPr>
        <w:pStyle w:val="Heading4"/>
        <w:numPr>
          <w:ilvl w:val="3"/>
          <w:numId w:val="1"/>
        </w:numPr>
        <w:rPr/>
      </w:pPr>
      <w:bookmarkStart w:id="1921" w:name="__RefHeading___Toc3598943_1067777946"/>
      <w:bookmarkStart w:id="1922" w:name="_Toc792"/>
      <w:bookmarkEnd w:id="1921"/>
      <w:r>
        <w:rPr>
          <w:rtl w:val="true"/>
        </w:rPr>
        <w:t>عدم اعتبار عدالت</w:t>
      </w:r>
      <w:bookmarkEnd w:id="1922"/>
    </w:p>
    <w:p>
      <w:pPr>
        <w:pStyle w:val="BookText"/>
        <w:rPr/>
      </w:pPr>
      <w:r>
        <w:rPr>
          <w:rFonts w:ascii="IRNazanin" w:hAnsi="IRNazanin" w:eastAsia="IRNazanin"/>
          <w:color w:val="111111"/>
          <w:sz w:val="28"/>
          <w:sz w:val="28"/>
          <w:szCs w:val="28"/>
          <w:rtl w:val="true"/>
          <w:lang w:bidi="fa-IR"/>
        </w:rPr>
        <w:t>معتبر نيست در وكيل، عدالت؛ پس وكالت فاسق، بلكه كافر و مرتد به اقسام آن هم صحيح است در صورت صحّت توكيل و عدم استلزام آن تسلط بر مسلمى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صحّت توكيل مسلم، ارتدادِ لاحق، مبطل وكالت او نيست</w:t>
      </w:r>
      <w:r>
        <w:rPr>
          <w:rFonts w:eastAsia="IRNazanin" w:cs="IRNazanin"/>
          <w:color w:val="111111"/>
          <w:sz w:val="28"/>
          <w:szCs w:val="28"/>
          <w:rtl w:val="true"/>
          <w:lang w:bidi="fa-IR"/>
        </w:rPr>
        <w:t>.</w:t>
      </w:r>
    </w:p>
    <w:p>
      <w:pPr>
        <w:pStyle w:val="Heading4"/>
        <w:numPr>
          <w:ilvl w:val="3"/>
          <w:numId w:val="1"/>
        </w:numPr>
        <w:rPr/>
      </w:pPr>
      <w:bookmarkStart w:id="1923" w:name="__RefHeading___Toc3598945_1067777946"/>
      <w:bookmarkStart w:id="1924" w:name="_Toc793"/>
      <w:bookmarkEnd w:id="1923"/>
      <w:r>
        <w:rPr>
          <w:rtl w:val="true"/>
        </w:rPr>
        <w:t>عدم جواز توكيل براى امرى كه مباشرت آن جايز نيست</w:t>
      </w:r>
      <w:bookmarkEnd w:id="1924"/>
    </w:p>
    <w:p>
      <w:pPr>
        <w:pStyle w:val="BookText"/>
        <w:rPr/>
      </w:pPr>
      <w:r>
        <w:rPr>
          <w:rFonts w:ascii="Amiri" w:hAnsi="Amiri" w:eastAsia="Amiri" w:cs="Amiri"/>
          <w:color w:val="111111"/>
          <w:sz w:val="28"/>
          <w:sz w:val="28"/>
          <w:szCs w:val="28"/>
          <w:rtl w:val="true"/>
          <w:lang w:bidi="ar-SA"/>
        </w:rPr>
        <w:t>و جايز نيست توكيل براى امرى كه مباشرت او جايز نيست، مثل ابتياع مصحف يا مسلم براى كافر، بلكه براى مسلم هم بنابر احوط</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3598947_1067777946"/>
      <w:bookmarkStart w:id="1926" w:name="_Toc794"/>
      <w:bookmarkEnd w:id="1925"/>
      <w:r>
        <w:rPr>
          <w:rtl w:val="true"/>
        </w:rPr>
        <w:t>صحت وكالت محجورٌ عليه</w:t>
      </w:r>
      <w:bookmarkEnd w:id="192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است وكالت محجورٌ عليهِ براى تبذير يا افلاس، در امور غير مربوطۀ به آن دو كه ممنوع از آن امور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وكالت محجور عليه از جانب غير براى تصرّف وكالتى در مال غير، مانعى ندارد</w:t>
      </w:r>
      <w:r>
        <w:rPr>
          <w:rFonts w:eastAsia="Amiri" w:cs="Amiri" w:ascii="Amiri" w:hAnsi="Amiri"/>
          <w:color w:val="111111"/>
          <w:sz w:val="28"/>
          <w:szCs w:val="28"/>
          <w:rtl w:val="true"/>
          <w:lang w:bidi="ar-SA"/>
        </w:rPr>
        <w:t xml:space="preserve">. </w:t>
      </w:r>
      <w:bookmarkStart w:id="1927" w:name="pg10256_89652"/>
    </w:p>
    <w:p>
      <w:pPr>
        <w:pStyle w:val="Heading4"/>
        <w:numPr>
          <w:ilvl w:val="3"/>
          <w:numId w:val="1"/>
        </w:numPr>
        <w:rPr/>
      </w:pPr>
      <w:bookmarkStart w:id="1928" w:name="__RefHeading___Toc3598949_1067777946"/>
      <w:bookmarkStart w:id="1929" w:name="_Toc795"/>
      <w:bookmarkEnd w:id="1927"/>
      <w:bookmarkEnd w:id="1928"/>
      <w:r>
        <w:rPr>
          <w:rtl w:val="true"/>
        </w:rPr>
        <w:t>عدم جواز نيابت و وكالت مُحرِم</w:t>
      </w:r>
      <w:bookmarkEnd w:id="1929"/>
    </w:p>
    <w:p>
      <w:pPr>
        <w:pStyle w:val="BookText"/>
        <w:rPr/>
      </w:pPr>
      <w:r>
        <w:rPr>
          <w:rFonts w:ascii="IRNazanin" w:hAnsi="IRNazanin" w:eastAsia="IRNazanin"/>
          <w:color w:val="111111"/>
          <w:sz w:val="28"/>
          <w:sz w:val="28"/>
          <w:szCs w:val="28"/>
          <w:rtl w:val="true"/>
          <w:lang w:bidi="fa-IR"/>
        </w:rPr>
        <w:t>و گذشت اشاره به عدم جواز نيابت و وكالت مُحرِم در چيزى كه بر او حرام است، مثل اشتراء صيد و امساك آن براى موكّل و عقد نكاح براى موكّل به نحو متقدّم؛ پس بايد مورد، حرام مطلق بر وكيل، مباشرت آن نباشد، مثل محرّمات بر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عملْ قابل دخول نيابت در آن باشد</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3598951_1067777946"/>
      <w:bookmarkStart w:id="1931" w:name="_Toc796"/>
      <w:bookmarkEnd w:id="1930"/>
      <w:r>
        <w:rPr>
          <w:rtl w:val="true"/>
        </w:rPr>
        <w:t>توكيل زن در طلاق و عقد</w:t>
      </w:r>
      <w:bookmarkEnd w:id="1931"/>
    </w:p>
    <w:p>
      <w:pPr>
        <w:pStyle w:val="BookText"/>
        <w:rPr/>
      </w:pPr>
      <w:r>
        <w:rPr>
          <w:rFonts w:ascii="IRNazanin" w:hAnsi="IRNazanin" w:eastAsia="IRNazanin"/>
          <w:color w:val="111111"/>
          <w:sz w:val="28"/>
          <w:sz w:val="28"/>
          <w:szCs w:val="28"/>
          <w:rtl w:val="true"/>
          <w:lang w:bidi="fa-IR"/>
        </w:rPr>
        <w:t>وكالت زن در طلاق زنى ديگر براى شوهر خودش يا مرد ديگر، مانعى ندارد، بلكه براى طلاق خودش از جانب شوهر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به مغايرت اعتباريّه بين وكيل مطلِّق و مطلَّقه و اينكه يك زن مطلّقه به فتح و كسر باشد و اينكه به وكالت توكيل نمايد در طلاق خودش از جانب زوج يا از جانب خودش كه وكيل زوج است يا باذل عوض خلع است، هم،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وكالت در عقد نكاح براى خود يا زنى ديگر از جانب شوهر خودش يا مرد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براى يك مردْ تولّىِ دو طرف عقدْ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Heading4"/>
        <w:numPr>
          <w:ilvl w:val="3"/>
          <w:numId w:val="1"/>
        </w:numPr>
        <w:rPr/>
      </w:pPr>
      <w:bookmarkStart w:id="1932" w:name="__RefHeading___Toc3598953_1067777946"/>
      <w:bookmarkStart w:id="1933" w:name="_Toc797"/>
      <w:bookmarkEnd w:id="1932"/>
      <w:r>
        <w:rPr>
          <w:rtl w:val="true"/>
        </w:rPr>
        <w:t>وكالت مملوك</w:t>
      </w:r>
      <w:bookmarkEnd w:id="1933"/>
    </w:p>
    <w:p>
      <w:pPr>
        <w:pStyle w:val="BookText"/>
        <w:rPr/>
      </w:pPr>
      <w:r>
        <w:rPr>
          <w:rFonts w:ascii="IRNazanin" w:hAnsi="IRNazanin" w:eastAsia="IRNazanin"/>
          <w:color w:val="111111"/>
          <w:sz w:val="28"/>
          <w:sz w:val="28"/>
          <w:szCs w:val="28"/>
          <w:rtl w:val="true"/>
          <w:lang w:bidi="fa-IR"/>
        </w:rPr>
        <w:t xml:space="preserve">و وكالت مملوك با اذن مالك صحيح است؛ و بدون اذن مالك صحّت آن و صحّت عقدى كه وكالتْ تعلّق به آن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فى الجمله بنا بر حرمت آن باشد، مثل صورت نهىِ مالك از قبول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نهى از عقد كرد بعد از وكالت، پس انجامِ عقدِ ممنوع داد براى 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صحّت عقد در تقدير فساد وكالت بر تقدير ثبوت اذن موكّل و عدم تخصص آن به وكالت صحيحه،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نهى مالك از عقد بعد از تحقق وكالت اگر چه صحيح بوده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وكالت مملوك، چه مشروط به اذن مالك باشد يا نباشد، قبول مالك و مؤثر </w:t>
      </w:r>
      <w:bookmarkStart w:id="1934" w:name="pg10256_89653"/>
    </w:p>
    <w:p>
      <w:pPr>
        <w:pStyle w:val="BookText"/>
        <w:rPr/>
      </w:pPr>
      <w:bookmarkEnd w:id="1934"/>
      <w:r>
        <w:rPr>
          <w:rFonts w:ascii="IRNazanin" w:hAnsi="IRNazanin" w:eastAsia="IRNazanin"/>
          <w:color w:val="111111"/>
          <w:sz w:val="28"/>
          <w:sz w:val="28"/>
          <w:szCs w:val="28"/>
          <w:rtl w:val="true"/>
          <w:lang w:bidi="fa-IR"/>
        </w:rPr>
        <w:t>است و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ايجاب نكاح امه از مالك، مؤثر است در صورت رضاى مملوكه يا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مالك وكيل نمايد مملوك را در عتق خودش و بيع خودش، و هم چنين وكالت او در شراى خودش از مالك با اذن مالك قبل از وكالت، و اين قدر مغايرت اعتباريّه بين معتق به فتح و كسر و بايع و مبيع كافى است، چنانچه در نظايرْ مذكور است</w:t>
      </w:r>
      <w:r>
        <w:rPr>
          <w:rFonts w:eastAsia="IRNazanin" w:cs="IRNazanin"/>
          <w:color w:val="111111"/>
          <w:sz w:val="28"/>
          <w:szCs w:val="28"/>
          <w:rtl w:val="true"/>
          <w:lang w:bidi="fa-IR"/>
        </w:rPr>
        <w:t>.</w:t>
      </w:r>
    </w:p>
    <w:p>
      <w:pPr>
        <w:pStyle w:val="Heading4"/>
        <w:numPr>
          <w:ilvl w:val="3"/>
          <w:numId w:val="1"/>
        </w:numPr>
        <w:rPr/>
      </w:pPr>
      <w:bookmarkStart w:id="1935" w:name="__RefHeading___Toc3598955_1067777946"/>
      <w:bookmarkStart w:id="1936" w:name="_Toc798"/>
      <w:bookmarkEnd w:id="1935"/>
      <w:r>
        <w:rPr>
          <w:rtl w:val="true"/>
        </w:rPr>
        <w:t>عدم اعتبار عدالت در ايجاب و قبول نكاح و در ولىّ‌</w:t>
      </w:r>
      <w:bookmarkEnd w:id="1936"/>
    </w:p>
    <w:p>
      <w:pPr>
        <w:pStyle w:val="BookText"/>
        <w:rPr/>
      </w:pPr>
      <w:r>
        <w:rPr>
          <w:rFonts w:ascii="IRNazanin" w:hAnsi="IRNazanin" w:eastAsia="IRNazanin"/>
          <w:color w:val="111111"/>
          <w:sz w:val="28"/>
          <w:sz w:val="28"/>
          <w:szCs w:val="28"/>
          <w:rtl w:val="true"/>
          <w:lang w:bidi="fa-IR"/>
        </w:rPr>
        <w:t>معتبر نيست عدالت وكيل در ايجاب يا قبول نكاح، و هم چنين عدالت ولىّ حتى در تصرفات ماليّه بنا بر ثبوت ولايت براى فاسق در تصرّف در اموال مولّىٰ عليه</w:t>
      </w:r>
      <w:r>
        <w:rPr>
          <w:rFonts w:eastAsia="IRNazanin" w:cs="IRNazanin"/>
          <w:color w:val="111111"/>
          <w:sz w:val="28"/>
          <w:szCs w:val="28"/>
          <w:rtl w:val="true"/>
          <w:lang w:bidi="fa-IR"/>
        </w:rPr>
        <w:t>.</w:t>
      </w:r>
    </w:p>
    <w:p>
      <w:pPr>
        <w:pStyle w:val="Heading4"/>
        <w:numPr>
          <w:ilvl w:val="3"/>
          <w:numId w:val="1"/>
        </w:numPr>
        <w:rPr/>
      </w:pPr>
      <w:bookmarkStart w:id="1937" w:name="__RefHeading___Toc3598957_1067777946"/>
      <w:bookmarkStart w:id="1938" w:name="_Toc799"/>
      <w:bookmarkEnd w:id="1937"/>
      <w:r>
        <w:rPr>
          <w:rtl w:val="true"/>
        </w:rPr>
        <w:t>وكالت كافر</w:t>
      </w:r>
      <w:bookmarkEnd w:id="1938"/>
    </w:p>
    <w:p>
      <w:pPr>
        <w:pStyle w:val="BookText"/>
        <w:rPr/>
      </w:pPr>
      <w:r>
        <w:rPr>
          <w:rFonts w:ascii="IRNazanin" w:hAnsi="IRNazanin" w:eastAsia="IRNazanin"/>
          <w:color w:val="111111"/>
          <w:sz w:val="28"/>
          <w:sz w:val="28"/>
          <w:szCs w:val="28"/>
          <w:rtl w:val="true"/>
          <w:lang w:bidi="fa-IR"/>
        </w:rPr>
        <w:t>اظهر عدم صحّت وكالت كافر است براى تحصيل حق از مسلم از جانب مسلم يا كافر، و اين حكم اختصاص به ذمى ندارد، بلكه مختص است به صورت كافر بودن وكيل و مسلم بودن موكّل عليه؛ و غير اين صورت، باقى بر اصل جواز است در همۀ شش صورت ديگر كه در مجموع وكيل و موكّل و موكَّل عليه تصوير مى شود، و خصوص صورت ثالثه كه وكالت مسلم از جانب ذمى بر عليه مسلم باشد، مورد حكم به كراهت است</w:t>
      </w:r>
      <w:r>
        <w:rPr>
          <w:rFonts w:eastAsia="IRNazanin" w:cs="IRNazanin"/>
          <w:color w:val="111111"/>
          <w:sz w:val="28"/>
          <w:szCs w:val="28"/>
          <w:rtl w:val="true"/>
          <w:lang w:bidi="fa-IR"/>
        </w:rPr>
        <w:t>.</w:t>
      </w:r>
    </w:p>
    <w:p>
      <w:pPr>
        <w:pStyle w:val="Heading4"/>
        <w:numPr>
          <w:ilvl w:val="3"/>
          <w:numId w:val="1"/>
        </w:numPr>
        <w:rPr/>
      </w:pPr>
      <w:bookmarkStart w:id="1939" w:name="__RefHeading___Toc3598959_1067777946"/>
      <w:bookmarkStart w:id="1940" w:name="_Toc800"/>
      <w:bookmarkEnd w:id="1939"/>
      <w:r>
        <w:rPr>
          <w:rtl w:val="true"/>
        </w:rPr>
        <w:t>اقتصار وكيل به مستفاد از عبارت موكِّل</w:t>
      </w:r>
      <w:bookmarkEnd w:id="194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وكيل اقتصار مى نمايد در تصرفات، بر آنچه استفاده مى شود از عبارت موكّل در عقد وكالت، اگر چه از ظهور آن اگر چه مستفاد از انضمام قراين حاليّه يا از اطلاق صحيح باشد، و آنچه از فحواى عبارت استفاده بشود به نحوى كه تابع منطوق محسوب بشود در انشاى توكيل، مثل امر به بيع به يك دينار پس بيع نمايد به دو دينار، يا امر نمايد به بيع به دو دينار به نسيه پس بيع نمايد به نقد، در صورت عدم احتمال </w:t>
      </w:r>
      <w:bookmarkStart w:id="1941" w:name="pg10256_89654"/>
    </w:p>
    <w:p>
      <w:pPr>
        <w:pStyle w:val="BookText"/>
        <w:rPr/>
      </w:pPr>
      <w:bookmarkEnd w:id="1941"/>
      <w:r>
        <w:rPr>
          <w:rFonts w:ascii="Amiri" w:hAnsi="Amiri" w:eastAsia="Amiri" w:cs="Amiri"/>
          <w:color w:val="111111"/>
          <w:sz w:val="28"/>
          <w:sz w:val="28"/>
          <w:szCs w:val="28"/>
          <w:rtl w:val="true"/>
          <w:lang w:bidi="ar-SA"/>
        </w:rPr>
        <w:t>خصوصيّت مانعه از فحوىٰ و اولويّت مفهومه به احتمال عقلايى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آن جارى است در توكيل در شراء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ثمنْ معيّن شد، اظهر جواز بيع به آن با زيادتى است؛ و احتمال خصوصيت به نحوى كه مقيّد به عدم زيادتى باشد، احتمال نادر است، به خلاف بيع به ازيد مقدارى بدون خصوصيّت تعيّن كه جايز نيست و اولويتْ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معيّن باشد مگر در مقدار، پس جواز بيع به ازيد،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به بيع حالّ نمود، جايز نيست بيع مؤجّل اگر چه به ازيد باشد مگر با فهم مساوات و عدم غرض و عدم تعيّن 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به بيع در سوقِ خاص كرد پس بيع كرد در غير آن، جايز است با عدم احتمال غرض غير طريقى، و جايز نيست با احتمال آن، مثل بُعد مسافت نقل به آن سوق يا حمل ثمن از آنجا، چه ثمنْ معيّن باشد مقدار آن يا حمل به ثمن المثل با اطلاق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به بيع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پس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با فهم مثاليّت، و جايز نيست با فهم خصوصيت، و با عدم علم، مبنى بر احتمال نادر و غالب است، و با تساوى احتمالها، احوط اقتصار بر مذكور در عبارت توكيل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به شراء به عين مالى كرد، جايز نيست شراء در ذمّه؛ و هم چنين در عكس، مگر با فهم عدم خصوصيت</w:t>
      </w:r>
      <w:r>
        <w:rPr>
          <w:rFonts w:eastAsia="IRNazanin" w:cs="IRNazanin"/>
          <w:color w:val="111111"/>
          <w:sz w:val="28"/>
          <w:szCs w:val="28"/>
          <w:rtl w:val="true"/>
          <w:lang w:bidi="fa-IR"/>
        </w:rPr>
        <w:t>.</w:t>
      </w:r>
    </w:p>
    <w:p>
      <w:pPr>
        <w:pStyle w:val="Heading4"/>
        <w:numPr>
          <w:ilvl w:val="3"/>
          <w:numId w:val="1"/>
        </w:numPr>
        <w:rPr/>
      </w:pPr>
      <w:bookmarkStart w:id="1942" w:name="__RefHeading___Toc3598961_1067777946"/>
      <w:bookmarkStart w:id="1943" w:name="_Toc801"/>
      <w:bookmarkEnd w:id="1942"/>
      <w:r>
        <w:rPr>
          <w:rtl w:val="true"/>
        </w:rPr>
        <w:t>مالكيّت موكّل در فرض بيع به مال او يا به قصد او</w:t>
      </w:r>
      <w:bookmarkEnd w:id="1943"/>
    </w:p>
    <w:p>
      <w:pPr>
        <w:pStyle w:val="BookText"/>
        <w:rPr/>
      </w:pPr>
      <w:r>
        <w:rPr>
          <w:rFonts w:ascii="IRNazanin" w:hAnsi="IRNazanin" w:eastAsia="IRNazanin"/>
          <w:color w:val="111111"/>
          <w:sz w:val="28"/>
          <w:sz w:val="28"/>
          <w:szCs w:val="28"/>
          <w:rtl w:val="true"/>
          <w:lang w:bidi="fa-IR"/>
        </w:rPr>
        <w:t>و اگر ابتياع نمود وكيل به عين مال موكّل يا به قصد او اگر چه شخصى نباشد، موكّلْ مالك مى شود نه وكيل، و لذا عمودين به سبب شراى وكيلْ منعتق نمى شوند بر وكيل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توكيل نمايد مسلمْ ذمّى را در اشتراى خمر يا خنزير، صحيح نيست اين توكيل به جهت عدم جواز مباشرت براى موكّل، پس مثل عدمِ جوازِ مباشرتِ فعل براى وكيل در ظاهر صحيح نيست</w:t>
      </w:r>
      <w:r>
        <w:rPr>
          <w:rFonts w:eastAsia="IRNazanin" w:cs="IRNazanin"/>
          <w:color w:val="111111"/>
          <w:sz w:val="28"/>
          <w:szCs w:val="28"/>
          <w:rtl w:val="true"/>
          <w:lang w:bidi="fa-IR"/>
        </w:rPr>
        <w:t xml:space="preserve">. </w:t>
      </w:r>
      <w:bookmarkStart w:id="1944" w:name="pg10256_89655"/>
    </w:p>
    <w:p>
      <w:pPr>
        <w:pStyle w:val="Heading4"/>
        <w:numPr>
          <w:ilvl w:val="3"/>
          <w:numId w:val="1"/>
        </w:numPr>
        <w:rPr/>
      </w:pPr>
      <w:bookmarkStart w:id="1945" w:name="__RefHeading___Toc3598963_1067777946"/>
      <w:bookmarkStart w:id="1946" w:name="_Toc802"/>
      <w:bookmarkEnd w:id="1944"/>
      <w:bookmarkEnd w:id="1945"/>
      <w:r>
        <w:rPr>
          <w:rtl w:val="true"/>
        </w:rPr>
        <w:t>حكم خريدى كه براى موكّل واقع نشود</w:t>
      </w:r>
      <w:bookmarkEnd w:id="1946"/>
    </w:p>
    <w:p>
      <w:pPr>
        <w:pStyle w:val="BookText"/>
        <w:rPr/>
      </w:pPr>
      <w:r>
        <w:rPr>
          <w:rFonts w:ascii="IRNazanin" w:hAnsi="IRNazanin" w:eastAsia="IRNazanin"/>
          <w:color w:val="111111"/>
          <w:sz w:val="28"/>
          <w:sz w:val="28"/>
          <w:szCs w:val="28"/>
          <w:rtl w:val="true"/>
          <w:lang w:bidi="fa-IR"/>
        </w:rPr>
        <w:t>در هر موردى كه شراى وكيل براى موكّل واقع نشود به جهت مخالفت عمديّه يا غير آن، پس اگر ذكر كرده باشد موكّل را، يا قرينه اى بر ارادۀ شراء براى غير بود، يا آنكه با عين مال موكّل بود، در واقع براى هيچ كدام واقع نشود، به جهت مخالفت با قصد براى وكيل، و انتفاى توكيل مصحّح معامله براى موكّل، و حكم فضولى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اماره اى بر ارادۀ غير نبوده و يا عين مال ثابت موكّل نبوده، پس در ظاهر حكم مى شود براى خود وكيل، مگر آنكه ثابت شود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ثبوت و حكم به وقوع شراء براى وكيل، پس حكم واقعى آن با عدم اجازۀ موكّل، معاملۀ جديده با بايع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نشد، مبيع را به عنوان مقاصّه بعد از تسليم ثمن اخذ مى نمايد، و اگر زيادتى قيمت از ثمن داشته باشد، ايصال زايد به عنوانى به بايع مى نمايد</w:t>
      </w:r>
      <w:r>
        <w:rPr>
          <w:rFonts w:eastAsia="IRNazanin" w:cs="IRNazanin"/>
          <w:color w:val="111111"/>
          <w:sz w:val="28"/>
          <w:szCs w:val="28"/>
          <w:rtl w:val="true"/>
          <w:lang w:bidi="fa-IR"/>
        </w:rPr>
        <w:t>.</w:t>
      </w:r>
    </w:p>
    <w:p>
      <w:pPr>
        <w:pStyle w:val="Heading4"/>
        <w:numPr>
          <w:ilvl w:val="3"/>
          <w:numId w:val="1"/>
        </w:numPr>
        <w:rPr/>
      </w:pPr>
      <w:bookmarkStart w:id="1947" w:name="__RefHeading___Toc3598965_1067777946"/>
      <w:bookmarkStart w:id="1948" w:name="_Toc803"/>
      <w:bookmarkEnd w:id="1947"/>
      <w:r>
        <w:rPr>
          <w:rtl w:val="true"/>
        </w:rPr>
        <w:t>خريد براى موكّل و عدم امكان اثبات آن</w:t>
      </w:r>
      <w:bookmarkEnd w:id="1948"/>
    </w:p>
    <w:p>
      <w:pPr>
        <w:pStyle w:val="BookText"/>
        <w:rPr/>
      </w:pPr>
      <w:r>
        <w:rPr>
          <w:rFonts w:ascii="IRNazanin" w:hAnsi="IRNazanin" w:eastAsia="IRNazanin"/>
          <w:color w:val="111111"/>
          <w:sz w:val="28"/>
          <w:sz w:val="28"/>
          <w:szCs w:val="28"/>
          <w:rtl w:val="true"/>
          <w:lang w:bidi="fa-IR"/>
        </w:rPr>
        <w:t>و اگر شراء با عينِ مال موكّل بود و لكن مذكور در عبارت معامله نبوده و قرينه اى بر آن نبود و نتوانست با بيّنه اثبات آن نمايد و بايعْ حلف بر نفى علم به آن ايقاع نمود، در ظاهر معامله براى مالك ثابت مى شود و وكيل اگر مفرط بوده تغريم مى شود براى موكّل اگر چه به اداى ازيد از قيمت مال او باشد، و خودش مبيع را به عنوان مقاصّه متملّك مى شود، يا آنكه آن را به موكّل مى دهد و زيادتى اگر باشد از مال خودش اداى به موكّل مى نمايد، و اگر در مبيع زيادتى باشد، ايصال به مالكِ زيادتى مى شود به هركدام و آن در واقعْ بايع است</w:t>
      </w:r>
      <w:r>
        <w:rPr>
          <w:rFonts w:eastAsia="IRNazanin" w:cs="IRNazanin"/>
          <w:color w:val="111111"/>
          <w:sz w:val="28"/>
          <w:szCs w:val="28"/>
          <w:rtl w:val="true"/>
          <w:lang w:bidi="fa-IR"/>
        </w:rPr>
        <w:t>.</w:t>
      </w:r>
    </w:p>
    <w:p>
      <w:pPr>
        <w:pStyle w:val="Heading4"/>
        <w:numPr>
          <w:ilvl w:val="3"/>
          <w:numId w:val="1"/>
        </w:numPr>
        <w:rPr/>
      </w:pPr>
      <w:bookmarkStart w:id="1949" w:name="__RefHeading___Toc3598967_1067777946"/>
      <w:bookmarkStart w:id="1950" w:name="_Toc804"/>
      <w:bookmarkEnd w:id="1949"/>
      <w:r>
        <w:rPr>
          <w:rtl w:val="true"/>
        </w:rPr>
        <w:t>تلفّظ به اسم موكّل و قصد معامله براى خود</w:t>
      </w:r>
      <w:bookmarkEnd w:id="195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تلفظ به اسم موكّل نمود در عبارت معامله و لكن قصد ايقاع آن براى خود وكيل نمود، در صورت عدم وقوع بر مال موكّل، پس حكم ظاهرى آن معامله، </w:t>
      </w:r>
      <w:bookmarkStart w:id="1951" w:name="pg10256_89656"/>
    </w:p>
    <w:p>
      <w:pPr>
        <w:pStyle w:val="BookText"/>
        <w:rPr/>
      </w:pPr>
      <w:bookmarkEnd w:id="1951"/>
      <w:r>
        <w:rPr>
          <w:rFonts w:ascii="IRNazanin" w:hAnsi="IRNazanin" w:eastAsia="IRNazanin"/>
          <w:color w:val="111111"/>
          <w:sz w:val="28"/>
          <w:sz w:val="28"/>
          <w:szCs w:val="28"/>
          <w:rtl w:val="true"/>
          <w:lang w:bidi="fa-IR"/>
        </w:rPr>
        <w:t>فضولى و به احكام آن محكوم است، و در واقع براى خود وكيل واقع شده و احكام واقعيّۀ آن را دارد، و بيع براى موكّل با عدم واقعيّت، مبطل آن نيست به اعتبار عدم قصد مذكور و عدم بيع به عنوان شخص وكيل، زيرا متعاملين، مقوّم معاوضات نيستند مگر با عنايتى و قرينۀ كاشفه از تقوّم معاملۀ شخصيّه به آنها يا تقييد معامله به نحوى كه تخلّف، موجب خيار فسخ بشود، به خلاف باب نكاح كه متناكحين به منزلۀ عوضين در معاوضه هستند در مقوّم بودن</w:t>
      </w:r>
      <w:r>
        <w:rPr>
          <w:rFonts w:eastAsia="IRNazanin" w:cs="IRNazanin"/>
          <w:color w:val="111111"/>
          <w:sz w:val="28"/>
          <w:szCs w:val="28"/>
          <w:rtl w:val="true"/>
          <w:lang w:bidi="fa-IR"/>
        </w:rPr>
        <w:t>.</w:t>
      </w:r>
    </w:p>
    <w:p>
      <w:pPr>
        <w:pStyle w:val="Heading4"/>
        <w:numPr>
          <w:ilvl w:val="3"/>
          <w:numId w:val="1"/>
        </w:numPr>
        <w:rPr/>
      </w:pPr>
      <w:bookmarkStart w:id="1952" w:name="__RefHeading___Toc3598969_1067777946"/>
      <w:bookmarkStart w:id="1953" w:name="_Toc805"/>
      <w:bookmarkEnd w:id="1952"/>
      <w:r>
        <w:rPr>
          <w:rtl w:val="true"/>
        </w:rPr>
        <w:t>اگر موكّل انكار وكالت نمايد</w:t>
      </w:r>
      <w:bookmarkEnd w:id="1953"/>
    </w:p>
    <w:p>
      <w:pPr>
        <w:pStyle w:val="BookText"/>
        <w:rPr/>
      </w:pPr>
      <w:r>
        <w:rPr>
          <w:rFonts w:ascii="IRNazanin" w:hAnsi="IRNazanin" w:eastAsia="IRNazanin"/>
          <w:color w:val="111111"/>
          <w:sz w:val="28"/>
          <w:sz w:val="28"/>
          <w:szCs w:val="28"/>
          <w:rtl w:val="true"/>
          <w:lang w:bidi="fa-IR"/>
        </w:rPr>
        <w:t>اگر موكّل انكار وكالت نمود و حلفْ ايقاع كرد، پس اگر وكيلْ كاذب باشد و اسمى از موكّل ياد نكرد و نيّت شراء براى او نكرد و شراء به مالى در ذمّه بود، پس ملك مبيع در ظاهر و باطن، براى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وكيلْ كاذب بوده در دعواى وكالت، پس شراى به عينِ مالِ غيرْ، باطل و فضولى است و احكام آن را دارد به حسب واقع، و حكم ظاهرى آن مستفاد از آنچه گذشت مى شود، و تفصيل علم بايع و عدم آن معلوم مى شود از بيانات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عينِ ثمن، ايصال به مالك نشد يا تلف شد، بدل آن را به مالك مى رساند و مبيع را به بايع و با آن استرجاع مى نمايد ثمن يا بدل آن را با تلف يا تعذر وصول به طور مصالحه، و اگر عين ثمن واصل شد، ايصال به مالك مى شود بدون ضمان چيزى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شراء به عين مال موكّل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به آن در عقد شد يا آنكه ثابت شد با بيّنه يا اعتراف بايع صادق، عقد فضولى است در ظاهر و براى موكّل است در باطن امر؛ پس اگر مالكْ رجوع در عين نمود از بايع، رجوع مى نمايد بايع و مبيع را استرجاع مى نمايد به عنوان تقاص؛ و اگر مالكْ رجوع به قيمت عين مال خودش از وكيل نمود به جهت امتناع استرجاع از بايع، وكيل مبيع را به عنوان تقاص مى گيرد و زيادتى را به مالك آن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عين ثمنْ تلف شده </w:t>
      </w:r>
      <w:bookmarkStart w:id="1954" w:name="pg10256_89657"/>
    </w:p>
    <w:p>
      <w:pPr>
        <w:pStyle w:val="BookText"/>
        <w:rPr/>
      </w:pPr>
      <w:bookmarkEnd w:id="1954"/>
      <w:r>
        <w:rPr>
          <w:rFonts w:ascii="IRNazanin" w:hAnsi="IRNazanin" w:eastAsia="IRNazanin"/>
          <w:color w:val="111111"/>
          <w:sz w:val="28"/>
          <w:sz w:val="28"/>
          <w:szCs w:val="28"/>
          <w:rtl w:val="true"/>
          <w:lang w:bidi="fa-IR"/>
        </w:rPr>
        <w:t>باشد، پس مخيّر است مالك بين رجوع بر بايع، و رجوع مى نمايد بايع به مبيع به عين آن به مقاصّه با رد زايد اگر باشد، يا به بدل مبيع با تلف آن به تفريط وكيل؛ و اگر بدون تفريطْ تلف شده، رجوع نمى نمايد، بلكه وكيلْ مظلومِ موكّل است به اعتقاد وكيل و 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مالك رجوع به وكيل نمود به بدل ثمن تالف، رجوع به بايع نمى نمايد در صورت تفريط وكيل و عدم آن كه صورت مظلوميّت او است</w:t>
      </w:r>
      <w:r>
        <w:rPr>
          <w:rFonts w:eastAsia="IRNazanin" w:cs="IRNazanin"/>
          <w:color w:val="111111"/>
          <w:sz w:val="28"/>
          <w:szCs w:val="28"/>
          <w:rtl w:val="true"/>
          <w:lang w:bidi="fa-IR"/>
        </w:rPr>
        <w:t>.</w:t>
      </w:r>
    </w:p>
    <w:p>
      <w:pPr>
        <w:pStyle w:val="Heading4"/>
        <w:numPr>
          <w:ilvl w:val="3"/>
          <w:numId w:val="1"/>
        </w:numPr>
        <w:rPr/>
      </w:pPr>
      <w:bookmarkStart w:id="1955" w:name="__RefHeading___Toc3598971_1067777946"/>
      <w:bookmarkStart w:id="1956" w:name="_Toc806"/>
      <w:bookmarkEnd w:id="1955"/>
      <w:r>
        <w:rPr>
          <w:rtl w:val="true"/>
        </w:rPr>
        <w:t>ادّعاى جهل بايع به اينكه ثمن مال موكّل بوده</w:t>
      </w:r>
      <w:bookmarkEnd w:id="1956"/>
    </w:p>
    <w:p>
      <w:pPr>
        <w:pStyle w:val="BookText"/>
        <w:rPr/>
      </w:pPr>
      <w:r>
        <w:rPr>
          <w:rFonts w:ascii="IRNazanin" w:hAnsi="IRNazanin" w:eastAsia="IRNazanin"/>
          <w:color w:val="111111"/>
          <w:sz w:val="28"/>
          <w:sz w:val="28"/>
          <w:szCs w:val="28"/>
          <w:rtl w:val="true"/>
          <w:lang w:bidi="fa-IR"/>
        </w:rPr>
        <w:t>و اگر بايع ادّعاى نفى علم نمود بر اينكه ثمنْ مال موكّل بوده و حلف بر آن ايقاع نمود اگر ادّعاى علم بر او شد، و موكّل در عقدْ مذكور نبوده و بر آن بيّنه اى نبود، دفع به موكّل لازم نيست، بلكه وكيل غرامت مى نمايد براى مالك و مى گيرد عين مبيع را به قصاص</w:t>
      </w:r>
      <w:r>
        <w:rPr>
          <w:rFonts w:eastAsia="IRNazanin" w:cs="IRNazanin"/>
          <w:color w:val="111111"/>
          <w:sz w:val="28"/>
          <w:szCs w:val="28"/>
          <w:rtl w:val="true"/>
          <w:lang w:bidi="fa-IR"/>
        </w:rPr>
        <w:t>.</w:t>
      </w:r>
    </w:p>
    <w:p>
      <w:pPr>
        <w:pStyle w:val="Heading4"/>
        <w:numPr>
          <w:ilvl w:val="3"/>
          <w:numId w:val="1"/>
        </w:numPr>
        <w:rPr/>
      </w:pPr>
      <w:bookmarkStart w:id="1957" w:name="__RefHeading___Toc3598973_1067777946"/>
      <w:bookmarkStart w:id="1958" w:name="_Toc807"/>
      <w:bookmarkEnd w:id="1957"/>
      <w:r>
        <w:rPr>
          <w:rtl w:val="true"/>
        </w:rPr>
        <w:t>صور مختلف قصد و ذكر مالك و عدم آن در معامله</w:t>
      </w:r>
      <w:bookmarkEnd w:id="1958"/>
    </w:p>
    <w:p>
      <w:pPr>
        <w:pStyle w:val="BookText"/>
        <w:rPr/>
      </w:pPr>
      <w:r>
        <w:rPr>
          <w:rFonts w:ascii="IRNazanin" w:hAnsi="IRNazanin" w:eastAsia="IRNazanin"/>
          <w:color w:val="111111"/>
          <w:sz w:val="28"/>
          <w:sz w:val="28"/>
          <w:szCs w:val="28"/>
          <w:rtl w:val="true"/>
          <w:lang w:bidi="fa-IR"/>
        </w:rPr>
        <w:t>و اگر شراء در ذمّه باشد، و در لفظ و به حسب نيتْ موكِّلْ مذكور بود، پس با صادق بودن در ادّعاى وكالت، در باطنْ شراء براى موكِّل است لكن به حسب محكوميّت در ظاهرْ باطل است و فضولى، و با عدم اجازه، به عنوان مقاصه يا به نحو ديگرى مبيع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لفظْ مذكور نبوده و منوىّ او هم نبوده، شراء براى وكيل واقع مى شود در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صادق نبوده و در لفظْ موكّل را ذكر كرده و نيّت او را هم كرده، بيع باطل است با عدم اجازۀ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لفظ، موكّل را ذكر كرده لكن نيّت خودش را كرده، در باطن معامله براى خودش صحيح است و در ظاهر محكوم به بطلان و فضولى بودن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فقط در نيّت موكّل را آورد، متاع در باطن، مال بايع است و بايد به معامله اى آن را منتقل به خود مدّعى وكالت بنمايد با ثمن كه تأديه شده است اگر باقى باشد؛ </w:t>
      </w:r>
      <w:bookmarkStart w:id="1959" w:name="pg10256_89658"/>
    </w:p>
    <w:p>
      <w:pPr>
        <w:pStyle w:val="BookText"/>
        <w:rPr/>
      </w:pPr>
      <w:bookmarkEnd w:id="1959"/>
      <w:r>
        <w:rPr>
          <w:rFonts w:ascii="IRNazanin" w:hAnsi="IRNazanin" w:eastAsia="IRNazanin"/>
          <w:color w:val="111111"/>
          <w:sz w:val="28"/>
          <w:sz w:val="28"/>
          <w:szCs w:val="28"/>
          <w:rtl w:val="true"/>
          <w:lang w:bidi="fa-IR"/>
        </w:rPr>
        <w:t>وگرنه دفع مبيع مى نمايد و استرداد بدل ثمن تالف مى نمايد بنا بر ضمان او اگر در ظاهر معامله براى وكيل نباشد و به آن محكوم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متخلّص مى شود مدّعى وكالت در شراء در ذمۀ غير كه منكر است، از او، به اينكه موكِّل مفروض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ملك من است، به شما فروختم به مقدار ثمن كه در ذمۀ او قرار داده شده و تأديه شده، يا آنكه اذن در تأديه بدهد، و بعد تقاصّ نمايند ما فى الذمۀ همديگر را؛ و از بايع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باقى در ملك من است فروختم به مدّعى وكالت به مقدار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تأديه شده يا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موكّلِ مفروض، امتناع از بيع مذكور براى تخلّص نمود، جايز است براى تخلّص احتياطى، آن را از حاكم شرع اشتراء نمايد به قيمت آن؛ و زيادتى اگر باشد، به موكّل به نحوى ايصال نمايد از عين مال بعد از معاملۀ بعض آن به قيمت ثمن در معاملۀ اولى؛ و كمى اگر باشد نسبت به ثمن در معاملۀ اوّل، از مال ديگر موكّل مقاصّه نمايد در صورت صدق او در دعواى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طريقهاى مذكوره احتياط است، نه تكليف، كه مستفاد از آنچه گذشت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جايز است در صورت امتناع موكّل، خود وكيل استيفا نمايد عوض ثمن تأديه شده را از مبيع، و زيادتى آن را در قيمت از قيمت به موكّل ايصال نمايد، و كمى آن را از مالِ ديگرِ موكّل مقاصه نمايد، لكن اگر معلوم شد، محكوم است در ظاهر شرع چنانچه گذشت، و احتياط در استيذان از حاكم است</w:t>
      </w:r>
      <w:r>
        <w:rPr>
          <w:rFonts w:eastAsia="IRNazanin" w:cs="IRNazanin"/>
          <w:color w:val="111111"/>
          <w:sz w:val="28"/>
          <w:szCs w:val="28"/>
          <w:rtl w:val="true"/>
          <w:lang w:bidi="fa-IR"/>
        </w:rPr>
        <w:t>.</w:t>
      </w:r>
    </w:p>
    <w:p>
      <w:pPr>
        <w:pStyle w:val="Heading4"/>
        <w:numPr>
          <w:ilvl w:val="3"/>
          <w:numId w:val="1"/>
        </w:numPr>
        <w:rPr/>
      </w:pPr>
      <w:bookmarkStart w:id="1960" w:name="__RefHeading___Toc3598975_1067777946"/>
      <w:bookmarkStart w:id="1961" w:name="_Toc808"/>
      <w:bookmarkEnd w:id="1960"/>
      <w:r>
        <w:rPr>
          <w:rtl w:val="true"/>
        </w:rPr>
        <w:t>توكيل دو نفر</w:t>
      </w:r>
      <w:bookmarkEnd w:id="1961"/>
    </w:p>
    <w:p>
      <w:pPr>
        <w:pStyle w:val="BookText"/>
        <w:rPr/>
      </w:pPr>
      <w:r>
        <w:rPr>
          <w:rFonts w:ascii="IRNazanin" w:hAnsi="IRNazanin" w:eastAsia="IRNazanin"/>
          <w:color w:val="111111"/>
          <w:sz w:val="28"/>
          <w:sz w:val="28"/>
          <w:szCs w:val="28"/>
          <w:rtl w:val="true"/>
          <w:lang w:bidi="fa-IR"/>
        </w:rPr>
        <w:t>اگر دو نفر را وكيل كرد، پس اگر شرطِ اجتماع نمود يا آنكه از قراين مفهوم شد يا آنكه آنها مانع از انعقاد اطلاق به سبب انصراف شدند، نمى توانند هيچ كدام منفرد به تصرّف باشند؛ به خلاف صورت تصريح به انفراد و استقلال هر يك، بلكه صورت اطلاق بى مانع بنابر اظهر، مثل صورت وقوع دو توكيل به نحو تعاقب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اشتراط اجتماع يا عدم اطلاق، به موتِ يكى، وكالت باطل </w:t>
      </w:r>
      <w:bookmarkStart w:id="1962" w:name="pg10256_89659"/>
    </w:p>
    <w:p>
      <w:pPr>
        <w:pStyle w:val="BookText"/>
        <w:rPr/>
      </w:pPr>
      <w:bookmarkEnd w:id="1962"/>
      <w:r>
        <w:rPr>
          <w:rFonts w:ascii="IRNazanin" w:hAnsi="IRNazanin" w:eastAsia="IRNazanin"/>
          <w:color w:val="111111"/>
          <w:sz w:val="28"/>
          <w:sz w:val="28"/>
          <w:szCs w:val="28"/>
          <w:rtl w:val="true"/>
          <w:lang w:bidi="fa-IR"/>
        </w:rPr>
        <w:t>مى شود؛ و هم چنين به موت ضميمه در صورت اشتراط در يكى فقط، نه در عكس اين صورت، به خلاف صورت فهم انفراد كه دو وكالت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شرط اجتماع و موت وكيلِ مشروط عليه، براى حاكم نيست تعيين امينى براى ضميمه؛ چنانچه براى او نيست تعيين كسى كه نايب منفرد باشد بعد از فوت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شرط اجتماع يا عدم اطلاق به انفراد، كافى است صدور عقد واحد به نظر و اذن هر دو به مباشرت يكى از آنها يا ثالثى، و لازم نيست اجراى صيغه به مباشرت دو نفر با تقارن زمان انتهاى قبول آن دو 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شرط انفراد يا فهم آن از اطلاق، واجب نيست بر منفرد در وكالتْ رعايت نظر وكيل ديگر، اگر چه جايز است اگر منعى از آن در توكيل نشود</w:t>
      </w:r>
      <w:r>
        <w:rPr>
          <w:rFonts w:eastAsia="IRNazanin" w:cs="IRNazanin"/>
          <w:color w:val="111111"/>
          <w:sz w:val="28"/>
          <w:szCs w:val="28"/>
          <w:rtl w:val="true"/>
          <w:lang w:bidi="fa-IR"/>
        </w:rPr>
        <w:t>.</w:t>
      </w:r>
    </w:p>
    <w:p>
      <w:pPr>
        <w:pStyle w:val="Heading4"/>
        <w:numPr>
          <w:ilvl w:val="3"/>
          <w:numId w:val="1"/>
        </w:numPr>
        <w:rPr/>
      </w:pPr>
      <w:bookmarkStart w:id="1963" w:name="__RefHeading___Toc3598977_1067777946"/>
      <w:bookmarkStart w:id="1964" w:name="_Toc809"/>
      <w:bookmarkEnd w:id="1963"/>
      <w:r>
        <w:rPr>
          <w:rtl w:val="true"/>
        </w:rPr>
        <w:t>وكالت از طرف دو نفر يا يكى با اصالت خودش</w:t>
      </w:r>
      <w:bookmarkEnd w:id="1964"/>
    </w:p>
    <w:p>
      <w:pPr>
        <w:pStyle w:val="BookText"/>
        <w:rPr/>
      </w:pPr>
      <w:r>
        <w:rPr>
          <w:rFonts w:ascii="IRNazanin" w:hAnsi="IRNazanin" w:eastAsia="IRNazanin"/>
          <w:color w:val="111111"/>
          <w:sz w:val="28"/>
          <w:sz w:val="28"/>
          <w:szCs w:val="28"/>
          <w:rtl w:val="true"/>
          <w:lang w:bidi="fa-IR"/>
        </w:rPr>
        <w:t>جايز است وكالت واحد از دو نفر اگر چه در خصومت باشد اگر چه منتهى به اخذ حق يكى براى ديگرى بعد از اثبات حق براى يكى بر ديگرى باشد، بعد از تصريح يا اطلاق دو توكيل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وكالت يكى از متعاقدين؛ و از يكى از آنها با اصالت خودش؛ و در استيفاى قصاص از غير و از نفس؛ و اقامه و اخذ دَين، آنچه ممكن باشد مباشرت آن براى وكيل</w:t>
      </w:r>
      <w:r>
        <w:rPr>
          <w:rFonts w:eastAsia="IRNazanin" w:cs="IRNazanin"/>
          <w:color w:val="111111"/>
          <w:sz w:val="28"/>
          <w:szCs w:val="28"/>
          <w:rtl w:val="true"/>
          <w:lang w:bidi="fa-IR"/>
        </w:rPr>
        <w:t>.</w:t>
      </w:r>
    </w:p>
    <w:p>
      <w:pPr>
        <w:pStyle w:val="Heading4"/>
        <w:numPr>
          <w:ilvl w:val="3"/>
          <w:numId w:val="1"/>
        </w:numPr>
        <w:rPr/>
      </w:pPr>
      <w:bookmarkStart w:id="1965" w:name="__RefHeading___Toc3598979_1067777946"/>
      <w:bookmarkStart w:id="1966" w:name="_Toc810"/>
      <w:bookmarkEnd w:id="1965"/>
      <w:r>
        <w:rPr>
          <w:rtl w:val="true"/>
        </w:rPr>
        <w:t>حكم بقاى توكيل زوجه يا عبد بعد از طلاق و عتق</w:t>
      </w:r>
      <w:bookmarkEnd w:id="196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توكيل كرد زوجه يا عبدِ خود را يا عبد غير خودش را پس طلاق داد زوجه را و عتق شد عبد يا فروخته شد به غير، پس توكيل باطل نمى شود اگر چه بقاى وكالت به حكم حدوث آن باشد در اعتبار اذن صاحب آن، به جهت عدم بطلان احداث وكالت براى غير زن خودش و براى عبد و مملوك غير خودش بدون اذن مالك اذن يعنى زوج 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بطلان است در صورت منع از احداث وكالت بدون اذن زوج و مالك</w:t>
      </w:r>
      <w:r>
        <w:rPr>
          <w:rFonts w:eastAsia="IRNazanin" w:cs="IRNazanin"/>
          <w:color w:val="111111"/>
          <w:sz w:val="28"/>
          <w:szCs w:val="28"/>
          <w:rtl w:val="true"/>
          <w:lang w:bidi="fa-IR"/>
        </w:rPr>
        <w:t xml:space="preserve">. </w:t>
      </w:r>
      <w:bookmarkStart w:id="1967" w:name="pg10256_89660"/>
    </w:p>
    <w:p>
      <w:pPr>
        <w:pStyle w:val="BookText"/>
        <w:rPr/>
      </w:pPr>
      <w:bookmarkEnd w:id="1967"/>
      <w:r>
        <w:rPr>
          <w:rFonts w:ascii="IRNazanin" w:hAnsi="IRNazanin" w:eastAsia="IRNazanin"/>
          <w:color w:val="111111"/>
          <w:sz w:val="28"/>
          <w:sz w:val="28"/>
          <w:szCs w:val="28"/>
          <w:rtl w:val="true"/>
          <w:lang w:bidi="fa-IR"/>
        </w:rPr>
        <w:t>و بنابر بقاى وكالت، تصرّفات وكيل نافذ است بر موكّل اگر چه جايز است فسخ عقد براى هر يك از موكّل و 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توكيلِ عبد خود يا عبدِ غير كرد، و قبول از مالك بود نه از مملوك، مشكل است بقاى وكالت با عتق يا بيع مگر با اجازۀ لاحقه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اجازۀ طبقۀ تاليۀ موقوف عليهم اجارۀ طبقۀ سابقۀ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تجديد توكيل و قبول آن به نحو احتياط، و گذشت بيان وجه صحّت تصرّف با نهى مالك از تصرّف عقدى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در صورت بيع عبد بعد از وكالت به غير نيست بين اشتراى غير موكّل مالك يا اشتراى موكّلْ آن را از غير كه مالك بوده</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3598981_1067777946"/>
      <w:bookmarkStart w:id="1969" w:name="_Toc811"/>
      <w:bookmarkEnd w:id="1968"/>
      <w:r>
        <w:rPr>
          <w:rtl w:val="true"/>
        </w:rPr>
        <w:t>حكم بقاى اذن در تصرّف بعد از طلاق و عتق</w:t>
      </w:r>
      <w:bookmarkEnd w:id="1969"/>
    </w:p>
    <w:p>
      <w:pPr>
        <w:pStyle w:val="BookText"/>
        <w:rPr/>
      </w:pPr>
      <w:r>
        <w:rPr>
          <w:rFonts w:ascii="IRNazanin" w:hAnsi="IRNazanin" w:eastAsia="IRNazanin"/>
          <w:color w:val="111111"/>
          <w:sz w:val="28"/>
          <w:sz w:val="28"/>
          <w:szCs w:val="28"/>
          <w:rtl w:val="true"/>
          <w:lang w:bidi="fa-IR"/>
        </w:rPr>
        <w:t>اگر اذن براى زوجه و مملوك در تصرّف داد بعد عتق كرد يا بيع نمود يا طلاق داد، پس بقاى اذن در عمل به نحو مجّانيّت در صورت عدم توهم منّت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زوجه اگر اذن در عمل به اجرت المثل بوده از براى عمل نه عمل زوجه، اظهر بقاى اذن است به نحو قبل از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مورد اگر قرينه اى بر تقيّد اذن باشد، متّبع است و هم اگر مانع از اطلاق اذن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بين اذن و توكيل است در حيثيّت شك در تقييد كه مدفوع است به اطلاق تعبير معتبر تا آنكه مقيِّد يا مانع از اطلاق مثل انصراف برسد</w:t>
      </w:r>
      <w:r>
        <w:rPr>
          <w:rFonts w:eastAsia="IRNazanin" w:cs="IRNazanin"/>
          <w:color w:val="111111"/>
          <w:sz w:val="28"/>
          <w:szCs w:val="28"/>
          <w:rtl w:val="true"/>
          <w:lang w:bidi="fa-IR"/>
        </w:rPr>
        <w:t>.</w:t>
      </w:r>
    </w:p>
    <w:p>
      <w:pPr>
        <w:pStyle w:val="Heading4"/>
        <w:numPr>
          <w:ilvl w:val="3"/>
          <w:numId w:val="1"/>
        </w:numPr>
        <w:rPr/>
      </w:pPr>
      <w:bookmarkStart w:id="1970" w:name="__RefHeading___Toc3598983_1067777946"/>
      <w:bookmarkStart w:id="1971" w:name="_Toc812"/>
      <w:bookmarkEnd w:id="1970"/>
      <w:r>
        <w:rPr>
          <w:rtl w:val="true"/>
        </w:rPr>
        <w:t>عدم ملازمۀ توكيل در حكومت با اذن در قبض و عكس</w:t>
      </w:r>
      <w:bookmarkEnd w:id="1971"/>
    </w:p>
    <w:p>
      <w:pPr>
        <w:pStyle w:val="BookText"/>
        <w:rPr/>
      </w:pPr>
      <w:r>
        <w:rPr>
          <w:rFonts w:ascii="IRNazanin" w:hAnsi="IRNazanin" w:eastAsia="IRNazanin"/>
          <w:color w:val="111111"/>
          <w:sz w:val="28"/>
          <w:sz w:val="28"/>
          <w:szCs w:val="28"/>
          <w:rtl w:val="true"/>
          <w:lang w:bidi="fa-IR"/>
        </w:rPr>
        <w:t>توكيل در حكومت، اذن در قبض حق نيست، و توكيل در قبض حق، اذن در محاكمه بعد از انكار غريم نيست، مگر با قراين كه اقتضاى تعدّى از خصوصيت نمايد</w:t>
      </w:r>
      <w:r>
        <w:rPr>
          <w:rFonts w:eastAsia="IRNazanin" w:cs="IRNazanin"/>
          <w:color w:val="111111"/>
          <w:sz w:val="28"/>
          <w:szCs w:val="28"/>
          <w:rtl w:val="true"/>
          <w:lang w:bidi="fa-IR"/>
        </w:rPr>
        <w:t>.</w:t>
      </w:r>
    </w:p>
    <w:p>
      <w:pPr>
        <w:pStyle w:val="Heading4"/>
        <w:numPr>
          <w:ilvl w:val="3"/>
          <w:numId w:val="1"/>
        </w:numPr>
        <w:rPr/>
      </w:pPr>
      <w:bookmarkStart w:id="1972" w:name="__RefHeading___Toc3598985_1067777946"/>
      <w:bookmarkStart w:id="1973" w:name="_Toc813"/>
      <w:bookmarkEnd w:id="1972"/>
      <w:r>
        <w:rPr>
          <w:rtl w:val="true"/>
        </w:rPr>
        <w:t>توكيل در قبض حق از شخص معيّن</w:t>
      </w:r>
      <w:bookmarkEnd w:id="197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توكيل كرد در قبض حق خودش از زيد، پس وفات كرد زيد، نمى تواند از وارث او مطالبه نمايد، به خلاف وصى او در اداى حقوق مگر با قرينۀ مانعه</w:t>
      </w:r>
      <w:r>
        <w:rPr>
          <w:rFonts w:eastAsia="IRNazanin" w:cs="IRNazanin"/>
          <w:color w:val="111111"/>
          <w:sz w:val="28"/>
          <w:szCs w:val="28"/>
          <w:rtl w:val="true"/>
          <w:lang w:bidi="fa-IR"/>
        </w:rPr>
        <w:t xml:space="preserve">. </w:t>
      </w:r>
      <w:bookmarkStart w:id="1974" w:name="pg10256_89661"/>
    </w:p>
    <w:p>
      <w:pPr>
        <w:pStyle w:val="BookText"/>
        <w:rPr/>
      </w:pPr>
      <w:bookmarkEnd w:id="1974"/>
      <w:r>
        <w:rPr>
          <w:rFonts w:ascii="IRNazanin" w:hAnsi="IRNazanin" w:eastAsia="IRNazanin"/>
          <w:color w:val="111111"/>
          <w:sz w:val="28"/>
          <w:sz w:val="28"/>
          <w:szCs w:val="28"/>
          <w:rtl w:val="true"/>
          <w:lang w:bidi="fa-IR"/>
        </w:rPr>
        <w:t>و اگر توكيل كرد در قبضِ حق خودش بر فلان، پس وارث و وصىِ غير وارث داخل است؛ بلكه قبض از متبرّع، داخل در قبض به وكالت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قبض از وكيل در حال حيات مديون، قبض از موكّل است با عدم قرينه بر خلاف در توكيل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توكيل در بيع فاسد، در واقع صحيح نيست و توكيلِ در غير مشروع است و بيع صحيح، متعلّق وكالت نيست؛ و در حكم واقعى، فرقى بين علم هر دو به فساد و جهل هر دو يا اختلاف آنها در علم نيست</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3598987_1067777946"/>
      <w:bookmarkStart w:id="1976" w:name="_Toc814"/>
      <w:bookmarkEnd w:id="1975"/>
      <w:r>
        <w:rPr>
          <w:rtl w:val="true"/>
        </w:rPr>
        <w:t>عدم ملازمۀ توكيل در خريد معيب با توكيل در خريد صحيح</w:t>
      </w:r>
      <w:bookmarkEnd w:id="1976"/>
    </w:p>
    <w:p>
      <w:pPr>
        <w:pStyle w:val="BookText"/>
        <w:rPr/>
      </w:pPr>
      <w:r>
        <w:rPr>
          <w:rFonts w:ascii="Amiri" w:hAnsi="Amiri" w:eastAsia="Amiri" w:cs="Amiri"/>
          <w:color w:val="111111"/>
          <w:sz w:val="28"/>
          <w:sz w:val="28"/>
          <w:szCs w:val="28"/>
          <w:rtl w:val="true"/>
          <w:lang w:bidi="ar-SA"/>
        </w:rPr>
        <w:t>و توكيل در شراى معيب، صحيح است و مستلزم توكيل در شراء صحيح نيست</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3598989_1067777946"/>
      <w:bookmarkStart w:id="1978" w:name="_Toc815"/>
      <w:bookmarkEnd w:id="1977"/>
      <w:r>
        <w:rPr>
          <w:rtl w:val="true"/>
        </w:rPr>
        <w:t>استحقاق اجرت و جُعْل در وكالت</w:t>
      </w:r>
      <w:bookmarkEnd w:id="1978"/>
    </w:p>
    <w:p>
      <w:pPr>
        <w:pStyle w:val="BookText"/>
        <w:rPr/>
      </w:pPr>
      <w:r>
        <w:rPr>
          <w:rFonts w:ascii="IRNazanin" w:hAnsi="IRNazanin" w:eastAsia="IRNazanin"/>
          <w:color w:val="111111"/>
          <w:sz w:val="28"/>
          <w:sz w:val="28"/>
          <w:szCs w:val="28"/>
          <w:rtl w:val="true"/>
          <w:lang w:bidi="fa-IR"/>
        </w:rPr>
        <w:t>توكيل، مى شود با جُعل باشد و بدون آن؛ پس اگر با جُعل شد، بايد استظهار از عبارتِ توكيل بشود تشخيص آنچه متعلق وكالت است، مثل بيع و شراء، يا آنها با لوازم عرفيّه و شرعيّۀ آنها، و خصومت يا با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اوّلى استظهار شد، به مجرّد معامله يا ايقاع حكم و قضا به سبب مقدمات آن از جانب وكيل، استحقاق جعل و اجرت دارد، به خلاف قسم دوّم كه استحقاق آن به تسليم ثمن يا مثمن و يا حق ثابت شده به سبب حكم است</w:t>
      </w:r>
      <w:r>
        <w:rPr>
          <w:rFonts w:eastAsia="IRNazanin" w:cs="IRNazanin"/>
          <w:color w:val="111111"/>
          <w:sz w:val="28"/>
          <w:szCs w:val="28"/>
          <w:rtl w:val="true"/>
          <w:lang w:bidi="fa-IR"/>
        </w:rPr>
        <w:t>.</w:t>
      </w:r>
    </w:p>
    <w:p>
      <w:pPr>
        <w:pStyle w:val="Heading4"/>
        <w:numPr>
          <w:ilvl w:val="3"/>
          <w:numId w:val="1"/>
        </w:numPr>
        <w:rPr/>
      </w:pPr>
      <w:bookmarkStart w:id="1979" w:name="__RefHeading___Toc3598991_1067777946"/>
      <w:bookmarkStart w:id="1980" w:name="_Toc816"/>
      <w:bookmarkEnd w:id="1979"/>
      <w:r>
        <w:rPr>
          <w:rtl w:val="true"/>
        </w:rPr>
        <w:t>انحاى استيفاى دين توسّط وكيل</w:t>
      </w:r>
      <w:bookmarkEnd w:id="198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وكيل در استيفاى 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نمود و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اين دراهم را و اداى نما با آن دين موكّلت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وكيل در استيفا، وكيل در وفاى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تا ادا نكرده به موكّل، دراهمِ در دست وكيل،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ادا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استرداد آن را دارد؛ و اگر تلف شد، برائت ذمۀ زيد حاصل نشده است؛ به خلاف آنكه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آنها را از حقى كه موكّل تو بر 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w:t>
      </w:r>
      <w:bookmarkStart w:id="1981" w:name="pg10256_89662"/>
    </w:p>
    <w:p>
      <w:pPr>
        <w:pStyle w:val="BookText"/>
        <w:rPr/>
      </w:pPr>
      <w:bookmarkEnd w:id="1981"/>
      <w:r>
        <w:rPr>
          <w:rFonts w:ascii="Amiri" w:hAnsi="Amiri" w:eastAsia="Amiri" w:cs="Amiri"/>
          <w:color w:val="111111"/>
          <w:sz w:val="28"/>
          <w:sz w:val="28"/>
          <w:szCs w:val="28"/>
          <w:rtl w:val="true"/>
          <w:lang w:bidi="ar-SA"/>
        </w:rPr>
        <w:t xml:space="preserve">مجرّد قبض وكيل براى موكّل، برائت ذمّه حاصل 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استرداد آن را ندارد</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3598993_1067777946"/>
      <w:bookmarkStart w:id="1983" w:name="_Toc817"/>
      <w:bookmarkEnd w:id="1982"/>
      <w:r>
        <w:rPr>
          <w:rtl w:val="true"/>
        </w:rPr>
        <w:t>امين بودن وكيل و عدم بطلان وكالت با فرض ضمان در تقدير تلف</w:t>
      </w:r>
      <w:bookmarkEnd w:id="1983"/>
    </w:p>
    <w:p>
      <w:pPr>
        <w:pStyle w:val="BookText"/>
        <w:rPr/>
      </w:pPr>
      <w:r>
        <w:rPr>
          <w:rFonts w:ascii="IRNazanin" w:hAnsi="IRNazanin" w:eastAsia="IRNazanin"/>
          <w:color w:val="111111"/>
          <w:sz w:val="28"/>
          <w:sz w:val="28"/>
          <w:szCs w:val="28"/>
          <w:rtl w:val="true"/>
          <w:lang w:bidi="fa-IR"/>
        </w:rPr>
        <w:t>وكيل امين است و ضامن مال موكّل نيست مگر با تعدّى و تفريط و اتلاف مباشرى يا تسبيبى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ضمان بر تقدير تلف، وكالت باطل نمى شود؛ پس اگر وكيل در بيع بود و بعد از تفريط و عدم تلف، بيع نمود آن را، بيع صحيح است و پس از تسليم به مشترى، برىء از ضمان مى شود</w:t>
      </w:r>
      <w:r>
        <w:rPr>
          <w:rFonts w:eastAsia="IRNazanin" w:cs="IRNazanin"/>
          <w:color w:val="111111"/>
          <w:sz w:val="28"/>
          <w:szCs w:val="28"/>
          <w:rtl w:val="true"/>
          <w:lang w:bidi="fa-IR"/>
        </w:rPr>
        <w:t>.</w:t>
      </w:r>
    </w:p>
    <w:p>
      <w:pPr>
        <w:pStyle w:val="Heading4"/>
        <w:numPr>
          <w:ilvl w:val="3"/>
          <w:numId w:val="1"/>
        </w:numPr>
        <w:rPr/>
      </w:pPr>
      <w:bookmarkStart w:id="1984" w:name="__RefHeading___Toc3598995_1067777946"/>
      <w:bookmarkStart w:id="1985" w:name="_Toc818"/>
      <w:bookmarkEnd w:id="1984"/>
      <w:r>
        <w:rPr>
          <w:rtl w:val="true"/>
        </w:rPr>
        <w:t>حكم ضمان در وكيل در ايداع و يا در قضاى دين</w:t>
      </w:r>
      <w:bookmarkEnd w:id="1985"/>
    </w:p>
    <w:p>
      <w:pPr>
        <w:pStyle w:val="BookText"/>
        <w:rPr/>
      </w:pPr>
      <w:r>
        <w:rPr>
          <w:rFonts w:ascii="IRNazanin" w:hAnsi="IRNazanin" w:eastAsia="IRNazanin"/>
          <w:color w:val="111111"/>
          <w:sz w:val="28"/>
          <w:sz w:val="28"/>
          <w:szCs w:val="28"/>
          <w:rtl w:val="true"/>
          <w:lang w:bidi="fa-IR"/>
        </w:rPr>
        <w:t>اگر وكيل در ايداع بود پس ايداع بدون اشهاد كرد پس انكار كرد مستودع آن را، وكيل ضامن نيست مگر آنكه وكالت در ايداع با اشهاد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وكالت در قضاى دين پس ادا كرد بدون اشهاد پس انكار كرد دائن ادا را</w:t>
      </w:r>
      <w:r>
        <w:rPr>
          <w:rFonts w:eastAsia="IRNazanin" w:cs="IRNazanin"/>
          <w:color w:val="111111"/>
          <w:sz w:val="28"/>
          <w:szCs w:val="28"/>
          <w:rtl w:val="true"/>
          <w:lang w:bidi="fa-IR"/>
        </w:rPr>
        <w:t>.</w:t>
      </w:r>
    </w:p>
    <w:p>
      <w:pPr>
        <w:pStyle w:val="Heading4"/>
        <w:numPr>
          <w:ilvl w:val="3"/>
          <w:numId w:val="1"/>
        </w:numPr>
        <w:rPr/>
      </w:pPr>
      <w:bookmarkStart w:id="1986" w:name="__RefHeading___Toc3598997_1067777946"/>
      <w:bookmarkStart w:id="1987" w:name="_Toc819"/>
      <w:bookmarkEnd w:id="1986"/>
      <w:r>
        <w:rPr>
          <w:rtl w:val="true"/>
        </w:rPr>
        <w:t>وكالت مطلق در بيع متاع</w:t>
      </w:r>
      <w:bookmarkEnd w:id="1987"/>
    </w:p>
    <w:p>
      <w:pPr>
        <w:pStyle w:val="BookText"/>
        <w:rPr/>
      </w:pPr>
      <w:r>
        <w:rPr>
          <w:rFonts w:ascii="IRNazanin" w:hAnsi="IRNazanin" w:eastAsia="IRNazanin"/>
          <w:color w:val="111111"/>
          <w:sz w:val="28"/>
          <w:sz w:val="28"/>
          <w:szCs w:val="28"/>
          <w:rtl w:val="true"/>
          <w:lang w:bidi="fa-IR"/>
        </w:rPr>
        <w:t>اگر وكيل در بيع متاعى بود بدون تقييد، جايز است وكيلْ خودش آن را از جانب موكّل خريدارى نمايد، مگر با قرينه اى يا انصراف مفيد عدم اطلاق يا مفيد تقييد</w:t>
      </w:r>
      <w:r>
        <w:rPr>
          <w:rFonts w:eastAsia="IRNazanin" w:cs="IRNazanin"/>
          <w:color w:val="111111"/>
          <w:sz w:val="28"/>
          <w:szCs w:val="28"/>
          <w:rtl w:val="true"/>
          <w:lang w:bidi="fa-IR"/>
        </w:rPr>
        <w:t>.</w:t>
      </w:r>
    </w:p>
    <w:p>
      <w:pPr>
        <w:pStyle w:val="Heading4"/>
        <w:numPr>
          <w:ilvl w:val="3"/>
          <w:numId w:val="1"/>
        </w:numPr>
        <w:rPr/>
      </w:pPr>
      <w:bookmarkStart w:id="1988" w:name="__RefHeading___Toc3598999_1067777946"/>
      <w:bookmarkStart w:id="1989" w:name="_Toc820"/>
      <w:bookmarkEnd w:id="1988"/>
      <w:r>
        <w:rPr>
          <w:rtl w:val="true"/>
        </w:rPr>
        <w:t>اختلاف وكيل و موكّل</w:t>
      </w:r>
      <w:bookmarkEnd w:id="1989"/>
    </w:p>
    <w:p>
      <w:pPr>
        <w:pStyle w:val="BookText"/>
        <w:rPr/>
      </w:pPr>
      <w:r>
        <w:rPr>
          <w:rFonts w:ascii="Amiri" w:hAnsi="Amiri" w:eastAsia="Amiri" w:cs="Amiri"/>
          <w:color w:val="111111"/>
          <w:sz w:val="28"/>
          <w:sz w:val="28"/>
          <w:szCs w:val="28"/>
          <w:rtl w:val="true"/>
          <w:lang w:bidi="ar-SA"/>
        </w:rPr>
        <w:t>در صورت اختلاف در وكالت، قول منكر وكالت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در اختلاف در اداى مال به موكّل؛ و هم چنين در اختلاف بين وصىّ و موصىٰ له در دفع مال؛ يا اختلاف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اب و 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مولّى عليه بعد از كمال در دفع مال به مولّى عليه بعد از كمال، به خلاف اختلاف در انفاق بر ايشان در زمان نقص كه قول ولىّ با يمين او مقدم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اختلاف در تلف و تفريط، قول وكيل مقدم است</w:t>
      </w:r>
      <w:r>
        <w:rPr>
          <w:rFonts w:eastAsia="Amiri" w:cs="Amiri" w:ascii="Amiri" w:hAnsi="Amiri"/>
          <w:color w:val="111111"/>
          <w:sz w:val="28"/>
          <w:szCs w:val="28"/>
          <w:rtl w:val="true"/>
          <w:lang w:bidi="ar-SA"/>
        </w:rPr>
        <w:t xml:space="preserve">. </w:t>
      </w:r>
      <w:bookmarkStart w:id="1990" w:name="pg10256_89663"/>
    </w:p>
    <w:p>
      <w:pPr>
        <w:pStyle w:val="Heading4"/>
        <w:numPr>
          <w:ilvl w:val="3"/>
          <w:numId w:val="1"/>
        </w:numPr>
        <w:rPr/>
      </w:pPr>
      <w:bookmarkStart w:id="1991" w:name="__RefHeading___Toc3599001_1067777946"/>
      <w:bookmarkStart w:id="1992" w:name="_Toc821"/>
      <w:bookmarkEnd w:id="1990"/>
      <w:bookmarkEnd w:id="1991"/>
      <w:r>
        <w:rPr>
          <w:rtl w:val="true"/>
        </w:rPr>
        <w:t>توكيل مديون در خريد و برائت ذمّۀ او</w:t>
      </w:r>
      <w:bookmarkEnd w:id="1992"/>
    </w:p>
    <w:p>
      <w:pPr>
        <w:pStyle w:val="BookText"/>
        <w:rPr/>
      </w:pPr>
      <w:r>
        <w:rPr>
          <w:rFonts w:ascii="IRNazanin" w:hAnsi="IRNazanin" w:eastAsia="IRNazanin"/>
          <w:color w:val="111111"/>
          <w:sz w:val="28"/>
          <w:sz w:val="28"/>
          <w:szCs w:val="28"/>
          <w:rtl w:val="true"/>
          <w:lang w:bidi="fa-IR"/>
        </w:rPr>
        <w:t>اگر دائن توكيل نمود مديون را كه با آن دَين متاعى خريدارى نمايد، مانعى ندارد توكيل؛ پس اگر به نفس آنچه در ذمۀ او است شراء نمايد، به نفس شراء، بايع، مالك ما فى الذمۀ او مى شود، و برىء از موكّل مى شود و از بايع برىء نمى شود مگر با تسليم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مماثل ما فى الذمه در قدر و جنس، شراء نمايد، پس برائت از موكّل، موقوف به تسليمِ به بايع است به عنوان تطبيق ما فى الذمه و كلى مبيع در فرد تسليم شده، و به آن برىء از هر دو مى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تعيين نمود قبل از شراء و با آن معيّن شراء نمود براى موكّل، اظهر صحّت و برائت است در صورت اذن در تملّك فرد از جانب موكّل و تمليك به بايع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استفادۀ اين اذن از توكيل، دور نيست در صورت محفوظيّت از خطر تلف ملك موكّل قبل از استقرار بيع و شراء</w:t>
      </w:r>
      <w:r>
        <w:rPr>
          <w:rFonts w:eastAsia="IRNazanin" w:cs="IRNazanin"/>
          <w:color w:val="111111"/>
          <w:sz w:val="28"/>
          <w:szCs w:val="28"/>
          <w:rtl w:val="true"/>
          <w:lang w:bidi="fa-IR"/>
        </w:rPr>
        <w:t xml:space="preserve">. </w:t>
      </w:r>
      <w:bookmarkStart w:id="1993" w:name="pg10256_89664"/>
    </w:p>
    <w:p>
      <w:pPr>
        <w:pStyle w:val="Heading3"/>
        <w:numPr>
          <w:ilvl w:val="2"/>
          <w:numId w:val="1"/>
        </w:numPr>
        <w:rPr/>
      </w:pPr>
      <w:bookmarkStart w:id="1994" w:name="__RefHeading___Toc3599003_1067777946"/>
      <w:bookmarkStart w:id="1995" w:name="_Toc822"/>
      <w:bookmarkEnd w:id="1993"/>
      <w:bookmarkEnd w:id="1994"/>
      <w:r>
        <w:rPr>
          <w:rtl w:val="true"/>
        </w:rPr>
        <w:t>فصل پنجم آنچه وكالت با آن ثابت مى شود</w:t>
      </w:r>
      <w:bookmarkEnd w:id="1995"/>
    </w:p>
    <w:p>
      <w:pPr>
        <w:pStyle w:val="Heading4"/>
        <w:numPr>
          <w:ilvl w:val="3"/>
          <w:numId w:val="1"/>
        </w:numPr>
        <w:rPr/>
      </w:pPr>
      <w:bookmarkStart w:id="1996" w:name="__RefHeading___Toc3599005_1067777946"/>
      <w:bookmarkStart w:id="1997" w:name="_Toc823"/>
      <w:bookmarkEnd w:id="1996"/>
      <w:r>
        <w:rPr>
          <w:rtl w:val="true"/>
        </w:rPr>
        <w:t>اشاره</w:t>
      </w:r>
      <w:bookmarkEnd w:id="1997"/>
    </w:p>
    <w:p>
      <w:pPr>
        <w:pStyle w:val="BookText"/>
        <w:rPr/>
      </w:pPr>
      <w:r>
        <w:rPr>
          <w:rFonts w:ascii="IRNazanin" w:hAnsi="IRNazanin" w:eastAsia="IRNazanin"/>
          <w:color w:val="111111"/>
          <w:sz w:val="28"/>
          <w:sz w:val="28"/>
          <w:szCs w:val="28"/>
          <w:rtl w:val="true"/>
          <w:lang w:bidi="fa-IR"/>
        </w:rPr>
        <w:t>ثابت نمى شود وكالت به مجرد ادّعاى وكيل اگر چه جايز باشد اخذ از يد او بدون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به موافقت غريم، ثابت نمى شود اگر چه مأخوذ به اقرار است، لكن بر موكّل شرعاً ثابت نمى شود وكالت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بيّنه كه دو شاهد عادل باشد،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استفاضه و شياع غيرِ مفيد علم،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ثبوت وكالت به غير دو مرد عادل، يعنى به شهادت زنها، يا يك مرد و دو زن، يا يك مرد با يمين مدّعى، تأمل است مگر متضمن مالى باشد كه ثابت باشد به شهادت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ثابت مى شود وكالت با تصديق موكّل در امور مربوطه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و به دو شاهد عادل كه متحد باشد مورد شهادت آنها اگر چه مختلف باشد زمان شهادت آنها و اگر چه حكمى از حاكم صادر نشده باشد بنابر اظهر</w:t>
      </w:r>
      <w:r>
        <w:rPr>
          <w:rFonts w:eastAsia="IRNazanin" w:cs="IRNazanin"/>
          <w:color w:val="111111"/>
          <w:sz w:val="28"/>
          <w:szCs w:val="28"/>
          <w:rtl w:val="true"/>
          <w:lang w:bidi="fa-IR"/>
        </w:rPr>
        <w:t>.</w:t>
      </w:r>
    </w:p>
    <w:p>
      <w:pPr>
        <w:pStyle w:val="Heading4"/>
        <w:numPr>
          <w:ilvl w:val="3"/>
          <w:numId w:val="1"/>
        </w:numPr>
        <w:rPr/>
      </w:pPr>
      <w:bookmarkStart w:id="1998" w:name="__RefHeading___Toc3599007_1067777946"/>
      <w:bookmarkStart w:id="1999" w:name="_Toc824"/>
      <w:bookmarkEnd w:id="1998"/>
      <w:r>
        <w:rPr>
          <w:rtl w:val="true"/>
        </w:rPr>
        <w:t>موارد اختلاف در شهادت بر وكالت</w:t>
      </w:r>
      <w:bookmarkEnd w:id="1999"/>
    </w:p>
    <w:p>
      <w:pPr>
        <w:pStyle w:val="BookText"/>
        <w:rPr/>
      </w:pPr>
      <w:r>
        <w:rPr>
          <w:rFonts w:ascii="IRNazanin" w:hAnsi="IRNazanin" w:eastAsia="IRNazanin"/>
          <w:color w:val="111111"/>
          <w:sz w:val="28"/>
          <w:sz w:val="28"/>
          <w:szCs w:val="28"/>
          <w:rtl w:val="true"/>
          <w:lang w:bidi="fa-IR"/>
        </w:rPr>
        <w:t xml:space="preserve">و اگر اختلاف در وقوع شهادت به عبارت عربى و اعجمى بود يا به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اگر مقصود آنها معنى باشد يا آنكه محتمل باشد تعدد توكيل و اختلاف آن يا تعدد توكيل و اقرار بر آن، قبول مى شود، وگرنه ثابت نمى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اختلاف دو شاهد در اين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وكيل كرد در بيعى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bookmarkStart w:id="2000" w:name="pg10256_89665"/>
    </w:p>
    <w:p>
      <w:pPr>
        <w:pStyle w:val="BookText"/>
        <w:rPr/>
      </w:pPr>
      <w:bookmarkEnd w:id="20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مشورت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كرد، اظهر ثبوت وكالت و صحّت عمل است در مورد اتفاق، به خلاف مورد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اختلاف در توكيل در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يا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صفقه بدون تقييد به آن، پس بيع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صحيح مى شود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وكالت در آن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شاهدى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وكيل كرد در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 كرد در بيع به زيد يا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شهادت دادند به وكالت مطلقۀ فعليّه پس يكى گفت يا ثالثى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عمل به آن عزل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نمى شود وكالت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شهادت دادند به توكيل در تاريخى و يكى گفت يا ثالثى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مى شود توكيل، نه عزل، بنا بر اعتبار تعدّد در اثبات عزل، و آن محل تأمل است</w:t>
      </w:r>
      <w:r>
        <w:rPr>
          <w:rFonts w:eastAsia="IRNazanin" w:cs="IRNazanin"/>
          <w:color w:val="111111"/>
          <w:sz w:val="28"/>
          <w:szCs w:val="28"/>
          <w:rtl w:val="true"/>
          <w:lang w:bidi="fa-IR"/>
        </w:rPr>
        <w:t>.</w:t>
      </w:r>
    </w:p>
    <w:p>
      <w:pPr>
        <w:pStyle w:val="Heading4"/>
        <w:numPr>
          <w:ilvl w:val="3"/>
          <w:numId w:val="1"/>
        </w:numPr>
        <w:rPr/>
      </w:pPr>
      <w:bookmarkStart w:id="2001" w:name="__RefHeading___Toc3599009_1067777946"/>
      <w:bookmarkStart w:id="2002" w:name="_Toc825"/>
      <w:bookmarkEnd w:id="2001"/>
      <w:r>
        <w:rPr>
          <w:rtl w:val="true"/>
        </w:rPr>
        <w:t>نفوذ علم حاكم</w:t>
      </w:r>
      <w:bookmarkEnd w:id="2002"/>
    </w:p>
    <w:p>
      <w:pPr>
        <w:pStyle w:val="BookText"/>
        <w:rPr/>
      </w:pPr>
      <w:r>
        <w:rPr>
          <w:rFonts w:ascii="IRNazanin" w:hAnsi="IRNazanin" w:eastAsia="IRNazanin"/>
          <w:color w:val="111111"/>
          <w:sz w:val="28"/>
          <w:sz w:val="28"/>
          <w:szCs w:val="28"/>
          <w:rtl w:val="true"/>
          <w:lang w:bidi="fa-IR"/>
        </w:rPr>
        <w:t>اگر حاكمْ عالم به وكالت بود، حكم به علم مى نمايد و مطالبۀ بيّنه بر آن نمى نمايد</w:t>
      </w:r>
      <w:r>
        <w:rPr>
          <w:rFonts w:eastAsia="IRNazanin" w:cs="IRNazanin"/>
          <w:color w:val="111111"/>
          <w:sz w:val="28"/>
          <w:szCs w:val="28"/>
          <w:rtl w:val="true"/>
          <w:lang w:bidi="fa-IR"/>
        </w:rPr>
        <w:t>.</w:t>
      </w:r>
    </w:p>
    <w:p>
      <w:pPr>
        <w:pStyle w:val="Heading4"/>
        <w:numPr>
          <w:ilvl w:val="3"/>
          <w:numId w:val="1"/>
        </w:numPr>
        <w:rPr/>
      </w:pPr>
      <w:bookmarkStart w:id="2003" w:name="__RefHeading___Toc3599011_1067777946"/>
      <w:bookmarkStart w:id="2004" w:name="_Toc826"/>
      <w:bookmarkEnd w:id="2003"/>
      <w:r>
        <w:rPr>
          <w:rtl w:val="true"/>
        </w:rPr>
        <w:t>ادّعاى وكالت در گرفتن مال از بدهكار</w:t>
      </w:r>
      <w:bookmarkEnd w:id="200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ادّعاى وكالت در قبض مال از غريم نمود، پس تا ثابت ننمايد، الزام به دفع مال به مدّعى وكالت نمى شود، چه انكار نمايد غريم وكالت را يا نه؛ و به مجرّد تصديق، حاكم او را الزام به دفع نمى نمايد و مانع هم نمى شود در صورتى كه مالْ عين باشد نه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دفع كرد و مالك حاضر شد، مى تواند استرجاع نمايد؛ و اگر تلف شد بدون تفريط، مى تواند رجوع به هر يك از غريم و مدّعى وكالت نمايد، و ايشان به همديگر رجوع نمى نمايند بعد از تغريم با فرض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تفريط تلف شد و رجوع به دافع كرد، رجوع به متعدّى در امانت مى نمايد</w:t>
      </w:r>
      <w:r>
        <w:rPr>
          <w:rFonts w:eastAsia="IRNazanin" w:cs="IRNazanin"/>
          <w:color w:val="111111"/>
          <w:sz w:val="28"/>
          <w:szCs w:val="28"/>
          <w:rtl w:val="true"/>
          <w:lang w:bidi="fa-IR"/>
        </w:rPr>
        <w:t xml:space="preserve">. </w:t>
      </w:r>
      <w:bookmarkStart w:id="2005" w:name="pg10256_89666"/>
    </w:p>
    <w:p>
      <w:pPr>
        <w:pStyle w:val="BookText"/>
        <w:rPr/>
      </w:pPr>
      <w:bookmarkEnd w:id="2005"/>
      <w:r>
        <w:rPr>
          <w:rFonts w:ascii="Amiri" w:hAnsi="Amiri" w:eastAsia="Amiri" w:cs="Amiri"/>
          <w:color w:val="111111"/>
          <w:sz w:val="28"/>
          <w:sz w:val="28"/>
          <w:szCs w:val="28"/>
          <w:rtl w:val="true"/>
          <w:lang w:bidi="ar-SA"/>
        </w:rPr>
        <w:t>و حكم واقعى شرعى بر غريم، رد امانت است با عدم احتمال تضرّر به ضمان در صورت انكار وكالت بعد از 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در دَين، عدم الزام حاكم است، به جهت احتمال تضرر دافع به ازيد از آنچه به توسّط اقرار بر خودش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واقعى در اداى دين، عدم جواز امتناع است بعد از مطالبه وكيل واقعى بدون عذر؛ و احتمال رجوع بعد از حضور و انكار مالك، و تلف عين در يد وكيل بدون تفريط، عذر است</w:t>
      </w:r>
      <w:r>
        <w:rPr>
          <w:rFonts w:eastAsia="IRNazanin" w:cs="IRNazanin"/>
          <w:color w:val="111111"/>
          <w:sz w:val="28"/>
          <w:szCs w:val="28"/>
          <w:rtl w:val="true"/>
          <w:lang w:bidi="fa-IR"/>
        </w:rPr>
        <w:t>.</w:t>
      </w:r>
    </w:p>
    <w:p>
      <w:pPr>
        <w:pStyle w:val="Heading4"/>
        <w:numPr>
          <w:ilvl w:val="3"/>
          <w:numId w:val="1"/>
        </w:numPr>
        <w:rPr/>
      </w:pPr>
      <w:bookmarkStart w:id="2006" w:name="__RefHeading___Toc3599013_1067777946"/>
      <w:bookmarkStart w:id="2007" w:name="_Toc827"/>
      <w:bookmarkEnd w:id="2006"/>
      <w:r>
        <w:rPr>
          <w:rtl w:val="true"/>
        </w:rPr>
        <w:t>اگر غريم دفع دين به وكيل نمود</w:t>
      </w:r>
      <w:bookmarkEnd w:id="2007"/>
    </w:p>
    <w:p>
      <w:pPr>
        <w:pStyle w:val="BookText"/>
        <w:rPr/>
      </w:pPr>
      <w:r>
        <w:rPr>
          <w:rFonts w:ascii="IRNazanin" w:hAnsi="IRNazanin" w:eastAsia="IRNazanin"/>
          <w:color w:val="111111"/>
          <w:sz w:val="28"/>
          <w:sz w:val="28"/>
          <w:szCs w:val="28"/>
          <w:rtl w:val="true"/>
          <w:lang w:bidi="fa-IR"/>
        </w:rPr>
        <w:t>و اگر غريمْ دفع دين به وكيل نمود، پس مالك كه انكار وكالت مى نمايد نمى تواند مطالبۀ وكيل نمايد مگر بعد از اجازۀ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غريم مطالبه نمود، مى تواند غريم رجوع به وكيل نمايد در صورت بقاى عين يا تلف با تفريط وكيل، نه در صورت تفريط و تلف به سبب آن اگر چه اخذ ننموده باشد، به جهت رجوع انكار به رجوع از توكيل در صورت كذب در انكار و ابلاغ انكار و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مطالبه بدون اخذ و جواز رجوع دافع به وكيل در غير صورت متقدّمه،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صورت تلف در يد وكيل بدون تفريط، غريم حق رجوع به وكيل ندارد با تصديق در وكالت و وقوع تلف قبل از حضور مالك و انكار او يا قبل از ابلاغ انكار كه مفيد عزل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وجوب دفع دين با تصديق، پس با انكار غريم، بر غريم است يمين بر نفى علم اگر وكيل ادّعاى علم به وكالت نمود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مطالبه كننده، ادّعاى علم به وارث بودن او براى مالك به طور انحصار نمود و غريمْ انكارِ علم نمود و بيّنه هم نبود، پس با يمين، دفع مطالبه از خودش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دعواى وراثت غير منحصره، اگر ممكن باشد با مصالحه نتيجۀ قسمت تحصيل بشود</w:t>
      </w:r>
      <w:r>
        <w:rPr>
          <w:rFonts w:eastAsia="IRNazanin" w:cs="IRNazanin"/>
          <w:color w:val="111111"/>
          <w:sz w:val="28"/>
          <w:szCs w:val="28"/>
          <w:rtl w:val="true"/>
          <w:lang w:bidi="fa-IR"/>
        </w:rPr>
        <w:t xml:space="preserve">. </w:t>
      </w:r>
      <w:bookmarkStart w:id="2008" w:name="pg10256_89667"/>
    </w:p>
    <w:p>
      <w:pPr>
        <w:pStyle w:val="Heading3"/>
        <w:numPr>
          <w:ilvl w:val="2"/>
          <w:numId w:val="1"/>
        </w:numPr>
        <w:rPr/>
      </w:pPr>
      <w:bookmarkStart w:id="2009" w:name="__RefHeading___Toc3599015_1067777946"/>
      <w:bookmarkStart w:id="2010" w:name="_Toc828"/>
      <w:bookmarkEnd w:id="2008"/>
      <w:bookmarkEnd w:id="2009"/>
      <w:r>
        <w:rPr>
          <w:rtl w:val="true"/>
        </w:rPr>
        <w:t>فصل ششم مسائل وكالت</w:t>
      </w:r>
      <w:bookmarkEnd w:id="2010"/>
    </w:p>
    <w:p>
      <w:pPr>
        <w:pStyle w:val="Heading4"/>
        <w:numPr>
          <w:ilvl w:val="3"/>
          <w:numId w:val="1"/>
        </w:numPr>
        <w:rPr/>
      </w:pPr>
      <w:bookmarkStart w:id="2011" w:name="__RefHeading___Toc3599017_1067777946"/>
      <w:bookmarkStart w:id="2012" w:name="_Toc829"/>
      <w:bookmarkEnd w:id="2011"/>
      <w:r>
        <w:rPr>
          <w:rtl w:val="true"/>
        </w:rPr>
        <w:t>امين بودن وكيل و فرض مسموعيّت قول او</w:t>
      </w:r>
      <w:bookmarkEnd w:id="2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 امين است و ضامن نيست تلف مورد وكالت را كه در دست او است بدون تعدّى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ادّعاى تلف و عدم تفريط، قول او مسموع است اگر بيّنه بر خلافْ اقامه نشود</w:t>
      </w:r>
      <w:r>
        <w:rPr>
          <w:rFonts w:eastAsia="IRNazanin" w:cs="IRNazanin"/>
          <w:color w:val="111111"/>
          <w:sz w:val="28"/>
          <w:szCs w:val="28"/>
          <w:rtl w:val="true"/>
          <w:lang w:bidi="fa-IR"/>
        </w:rPr>
        <w:t>.</w:t>
      </w:r>
    </w:p>
    <w:p>
      <w:pPr>
        <w:pStyle w:val="Heading4"/>
        <w:numPr>
          <w:ilvl w:val="3"/>
          <w:numId w:val="1"/>
        </w:numPr>
        <w:rPr/>
      </w:pPr>
      <w:bookmarkStart w:id="2013" w:name="__RefHeading___Toc3599019_1067777946"/>
      <w:bookmarkStart w:id="2014" w:name="_Toc830"/>
      <w:bookmarkEnd w:id="2013"/>
      <w:r>
        <w:rPr>
          <w:rtl w:val="true"/>
        </w:rPr>
        <w:t>توكيل ثانى و احكام مترتّب بر آن</w:t>
      </w:r>
      <w:bookmarkEnd w:id="20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 نمى تواند توكيل غير نمايد در مورد وكالت خودش مگر با اذن موكّل، چه آنكه توكيل از خود وكيل نمايد يا از موكّل؛ و با اذنْ هر دو قسم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اذن داد در توكيل از موكّل يا از جانب وكيل يا در هر دو، پس اگر با اذنْ توكيل از موكّل نمود، هر دو، وكيل عَرْضى استقلالى از موكّل مى شوند، و وكالت هر دو با موت موكّل باطل مى شود، نه با موت يكى از دو وكيل، و نه با عزل يكى از آن دو ديگرى را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توكيل نمود وكيلْ از جانب خودشْ غير را، پس مى تواند وكيلْ عزل نمايد وكيل خودش را؛ و با موت وكيل، وكالت وكيل دوّم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 موت وكيل اوّل يا جنون او، خالى از تأمل نيست، و هم چنين اگر موكّل عزل نمايد وكيل اوّل يا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موت موكّل هر دو وكالت باطل مى شود، و هم چنين با جنون يا اغما، يا عزل او وكيل اوّل را</w:t>
      </w:r>
      <w:r>
        <w:rPr>
          <w:rFonts w:eastAsia="IRNazanin" w:cs="IRNazanin"/>
          <w:color w:val="111111"/>
          <w:sz w:val="28"/>
          <w:szCs w:val="28"/>
          <w:rtl w:val="true"/>
          <w:lang w:bidi="fa-IR"/>
        </w:rPr>
        <w:t xml:space="preserve">. </w:t>
      </w:r>
      <w:bookmarkStart w:id="2015" w:name="pg10256_89668"/>
    </w:p>
    <w:p>
      <w:pPr>
        <w:pStyle w:val="BookText"/>
        <w:rPr/>
      </w:pPr>
      <w:bookmarkEnd w:id="2015"/>
      <w:r>
        <w:rPr>
          <w:rFonts w:ascii="Amiri" w:hAnsi="Amiri" w:eastAsia="Amiri" w:cs="Amiri"/>
          <w:color w:val="111111"/>
          <w:sz w:val="28"/>
          <w:sz w:val="28"/>
          <w:szCs w:val="28"/>
          <w:rtl w:val="true"/>
          <w:lang w:bidi="ar-SA"/>
        </w:rPr>
        <w:t>و در صورت استفادۀ اذن در توكيل، اظهر اقتضاى اطلاق اعم از توكيل از جانب موكّل يا وكيل است در صورت عدم قرينه بر خصوص يكى از آنها يا مانع از اطلاق به يكى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عدم قرينه، متيقّنْ توكيل از موكّل و مقتضاى اطلاقْ اعم است</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3599021_1067777946"/>
      <w:bookmarkStart w:id="2017" w:name="_Toc831"/>
      <w:bookmarkEnd w:id="2016"/>
      <w:r>
        <w:rPr>
          <w:rtl w:val="true"/>
        </w:rPr>
        <w:t>وجوب تسليم مال بر وكيل در صورت مطالبۀ موكل</w:t>
      </w:r>
      <w:bookmarkEnd w:id="2017"/>
    </w:p>
    <w:p>
      <w:pPr>
        <w:pStyle w:val="Heading5"/>
        <w:numPr>
          <w:ilvl w:val="4"/>
          <w:numId w:val="1"/>
        </w:numPr>
        <w:rPr/>
      </w:pPr>
      <w:bookmarkStart w:id="2018" w:name="__RefHeading___Toc3599023_1067777946"/>
      <w:bookmarkStart w:id="2019" w:name="_Toc832"/>
      <w:bookmarkEnd w:id="2018"/>
      <w:r>
        <w:rPr>
          <w:rtl w:val="true"/>
        </w:rPr>
        <w:t>اشاره</w:t>
      </w:r>
      <w:bookmarkEnd w:id="20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است بر وكيلْ تسليم مال موكّل كه در يد او است به موكّل پس از مطالبۀ او يا وكيل او در صورتى كه عذرى نداشته باشد؛ پس اگر معذور عرفى نباشد، ضامن آن مال است، و در صورت عذر، ضامن نيست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باقى است؛ و به مجرّد زوال عذر،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تأخير بلكه تركِ تسليمِ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شود</w:t>
      </w:r>
      <w:r>
        <w:rPr>
          <w:rFonts w:eastAsia="IRNazanin" w:cs="IRNazanin"/>
          <w:color w:val="111111"/>
          <w:sz w:val="28"/>
          <w:szCs w:val="28"/>
          <w:rtl w:val="true"/>
          <w:lang w:bidi="fa-IR"/>
        </w:rPr>
        <w:t>.</w:t>
      </w:r>
    </w:p>
    <w:p>
      <w:pPr>
        <w:pStyle w:val="Heading5"/>
        <w:numPr>
          <w:ilvl w:val="4"/>
          <w:numId w:val="1"/>
        </w:numPr>
        <w:rPr/>
      </w:pPr>
      <w:bookmarkStart w:id="2020" w:name="__RefHeading___Toc3599025_1067777946"/>
      <w:bookmarkStart w:id="2021" w:name="_Toc833"/>
      <w:bookmarkEnd w:id="2020"/>
      <w:r>
        <w:rPr>
          <w:rtl w:val="true"/>
        </w:rPr>
        <w:t>ادّعاى تلف از طرف وكيل بعد از اقرار مطالبۀ مالك</w:t>
      </w:r>
      <w:bookmarkEnd w:id="2021"/>
    </w:p>
    <w:p>
      <w:pPr>
        <w:pStyle w:val="BookText"/>
        <w:rPr/>
      </w:pPr>
      <w:r>
        <w:rPr>
          <w:rFonts w:ascii="IRNazanin" w:hAnsi="IRNazanin" w:eastAsia="IRNazanin"/>
          <w:color w:val="111111"/>
          <w:sz w:val="28"/>
          <w:sz w:val="28"/>
          <w:szCs w:val="28"/>
          <w:rtl w:val="true"/>
          <w:lang w:bidi="fa-IR"/>
        </w:rPr>
        <w:t>و اگر بعد از اقرار و مطالبۀ مالك، ادّعاى سبق تلف بر امتناع متأخر از مطالبۀ ادا كرد، يا آنكه ادّعاى رد قبل از مطالبه نمود، پس بدون بيّنه، قول مالك مقدّم است، بلكه با بيّنه، مسموع بودنِ آن از مُقِرّ در سابق محل اشكال است، و مبنا در فصل خصومات، عدم سماع اين گونه اقامۀ بينۀ مسبوقه به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صادر نشده باشد از وكيلْ چيزى كه منافى با ادّعاى لاحق باشد مگر مجرد امتناع از تسليم، قبول مى شود بيّنۀ او</w:t>
      </w:r>
      <w:r>
        <w:rPr>
          <w:rFonts w:eastAsia="IRNazanin" w:cs="IRNazanin"/>
          <w:color w:val="111111"/>
          <w:sz w:val="28"/>
          <w:szCs w:val="28"/>
          <w:rtl w:val="true"/>
          <w:lang w:bidi="fa-IR"/>
        </w:rPr>
        <w:t>.</w:t>
      </w:r>
    </w:p>
    <w:p>
      <w:pPr>
        <w:pStyle w:val="Heading4"/>
        <w:numPr>
          <w:ilvl w:val="3"/>
          <w:numId w:val="1"/>
        </w:numPr>
        <w:rPr/>
      </w:pPr>
      <w:bookmarkStart w:id="2022" w:name="__RefHeading___Toc3599027_1067777946"/>
      <w:bookmarkStart w:id="2023" w:name="_Toc834"/>
      <w:bookmarkEnd w:id="2022"/>
      <w:r>
        <w:rPr>
          <w:rtl w:val="true"/>
        </w:rPr>
        <w:t>عدم جواز تأخير در تسليم</w:t>
      </w:r>
      <w:bookmarkEnd w:id="20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نزد او يا در ذمۀ او مال غير است به نحوى كه حق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مرافعه و دعوى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نمى تواند تأخير در تسليم نمايد بعد از مطالبه براى اشهاد، مگر آنكه منافات با فوريّت عرفيۀ مناسبه نداشته باشد و در تأخير تا زمان احضار شاهدها، ضررى متوجّه مالك و صاحب حق نشود، مگر آنكه معارض بشود با تضرّر مديون به جهت عدم امكان اسقاطِ دعوى بعد از جحود به يمين، كه تأديه به حاكم يا عدول مؤمنين براى دفع ضرر محتمل يا مظنون مى شود</w:t>
      </w:r>
      <w:r>
        <w:rPr>
          <w:rFonts w:eastAsia="IRNazanin" w:cs="IRNazanin"/>
          <w:color w:val="111111"/>
          <w:sz w:val="28"/>
          <w:szCs w:val="28"/>
          <w:rtl w:val="true"/>
          <w:lang w:bidi="fa-IR"/>
        </w:rPr>
        <w:t>.</w:t>
      </w:r>
      <w:bookmarkStart w:id="2024" w:name="pg10256_89669"/>
    </w:p>
    <w:p>
      <w:pPr>
        <w:pStyle w:val="Heading4"/>
        <w:numPr>
          <w:ilvl w:val="3"/>
          <w:numId w:val="1"/>
        </w:numPr>
        <w:rPr/>
      </w:pPr>
      <w:bookmarkStart w:id="2025" w:name="__RefHeading___Toc3599029_1067777946"/>
      <w:bookmarkStart w:id="2026" w:name="_Toc835"/>
      <w:bookmarkEnd w:id="2024"/>
      <w:bookmarkEnd w:id="2025"/>
      <w:r>
        <w:rPr>
          <w:rtl w:val="true"/>
        </w:rPr>
        <w:t>عدم ضمان وكيل در ايداع مال و اداى دَيْن و ادّعا و عدم رد وديعه به او</w:t>
      </w:r>
      <w:bookmarkEnd w:id="20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 در ايداع مال نزد كسى، ضامن نمى شود به مجرّد ترك اشهاد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ودعى انكار نمود، قول وكيل كه امين است مسموع است در نزاع بين مالك و 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وكيل در اداى دَين، اگر اشهاد نكرد و دائنْ انكار قبض كرد، در نزاع بين مالك و وكيل، قول وكيل مسموع است؛ به خلاف رد وديعه به وكيل مالك، كه در ادّعاى ردّ، قول وكيل در عدم رد مقدم است تا بيّنه اقامه شود بر رد ودعى به وكيل</w:t>
      </w:r>
      <w:r>
        <w:rPr>
          <w:rFonts w:eastAsia="IRNazanin" w:cs="IRNazanin"/>
          <w:color w:val="111111"/>
          <w:sz w:val="28"/>
          <w:szCs w:val="28"/>
          <w:rtl w:val="true"/>
          <w:lang w:bidi="fa-IR"/>
        </w:rPr>
        <w:t>.</w:t>
      </w:r>
    </w:p>
    <w:p>
      <w:pPr>
        <w:pStyle w:val="Heading4"/>
        <w:numPr>
          <w:ilvl w:val="3"/>
          <w:numId w:val="1"/>
        </w:numPr>
        <w:rPr/>
      </w:pPr>
      <w:bookmarkStart w:id="2027" w:name="__RefHeading___Toc3599031_1067777946"/>
      <w:bookmarkStart w:id="2028" w:name="_Toc836"/>
      <w:bookmarkEnd w:id="2027"/>
      <w:r>
        <w:rPr>
          <w:rtl w:val="true"/>
        </w:rPr>
        <w:t>ضامن بودن وكيل در صورت تعدّى</w:t>
      </w:r>
      <w:bookmarkEnd w:id="20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وكيل تعدّى نمود در مال موكّل به نحوى كه موجب ضمان بود و منافى وكالت نبود، ضامن مى شود و وكالت او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تعدّىْ موجب فسق بود، اثر فسق او مترتّب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وكالت در بيع بوده، پس بعد از تعدّىِ موجب ضمان به تلف، بيع نمود آن را و تسليم نمود آن را به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تسليم به مالك يا وكيل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ضمان برئ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بعد از بيع و قبل از تسليم به بايع، بنابراين كه انفساخ به تلف قبل از قبض، از اصل عقد نيست، و خيار در رد به خيار عيب، از زمان ظهور عيب است، نه از زمان عقد، كه در اين تقدير عود به ملك موكّل مى شود بعد از زوال ملكيت او به نحوى كه اذن در تسلّم آن، به توكيل حادثى است بعد از زوال آن اگر چه به عبارت سابقه باشد</w:t>
      </w:r>
      <w:r>
        <w:rPr>
          <w:rFonts w:eastAsia="IRNazanin" w:cs="IRNazanin"/>
          <w:color w:val="111111"/>
          <w:sz w:val="28"/>
          <w:szCs w:val="28"/>
          <w:rtl w:val="true"/>
          <w:lang w:bidi="fa-IR"/>
        </w:rPr>
        <w:t>.</w:t>
      </w:r>
    </w:p>
    <w:p>
      <w:pPr>
        <w:pStyle w:val="Heading4"/>
        <w:numPr>
          <w:ilvl w:val="3"/>
          <w:numId w:val="1"/>
        </w:numPr>
        <w:rPr/>
      </w:pPr>
      <w:bookmarkStart w:id="2029" w:name="__RefHeading___Toc3599033_1067777946"/>
      <w:bookmarkStart w:id="2030" w:name="_Toc837"/>
      <w:bookmarkEnd w:id="2029"/>
      <w:r>
        <w:rPr>
          <w:rtl w:val="true"/>
        </w:rPr>
        <w:t>اذن در معاملۀ وكيل با خود</w:t>
      </w:r>
      <w:bookmarkEnd w:id="203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اذن داد موكّل، وكيل را در بيع مال او به خودش، پس بيع را به وكالت و شراء را به اصالت انجام داد،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مطلق بود عبارت موكّل، پس در جواز ايقاع معامله با خودش كه وكيل است خلاف است، اظهر جواز با كراهت مختلفه به اختلاف موارد است</w:t>
      </w:r>
      <w:r>
        <w:rPr>
          <w:rFonts w:eastAsia="IRNazanin" w:cs="IRNazanin"/>
          <w:color w:val="111111"/>
          <w:sz w:val="28"/>
          <w:szCs w:val="28"/>
          <w:rtl w:val="true"/>
          <w:lang w:bidi="fa-IR"/>
        </w:rPr>
        <w:t>.</w:t>
      </w:r>
      <w:bookmarkStart w:id="2031" w:name="pg10256_89670"/>
    </w:p>
    <w:p>
      <w:pPr>
        <w:pStyle w:val="Heading3"/>
        <w:numPr>
          <w:ilvl w:val="2"/>
          <w:numId w:val="1"/>
        </w:numPr>
        <w:rPr/>
      </w:pPr>
      <w:bookmarkStart w:id="2032" w:name="__RefHeading___Toc3599035_1067777946"/>
      <w:bookmarkStart w:id="2033" w:name="_Toc838"/>
      <w:bookmarkEnd w:id="2031"/>
      <w:bookmarkEnd w:id="2032"/>
      <w:r>
        <w:rPr>
          <w:rtl w:val="true"/>
        </w:rPr>
        <w:t>فصل هفتم مسائل تنازع در وكالت</w:t>
      </w:r>
      <w:bookmarkEnd w:id="2033"/>
    </w:p>
    <w:p>
      <w:pPr>
        <w:pStyle w:val="Heading4"/>
        <w:numPr>
          <w:ilvl w:val="3"/>
          <w:numId w:val="1"/>
        </w:numPr>
        <w:rPr/>
      </w:pPr>
      <w:bookmarkStart w:id="2034" w:name="__RefHeading___Toc3599037_1067777946"/>
      <w:bookmarkStart w:id="2035" w:name="_Toc839"/>
      <w:bookmarkEnd w:id="2034"/>
      <w:r>
        <w:rPr>
          <w:rtl w:val="true"/>
        </w:rPr>
        <w:t>اختلاف در اصل وكالت يا تلف مال</w:t>
      </w:r>
      <w:bookmarkEnd w:id="20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كردند در اصل وكالت، قول منكر آن با يمين او مقدم است، چه آنكه منكِرْ موكّل يا وكيل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اختلاف در تلف مال در يد وكيل بود، قول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است با يمين او، چه آنكه مدعىِ تلف به سبب ظاهر باشد يا غير، و چه آنكه اقامۀ بيّنه در خصوص واقعهْ ميسور باشد يا نه؛ و هم چنين است اگر اختلاف در تعدّى و تفريط باشد به ترك محافظه كارى به اتلاف و نحو آن</w:t>
      </w:r>
      <w:r>
        <w:rPr>
          <w:rFonts w:eastAsia="IRNazanin" w:cs="IRNazanin"/>
          <w:color w:val="111111"/>
          <w:sz w:val="28"/>
          <w:szCs w:val="28"/>
          <w:rtl w:val="true"/>
          <w:lang w:bidi="fa-IR"/>
        </w:rPr>
        <w:t>.</w:t>
      </w:r>
    </w:p>
    <w:p>
      <w:pPr>
        <w:pStyle w:val="Heading4"/>
        <w:numPr>
          <w:ilvl w:val="3"/>
          <w:numId w:val="1"/>
        </w:numPr>
        <w:rPr/>
      </w:pPr>
      <w:bookmarkStart w:id="2036" w:name="__RefHeading___Toc3599039_1067777946"/>
      <w:bookmarkStart w:id="2037" w:name="_Toc840"/>
      <w:bookmarkEnd w:id="2036"/>
      <w:r>
        <w:rPr>
          <w:rtl w:val="true"/>
        </w:rPr>
        <w:t>اختلاف در رد مال به موكّل</w:t>
      </w:r>
      <w:bookmarkEnd w:id="2037"/>
    </w:p>
    <w:p>
      <w:pPr>
        <w:pStyle w:val="Heading5"/>
        <w:numPr>
          <w:ilvl w:val="4"/>
          <w:numId w:val="1"/>
        </w:numPr>
        <w:rPr/>
      </w:pPr>
      <w:bookmarkStart w:id="2038" w:name="__RefHeading___Toc3599041_1067777946"/>
      <w:bookmarkStart w:id="2039" w:name="_Toc841"/>
      <w:bookmarkEnd w:id="2038"/>
      <w:r>
        <w:rPr>
          <w:rtl w:val="true"/>
        </w:rPr>
        <w:t>اشاره</w:t>
      </w:r>
      <w:bookmarkEnd w:id="20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كردند در دفع مال به موكّل، پس در صورت اشتمال وكالت بر جُعل، قول مالكِ موكِّل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اشتمال بر جُعل، پس با مطالبه و نگذشتن زمان متعارف براى رد مأذون يا بدون مطالبه، قول وكيل و مأذونْ مقدم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از اين دو صورت، قول موكّل مقدم است تا وكيل اقامۀ بيّنه نمايد بنابر اظهر</w:t>
      </w:r>
      <w:r>
        <w:rPr>
          <w:rFonts w:eastAsia="IRNazanin" w:cs="IRNazanin"/>
          <w:color w:val="111111"/>
          <w:sz w:val="28"/>
          <w:szCs w:val="28"/>
          <w:rtl w:val="true"/>
          <w:lang w:bidi="fa-IR"/>
        </w:rPr>
        <w:t>.</w:t>
      </w:r>
    </w:p>
    <w:p>
      <w:pPr>
        <w:pStyle w:val="Heading5"/>
        <w:numPr>
          <w:ilvl w:val="4"/>
          <w:numId w:val="1"/>
        </w:numPr>
        <w:rPr/>
      </w:pPr>
      <w:bookmarkStart w:id="2040" w:name="__RefHeading___Toc3599043_1067777946"/>
      <w:bookmarkStart w:id="2041" w:name="_Toc842"/>
      <w:bookmarkEnd w:id="2040"/>
      <w:r>
        <w:rPr>
          <w:rtl w:val="true"/>
        </w:rPr>
        <w:t>قول وصى، ودعى، اب، جدّ و مستولى بر ضالّه</w:t>
      </w:r>
      <w:bookmarkEnd w:id="204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وصى در انفاق بر طفل و دوابّ مسموع است، و در اداى به موصىٰ له </w:t>
      </w:r>
      <w:bookmarkStart w:id="2042" w:name="pg10256_89671"/>
    </w:p>
    <w:p>
      <w:pPr>
        <w:pStyle w:val="BookText"/>
        <w:rPr/>
      </w:pPr>
      <w:bookmarkEnd w:id="2042"/>
      <w:r>
        <w:rPr>
          <w:rFonts w:ascii="Amiri" w:hAnsi="Amiri" w:eastAsia="Amiri" w:cs="Amiri"/>
          <w:color w:val="111111"/>
          <w:sz w:val="28"/>
          <w:sz w:val="28"/>
          <w:szCs w:val="28"/>
          <w:rtl w:val="true"/>
          <w:lang w:bidi="ar-SA"/>
        </w:rPr>
        <w:t>مسموعيّت آن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وديعه، قول ودعى در رد به مودع مسموع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 و جدّ و مستولى بر ضالّه، مسموعيّت آن محل اشكال است</w:t>
      </w:r>
      <w:r>
        <w:rPr>
          <w:rFonts w:eastAsia="Amiri" w:cs="Amiri" w:ascii="Amiri" w:hAnsi="Amiri"/>
          <w:color w:val="111111"/>
          <w:sz w:val="28"/>
          <w:szCs w:val="28"/>
          <w:rtl w:val="true"/>
          <w:lang w:bidi="ar-SA"/>
        </w:rPr>
        <w:t>.</w:t>
      </w:r>
    </w:p>
    <w:p>
      <w:pPr>
        <w:pStyle w:val="Heading4"/>
        <w:numPr>
          <w:ilvl w:val="3"/>
          <w:numId w:val="1"/>
        </w:numPr>
        <w:rPr/>
      </w:pPr>
      <w:bookmarkStart w:id="2043" w:name="__RefHeading___Toc3599045_1067777946"/>
      <w:bookmarkStart w:id="2044" w:name="_Toc843"/>
      <w:bookmarkEnd w:id="2043"/>
      <w:r>
        <w:rPr>
          <w:rtl w:val="true"/>
        </w:rPr>
        <w:t>اختلاف در تصرّف</w:t>
      </w:r>
      <w:bookmarkEnd w:id="20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وكيل ادّعاى تصرّف مورد وكالت نمود و موكّل انكار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ادّعاى بيع و تلف ثمن و انكار كرد موكّل براى تغريم وكيلْ مبيع را، يا ادّعاى قبض مبيع و تلف در يد وكيل و انكار كرد موكّل براى دفع تغريم ثمن به جهت وقوع تلف مبيع قبل از قبض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وكيل كه امين است، مسموع است با يمين او</w:t>
      </w:r>
      <w:r>
        <w:rPr>
          <w:rFonts w:eastAsia="IRNazanin" w:cs="IRNazanin"/>
          <w:color w:val="111111"/>
          <w:sz w:val="28"/>
          <w:szCs w:val="28"/>
          <w:rtl w:val="true"/>
          <w:lang w:bidi="fa-IR"/>
        </w:rPr>
        <w:t>.</w:t>
      </w:r>
    </w:p>
    <w:p>
      <w:pPr>
        <w:pStyle w:val="Heading4"/>
        <w:numPr>
          <w:ilvl w:val="3"/>
          <w:numId w:val="1"/>
        </w:numPr>
        <w:rPr/>
      </w:pPr>
      <w:bookmarkStart w:id="2045" w:name="__RefHeading___Toc3599047_1067777946"/>
      <w:bookmarkStart w:id="2046" w:name="_Toc844"/>
      <w:bookmarkEnd w:id="2045"/>
      <w:r>
        <w:rPr>
          <w:rtl w:val="true"/>
        </w:rPr>
        <w:t>ادّعاى وكيل بودن توسط مشترى متاع</w:t>
      </w:r>
      <w:bookmarkEnd w:id="20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مشترى مَتاع، ادّعاى وكيل بودن نمود و بايع انكار وكالت نمود، قول بايع با يمين او مقدم است و حكم به لزوم ثمن بر مشترى مى شود، چه عين باشد چه در ذمّه، مگر بيّنه اقامه نمايد كه ثمن شخصى مال موكّل است، يا آنكه در متن عقد ذكر شده باشد كه شراء براى موكّل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وكيل با موكّل اختلاف كردند در قصد شراء براى موكّل يا وكيل، قول وكيل در تعيين نيّت در شراى خودش مقدم است</w:t>
      </w:r>
      <w:r>
        <w:rPr>
          <w:rFonts w:eastAsia="IRNazanin" w:cs="IRNazanin"/>
          <w:color w:val="111111"/>
          <w:sz w:val="28"/>
          <w:szCs w:val="28"/>
          <w:rtl w:val="true"/>
          <w:lang w:bidi="fa-IR"/>
        </w:rPr>
        <w:t>.</w:t>
      </w:r>
    </w:p>
    <w:p>
      <w:pPr>
        <w:pStyle w:val="Heading4"/>
        <w:numPr>
          <w:ilvl w:val="3"/>
          <w:numId w:val="1"/>
        </w:numPr>
        <w:rPr/>
      </w:pPr>
      <w:bookmarkStart w:id="2047" w:name="__RefHeading___Toc3599049_1067777946"/>
      <w:bookmarkStart w:id="2048" w:name="_Toc845"/>
      <w:bookmarkEnd w:id="2047"/>
      <w:r>
        <w:rPr>
          <w:rtl w:val="true"/>
        </w:rPr>
        <w:t>اجراى عقد نكاح به وكالت ادعايى و انكار وكالت توسط شخص</w:t>
      </w:r>
      <w:bookmarkEnd w:id="20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تزويج كرد شخصى را به زنى به ادّعاى وكالت، پس انكار نمود آن شخص توكيل را و بيّنه بر توكيل نبود، قول موكّل در انكار وكالت مقدم است، و احوط ثبوت نصف مهر بر وكيل است، و اظهر بطلان عقد است در ظاهر شرع؛ پس بر كسى غرامتى در ظاهر نيست؛ و تكليف واقعى زوج در صورت علم به صحّت وكالت، طلاق يا قيام به زوجيّت و لوازم آن است؛ و در تقدير طلاقْ بر او است در واقع اداى نصف مهر، و در ظاهر شرع زن مى تواند تزويج نمايد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صحّت وكالت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طلاق حاكم است با امتناع زوج از طلاق يا قيام به</w:t>
      </w:r>
      <w:bookmarkStart w:id="2049" w:name="pg10256_89672"/>
    </w:p>
    <w:p>
      <w:pPr>
        <w:pStyle w:val="BookText"/>
        <w:rPr/>
      </w:pPr>
      <w:bookmarkEnd w:id="2049"/>
      <w:r>
        <w:rPr>
          <w:rFonts w:ascii="Amiri" w:hAnsi="Amiri" w:eastAsia="Amiri" w:cs="Amiri"/>
          <w:color w:val="111111"/>
          <w:sz w:val="28"/>
          <w:sz w:val="28"/>
          <w:szCs w:val="28"/>
          <w:rtl w:val="true"/>
          <w:lang w:bidi="ar-SA"/>
        </w:rPr>
        <w:t>زوجيّت در صورت ادّعاى زوجه، علم خودش به صحّت وكالت را</w:t>
      </w:r>
      <w:r>
        <w:rPr>
          <w:rFonts w:eastAsia="Amiri" w:cs="Amiri" w:ascii="Amiri" w:hAnsi="Amiri"/>
          <w:color w:val="111111"/>
          <w:sz w:val="28"/>
          <w:szCs w:val="28"/>
          <w:rtl w:val="true"/>
          <w:lang w:bidi="ar-SA"/>
        </w:rPr>
        <w:t>.</w:t>
      </w:r>
    </w:p>
    <w:p>
      <w:pPr>
        <w:pStyle w:val="Heading4"/>
        <w:numPr>
          <w:ilvl w:val="3"/>
          <w:numId w:val="1"/>
        </w:numPr>
        <w:rPr/>
      </w:pPr>
      <w:bookmarkStart w:id="2050" w:name="__RefHeading___Toc3599051_1067777946"/>
      <w:bookmarkStart w:id="2051" w:name="_Toc846"/>
      <w:bookmarkEnd w:id="2050"/>
      <w:r>
        <w:rPr>
          <w:rtl w:val="true"/>
        </w:rPr>
        <w:t>نزاع در مبلغ معامله</w:t>
      </w:r>
      <w:bookmarkEnd w:id="20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نزاع بين موكّل و وكيل در تعلق ابتياع در مقابل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واقع بشود در فرض صحّت معامله بر هر تقدير اگر چه فرض شود ثبوت خيار غَبن بر يك تقدير، قول وكيل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همين نزاع بين موكّل و بايع باشد، قول موكّل مقدم است؛ و در صورت تصديق وكيل بايع را، در تقديم قول موكّل، تأمل است</w:t>
      </w:r>
      <w:r>
        <w:rPr>
          <w:rFonts w:eastAsia="IRNazanin" w:cs="IRNazanin"/>
          <w:color w:val="111111"/>
          <w:sz w:val="28"/>
          <w:szCs w:val="28"/>
          <w:rtl w:val="true"/>
          <w:lang w:bidi="fa-IR"/>
        </w:rPr>
        <w:t>.</w:t>
      </w:r>
    </w:p>
    <w:p>
      <w:pPr>
        <w:pStyle w:val="Heading4"/>
        <w:numPr>
          <w:ilvl w:val="3"/>
          <w:numId w:val="1"/>
        </w:numPr>
        <w:rPr/>
      </w:pPr>
      <w:bookmarkStart w:id="2052" w:name="__RefHeading___Toc3599053_1067777946"/>
      <w:bookmarkStart w:id="2053" w:name="_Toc847"/>
      <w:bookmarkEnd w:id="2052"/>
      <w:r>
        <w:rPr>
          <w:rtl w:val="true"/>
        </w:rPr>
        <w:t>طرف مراجعه براى اخذ عوض در عقد وكالتى</w:t>
      </w:r>
      <w:bookmarkEnd w:id="205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عقد واقع شد پس با جهل به وكالت طرف، رجوع به مباشر عقد مى نمايد به عوض؛ و با علم به وكالت و استفادۀ وكالت مطلقه در لوازم عرفيّۀ عقد يا ادّعاى آن در زمان وكالت، رجوع به هر كدام از موكّل و وكيل كه بخواهد مى نمايد، چه عوض در ذمّه باشد يا عين خارجيه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عدم ثبوت اطلاق در وكالت به تسليم و تسلّم، رجوع به موكّل مى نمايد در صورت ذميّت و خارجيّت</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3599055_1067777946"/>
      <w:bookmarkStart w:id="2055" w:name="_Toc848"/>
      <w:bookmarkEnd w:id="2054"/>
      <w:r>
        <w:rPr>
          <w:rtl w:val="true"/>
        </w:rPr>
        <w:t>مطالبۀ حق توسط وكيل و انكال مديون</w:t>
      </w:r>
      <w:bookmarkEnd w:id="205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وكيل ثابت الوكاله، مطالبۀ حق به وكالت كرد و مديون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 مطالبه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التفات به قول او نمى شود مگر بعد از استفسار و جواب به چيزى كه رجوع به تكذيب بينۀ وكالت ننمايد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ادّعاى عزل وكيل نمود، با بيّنه مسموع مى شود، و بر وكيل يمين نيست بر نفى فعل غير مگر آنكه ادّعاى علم او بنمايد و او يمين بر نفى علم ايقاع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صورت ادّعاى ابراء به موكّل يا اداى به او كه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بيّنه، قول مديون ثابت مى شود</w:t>
      </w:r>
      <w:r>
        <w:rPr>
          <w:rFonts w:eastAsia="IRNazanin" w:cs="IRNazanin"/>
          <w:color w:val="111111"/>
          <w:sz w:val="28"/>
          <w:szCs w:val="28"/>
          <w:rtl w:val="true"/>
          <w:lang w:bidi="fa-IR"/>
        </w:rPr>
        <w:t xml:space="preserve">. </w:t>
      </w:r>
      <w:bookmarkStart w:id="2056" w:name="pg10256_89673"/>
    </w:p>
    <w:p>
      <w:pPr>
        <w:pStyle w:val="Heading4"/>
        <w:numPr>
          <w:ilvl w:val="3"/>
          <w:numId w:val="1"/>
        </w:numPr>
        <w:rPr/>
      </w:pPr>
      <w:bookmarkStart w:id="2057" w:name="__RefHeading___Toc3599057_1067777946"/>
      <w:bookmarkStart w:id="2058" w:name="_Toc849"/>
      <w:bookmarkEnd w:id="2056"/>
      <w:bookmarkEnd w:id="2057"/>
      <w:r>
        <w:rPr>
          <w:rtl w:val="true"/>
        </w:rPr>
        <w:t>شهادت وكيل به نفع موكّل</w:t>
      </w:r>
      <w:bookmarkEnd w:id="205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وكيل مقبول است براى موكّل در غير مورد ولايت او به سبب وكالت و آنچه راجع به آن مى شود، مثل جرح شهود مدّعى بر موكّل كه راجع به شهادت به نفع موكّل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 شود در مورد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عزلْ قبول مى شود شهادت او در مورد ولايت و غير آن، مگر آنكه اقامۀ شهادت در زمان وكالت نموده و مردود شده باشد شهادت او، يا آنكه شروع در منازعه كرده باشد پس از آن معزول شده و شهادت بدهد، كه در قبول شهادت به جهت زوال موجب تهمت، تأمّل است</w:t>
      </w:r>
      <w:r>
        <w:rPr>
          <w:rFonts w:eastAsia="IRNazanin" w:cs="IRNazanin"/>
          <w:color w:val="111111"/>
          <w:sz w:val="28"/>
          <w:szCs w:val="28"/>
          <w:rtl w:val="true"/>
          <w:lang w:bidi="fa-IR"/>
        </w:rPr>
        <w:t>.</w:t>
      </w:r>
    </w:p>
    <w:p>
      <w:pPr>
        <w:pStyle w:val="Heading4"/>
        <w:numPr>
          <w:ilvl w:val="3"/>
          <w:numId w:val="1"/>
        </w:numPr>
        <w:rPr/>
      </w:pPr>
      <w:bookmarkStart w:id="2059" w:name="__RefHeading___Toc3599059_1067777946"/>
      <w:bookmarkStart w:id="2060" w:name="_Toc850"/>
      <w:bookmarkEnd w:id="2059"/>
      <w:r>
        <w:rPr>
          <w:rtl w:val="true"/>
        </w:rPr>
        <w:t>اقرار وكيل به قبض و تلف و تصديق غريم</w:t>
      </w:r>
      <w:bookmarkEnd w:id="2060"/>
    </w:p>
    <w:p>
      <w:pPr>
        <w:pStyle w:val="Heading5"/>
        <w:numPr>
          <w:ilvl w:val="4"/>
          <w:numId w:val="1"/>
        </w:numPr>
        <w:rPr/>
      </w:pPr>
      <w:bookmarkStart w:id="2061" w:name="__RefHeading___Toc3599061_1067777946"/>
      <w:bookmarkStart w:id="2062" w:name="_Toc851"/>
      <w:bookmarkEnd w:id="2061"/>
      <w:r>
        <w:rPr>
          <w:rtl w:val="true"/>
        </w:rPr>
        <w:t>اشاره</w:t>
      </w:r>
      <w:bookmarkEnd w:id="206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را وكيل كرد در قبضِ حق از غريم، پس اقرار كرد وكيل به قبض و تلفِ بعد از قبض، و غريم تصديق نمود وكيل را، پس در مخاصمه با وكيل، قول وكيل مقدم است با يمين او؛ و در مخاصمۀ با غريم، قول موكّل مقدم است با يمين او در صورت ابتداى در مخاصمه با وكيل و عود به آن با موكّل، پس در سماع دعواى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مستلزم تكذيب وكيل است پس از محكوميّت در مرافعۀ با او به نحوى كه مسموع بشود قول او با غريم، با يمين 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توكيل در بيع متاع و ادّعاى بيع و تسلم ثمن و تلف آن در يد وكيل، نسبت به دعوىٰ با وكيل و با مشترى به نحو متقدّم</w:t>
      </w:r>
      <w:r>
        <w:rPr>
          <w:rFonts w:eastAsia="IRNazanin" w:cs="IRNazanin"/>
          <w:color w:val="111111"/>
          <w:sz w:val="28"/>
          <w:szCs w:val="28"/>
          <w:rtl w:val="true"/>
          <w:lang w:bidi="fa-IR"/>
        </w:rPr>
        <w:t>.</w:t>
      </w:r>
    </w:p>
    <w:p>
      <w:pPr>
        <w:pStyle w:val="Heading5"/>
        <w:numPr>
          <w:ilvl w:val="4"/>
          <w:numId w:val="1"/>
        </w:numPr>
        <w:rPr/>
      </w:pPr>
      <w:bookmarkStart w:id="2063" w:name="__RefHeading___Toc3599063_1067777946"/>
      <w:bookmarkStart w:id="2064" w:name="_Toc852"/>
      <w:bookmarkEnd w:id="2063"/>
      <w:r>
        <w:rPr>
          <w:rtl w:val="true"/>
        </w:rPr>
        <w:t>علم موكّل به كذب وكيل و</w:t>
      </w:r>
      <w:r>
        <w:rPr>
          <w:rtl w:val="true"/>
        </w:rPr>
        <w:t>...</w:t>
      </w:r>
      <w:bookmarkEnd w:id="206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علم موكّل به كذب وكيل يا احتمال آن، با عدم مخاصمه با او و محكوميّت يا مطلقاً، با امكان حاكميّت در مرافعۀ دوّم در عرف و شرع، موكّل مى تواند مخاصمه با غريم و مشترى نمايد و با حلف در صورت علم، حق خود را اخذ نمايد بعد از آنكه حكم براى او بشود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فرض مذكور اگر عيبى در مال موكّل ظاهر شد، محتمل است جواز رجوع اصيل به هر كدام از موكّل و وكيل، به جهت محكوميّت موكّل به تصديق وكيل در قبض و تلف در يد او، كه به منزلۀ قبض موكّل و تلف در يد او است، و تصديق مشترى وكيل را در قبض و تلف، با تحقق وكالت مطلق در لوازم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رد به عيبِ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رجوع به موكّل كرد، رجوع به وكيل نمى نمايد؛ و اگر رجوع به وكيل كرد، رجوع به موكّل مى نمايد؛ لكن بنابر عدم ثبوت وصول ثمن به موكّل و احكام آن و استمرار انكار موكّل آن را به حسب حكم واقعى، احتيال مى نمايد اصيل، به مقاصّه در اخذ مبيع با اداى زيادتى يا اخذ آن بنحوى كه ممكن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المقام بحمده تعالى يوم الاربعاء لاربعة ايام بقين من صفر الخير من سنة</w:t>
      </w:r>
    </w:p>
    <w:p>
      <w:pPr>
        <w:pStyle w:val="BookText"/>
        <w:rPr/>
      </w:pPr>
      <w:r>
        <w:rPr>
          <w:rFonts w:ascii="Amiri" w:hAnsi="Amiri" w:eastAsia="Amiri" w:cs="Amiri"/>
          <w:color w:val="111111"/>
          <w:sz w:val="28"/>
          <w:sz w:val="28"/>
          <w:szCs w:val="28"/>
          <w:rtl w:val="true"/>
          <w:lang w:bidi="ar-SA"/>
        </w:rPr>
        <w:t>الف و اثنين و اربعمائة في بلدة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w:t>
      </w:r>
    </w:p>
    <w:p>
      <w:pPr>
        <w:pStyle w:val="BookText"/>
        <w:rPr/>
      </w:pPr>
      <w:r>
        <w:rPr>
          <w:rFonts w:ascii="Amiri" w:hAnsi="Amiri" w:eastAsia="Amiri" w:cs="Amiri"/>
          <w:color w:val="111111"/>
          <w:sz w:val="28"/>
          <w:sz w:val="28"/>
          <w:szCs w:val="28"/>
          <w:rtl w:val="true"/>
          <w:lang w:bidi="ar-SA"/>
        </w:rPr>
        <w:t>سيد الأنبياء و علىٰ آله سادة الاوصياء الاثنى عشر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توفيقي الّا باللّٰه العلي العظيم</w:t>
      </w:r>
      <w:r>
        <w:rPr>
          <w:rFonts w:eastAsia="Amiri" w:cs="Amiri" w:ascii="Amiri" w:hAnsi="Amiri"/>
          <w:color w:val="111111"/>
          <w:sz w:val="28"/>
          <w:szCs w:val="28"/>
          <w:rtl w:val="true"/>
          <w:lang w:bidi="ar-SA"/>
        </w:rPr>
        <w:t xml:space="preserve">. </w:t>
      </w:r>
      <w:bookmarkStart w:id="2065" w:name="pg10256_89675"/>
    </w:p>
    <w:p>
      <w:pPr>
        <w:pStyle w:val="Heading2"/>
        <w:numPr>
          <w:ilvl w:val="1"/>
          <w:numId w:val="1"/>
        </w:numPr>
        <w:rPr/>
      </w:pPr>
      <w:bookmarkStart w:id="2066" w:name="__RefHeading___Toc3599065_1067777946"/>
      <w:bookmarkStart w:id="2067" w:name="_Toc853"/>
      <w:bookmarkEnd w:id="2065"/>
      <w:bookmarkEnd w:id="2066"/>
      <w:r>
        <w:rPr>
          <w:rtl w:val="true"/>
        </w:rPr>
        <w:t>كتاب وقف</w:t>
      </w:r>
      <w:bookmarkEnd w:id="2067"/>
    </w:p>
    <w:p>
      <w:pPr>
        <w:pStyle w:val="Heading3"/>
        <w:numPr>
          <w:ilvl w:val="2"/>
          <w:numId w:val="1"/>
        </w:numPr>
        <w:rPr/>
      </w:pPr>
      <w:bookmarkStart w:id="2068" w:name="__RefHeading___Toc3599067_1067777946"/>
      <w:bookmarkStart w:id="2069" w:name="_Toc854"/>
      <w:bookmarkEnd w:id="2068"/>
      <w:r>
        <w:rPr>
          <w:rtl w:val="true"/>
        </w:rPr>
        <w:t>اشاره</w:t>
      </w:r>
      <w:bookmarkEnd w:id="2069"/>
    </w:p>
    <w:p>
      <w:pPr>
        <w:pStyle w:val="BookText"/>
        <w:rPr/>
      </w:pPr>
      <w:r>
        <w:rPr>
          <w:rFonts w:ascii="Amiri" w:hAnsi="Amiri" w:eastAsia="Amiri" w:cs="Amiri"/>
          <w:color w:val="111111"/>
          <w:sz w:val="28"/>
          <w:sz w:val="28"/>
          <w:szCs w:val="28"/>
          <w:rtl w:val="true"/>
          <w:lang w:bidi="ar-SA"/>
        </w:rPr>
        <w:t>عقد وقف و شرايط آن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وقف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0" w:name="pg10256_89677"/>
      <w:bookmarkStart w:id="2071" w:name="pg10256_89677"/>
      <w:bookmarkEnd w:id="2071"/>
    </w:p>
    <w:p>
      <w:pPr>
        <w:pStyle w:val="Heading3"/>
        <w:numPr>
          <w:ilvl w:val="2"/>
          <w:numId w:val="1"/>
        </w:numPr>
        <w:rPr/>
      </w:pPr>
      <w:bookmarkStart w:id="2072" w:name="pg10256_89677"/>
      <w:bookmarkStart w:id="2073" w:name="__RefHeading___Toc3599069_1067777946"/>
      <w:bookmarkStart w:id="2074" w:name="_Toc855"/>
      <w:bookmarkEnd w:id="2072"/>
      <w:bookmarkEnd w:id="2073"/>
      <w:r>
        <w:rPr>
          <w:rtl w:val="true"/>
        </w:rPr>
        <w:t>فصل اوّل عقد وقف و شرايط آن</w:t>
      </w:r>
      <w:bookmarkEnd w:id="2074"/>
    </w:p>
    <w:p>
      <w:pPr>
        <w:pStyle w:val="Heading4"/>
        <w:numPr>
          <w:ilvl w:val="3"/>
          <w:numId w:val="1"/>
        </w:numPr>
        <w:rPr/>
      </w:pPr>
      <w:bookmarkStart w:id="2075" w:name="__RefHeading___Toc3599071_1067777946"/>
      <w:bookmarkStart w:id="2076" w:name="_Toc856"/>
      <w:bookmarkEnd w:id="2075"/>
      <w:r>
        <w:rPr>
          <w:rtl w:val="true"/>
        </w:rPr>
        <w:t>تعريف عقد</w:t>
      </w:r>
      <w:bookmarkEnd w:id="2076"/>
    </w:p>
    <w:p>
      <w:pPr>
        <w:pStyle w:val="BookText"/>
        <w:rPr/>
      </w:pPr>
      <w:r>
        <w:rPr>
          <w:rFonts w:ascii="IRNazanin" w:hAnsi="IRNazanin" w:eastAsia="IRNazanin"/>
          <w:color w:val="111111"/>
          <w:sz w:val="28"/>
          <w:sz w:val="28"/>
          <w:szCs w:val="28"/>
          <w:rtl w:val="true"/>
          <w:lang w:bidi="fa-IR"/>
        </w:rPr>
        <w:t xml:space="preserve">وقف عقدى است كه ثمرۀ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اصل و اطلاق 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داشتن از انتقالات و رهايى انتفاعات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77" w:name="__RefHeading___Toc3599073_1067777946"/>
      <w:bookmarkStart w:id="2078" w:name="_Toc857"/>
      <w:bookmarkEnd w:id="2077"/>
      <w:r>
        <w:rPr>
          <w:rtl w:val="true"/>
        </w:rPr>
        <w:t>الفاظ وقف</w:t>
      </w:r>
      <w:bookmarkEnd w:id="2078"/>
    </w:p>
    <w:p>
      <w:pPr>
        <w:pStyle w:val="BookText"/>
        <w:rPr/>
      </w:pPr>
      <w:r>
        <w:rPr>
          <w:rFonts w:ascii="Amiri" w:hAnsi="Amiri" w:eastAsia="Amiri" w:cs="Amiri"/>
          <w:color w:val="111111"/>
          <w:sz w:val="28"/>
          <w:sz w:val="28"/>
          <w:szCs w:val="28"/>
          <w:rtl w:val="true"/>
          <w:lang w:bidi="ar-SA"/>
        </w:rPr>
        <w:t xml:space="preserve">و لفظ صريح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غير آن محتاج به قرينۀ كافيه است در حكم به وقفيت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قصد وقفيّت با مَجازات بدون قرينه نمود،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دالّ بر تأبيد مقصود، پس در مورد توقف بر قبول، اظهر عدم تحقق عقد وقف است واقعاً و در ظاهر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صورت، تحقّق وقف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حكم به آن ننمايند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 و عدم آن خالى از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ثبوت وقفيت در واقع به آن، پس اقرار به آن، مثل عدم اقرار است، مگر آنكه متصل باشد و اقرار به وقف به كنايۀ خاصه باشد كه خودش صلاحيت قرينيّت دارد از اين جهت، نه از جهت خصوصيت اقرار و حكم آن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قصد وقف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كافى نيست در حصول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 نمايد بين آن دو با قرينۀ تأبيد و حصول قربت،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از اهل قبول، مبطل ايجاب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قبول در مورد قابل، به مناسبت عقديّت،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اعتبار لوازم عقديّت</w:t>
      </w:r>
      <w:r>
        <w:rPr>
          <w:rFonts w:eastAsia="IRNazanin" w:cs="IRNazanin"/>
          <w:color w:val="111111"/>
          <w:sz w:val="28"/>
          <w:szCs w:val="28"/>
          <w:rtl w:val="true"/>
          <w:lang w:bidi="fa-IR"/>
        </w:rPr>
        <w:t xml:space="preserve">. </w:t>
      </w:r>
      <w:bookmarkStart w:id="2079" w:name="pg10256_89678"/>
    </w:p>
    <w:p>
      <w:pPr>
        <w:pStyle w:val="BookText"/>
        <w:rPr/>
      </w:pPr>
      <w:bookmarkEnd w:id="2079"/>
      <w:r>
        <w:rPr>
          <w:rFonts w:ascii="IRNazanin" w:hAnsi="IRNazanin" w:eastAsia="IRNazanin"/>
          <w:color w:val="111111"/>
          <w:sz w:val="28"/>
          <w:sz w:val="28"/>
          <w:szCs w:val="28"/>
          <w:rtl w:val="true"/>
          <w:lang w:bidi="fa-IR"/>
        </w:rPr>
        <w:t>و هم چنين رعايت احتياط در قصد قربت به وقف، و در وقف بدون تقرب قصدى، ترك نشود</w:t>
      </w:r>
      <w:r>
        <w:rPr>
          <w:rFonts w:eastAsia="IRNazanin" w:cs="IRNazanin"/>
          <w:color w:val="111111"/>
          <w:sz w:val="28"/>
          <w:szCs w:val="28"/>
          <w:rtl w:val="true"/>
          <w:lang w:bidi="fa-IR"/>
        </w:rPr>
        <w:t>.</w:t>
      </w:r>
    </w:p>
    <w:p>
      <w:pPr>
        <w:pStyle w:val="Heading4"/>
        <w:numPr>
          <w:ilvl w:val="3"/>
          <w:numId w:val="1"/>
        </w:numPr>
        <w:rPr/>
      </w:pPr>
      <w:bookmarkStart w:id="2080" w:name="__RefHeading___Toc3599075_1067777946"/>
      <w:bookmarkStart w:id="2081" w:name="_Toc858"/>
      <w:bookmarkEnd w:id="2080"/>
      <w:r>
        <w:rPr>
          <w:rtl w:val="true"/>
        </w:rPr>
        <w:t>شرطيّت قبض در لزوم و صحت وقف</w:t>
      </w:r>
      <w:bookmarkEnd w:id="2081"/>
    </w:p>
    <w:p>
      <w:pPr>
        <w:pStyle w:val="BookText"/>
        <w:rPr/>
      </w:pPr>
      <w:r>
        <w:rPr>
          <w:rFonts w:ascii="IRNazanin" w:hAnsi="IRNazanin" w:eastAsia="IRNazanin"/>
          <w:color w:val="111111"/>
          <w:sz w:val="28"/>
          <w:sz w:val="28"/>
          <w:szCs w:val="28"/>
          <w:rtl w:val="true"/>
          <w:lang w:bidi="fa-IR"/>
        </w:rPr>
        <w:t>و قبض موقوف عليه يا آنكه قائم مقام او است، با اذن واقف، شرط لزوم وقف است؛ پس رجوع بعد از عقد وقف با ايجاب و قبول آن، قبل از قبض،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شرطيّت قبض در صحّت وقف و تأثير آن در ملكيّت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تماميّت عقد و تحقق اقباض، رجوع يا تغيير شرط از واقف جايز نيست</w:t>
      </w:r>
      <w:r>
        <w:rPr>
          <w:rFonts w:eastAsia="IRNazanin" w:cs="IRNazanin"/>
          <w:color w:val="111111"/>
          <w:sz w:val="28"/>
          <w:szCs w:val="28"/>
          <w:rtl w:val="true"/>
          <w:lang w:bidi="fa-IR"/>
        </w:rPr>
        <w:t>.</w:t>
      </w:r>
    </w:p>
    <w:p>
      <w:pPr>
        <w:pStyle w:val="Heading4"/>
        <w:numPr>
          <w:ilvl w:val="3"/>
          <w:numId w:val="1"/>
        </w:numPr>
        <w:rPr/>
      </w:pPr>
      <w:bookmarkStart w:id="2082" w:name="__RefHeading___Toc3599077_1067777946"/>
      <w:bookmarkStart w:id="2083" w:name="_Toc859"/>
      <w:bookmarkEnd w:id="2082"/>
      <w:r>
        <w:rPr>
          <w:rtl w:val="true"/>
        </w:rPr>
        <w:t>وقف در مرض موت</w:t>
      </w:r>
      <w:bookmarkEnd w:id="2083"/>
    </w:p>
    <w:p>
      <w:pPr>
        <w:pStyle w:val="BookText"/>
        <w:rPr/>
      </w:pPr>
      <w:r>
        <w:rPr>
          <w:rFonts w:ascii="IRNazanin" w:hAnsi="IRNazanin" w:eastAsia="IRNazanin"/>
          <w:color w:val="111111"/>
          <w:sz w:val="28"/>
          <w:sz w:val="28"/>
          <w:szCs w:val="28"/>
          <w:rtl w:val="true"/>
          <w:lang w:bidi="fa-IR"/>
        </w:rPr>
        <w:t xml:space="preserve">و اگر وقف در حال مرض موت باشد، پس نفوذ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اجازۀ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يا از ثلث، موقوف بر مختار در منجّزات مريض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وقف و هبه و بيع محاباتى، ايقاع نمود در مرض موت، و ورثه اجازه ندادند، و ثلث وفاى به همه نكرد، ابتداى به اوّل در ايقاع مى شود تا ثلث تمام شود بنا بر آنكه منجزات از ثلث نافذ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حال در وصاياى متعدده كه مجموع آنها ازيد از ثلث است، لكن در وصيتْ احتساب از ثلثْ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معلوم نشد سابق در ذكر، پس با احتمال عدم سبق و آنكه ذكر به عنوان يكى از سه بوده مثلاً، تقسيم ثلث بر همه به حصص، متّجه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ثابت شدن سبق و مجهول بودن سابق، احوط اختيار تعيين سابق با قرعه است</w:t>
      </w:r>
      <w:r>
        <w:rPr>
          <w:rFonts w:eastAsia="IRNazanin" w:cs="IRNazanin"/>
          <w:color w:val="111111"/>
          <w:sz w:val="28"/>
          <w:szCs w:val="28"/>
          <w:rtl w:val="true"/>
          <w:lang w:bidi="fa-IR"/>
        </w:rPr>
        <w:t>.</w:t>
      </w:r>
    </w:p>
    <w:p>
      <w:pPr>
        <w:pStyle w:val="Heading4"/>
        <w:numPr>
          <w:ilvl w:val="3"/>
          <w:numId w:val="1"/>
        </w:numPr>
        <w:rPr/>
      </w:pPr>
      <w:bookmarkStart w:id="2084" w:name="__RefHeading___Toc3599079_1067777946"/>
      <w:bookmarkStart w:id="2085" w:name="_Toc860"/>
      <w:bookmarkEnd w:id="2084"/>
      <w:r>
        <w:rPr>
          <w:rtl w:val="true"/>
        </w:rPr>
        <w:t>آنچه داخل در وقف مى شود</w:t>
      </w:r>
      <w:bookmarkEnd w:id="208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گوسفندى را مثلاً وقف كرد، اظهر عدم دخول صوف و شير در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موجود در حال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موقوف به عنوان تسبيل ثمره است، بلكه آنچه بعد متجدد باشد تسبيل به وقف مى شود مثل ميوۀ درخت و حمل</w:t>
      </w:r>
      <w:r>
        <w:rPr>
          <w:rFonts w:eastAsia="IRNazanin" w:cs="IRNazanin"/>
          <w:color w:val="111111"/>
          <w:sz w:val="28"/>
          <w:szCs w:val="28"/>
          <w:rtl w:val="true"/>
          <w:lang w:bidi="fa-IR"/>
        </w:rPr>
        <w:t xml:space="preserve">. </w:t>
      </w:r>
      <w:bookmarkStart w:id="2086" w:name="pg10256_89679"/>
    </w:p>
    <w:p>
      <w:pPr>
        <w:pStyle w:val="BookText"/>
        <w:rPr/>
      </w:pPr>
      <w:bookmarkEnd w:id="2086"/>
      <w:r>
        <w:rPr>
          <w:rFonts w:ascii="IRNazanin" w:hAnsi="IRNazanin" w:eastAsia="IRNazanin"/>
          <w:color w:val="111111"/>
          <w:sz w:val="28"/>
          <w:sz w:val="28"/>
          <w:szCs w:val="28"/>
          <w:rtl w:val="true"/>
          <w:lang w:bidi="fa-IR"/>
        </w:rPr>
        <w:t xml:space="preserve">و شاخه هاى درخت، به منزلۀ ثمرۀ آن يا 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درختها و شاخه ها به حسب زمان رسيدن قطع آنها يا نرسيدن يا گذشت زمان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موقوف عليه است مگر آنچه قطع شده باشد در زمان وقف يا استثنا شود قطع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اصل درخت روييده مى شود و درخت مى شود، نماى درخت است و ملك موقوف عليه است، يا آنكه داخل در عين موقوفه است، و به اختلاف درختها و محل آنها، مختلف مى شود</w:t>
      </w:r>
      <w:r>
        <w:rPr>
          <w:rFonts w:eastAsia="IRNazanin" w:cs="IRNazanin"/>
          <w:color w:val="111111"/>
          <w:sz w:val="28"/>
          <w:szCs w:val="28"/>
          <w:rtl w:val="true"/>
          <w:lang w:bidi="fa-IR"/>
        </w:rPr>
        <w:t>.</w:t>
      </w:r>
    </w:p>
    <w:p>
      <w:pPr>
        <w:pStyle w:val="Heading4"/>
        <w:numPr>
          <w:ilvl w:val="3"/>
          <w:numId w:val="1"/>
        </w:numPr>
        <w:rPr/>
      </w:pPr>
      <w:bookmarkStart w:id="2087" w:name="__RefHeading___Toc3599081_1067777946"/>
      <w:bookmarkStart w:id="2088" w:name="_Toc861"/>
      <w:bookmarkEnd w:id="2087"/>
      <w:r>
        <w:rPr>
          <w:rtl w:val="true"/>
        </w:rPr>
        <w:t>در شرايط موقوف است</w:t>
      </w:r>
      <w:bookmarkEnd w:id="2088"/>
    </w:p>
    <w:p>
      <w:pPr>
        <w:pStyle w:val="Heading5"/>
        <w:numPr>
          <w:ilvl w:val="4"/>
          <w:numId w:val="1"/>
        </w:numPr>
        <w:rPr/>
      </w:pPr>
      <w:bookmarkStart w:id="2089" w:name="__RefHeading___Toc3599083_1067777946"/>
      <w:bookmarkStart w:id="2090" w:name="_Toc862"/>
      <w:bookmarkEnd w:id="2089"/>
      <w:r>
        <w:rPr>
          <w:rtl w:val="true"/>
        </w:rPr>
        <w:t>ضابط موقوف</w:t>
      </w:r>
      <w:bookmarkEnd w:id="2090"/>
    </w:p>
    <w:p>
      <w:pPr>
        <w:pStyle w:val="BookText"/>
        <w:rPr/>
      </w:pPr>
      <w:r>
        <w:rPr>
          <w:rFonts w:ascii="IRNazanin" w:hAnsi="IRNazanin" w:eastAsia="IRNazanin"/>
          <w:color w:val="111111"/>
          <w:sz w:val="28"/>
          <w:sz w:val="28"/>
          <w:szCs w:val="28"/>
          <w:rtl w:val="true"/>
          <w:lang w:bidi="fa-IR"/>
        </w:rPr>
        <w:t>صحيح است وقف عين شخصيّه كه قابل انتفاع با بقاى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وقف آنچه در ذمّه ثابت است، يا وقف كلّى فى المعين با تكميل وقف با قبضِ موجبِ تعيين در عين خارجيه، پس جواز آن با شروط ديگر،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نيست وقف منفعت، چنانچه از تعريف وقف ظاهر شد</w:t>
      </w:r>
      <w:r>
        <w:rPr>
          <w:rFonts w:eastAsia="IRNazanin" w:cs="IRNazanin"/>
          <w:color w:val="111111"/>
          <w:sz w:val="28"/>
          <w:szCs w:val="28"/>
          <w:rtl w:val="true"/>
          <w:lang w:bidi="fa-IR"/>
        </w:rPr>
        <w:t>.</w:t>
      </w:r>
    </w:p>
    <w:p>
      <w:pPr>
        <w:pStyle w:val="Heading5"/>
        <w:numPr>
          <w:ilvl w:val="4"/>
          <w:numId w:val="1"/>
        </w:numPr>
        <w:rPr/>
      </w:pPr>
      <w:bookmarkStart w:id="2091" w:name="__RefHeading___Toc3599085_1067777946"/>
      <w:bookmarkStart w:id="2092" w:name="_Toc863"/>
      <w:bookmarkEnd w:id="2091"/>
      <w:r>
        <w:rPr>
          <w:rtl w:val="true"/>
        </w:rPr>
        <w:t>لزوم داشتن منفعت محلّلۀ غير تالفۀ عين</w:t>
      </w:r>
      <w:bookmarkEnd w:id="2092"/>
    </w:p>
    <w:p>
      <w:pPr>
        <w:pStyle w:val="BookText"/>
        <w:rPr/>
      </w:pPr>
      <w:r>
        <w:rPr>
          <w:rFonts w:ascii="IRNazanin" w:hAnsi="IRNazanin" w:eastAsia="IRNazanin"/>
          <w:color w:val="111111"/>
          <w:sz w:val="28"/>
          <w:sz w:val="28"/>
          <w:szCs w:val="28"/>
          <w:rtl w:val="true"/>
          <w:lang w:bidi="fa-IR"/>
        </w:rPr>
        <w:t xml:space="preserve">و فرقى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ضابطِ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زمينها و جامه ها و فرش و قنديل و آلات مباحه كه منافع محلّله 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منقول و غير آن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تأبيد لازم، مراد از آن، عمر عين است اگر چه كوتاه باشد، مثل يك دسته گل يا ريحان؛ پس آنچه منفعت ندارد يا منفعت آن محلَّل نيست يا آنكه منفعت آن در اتلاف آن است مثل مأكولات، وقف بر آنها صحيح يا معقول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فعليّت انتفاع لازم نيست، بلكه تهيؤ كافى است، مثل وقف صغير از كنيز و غلام براى انتفاعات بعد</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3599087_1067777946"/>
      <w:bookmarkStart w:id="2094" w:name="_Toc864"/>
      <w:bookmarkEnd w:id="2093"/>
      <w:r>
        <w:rPr>
          <w:rtl w:val="true"/>
        </w:rPr>
        <w:t>وقف كلاب مملوكه</w:t>
      </w:r>
      <w:bookmarkEnd w:id="209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وقف سگهاى مملوكه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كلب صيد و زرع و گلۀ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بلكه </w:t>
      </w:r>
      <w:bookmarkStart w:id="2095" w:name="pg10256_89680"/>
    </w:p>
    <w:p>
      <w:pPr>
        <w:pStyle w:val="BookText"/>
        <w:rPr/>
      </w:pPr>
      <w:bookmarkEnd w:id="2095"/>
      <w:r>
        <w:rPr>
          <w:rFonts w:ascii="Amiri" w:hAnsi="Amiri" w:eastAsia="Amiri" w:cs="Amiri"/>
          <w:color w:val="111111"/>
          <w:sz w:val="28"/>
          <w:sz w:val="28"/>
          <w:szCs w:val="28"/>
          <w:rtl w:val="true"/>
          <w:lang w:bidi="ar-SA"/>
        </w:rPr>
        <w:t>وقف اينها جايز است بدون ابتناى بر قول به ملك؛ به خلاف غير اينها كه منافع محلّله ندارند، مثل كلب هراش، و مثل خنزير نسبت به مسلمانان، به خلاف وقف كافر آن را بر كفار</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3599089_1067777946"/>
      <w:bookmarkStart w:id="2097" w:name="_Toc865"/>
      <w:bookmarkEnd w:id="2096"/>
      <w:r>
        <w:rPr>
          <w:rtl w:val="true"/>
        </w:rPr>
        <w:t>لزوم قدرت بر تسليم با تسلّم عين موقوفه</w:t>
      </w:r>
      <w:bookmarkEnd w:id="2097"/>
    </w:p>
    <w:p>
      <w:pPr>
        <w:pStyle w:val="BookText"/>
        <w:rPr/>
      </w:pPr>
      <w:r>
        <w:rPr>
          <w:rFonts w:ascii="IRNazanin" w:hAnsi="IRNazanin" w:eastAsia="IRNazanin"/>
          <w:color w:val="111111"/>
          <w:sz w:val="28"/>
          <w:sz w:val="28"/>
          <w:szCs w:val="28"/>
          <w:rtl w:val="true"/>
          <w:lang w:bidi="fa-IR"/>
        </w:rPr>
        <w:t>و بايد قدرت بر تسليم با تسلّم عين موقوفه حاصل باشد؛ پس وقف آبقْ صحيح نيست و هم چنين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تعقّب وقف به قبض و تسلّم، كافى در صحّت آن است</w:t>
      </w:r>
      <w:r>
        <w:rPr>
          <w:rFonts w:eastAsia="IRNazanin" w:cs="IRNazanin"/>
          <w:color w:val="111111"/>
          <w:sz w:val="28"/>
          <w:szCs w:val="28"/>
          <w:rtl w:val="true"/>
          <w:lang w:bidi="fa-IR"/>
        </w:rPr>
        <w:t>.</w:t>
      </w:r>
    </w:p>
    <w:p>
      <w:pPr>
        <w:pStyle w:val="Heading5"/>
        <w:numPr>
          <w:ilvl w:val="4"/>
          <w:numId w:val="1"/>
        </w:numPr>
        <w:rPr/>
      </w:pPr>
      <w:bookmarkStart w:id="2098" w:name="__RefHeading___Toc3599091_1067777946"/>
      <w:bookmarkStart w:id="2099" w:name="_Toc866"/>
      <w:bookmarkEnd w:id="2098"/>
      <w:r>
        <w:rPr>
          <w:rtl w:val="true"/>
        </w:rPr>
        <w:t>وقف درهم و دينار و زيور</w:t>
      </w:r>
      <w:bookmarkEnd w:id="2099"/>
    </w:p>
    <w:p>
      <w:pPr>
        <w:pStyle w:val="BookText"/>
        <w:rPr/>
      </w:pPr>
      <w:r>
        <w:rPr>
          <w:rFonts w:ascii="IRNazanin" w:hAnsi="IRNazanin" w:eastAsia="IRNazanin"/>
          <w:color w:val="111111"/>
          <w:sz w:val="28"/>
          <w:sz w:val="28"/>
          <w:szCs w:val="28"/>
          <w:rtl w:val="true"/>
          <w:lang w:bidi="fa-IR"/>
        </w:rPr>
        <w:t xml:space="preserve">و وقف درهم و دينار با رعايت ضابط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دوام منفعت محلّله اگر چه تزيين و مثل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زيور مثل ساير اثاث و آلات مانعى ندارد</w:t>
      </w:r>
      <w:r>
        <w:rPr>
          <w:rFonts w:eastAsia="IRNazanin" w:cs="IRNazanin"/>
          <w:color w:val="111111"/>
          <w:sz w:val="28"/>
          <w:szCs w:val="28"/>
          <w:rtl w:val="true"/>
          <w:lang w:bidi="fa-IR"/>
        </w:rPr>
        <w:t>.</w:t>
      </w:r>
    </w:p>
    <w:p>
      <w:pPr>
        <w:pStyle w:val="Heading5"/>
        <w:numPr>
          <w:ilvl w:val="4"/>
          <w:numId w:val="1"/>
        </w:numPr>
        <w:rPr/>
      </w:pPr>
      <w:bookmarkStart w:id="2100" w:name="__RefHeading___Toc3599093_1067777946"/>
      <w:bookmarkStart w:id="2101" w:name="_Toc867"/>
      <w:bookmarkEnd w:id="2100"/>
      <w:r>
        <w:rPr>
          <w:rtl w:val="true"/>
        </w:rPr>
        <w:t>وقف مال غير</w:t>
      </w:r>
      <w:bookmarkEnd w:id="2101"/>
    </w:p>
    <w:p>
      <w:pPr>
        <w:pStyle w:val="BookText"/>
        <w:rPr/>
      </w:pPr>
      <w:r>
        <w:rPr>
          <w:rFonts w:ascii="IRNazanin" w:hAnsi="IRNazanin" w:eastAsia="IRNazanin"/>
          <w:color w:val="111111"/>
          <w:sz w:val="28"/>
          <w:sz w:val="28"/>
          <w:szCs w:val="28"/>
          <w:rtl w:val="true"/>
          <w:lang w:bidi="fa-IR"/>
        </w:rPr>
        <w:t>و وقف مال غير با حصول تقرب به نحو مناسب، مثل احتمال اجازه و تقرب احتمالى به وقف از مالك، با تعقّب به اجازۀ مالك، صحيح است؛ و بدون قربت، محل تأمل است چنانچه گذشت</w:t>
      </w:r>
      <w:r>
        <w:rPr>
          <w:rFonts w:eastAsia="IRNazanin" w:cs="IRNazanin"/>
          <w:color w:val="111111"/>
          <w:sz w:val="28"/>
          <w:szCs w:val="28"/>
          <w:rtl w:val="true"/>
          <w:lang w:bidi="fa-IR"/>
        </w:rPr>
        <w:t>.</w:t>
      </w:r>
    </w:p>
    <w:p>
      <w:pPr>
        <w:pStyle w:val="Heading5"/>
        <w:numPr>
          <w:ilvl w:val="4"/>
          <w:numId w:val="1"/>
        </w:numPr>
        <w:rPr/>
      </w:pPr>
      <w:bookmarkStart w:id="2102" w:name="__RefHeading___Toc3599095_1067777946"/>
      <w:bookmarkStart w:id="2103" w:name="_Toc868"/>
      <w:bookmarkEnd w:id="2102"/>
      <w:r>
        <w:rPr>
          <w:rtl w:val="true"/>
        </w:rPr>
        <w:t>وقف مشاع و مدبَّر و عين مستأجره</w:t>
      </w:r>
      <w:bookmarkEnd w:id="2103"/>
    </w:p>
    <w:p>
      <w:pPr>
        <w:pStyle w:val="BookText"/>
        <w:rPr/>
      </w:pPr>
      <w:r>
        <w:rPr>
          <w:rFonts w:ascii="Amiri" w:hAnsi="Amiri" w:eastAsia="Amiri" w:cs="Amiri"/>
          <w:color w:val="111111"/>
          <w:sz w:val="28"/>
          <w:sz w:val="28"/>
          <w:szCs w:val="28"/>
          <w:rtl w:val="true"/>
          <w:lang w:bidi="ar-SA"/>
        </w:rPr>
        <w:t>و وقف مشاع جايز است و قبض آن مثل قبض مبيع مشاع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مدبَّر جايز است و رجوع از تدبير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وقف عين مستأجَره، از مالك عين براى منافع بعد از انقضاى مدت،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وصيت به منافع عين تا يك سال مثلاً نموده باشد بعد اجاره بدهد مالك فعلى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جايز نيست براى انتفاع در زمان تعلّق حق رهن يا حقوق دُيّان مفلّس</w:t>
      </w:r>
      <w:r>
        <w:rPr>
          <w:rFonts w:eastAsia="Amiri" w:cs="Amiri" w:ascii="Amiri" w:hAnsi="Amiri"/>
          <w:color w:val="111111"/>
          <w:sz w:val="28"/>
          <w:szCs w:val="28"/>
          <w:rtl w:val="true"/>
          <w:lang w:bidi="ar-SA"/>
        </w:rPr>
        <w:t xml:space="preserve">. </w:t>
      </w:r>
      <w:bookmarkStart w:id="2104" w:name="pg10256_89681"/>
    </w:p>
    <w:p>
      <w:pPr>
        <w:pStyle w:val="Heading4"/>
        <w:numPr>
          <w:ilvl w:val="3"/>
          <w:numId w:val="1"/>
        </w:numPr>
        <w:rPr/>
      </w:pPr>
      <w:bookmarkStart w:id="2105" w:name="__RefHeading___Toc3599097_1067777946"/>
      <w:bookmarkStart w:id="2106" w:name="_Toc869"/>
      <w:bookmarkEnd w:id="2104"/>
      <w:bookmarkEnd w:id="2105"/>
      <w:r>
        <w:rPr>
          <w:rtl w:val="true"/>
        </w:rPr>
        <w:t>در شرايط واقف است</w:t>
      </w:r>
      <w:bookmarkEnd w:id="2106"/>
    </w:p>
    <w:p>
      <w:pPr>
        <w:pStyle w:val="Heading5"/>
        <w:numPr>
          <w:ilvl w:val="4"/>
          <w:numId w:val="1"/>
        </w:numPr>
        <w:rPr/>
      </w:pPr>
      <w:bookmarkStart w:id="2107" w:name="__RefHeading___Toc3599099_1067777946"/>
      <w:bookmarkStart w:id="2108" w:name="_Toc870"/>
      <w:bookmarkEnd w:id="2107"/>
      <w:r>
        <w:rPr>
          <w:rtl w:val="true"/>
        </w:rPr>
        <w:t>بلوغ و جواز تصرّف</w:t>
      </w:r>
      <w:bookmarkEnd w:id="2108"/>
    </w:p>
    <w:p>
      <w:pPr>
        <w:pStyle w:val="BookText"/>
        <w:rPr/>
      </w:pPr>
      <w:r>
        <w:rPr>
          <w:rFonts w:ascii="IRNazanin" w:hAnsi="IRNazanin" w:eastAsia="IRNazanin"/>
          <w:color w:val="111111"/>
          <w:sz w:val="28"/>
          <w:sz w:val="28"/>
          <w:szCs w:val="28"/>
          <w:rtl w:val="true"/>
          <w:lang w:bidi="fa-IR"/>
        </w:rPr>
        <w:t>معتبر است در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سبب كمال عقل و رشد؛ پس صبىّ‌، وقف او صحيح نيست اگر چه مميز باشد؛ و هم چنين مجنون و محجور عليه براى سفه يا افلاس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تأخر اجازه،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وقف پسر ده ساله ترك نشود</w:t>
      </w:r>
      <w:r>
        <w:rPr>
          <w:rFonts w:eastAsia="IRNazanin" w:cs="IRNazanin"/>
          <w:color w:val="111111"/>
          <w:sz w:val="28"/>
          <w:szCs w:val="28"/>
          <w:rtl w:val="true"/>
          <w:lang w:bidi="fa-IR"/>
        </w:rPr>
        <w:t>.</w:t>
      </w:r>
    </w:p>
    <w:p>
      <w:pPr>
        <w:pStyle w:val="Heading5"/>
        <w:numPr>
          <w:ilvl w:val="4"/>
          <w:numId w:val="1"/>
        </w:numPr>
        <w:rPr/>
      </w:pPr>
      <w:bookmarkStart w:id="2109" w:name="__RefHeading___Toc3599101_1067777946"/>
      <w:bookmarkStart w:id="2110" w:name="_Toc871"/>
      <w:bookmarkEnd w:id="2109"/>
      <w:r>
        <w:rPr>
          <w:rtl w:val="true"/>
        </w:rPr>
        <w:t>ناظر امين قرار دادن براى وقف</w:t>
      </w:r>
      <w:bookmarkEnd w:id="2110"/>
    </w:p>
    <w:p>
      <w:pPr>
        <w:pStyle w:val="BookText"/>
        <w:rPr/>
      </w:pPr>
      <w:r>
        <w:rPr>
          <w:rFonts w:ascii="Amiri" w:hAnsi="Amiri" w:eastAsia="Amiri" w:cs="Amiri"/>
          <w:color w:val="111111"/>
          <w:sz w:val="28"/>
          <w:sz w:val="28"/>
          <w:szCs w:val="28"/>
          <w:rtl w:val="true"/>
          <w:lang w:bidi="ar-SA"/>
        </w:rPr>
        <w:t>و جايز است واقف، نظر در وقف را براى خود يا غير، به استقلال يا اشتراك قرار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اعتبار عدالت در صورت ناظر قرار دادنِ غير، خلاف است، و اعتبار عدالت به معناى امانت در مقابل خيانت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عدالت راوى در مقابل كذب لهجه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شخص عادلى را ناظر قرار داد، پس اگر عدالت او زايل شد و بنا بر اعتبار عدالت يا عدالت خاصه گذاشتيم، حاكم ضميمه مى نمايد عادل يا امينى را با آن شخص؛ و اگر عدالت يا عدالت خاصه عود كرد، استقلال شخص مخصوص عود مى نمايد</w:t>
      </w:r>
      <w:r>
        <w:rPr>
          <w:rFonts w:eastAsia="IRNazanin" w:cs="IRNazanin"/>
          <w:color w:val="111111"/>
          <w:sz w:val="28"/>
          <w:szCs w:val="28"/>
          <w:rtl w:val="true"/>
          <w:lang w:bidi="fa-IR"/>
        </w:rPr>
        <w:t>.</w:t>
      </w:r>
    </w:p>
    <w:p>
      <w:pPr>
        <w:pStyle w:val="Heading5"/>
        <w:numPr>
          <w:ilvl w:val="4"/>
          <w:numId w:val="1"/>
        </w:numPr>
        <w:rPr/>
      </w:pPr>
      <w:bookmarkStart w:id="2111" w:name="__RefHeading___Toc3599103_1067777946"/>
      <w:bookmarkStart w:id="2112" w:name="_Toc872"/>
      <w:bookmarkEnd w:id="2111"/>
      <w:r>
        <w:rPr>
          <w:rtl w:val="true"/>
        </w:rPr>
        <w:t>عدم جواز عزل ناظر با فرض قبول موقوف عليه</w:t>
      </w:r>
      <w:bookmarkEnd w:id="2112"/>
    </w:p>
    <w:p>
      <w:pPr>
        <w:pStyle w:val="BookText"/>
        <w:rPr/>
      </w:pPr>
      <w:r>
        <w:rPr>
          <w:rFonts w:ascii="IRNazanin" w:hAnsi="IRNazanin" w:eastAsia="IRNazanin"/>
          <w:color w:val="111111"/>
          <w:sz w:val="28"/>
          <w:sz w:val="28"/>
          <w:szCs w:val="28"/>
          <w:rtl w:val="true"/>
          <w:lang w:bidi="fa-IR"/>
        </w:rPr>
        <w:t>اگر ناظرى در وقف تعيين شد و موقوف عليه يا قائم مقام او قبول كرد، عزل او از طرف واقف يا موقوف عليه جايز نيست از روى اختيار بدون عذر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واقف مطلقا تأثيرى ندارد</w:t>
      </w:r>
      <w:r>
        <w:rPr>
          <w:rFonts w:eastAsia="IRNazanin" w:cs="IRNazanin"/>
          <w:color w:val="111111"/>
          <w:sz w:val="28"/>
          <w:szCs w:val="28"/>
          <w:rtl w:val="true"/>
          <w:lang w:bidi="fa-IR"/>
        </w:rPr>
        <w:t>.</w:t>
      </w:r>
    </w:p>
    <w:p>
      <w:pPr>
        <w:pStyle w:val="Heading5"/>
        <w:numPr>
          <w:ilvl w:val="4"/>
          <w:numId w:val="1"/>
        </w:numPr>
        <w:rPr/>
      </w:pPr>
      <w:bookmarkStart w:id="2113" w:name="__RefHeading___Toc3599105_1067777946"/>
      <w:bookmarkStart w:id="2114" w:name="_Toc873"/>
      <w:bookmarkEnd w:id="2113"/>
      <w:r>
        <w:rPr>
          <w:rtl w:val="true"/>
        </w:rPr>
        <w:t>استقلال و اشتراك در فرض جعل دو ناظر</w:t>
      </w:r>
      <w:bookmarkEnd w:id="211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نفر را ناظر قرار داد، پس جواز استقلال براى هر يك، موقوف به جعل واقف و استظهار از عبارت او است؛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و عمرو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استقلال </w:t>
      </w:r>
      <w:bookmarkStart w:id="2115" w:name="pg10256_89682"/>
    </w:p>
    <w:p>
      <w:pPr>
        <w:pStyle w:val="BookText"/>
        <w:rPr/>
      </w:pPr>
      <w:bookmarkEnd w:id="2115"/>
      <w:r>
        <w:rPr>
          <w:rFonts w:ascii="IRNazanin" w:hAnsi="IRNazanin" w:eastAsia="IRNazanin"/>
          <w:color w:val="111111"/>
          <w:sz w:val="28"/>
          <w:sz w:val="28"/>
          <w:szCs w:val="28"/>
          <w:rtl w:val="true"/>
          <w:lang w:bidi="fa-IR"/>
        </w:rPr>
        <w:t>است، 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با عمرو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انضمام و اشتراك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اگر يكى عاجز شد يا وفات كرد، ديگرى مستقل نمى شود، بلكه محتاج به ضمّ امين حاكم است</w:t>
      </w:r>
      <w:r>
        <w:rPr>
          <w:rFonts w:eastAsia="IRNazanin" w:cs="IRNazanin"/>
          <w:color w:val="111111"/>
          <w:sz w:val="28"/>
          <w:szCs w:val="28"/>
          <w:rtl w:val="true"/>
          <w:lang w:bidi="fa-IR"/>
        </w:rPr>
        <w:t>.</w:t>
      </w:r>
    </w:p>
    <w:p>
      <w:pPr>
        <w:pStyle w:val="Heading5"/>
        <w:numPr>
          <w:ilvl w:val="4"/>
          <w:numId w:val="1"/>
        </w:numPr>
        <w:rPr/>
      </w:pPr>
      <w:bookmarkStart w:id="2116" w:name="__RefHeading___Toc3599107_1067777946"/>
      <w:bookmarkStart w:id="2117" w:name="_Toc874"/>
      <w:bookmarkEnd w:id="2116"/>
      <w:r>
        <w:rPr>
          <w:rtl w:val="true"/>
        </w:rPr>
        <w:t>وظيفه در صورت عدم تعيين ناظر توسّط واقف</w:t>
      </w:r>
      <w:bookmarkEnd w:id="2117"/>
    </w:p>
    <w:p>
      <w:pPr>
        <w:pStyle w:val="BookText"/>
        <w:rPr/>
      </w:pPr>
      <w:r>
        <w:rPr>
          <w:rFonts w:ascii="IRNazanin" w:hAnsi="IRNazanin" w:eastAsia="IRNazanin"/>
          <w:color w:val="111111"/>
          <w:sz w:val="28"/>
          <w:sz w:val="28"/>
          <w:szCs w:val="28"/>
          <w:rtl w:val="true"/>
          <w:lang w:bidi="fa-IR"/>
        </w:rPr>
        <w:t>و وظيفۀ ناظر، عمل به قرار واقف است كه در موقوف خاص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تعيين نكرد، آنچه متعارف است در خصوص آن موقوف و مربوط به ناظر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وظيفۀ حاكم است در صورت عدم ناظر، و آنها مقدماتِ انتفاعِ موقوف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انتفاع ايشان بعد از وصول منفعت به ايشان، مربوط به خود ايشان است بعد از فراغ از تعيين واقف، نه ناظر يا 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ولايت حاكم است در جميع موقوفات با عدم تعيين واقفْ ناظر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عدم وصول به حاكم، با عدول مؤمنين است، مثل اجارۀ ماضيه بر بطون متأخره و ساير مقدمات انتفاعات مربوطۀ به موقوفٌ عليهم</w:t>
      </w:r>
      <w:r>
        <w:rPr>
          <w:rFonts w:eastAsia="Amiri" w:cs="Amiri" w:ascii="Amiri" w:hAnsi="Amiri"/>
          <w:color w:val="111111"/>
          <w:sz w:val="28"/>
          <w:szCs w:val="28"/>
          <w:rtl w:val="true"/>
          <w:lang w:bidi="ar-SA"/>
        </w:rPr>
        <w:t>.</w:t>
      </w:r>
    </w:p>
    <w:p>
      <w:pPr>
        <w:pStyle w:val="Heading4"/>
        <w:numPr>
          <w:ilvl w:val="3"/>
          <w:numId w:val="1"/>
        </w:numPr>
        <w:rPr/>
      </w:pPr>
      <w:bookmarkStart w:id="2118" w:name="__RefHeading___Toc3599109_1067777946"/>
      <w:bookmarkStart w:id="2119" w:name="_Toc875"/>
      <w:bookmarkEnd w:id="2118"/>
      <w:r>
        <w:rPr>
          <w:rtl w:val="true"/>
        </w:rPr>
        <w:t>در شرايط موقوف عليه</w:t>
      </w:r>
      <w:bookmarkEnd w:id="2119"/>
    </w:p>
    <w:p>
      <w:pPr>
        <w:pStyle w:val="Heading5"/>
        <w:numPr>
          <w:ilvl w:val="4"/>
          <w:numId w:val="1"/>
        </w:numPr>
        <w:rPr/>
      </w:pPr>
      <w:bookmarkStart w:id="2120" w:name="__RefHeading___Toc3599111_1067777946"/>
      <w:bookmarkStart w:id="2121" w:name="_Toc876"/>
      <w:bookmarkEnd w:id="2120"/>
      <w:r>
        <w:rPr>
          <w:rtl w:val="true"/>
        </w:rPr>
        <w:t>اشاره</w:t>
      </w:r>
      <w:bookmarkEnd w:id="2121"/>
    </w:p>
    <w:p>
      <w:pPr>
        <w:pStyle w:val="BookText"/>
        <w:rPr/>
      </w:pPr>
      <w:r>
        <w:rPr>
          <w:rFonts w:ascii="Amiri" w:hAnsi="Amiri" w:eastAsia="Amiri" w:cs="Amiri"/>
          <w:color w:val="111111"/>
          <w:sz w:val="28"/>
          <w:sz w:val="28"/>
          <w:szCs w:val="28"/>
          <w:rtl w:val="true"/>
          <w:lang w:bidi="ar-SA"/>
        </w:rPr>
        <w:t xml:space="preserve">صحيح است وقف بر موجود در حال عقد وقف، و بر ساير طبقات معدومه به تبع موجودين، در صورتى كه موجودْ قابل تملّك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عبد و امه و حمل غير منفصل بنا بر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معيّن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مجهول و 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بر او حرام نباشد</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3599113_1067777946"/>
      <w:bookmarkStart w:id="2123" w:name="_Toc877"/>
      <w:bookmarkEnd w:id="2122"/>
      <w:r>
        <w:rPr>
          <w:rtl w:val="true"/>
        </w:rPr>
        <w:t>وقف بر معدوم در زمان وقف</w:t>
      </w:r>
      <w:bookmarkEnd w:id="212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وقف كرد بر معدوم در زمان وقف و بعد از او بر موجود در آن زمان و بعد از او اولاد آنها مثلاً، اظهر صحّت وقف است بر موجود و بعد از آن، و بطلان در اوّل است</w:t>
      </w:r>
      <w:r>
        <w:rPr>
          <w:rFonts w:eastAsia="IRNazanin" w:cs="IRNazanin"/>
          <w:color w:val="111111"/>
          <w:sz w:val="28"/>
          <w:szCs w:val="28"/>
          <w:rtl w:val="true"/>
          <w:lang w:bidi="fa-IR"/>
        </w:rPr>
        <w:t xml:space="preserve">. </w:t>
      </w:r>
      <w:bookmarkStart w:id="2124" w:name="pg10256_89683"/>
    </w:p>
    <w:p>
      <w:pPr>
        <w:pStyle w:val="Heading5"/>
        <w:numPr>
          <w:ilvl w:val="4"/>
          <w:numId w:val="1"/>
        </w:numPr>
        <w:rPr/>
      </w:pPr>
      <w:bookmarkStart w:id="2125" w:name="__RefHeading___Toc3599115_1067777946"/>
      <w:bookmarkStart w:id="2126" w:name="_Toc878"/>
      <w:bookmarkEnd w:id="2124"/>
      <w:bookmarkEnd w:id="2125"/>
      <w:r>
        <w:rPr>
          <w:rtl w:val="true"/>
        </w:rPr>
        <w:t>صحّت وقف بر تمامى مصالح</w:t>
      </w:r>
      <w:bookmarkEnd w:id="2126"/>
    </w:p>
    <w:p>
      <w:pPr>
        <w:pStyle w:val="BookText"/>
        <w:rPr/>
      </w:pPr>
      <w:r>
        <w:rPr>
          <w:rFonts w:ascii="IRNazanin" w:hAnsi="IRNazanin" w:eastAsia="IRNazanin"/>
          <w:color w:val="111111"/>
          <w:sz w:val="28"/>
          <w:sz w:val="28"/>
          <w:szCs w:val="28"/>
          <w:rtl w:val="true"/>
          <w:lang w:bidi="fa-IR"/>
        </w:rPr>
        <w:t>و صحيح است وقف بر قناطر و مساجد و مشاهد و خدّام آنها، و آنچه راجع به مصالح مسلمين و مؤمنين و بعض آنها است، با رعايت تأبيد</w:t>
      </w:r>
      <w:r>
        <w:rPr>
          <w:rFonts w:eastAsia="IRNazanin" w:cs="IRNazanin"/>
          <w:color w:val="111111"/>
          <w:sz w:val="28"/>
          <w:szCs w:val="28"/>
          <w:rtl w:val="true"/>
          <w:lang w:bidi="fa-IR"/>
        </w:rPr>
        <w:t>.</w:t>
      </w:r>
    </w:p>
    <w:p>
      <w:pPr>
        <w:pStyle w:val="Heading5"/>
        <w:numPr>
          <w:ilvl w:val="4"/>
          <w:numId w:val="1"/>
        </w:numPr>
        <w:rPr/>
      </w:pPr>
      <w:bookmarkStart w:id="2127" w:name="__RefHeading___Toc3599117_1067777946"/>
      <w:bookmarkStart w:id="2128" w:name="_Toc879"/>
      <w:bookmarkEnd w:id="2127"/>
      <w:r>
        <w:rPr>
          <w:rtl w:val="true"/>
        </w:rPr>
        <w:t>وقف بر كافر و عاصى و كتابت كتب ضلال</w:t>
      </w:r>
      <w:bookmarkEnd w:id="2128"/>
    </w:p>
    <w:p>
      <w:pPr>
        <w:pStyle w:val="BookText"/>
        <w:rPr/>
      </w:pPr>
      <w:r>
        <w:rPr>
          <w:rFonts w:ascii="IRNazanin" w:hAnsi="IRNazanin" w:eastAsia="IRNazanin"/>
          <w:color w:val="111111"/>
          <w:sz w:val="28"/>
          <w:sz w:val="28"/>
          <w:szCs w:val="28"/>
          <w:rtl w:val="true"/>
          <w:lang w:bidi="fa-IR"/>
        </w:rPr>
        <w:t>در جواز وقف مسلم بر كافر حربى اگر چه رحم باشد در صورت تعنون به عنوانِ تأليف ايشان به اسلام، و در صحّت وقف و بقاى آن،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و صحيح نيست بدون اين عنوان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وقف مسلم بر اهل ذمّه اگر چه رحم نباشد، پس اظهر جواز و صحّت آن است اگر معنوَن به عنوان محرّمى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موادّۀ كافر و معاونت بر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است وقف بر معابد اهل ذمّه؛ پس جايز و صحيح نيست از مسلمان، وقف بر آنها؛ و جايز و صحيح نيست وقف بر كمك دادن اهل زنا و ساير معاصى؛ و كتابت كتب محرّفه مثل تورات و انجيل متداول فعلى كه از كتب ضلال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وقف براى مصلحتى اعم از كتابت جايزه يا واجبۀ آنها، مثل كتابت براى نقض و احتجاج بر اهل اديان باطله؛ پس آنچه اعانت بر اثم يا كفر است، وقف بر آن جايز نيست؛ و آنچه مصلحت اسلام است، وقف بر آن جايز و صحيح است، و بر مصالح شاملۀ آن</w:t>
      </w:r>
      <w:r>
        <w:rPr>
          <w:rFonts w:eastAsia="IRNazanin" w:cs="IRNazanin"/>
          <w:color w:val="111111"/>
          <w:sz w:val="28"/>
          <w:szCs w:val="28"/>
          <w:rtl w:val="true"/>
          <w:lang w:bidi="fa-IR"/>
        </w:rPr>
        <w:t>.</w:t>
      </w:r>
    </w:p>
    <w:p>
      <w:pPr>
        <w:pStyle w:val="Heading5"/>
        <w:numPr>
          <w:ilvl w:val="4"/>
          <w:numId w:val="1"/>
        </w:numPr>
        <w:rPr/>
      </w:pPr>
      <w:bookmarkStart w:id="2129" w:name="__RefHeading___Toc3599119_1067777946"/>
      <w:bookmarkStart w:id="2130" w:name="_Toc880"/>
      <w:bookmarkEnd w:id="2129"/>
      <w:r>
        <w:rPr>
          <w:rtl w:val="true"/>
        </w:rPr>
        <w:t>وقف كفّار براى خودشان</w:t>
      </w:r>
      <w:bookmarkEnd w:id="2130"/>
    </w:p>
    <w:p>
      <w:pPr>
        <w:pStyle w:val="BookText"/>
        <w:rPr/>
      </w:pPr>
      <w:r>
        <w:rPr>
          <w:rFonts w:ascii="Amiri" w:hAnsi="Amiri" w:eastAsia="Amiri" w:cs="Amiri"/>
          <w:color w:val="111111"/>
          <w:sz w:val="28"/>
          <w:sz w:val="28"/>
          <w:szCs w:val="28"/>
          <w:rtl w:val="true"/>
          <w:lang w:bidi="ar-SA"/>
        </w:rPr>
        <w:t>و وقف كفّار براى معابد خودشان مطابق دين ايشان يا بر كتابت دو كتاب تحريف شده، جايز است به معناى اقرار اهل ذمّه بر دين آنها، نه صحّت واقعيّه كه با عدم جواز معونت بر تعبّديات اهل كفر جمع نمى شود با قطع نظر از شرطيّت قربت و اسلام بلكه ايمان در صحّت عبادات در واقع</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3599121_1067777946"/>
      <w:bookmarkStart w:id="2132" w:name="_Toc881"/>
      <w:bookmarkEnd w:id="2131"/>
      <w:r>
        <w:rPr>
          <w:rtl w:val="true"/>
        </w:rPr>
        <w:t>وقف مؤمن و كافر بر فقرا و انصراف آن</w:t>
      </w:r>
      <w:bookmarkEnd w:id="213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كرد مؤمن بر فقرا يا فقراى بلدى، منصرف به فقراى مسلمين بلكه مؤمنين </w:t>
      </w:r>
      <w:bookmarkStart w:id="2133" w:name="pg10256_89684"/>
    </w:p>
    <w:p>
      <w:pPr>
        <w:pStyle w:val="BookText"/>
        <w:rPr/>
      </w:pPr>
      <w:bookmarkEnd w:id="2133"/>
      <w:r>
        <w:rPr>
          <w:rFonts w:ascii="IRNazanin" w:hAnsi="IRNazanin" w:eastAsia="IRNazanin"/>
          <w:color w:val="111111"/>
          <w:sz w:val="28"/>
          <w:sz w:val="28"/>
          <w:szCs w:val="28"/>
          <w:rtl w:val="true"/>
          <w:lang w:bidi="fa-IR"/>
        </w:rPr>
        <w:t>مى شود اگر در بلدِ مخصوص همه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قسم بيش نيست، اظهر اختصاص به همان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كافر اگر وقف بر فقرا يا فقراى بلدى نمود، منصرف به فقراى اهل دين بلكه ملّتِ خاصه، خودش مى شود، با رعايت استثناى متقدّم؛ و اگر قرينه بر خلاف تخصيص بود، متّبع است</w:t>
      </w:r>
      <w:r>
        <w:rPr>
          <w:rFonts w:eastAsia="IRNazanin" w:cs="IRNazanin"/>
          <w:color w:val="111111"/>
          <w:sz w:val="28"/>
          <w:szCs w:val="28"/>
          <w:rtl w:val="true"/>
          <w:lang w:bidi="fa-IR"/>
        </w:rPr>
        <w:t>.</w:t>
      </w:r>
    </w:p>
    <w:p>
      <w:pPr>
        <w:pStyle w:val="Heading5"/>
        <w:numPr>
          <w:ilvl w:val="4"/>
          <w:numId w:val="1"/>
        </w:numPr>
        <w:rPr/>
      </w:pPr>
      <w:bookmarkStart w:id="2134" w:name="__RefHeading___Toc3599123_1067777946"/>
      <w:bookmarkStart w:id="2135" w:name="_Toc882"/>
      <w:bookmarkEnd w:id="2134"/>
      <w:r>
        <w:rPr>
          <w:rtl w:val="true"/>
        </w:rPr>
        <w:t>وقف بر مسلمين و انصراف آن</w:t>
      </w:r>
      <w:bookmarkEnd w:id="2135"/>
    </w:p>
    <w:p>
      <w:pPr>
        <w:pStyle w:val="BookText"/>
        <w:rPr/>
      </w:pPr>
      <w:r>
        <w:rPr>
          <w:rFonts w:ascii="IRNazanin" w:hAnsi="IRNazanin" w:eastAsia="IRNazanin"/>
          <w:color w:val="111111"/>
          <w:sz w:val="28"/>
          <w:sz w:val="28"/>
          <w:szCs w:val="28"/>
          <w:rtl w:val="true"/>
          <w:lang w:bidi="fa-IR"/>
        </w:rPr>
        <w:t xml:space="preserve">اگر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منصرف مى شود به همۀ معتقدين به صلات به سوى كعبۀ مقدّسه،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كفر به سببى از اسباب نشده باشند، مگر آنكه واقف از آنها باشد؛ و هم چنين هر كه محكوم به حكم آنها است از اطفال ايشان و مجانين ايشان و مستضعفين ايشان؛ و فرقى بين مرد و زن نيست اگر چه صيغۀ مسلمين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جارى است در وقف به آنها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عموم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در وقف بر كسانى كه اقرار بر دين خودشان نمى شود از همان ملّت</w:t>
      </w:r>
      <w:r>
        <w:rPr>
          <w:rFonts w:eastAsia="IRNazanin" w:cs="IRNazanin"/>
          <w:color w:val="111111"/>
          <w:sz w:val="28"/>
          <w:szCs w:val="28"/>
          <w:rtl w:val="true"/>
          <w:lang w:bidi="fa-IR"/>
        </w:rPr>
        <w:t>.</w:t>
      </w:r>
    </w:p>
    <w:p>
      <w:pPr>
        <w:pStyle w:val="Heading5"/>
        <w:numPr>
          <w:ilvl w:val="4"/>
          <w:numId w:val="1"/>
        </w:numPr>
        <w:rPr/>
      </w:pPr>
      <w:bookmarkStart w:id="2136" w:name="__RefHeading___Toc3599125_1067777946"/>
      <w:bookmarkStart w:id="2137" w:name="_Toc883"/>
      <w:bookmarkEnd w:id="2136"/>
      <w:r>
        <w:rPr>
          <w:rtl w:val="true"/>
        </w:rPr>
        <w:t>وقف بر مؤمنين</w:t>
      </w:r>
      <w:bookmarkEnd w:id="2137"/>
    </w:p>
    <w:p>
      <w:pPr>
        <w:pStyle w:val="BookText"/>
        <w:rPr/>
      </w:pPr>
      <w:r>
        <w:rPr>
          <w:rFonts w:ascii="IRNazanin" w:hAnsi="IRNazanin" w:eastAsia="IRNazanin"/>
          <w:color w:val="111111"/>
          <w:sz w:val="28"/>
          <w:sz w:val="28"/>
          <w:szCs w:val="28"/>
          <w:rtl w:val="true"/>
          <w:lang w:bidi="fa-IR"/>
        </w:rPr>
        <w:t xml:space="preserve">و اگر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رجوع مى شود در تعيين قصد واقف به اعتقاد او در متمّمات تصديق قلبى؛ پس اگر از اماميۀ اثنى عشريه است تعدّى از آنها نمى شود؛ و اگر تصريح به خلاف كرد، متّبع است؛ و اگر احاله به مؤمن واقعى كرد و دالّ بر آن را ذكر كرد، منصرف به اثنى عشريه مى شود</w:t>
      </w:r>
      <w:r>
        <w:rPr>
          <w:rFonts w:eastAsia="IRNazanin" w:cs="IRNazanin"/>
          <w:color w:val="111111"/>
          <w:sz w:val="28"/>
          <w:szCs w:val="28"/>
          <w:rtl w:val="true"/>
          <w:lang w:bidi="fa-IR"/>
        </w:rPr>
        <w:t>.</w:t>
      </w:r>
    </w:p>
    <w:p>
      <w:pPr>
        <w:pStyle w:val="Heading5"/>
        <w:numPr>
          <w:ilvl w:val="4"/>
          <w:numId w:val="1"/>
        </w:numPr>
        <w:rPr/>
      </w:pPr>
      <w:bookmarkStart w:id="2138" w:name="__RefHeading___Toc3599127_1067777946"/>
      <w:bookmarkStart w:id="2139" w:name="_Toc884"/>
      <w:bookmarkEnd w:id="2138"/>
      <w:r>
        <w:rPr>
          <w:rtl w:val="true"/>
        </w:rPr>
        <w:t>وقف بر شيعه و اماميّه</w:t>
      </w:r>
      <w:bookmarkEnd w:id="213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محمول مى شود بر فرقه اى از آنها كه واقف از آنها است، مگر با احالۀ به واقع، يا قرينۀ معمِّم به مطلق تقديم كنندۀ امير المؤمنين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يا مخصِّص به خصوص اثنى عشريّه كه اغلبِ شيعه از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قرينيّت بر مراد دارد با عدم 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تعبير به اماميّه نمايد</w:t>
      </w:r>
      <w:r>
        <w:rPr>
          <w:rFonts w:eastAsia="IRNazanin" w:cs="IRNazanin"/>
          <w:color w:val="111111"/>
          <w:sz w:val="28"/>
          <w:szCs w:val="28"/>
          <w:rtl w:val="true"/>
          <w:lang w:bidi="fa-IR"/>
        </w:rPr>
        <w:t xml:space="preserve">. </w:t>
      </w:r>
      <w:bookmarkStart w:id="2140" w:name="pg10256_89685"/>
    </w:p>
    <w:p>
      <w:pPr>
        <w:pStyle w:val="Heading5"/>
        <w:numPr>
          <w:ilvl w:val="4"/>
          <w:numId w:val="1"/>
        </w:numPr>
        <w:rPr/>
      </w:pPr>
      <w:bookmarkStart w:id="2141" w:name="__RefHeading___Toc3599129_1067777946"/>
      <w:bookmarkStart w:id="2142" w:name="_Toc885"/>
      <w:bookmarkEnd w:id="2140"/>
      <w:bookmarkEnd w:id="2141"/>
      <w:r>
        <w:rPr>
          <w:rtl w:val="true"/>
        </w:rPr>
        <w:t>وقف بر هاشميّين و علويّين</w:t>
      </w:r>
      <w:bookmarkEnd w:id="2142"/>
    </w:p>
    <w:p>
      <w:pPr>
        <w:pStyle w:val="BookText"/>
        <w:rPr/>
      </w:pPr>
      <w:r>
        <w:rPr>
          <w:rFonts w:ascii="IRNazanin" w:hAnsi="IRNazanin" w:eastAsia="IRNazanin"/>
          <w:color w:val="111111"/>
          <w:sz w:val="28"/>
          <w:sz w:val="28"/>
          <w:szCs w:val="28"/>
          <w:rtl w:val="true"/>
          <w:lang w:bidi="fa-IR"/>
        </w:rPr>
        <w:t xml:space="preserve">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مى شود كسانى كه منسوبند به هاشم 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ابنا يا اولاد فلان بگويد، اظهر دخول منسوب به توسّط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هر دو قسم بين مرد و زن نيست</w:t>
      </w:r>
      <w:r>
        <w:rPr>
          <w:rFonts w:eastAsia="IRNazanin" w:cs="IRNazanin"/>
          <w:color w:val="111111"/>
          <w:sz w:val="28"/>
          <w:szCs w:val="28"/>
          <w:rtl w:val="true"/>
          <w:lang w:bidi="fa-IR"/>
        </w:rPr>
        <w:t>.</w:t>
      </w:r>
    </w:p>
    <w:p>
      <w:pPr>
        <w:pStyle w:val="Heading5"/>
        <w:numPr>
          <w:ilvl w:val="4"/>
          <w:numId w:val="1"/>
        </w:numPr>
        <w:rPr/>
      </w:pPr>
      <w:bookmarkStart w:id="2143" w:name="__RefHeading___Toc3599131_1067777946"/>
      <w:bookmarkStart w:id="2144" w:name="_Toc886"/>
      <w:bookmarkEnd w:id="2143"/>
      <w:r>
        <w:rPr>
          <w:rtl w:val="true"/>
        </w:rPr>
        <w:t>وقف بر همسايه ها و ميزان صدق همسايه</w:t>
      </w:r>
      <w:bookmarkEnd w:id="2144"/>
    </w:p>
    <w:p>
      <w:pPr>
        <w:pStyle w:val="BookText"/>
        <w:rPr/>
      </w:pPr>
      <w:r>
        <w:rPr>
          <w:rFonts w:ascii="IRNazanin" w:hAnsi="IRNazanin" w:eastAsia="IRNazanin"/>
          <w:color w:val="111111"/>
          <w:sz w:val="28"/>
          <w:sz w:val="28"/>
          <w:szCs w:val="28"/>
          <w:rtl w:val="true"/>
          <w:lang w:bidi="fa-IR"/>
        </w:rPr>
        <w:t xml:space="preserve">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عرفِ واقف و وقف و موقوف است؛ و گاهى موافقت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از چهار جهت، 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چهار جهت مى نمايد، و گاهى مخالف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كافى است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سكنى، اعم از غصب و ملك متعلق به منفعت يا انتفاع؛ پس غاصب و مستأجر و مستعير و مالك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خارج شد به قصد رجوع نه اعراض، از جوار خارج نمى شود مگر با كثرت و طول مدت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خانه دارد و هر دو فى الجمله مسكون او است در سال، جار است 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ترتيب قسمت بايد از عبارت واقف استفاده شود كه براى صاحب عيال است، يا آنكه همه مساوى هستند؛ و اگر يكى دو خانه مثلاً در جوار دارد و هر دو فى الجمله مسكون او هستند، تكرار نمى شود قسمت بر او به عدد خانه ها</w:t>
      </w:r>
      <w:r>
        <w:rPr>
          <w:rFonts w:eastAsia="IRNazanin" w:cs="IRNazanin"/>
          <w:color w:val="111111"/>
          <w:sz w:val="28"/>
          <w:szCs w:val="28"/>
          <w:rtl w:val="true"/>
          <w:lang w:bidi="fa-IR"/>
        </w:rPr>
        <w:t>.</w:t>
      </w:r>
    </w:p>
    <w:p>
      <w:pPr>
        <w:pStyle w:val="Heading5"/>
        <w:numPr>
          <w:ilvl w:val="4"/>
          <w:numId w:val="1"/>
        </w:numPr>
        <w:rPr/>
      </w:pPr>
      <w:bookmarkStart w:id="2145" w:name="__RefHeading___Toc3599133_1067777946"/>
      <w:bookmarkStart w:id="2146" w:name="_Toc887"/>
      <w:bookmarkEnd w:id="2145"/>
      <w:r>
        <w:rPr>
          <w:rtl w:val="true"/>
        </w:rPr>
        <w:t>انتفاى مصلحت وقف</w:t>
      </w:r>
      <w:bookmarkEnd w:id="214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كرد به مصلحتى، پس منتفى شد آن مصلحت به نحوى كه قابل صَرف در جهت وقف نشد و فرض شد صحّت وقف مؤبّد، پس به تعذّر خصوصيت مصرف مذكور در وقف، باطل نمى شود وقف در بقا؛ بلكه منتفى مى شود خصوصيت مصرف از تعلّق وجوب به صرف در آن، و صرف مى شود موقوف در 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اقربيّت و شباهت با خصوصيّت اگر چه موافق احتياط است، لكن با لزوم عسر و مخالفت با اطلاق كلام اصحاب، اظهر عدم اطلاق وجوب آن است به نحوى </w:t>
      </w:r>
      <w:bookmarkStart w:id="2147" w:name="pg10256_89686"/>
    </w:p>
    <w:p>
      <w:pPr>
        <w:pStyle w:val="BookText"/>
        <w:rPr/>
      </w:pPr>
      <w:bookmarkEnd w:id="2147"/>
      <w:r>
        <w:rPr>
          <w:rFonts w:ascii="IRNazanin" w:hAnsi="IRNazanin" w:eastAsia="IRNazanin"/>
          <w:color w:val="111111"/>
          <w:sz w:val="28"/>
          <w:sz w:val="28"/>
          <w:szCs w:val="28"/>
          <w:rtl w:val="true"/>
          <w:lang w:bidi="fa-IR"/>
        </w:rPr>
        <w:t xml:space="preserve">كه فحصْ و انتظار واجب باشد؛ لكن احتياط با ميسوريّتِ صَرف در اقرب و اشبه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مسجدى با مسجد ديگر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نشود</w:t>
      </w:r>
      <w:r>
        <w:rPr>
          <w:rFonts w:eastAsia="IRNazanin" w:cs="IRNazanin"/>
          <w:color w:val="111111"/>
          <w:sz w:val="28"/>
          <w:szCs w:val="28"/>
          <w:rtl w:val="true"/>
          <w:lang w:bidi="fa-IR"/>
        </w:rPr>
        <w:t>.</w:t>
      </w:r>
    </w:p>
    <w:p>
      <w:pPr>
        <w:pStyle w:val="Heading5"/>
        <w:numPr>
          <w:ilvl w:val="4"/>
          <w:numId w:val="1"/>
        </w:numPr>
        <w:rPr/>
      </w:pPr>
      <w:bookmarkStart w:id="2148" w:name="__RefHeading___Toc3599135_1067777946"/>
      <w:bookmarkStart w:id="2149" w:name="_Toc888"/>
      <w:bookmarkEnd w:id="2148"/>
      <w:r>
        <w:rPr>
          <w:rtl w:val="true"/>
        </w:rPr>
        <w:t>وقف بر وجوه برّ</w:t>
      </w:r>
      <w:bookmarkEnd w:id="2149"/>
    </w:p>
    <w:p>
      <w:pPr>
        <w:pStyle w:val="BookText"/>
        <w:rPr/>
      </w:pPr>
      <w:r>
        <w:rPr>
          <w:rFonts w:ascii="IRNazanin" w:hAnsi="IRNazanin" w:eastAsia="IRNazanin"/>
          <w:color w:val="111111"/>
          <w:sz w:val="28"/>
          <w:sz w:val="28"/>
          <w:szCs w:val="28"/>
          <w:rtl w:val="true"/>
          <w:lang w:bidi="fa-IR"/>
        </w:rPr>
        <w:t xml:space="preserve">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مى شود به فقرا و بناى قناطر و مساجد و احداث و اصلاح قنوات براى عموم، يا عموم يك آبادى محتاج، و هر مصلحتى كه در آن تقرّب به خداى تعالى باشد</w:t>
      </w:r>
      <w:r>
        <w:rPr>
          <w:rFonts w:eastAsia="IRNazanin" w:cs="IRNazanin"/>
          <w:color w:val="111111"/>
          <w:sz w:val="28"/>
          <w:szCs w:val="28"/>
          <w:rtl w:val="true"/>
          <w:lang w:bidi="fa-IR"/>
        </w:rPr>
        <w:t>.</w:t>
      </w:r>
    </w:p>
    <w:p>
      <w:pPr>
        <w:pStyle w:val="Heading5"/>
        <w:numPr>
          <w:ilvl w:val="4"/>
          <w:numId w:val="1"/>
        </w:numPr>
        <w:rPr/>
      </w:pPr>
      <w:bookmarkStart w:id="2150" w:name="__RefHeading___Toc3599137_1067777946"/>
      <w:bookmarkStart w:id="2151" w:name="_Toc889"/>
      <w:bookmarkEnd w:id="2150"/>
      <w:r>
        <w:rPr>
          <w:rtl w:val="true"/>
        </w:rPr>
        <w:t>وقف بر مرتدّ</w:t>
      </w:r>
      <w:bookmarkEnd w:id="2151"/>
    </w:p>
    <w:p>
      <w:pPr>
        <w:pStyle w:val="BookText"/>
        <w:rPr/>
      </w:pPr>
      <w:r>
        <w:rPr>
          <w:rFonts w:ascii="Amiri" w:hAnsi="Amiri" w:eastAsia="Amiri" w:cs="Amiri"/>
          <w:color w:val="111111"/>
          <w:sz w:val="28"/>
          <w:sz w:val="28"/>
          <w:szCs w:val="28"/>
          <w:rtl w:val="true"/>
          <w:lang w:bidi="ar-SA"/>
        </w:rPr>
        <w:t>و وقف بر مرتدّ، مثل وقف بر حربى است، در عدم جواز به نحو مذكور در سابق</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3599139_1067777946"/>
      <w:bookmarkStart w:id="2153" w:name="_Toc890"/>
      <w:bookmarkEnd w:id="2152"/>
      <w:r>
        <w:rPr>
          <w:rtl w:val="true"/>
        </w:rPr>
        <w:t>عدم تعيين يا ترديد مصرف وقف</w:t>
      </w:r>
      <w:bookmarkEnd w:id="2153"/>
    </w:p>
    <w:p>
      <w:pPr>
        <w:pStyle w:val="BookText"/>
        <w:rPr/>
      </w:pPr>
      <w:r>
        <w:rPr>
          <w:rFonts w:ascii="IRNazanin" w:hAnsi="IRNazanin" w:eastAsia="IRNazanin"/>
          <w:color w:val="111111"/>
          <w:sz w:val="28"/>
          <w:sz w:val="28"/>
          <w:szCs w:val="28"/>
          <w:rtl w:val="true"/>
          <w:lang w:bidi="fa-IR"/>
        </w:rPr>
        <w:t>اگر وقف كرد و مصرفْ ذكر نكرد، يا ترديد در مصرف يا موقوفٌ عليه كرد،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دور نيست صحّت وقف بر اَحَد المشهدَين به نحوى كه منتج تخيير در صرف باشد و متميّز باشد موقوف عليه به عدم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مشهد، مثل تميّز ساير كليات، به خلاف آنكه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 فقط، كه حمل بر مستحق صدقه مى شود، يا آنكه ذكر برّ نمايد كه بر مطلق وجوه برّ حمل مى شود</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3599141_1067777946"/>
      <w:bookmarkStart w:id="2155" w:name="_Toc891"/>
      <w:bookmarkEnd w:id="2154"/>
      <w:r>
        <w:rPr>
          <w:rtl w:val="true"/>
        </w:rPr>
        <w:t>وقف بر اولاد و خويشان</w:t>
      </w:r>
      <w:bookmarkEnd w:id="2155"/>
    </w:p>
    <w:p>
      <w:pPr>
        <w:pStyle w:val="BookText"/>
        <w:rPr/>
      </w:pPr>
      <w:r>
        <w:rPr>
          <w:rFonts w:ascii="IRNazanin" w:hAnsi="IRNazanin" w:eastAsia="IRNazanin"/>
          <w:color w:val="111111"/>
          <w:sz w:val="28"/>
          <w:sz w:val="28"/>
          <w:szCs w:val="28"/>
          <w:rtl w:val="true"/>
          <w:lang w:bidi="fa-IR"/>
        </w:rPr>
        <w:t xml:space="preserve">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و خويشان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و زن داخل و متساوى هستند در نصيب، مگر با تصريح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قريب و بعيد و ابعد متساوى هستند مگر با دلالت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صيغه ظاهر در ذكور است، تعدّى به اناث نمى شود مگر با قرينه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اعمام و اخوال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متساوى مى شوند، مثل اولاد</w:t>
      </w:r>
      <w:r>
        <w:rPr>
          <w:rFonts w:eastAsia="IRNazanin" w:cs="IRNazanin"/>
          <w:color w:val="111111"/>
          <w:sz w:val="28"/>
          <w:szCs w:val="28"/>
          <w:rtl w:val="true"/>
          <w:lang w:bidi="fa-IR"/>
        </w:rPr>
        <w:t xml:space="preserve">. </w:t>
      </w:r>
      <w:bookmarkStart w:id="2156" w:name="pg10256_89687"/>
    </w:p>
    <w:p>
      <w:pPr>
        <w:pStyle w:val="Heading5"/>
        <w:numPr>
          <w:ilvl w:val="4"/>
          <w:numId w:val="1"/>
        </w:numPr>
        <w:rPr/>
      </w:pPr>
      <w:bookmarkStart w:id="2157" w:name="__RefHeading___Toc3599143_1067777946"/>
      <w:bookmarkStart w:id="2158" w:name="_Toc892"/>
      <w:bookmarkEnd w:id="2156"/>
      <w:bookmarkEnd w:id="2157"/>
      <w:r>
        <w:rPr>
          <w:rtl w:val="true"/>
        </w:rPr>
        <w:t>وقف بر اقرب مردم به او</w:t>
      </w:r>
      <w:bookmarkEnd w:id="2158"/>
    </w:p>
    <w:p>
      <w:pPr>
        <w:pStyle w:val="BookText"/>
        <w:rPr/>
      </w:pPr>
      <w:r>
        <w:rPr>
          <w:rFonts w:ascii="IRNazanin" w:hAnsi="IRNazanin" w:eastAsia="IRNazanin"/>
          <w:color w:val="111111"/>
          <w:sz w:val="28"/>
          <w:sz w:val="28"/>
          <w:szCs w:val="28"/>
          <w:rtl w:val="true"/>
          <w:lang w:bidi="fa-IR"/>
        </w:rPr>
        <w:t xml:space="preserve">و اگر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مردم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حمل بر اقرب در مراتب ارث مى شود با حفظ اقربيّت نَسَبيّه مثل ابوين و اولاد اگر چه نازل بشود، و بعد از آنها يعنى با نبودن آنها اِخوه و اجداد، و با نبودن آنها اعمام و اخوال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طبقه همۀ افراد آن مساوى هستند در نصيب مگر با تعيين تفضيل، اگر چه تفضيلْ متعلق به مفضول باشد در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متقرّب به ابوين، در تمام طبقات، مقدّم است بر متقرّب به يكى، به لحاظ ذكر اقربيت، و مانع است در اينجا به خلاف ارث؛ پس جمع مى شود بين ثابت در ارث و ثابت از مفهوم أقربيت</w:t>
      </w:r>
      <w:r>
        <w:rPr>
          <w:rFonts w:eastAsia="IRNazanin" w:cs="IRNazanin"/>
          <w:color w:val="111111"/>
          <w:sz w:val="28"/>
          <w:szCs w:val="28"/>
          <w:rtl w:val="true"/>
          <w:lang w:bidi="fa-IR"/>
        </w:rPr>
        <w:t>.</w:t>
      </w:r>
    </w:p>
    <w:p>
      <w:pPr>
        <w:pStyle w:val="Heading4"/>
        <w:numPr>
          <w:ilvl w:val="3"/>
          <w:numId w:val="1"/>
        </w:numPr>
        <w:rPr/>
      </w:pPr>
      <w:bookmarkStart w:id="2159" w:name="__RefHeading___Toc3599145_1067777946"/>
      <w:bookmarkStart w:id="2160" w:name="_Toc893"/>
      <w:bookmarkEnd w:id="2159"/>
      <w:r>
        <w:rPr>
          <w:rtl w:val="true"/>
        </w:rPr>
        <w:t>در شروط وقف است</w:t>
      </w:r>
      <w:bookmarkEnd w:id="2160"/>
    </w:p>
    <w:p>
      <w:pPr>
        <w:pStyle w:val="Heading5"/>
        <w:numPr>
          <w:ilvl w:val="4"/>
          <w:numId w:val="1"/>
        </w:numPr>
        <w:rPr/>
      </w:pPr>
      <w:bookmarkStart w:id="2161" w:name="__RefHeading___Toc3599147_1067777946"/>
      <w:bookmarkStart w:id="2162" w:name="_Toc894"/>
      <w:bookmarkEnd w:id="2161"/>
      <w:r>
        <w:rPr>
          <w:rtl w:val="true"/>
        </w:rPr>
        <w:t>دوام</w:t>
      </w:r>
      <w:bookmarkEnd w:id="2162"/>
    </w:p>
    <w:p>
      <w:pPr>
        <w:pStyle w:val="BookText"/>
        <w:rPr/>
      </w:pPr>
      <w:r>
        <w:rPr>
          <w:rFonts w:ascii="IRNazanin" w:hAnsi="IRNazanin" w:eastAsia="IRNazanin"/>
          <w:color w:val="111111"/>
          <w:sz w:val="28"/>
          <w:sz w:val="28"/>
          <w:szCs w:val="28"/>
          <w:rtl w:val="true"/>
          <w:lang w:bidi="fa-IR"/>
        </w:rPr>
        <w:t>معتبر است در صحّت وقف دوام، پس با توقيت به مدت و قصد وقف، باطل است، و اگر قصد حبس نمود صحيح است؛ و اگر قصد معلوم نشد، پس محمول بر وقف باطل يا حبس صحيح است، و اظهر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وقف كرد بر زيد مثلا و اعقاب او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باشند، اظهر صحّت آن است به عنوان وقف و خروج عين از ملك واقف، و بعد از انقراض آيا داخل در ملك واقف مى شود و وارث اوّل او و هكذا، يا ورثۀ او در زمان انقراض موقوف عليه، يا منتقل به ورثۀ موقوف عليه مى شود؟ اخير خالى از رجحان نيست، و با اين رجحانْ صرف در وجوه برّ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وقفْ منقطع الوسط باشد، احتمال صحّت در طرفين، يعنى معاملۀ آخر معاملۀ وسط،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احتمال در منقطع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معامله بشود ثانى معاملۀ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وجه نيست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كرد براى دو پسر خود و بعد براى فقرا، پس وفات كرد يكى از اين دو، اقرب صرف نصيب ميّت براى طبقۀ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به خلاف </w:t>
      </w:r>
      <w:bookmarkStart w:id="2163" w:name="pg10256_89688"/>
    </w:p>
    <w:p>
      <w:pPr>
        <w:pStyle w:val="BookText"/>
        <w:rPr/>
      </w:pPr>
      <w:bookmarkEnd w:id="2163"/>
      <w:r>
        <w:rPr>
          <w:rFonts w:ascii="Amiri" w:hAnsi="Amiri" w:eastAsia="Amiri" w:cs="Amiri"/>
          <w:color w:val="111111"/>
          <w:sz w:val="28"/>
          <w:sz w:val="28"/>
          <w:szCs w:val="28"/>
          <w:rtl w:val="true"/>
          <w:lang w:bidi="ar-SA"/>
        </w:rPr>
        <w:t>وقف بر اولاد خودش و بعد براى فقرا، كه آنكه باقى است تمام نصيب اولاد را حايز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وقف كرد تا مدتى مثل يك سال براى اولاد و بعد از آن مدت براى فقرا، صحيح است و منافى تأبيد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بر اولاد كرد و شرط كرد كه غلّه در سال اوّل، براى زيد باشد، متّبع است شرط، با عدم استيعاب مقصود به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كرد بر اولاد خودش و بعد از انقراض ايشان و اولاد ايشان براى مساكين، پس با استظهار دخول نافله،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 منقطع الوسط مى شود، و اقرب در اين قسم كه فاصلۀ زمانى دارد، بطلان وقف است رأساً</w:t>
      </w:r>
      <w:r>
        <w:rPr>
          <w:rFonts w:eastAsia="IRNazanin" w:cs="IRNazanin"/>
          <w:color w:val="111111"/>
          <w:sz w:val="28"/>
          <w:szCs w:val="28"/>
          <w:rtl w:val="true"/>
          <w:lang w:bidi="fa-IR"/>
        </w:rPr>
        <w:t>.</w:t>
      </w:r>
    </w:p>
    <w:p>
      <w:pPr>
        <w:pStyle w:val="Heading5"/>
        <w:numPr>
          <w:ilvl w:val="4"/>
          <w:numId w:val="1"/>
        </w:numPr>
        <w:rPr/>
      </w:pPr>
      <w:bookmarkStart w:id="2164" w:name="__RefHeading___Toc3599149_1067777946"/>
      <w:bookmarkStart w:id="2165" w:name="_Toc895"/>
      <w:bookmarkEnd w:id="2164"/>
      <w:r>
        <w:rPr>
          <w:rtl w:val="true"/>
        </w:rPr>
        <w:t>اعتبار تنجيز</w:t>
      </w:r>
      <w:bookmarkEnd w:id="2165"/>
    </w:p>
    <w:p>
      <w:pPr>
        <w:pStyle w:val="BookText"/>
        <w:rPr/>
      </w:pP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پس تعليق بر امر مستقبل اگر چه معلوم الحصول باشد، مبطل وقف است به نحوى كه مذكور خواهد شد؛ پس اگر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اذا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صحّت است در صورتى كه معلّقٌ عليه، معلوم الحصول باشد و علم موافق با واقع باشد، مثل 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ان كان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علم و موافقت با واقع</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3599151_1067777946"/>
      <w:bookmarkStart w:id="2167" w:name="_Toc896"/>
      <w:bookmarkEnd w:id="2166"/>
      <w:r>
        <w:rPr>
          <w:rtl w:val="true"/>
        </w:rPr>
        <w:t>اعتبار قبض</w:t>
      </w:r>
      <w:bookmarkEnd w:id="2167"/>
    </w:p>
    <w:p>
      <w:pPr>
        <w:pStyle w:val="BookText"/>
        <w:rPr/>
      </w:pPr>
      <w:r>
        <w:rPr>
          <w:rFonts w:ascii="IRNazanin" w:hAnsi="IRNazanin" w:eastAsia="IRNazanin"/>
          <w:color w:val="111111"/>
          <w:sz w:val="28"/>
          <w:sz w:val="28"/>
          <w:szCs w:val="28"/>
          <w:rtl w:val="true"/>
          <w:lang w:bidi="fa-IR"/>
        </w:rPr>
        <w:t xml:space="preserve">گذشت شرطيت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پس با موت واقف قبل از قبض، وقف باطل است، و ميراث است براى ورثۀ واقف</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در صورت طروّ جنون يا اغما، مگر آنكه قبض در حال اهليّت واقع شود و اختيار كاشفيّت آن را بنماييم؛ و در غير اين صورت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موت در نفس موقوف يا موقوف عليه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بطن اوّل قبل از قبض وفات كرد، پس صحّت وقف در بطن دوّم با قبض صحيح، خالى از وجه نيست</w:t>
      </w:r>
      <w:r>
        <w:rPr>
          <w:rFonts w:eastAsia="IRNazanin" w:cs="IRNazanin"/>
          <w:color w:val="111111"/>
          <w:sz w:val="28"/>
          <w:szCs w:val="28"/>
          <w:rtl w:val="true"/>
          <w:lang w:bidi="fa-IR"/>
        </w:rPr>
        <w:t xml:space="preserve">. </w:t>
      </w:r>
      <w:bookmarkStart w:id="2168" w:name="pg10256_89689"/>
    </w:p>
    <w:p>
      <w:pPr>
        <w:pStyle w:val="BookText"/>
        <w:rPr/>
      </w:pPr>
      <w:bookmarkEnd w:id="2168"/>
      <w:r>
        <w:rPr>
          <w:rFonts w:ascii="IRNazanin" w:hAnsi="IRNazanin" w:eastAsia="IRNazanin"/>
          <w:color w:val="111111"/>
          <w:sz w:val="28"/>
          <w:sz w:val="28"/>
          <w:szCs w:val="28"/>
          <w:rtl w:val="true"/>
          <w:lang w:bidi="fa-IR"/>
        </w:rPr>
        <w:t>قبض پدر صغير اگر موقوف عليه باشد، يا جدّ ابى او، براى وقف، كافى در تماميّت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قبض ساير اوليا، مثل وصىّ اب و جدّ 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چنين اگر موقوف در يد موقوف عليه به سببى جايز يا غير جايز بوده، لازم است در صحّت وقف، وقوع قبض در مرتبۀ استدامه با اذن و قصد وقف بودن</w:t>
      </w:r>
      <w:r>
        <w:rPr>
          <w:rFonts w:eastAsia="IRNazanin" w:cs="IRNazanin"/>
          <w:color w:val="111111"/>
          <w:sz w:val="28"/>
          <w:szCs w:val="28"/>
          <w:rtl w:val="true"/>
          <w:lang w:bidi="fa-IR"/>
        </w:rPr>
        <w:t>.</w:t>
      </w:r>
    </w:p>
    <w:p>
      <w:pPr>
        <w:pStyle w:val="Heading5"/>
        <w:numPr>
          <w:ilvl w:val="4"/>
          <w:numId w:val="1"/>
        </w:numPr>
        <w:rPr/>
      </w:pPr>
      <w:bookmarkStart w:id="2169" w:name="__RefHeading___Toc3599153_1067777946"/>
      <w:bookmarkStart w:id="2170" w:name="_Toc897"/>
      <w:bookmarkEnd w:id="2169"/>
      <w:r>
        <w:rPr>
          <w:rtl w:val="true"/>
        </w:rPr>
        <w:t>وقف بر نفس</w:t>
      </w:r>
      <w:bookmarkEnd w:id="2170"/>
    </w:p>
    <w:p>
      <w:pPr>
        <w:pStyle w:val="BookText"/>
        <w:rPr/>
      </w:pPr>
      <w:r>
        <w:rPr>
          <w:rFonts w:ascii="IRNazanin" w:hAnsi="IRNazanin" w:eastAsia="IRNazanin"/>
          <w:color w:val="111111"/>
          <w:sz w:val="28"/>
          <w:sz w:val="28"/>
          <w:szCs w:val="28"/>
          <w:rtl w:val="true"/>
          <w:lang w:bidi="fa-IR"/>
        </w:rPr>
        <w:t>صحيح نيست وقف بر نفس؛ و اگر وقف بر نفس و بعد از خود به غير كرد، اظهر صحّت وقف است در غير، و بطلان آن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وقف كرد بر خود و غير، اظهر صحّت وقف است در نصف راجع به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وقف كرد بر خود و فقرا، در نفس باطل است و در فقرا صحيح است، و در توزيع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را فقير نمى دانسته، اظهر صحّت وقف در نصف و مربوط بودن آن نصف به فقرا است</w:t>
      </w:r>
      <w:r>
        <w:rPr>
          <w:rFonts w:eastAsia="IRNazanin" w:cs="IRNazanin"/>
          <w:color w:val="111111"/>
          <w:sz w:val="28"/>
          <w:szCs w:val="28"/>
          <w:rtl w:val="true"/>
          <w:lang w:bidi="fa-IR"/>
        </w:rPr>
        <w:t>.</w:t>
      </w:r>
    </w:p>
    <w:p>
      <w:pPr>
        <w:pStyle w:val="Heading5"/>
        <w:numPr>
          <w:ilvl w:val="4"/>
          <w:numId w:val="1"/>
        </w:numPr>
        <w:rPr/>
      </w:pPr>
      <w:bookmarkStart w:id="2171" w:name="__RefHeading___Toc3599155_1067777946"/>
      <w:bookmarkStart w:id="2172" w:name="_Toc898"/>
      <w:bookmarkEnd w:id="2171"/>
      <w:r>
        <w:rPr>
          <w:rtl w:val="true"/>
        </w:rPr>
        <w:t>شرط انتفاع واقف و متعلّقين او در مدّتى يا ما دام الحياة</w:t>
      </w:r>
      <w:bookmarkEnd w:id="2172"/>
    </w:p>
    <w:p>
      <w:pPr>
        <w:pStyle w:val="BookText"/>
        <w:rPr/>
      </w:pPr>
      <w:r>
        <w:rPr>
          <w:rFonts w:ascii="IRNazanin" w:hAnsi="IRNazanin" w:eastAsia="IRNazanin"/>
          <w:color w:val="111111"/>
          <w:sz w:val="28"/>
          <w:sz w:val="28"/>
          <w:szCs w:val="28"/>
          <w:rtl w:val="true"/>
          <w:lang w:bidi="fa-IR"/>
        </w:rPr>
        <w:t xml:space="preserve">اگر شرط كرد واقف، انتفاع خودش و متعلّقين خود را، تا مدتى، اظهر صحّت وقف و شرط است با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تسبيل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عدم استيعاب شرط، منافع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شرط كند انتفاع مادام الحياة خودش را، كه مثل وقف عين مستأجره تا مدت طويله است</w:t>
      </w:r>
      <w:r>
        <w:rPr>
          <w:rFonts w:eastAsia="IRNazanin" w:cs="IRNazanin"/>
          <w:color w:val="111111"/>
          <w:sz w:val="28"/>
          <w:szCs w:val="28"/>
          <w:rtl w:val="true"/>
          <w:lang w:bidi="fa-IR"/>
        </w:rPr>
        <w:t>.</w:t>
      </w:r>
    </w:p>
    <w:p>
      <w:pPr>
        <w:pStyle w:val="Heading5"/>
        <w:numPr>
          <w:ilvl w:val="4"/>
          <w:numId w:val="1"/>
        </w:numPr>
        <w:rPr/>
      </w:pPr>
      <w:bookmarkStart w:id="2173" w:name="__RefHeading___Toc3599157_1067777946"/>
      <w:bookmarkStart w:id="2174" w:name="_Toc899"/>
      <w:bookmarkEnd w:id="2173"/>
      <w:r>
        <w:rPr>
          <w:rtl w:val="true"/>
        </w:rPr>
        <w:t>وقف بر عنوانى و دخول واقف در آن عنوان</w:t>
      </w:r>
      <w:bookmarkEnd w:id="217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واقف از آنها شد، جايز است انتفاع او مثل ساير فقرا 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از اوّل فقير يا فقيه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ساير اوقاف عامه اگر منطبق باشد يا بشود عنوان موقوف عليه بر شخص واقف، جايز است مشاركت واقف با ساير موقوف عليهم</w:t>
      </w:r>
      <w:r>
        <w:rPr>
          <w:rFonts w:eastAsia="IRNazanin" w:cs="IRNazanin"/>
          <w:color w:val="111111"/>
          <w:sz w:val="28"/>
          <w:szCs w:val="28"/>
          <w:rtl w:val="true"/>
          <w:lang w:bidi="fa-IR"/>
        </w:rPr>
        <w:t xml:space="preserve">. </w:t>
      </w:r>
      <w:bookmarkStart w:id="2175" w:name="pg10256_89690"/>
    </w:p>
    <w:p>
      <w:pPr>
        <w:pStyle w:val="Heading5"/>
        <w:numPr>
          <w:ilvl w:val="4"/>
          <w:numId w:val="1"/>
        </w:numPr>
        <w:rPr/>
      </w:pPr>
      <w:bookmarkStart w:id="2176" w:name="__RefHeading___Toc3599159_1067777946"/>
      <w:bookmarkStart w:id="2177" w:name="_Toc900"/>
      <w:bookmarkEnd w:id="2175"/>
      <w:bookmarkEnd w:id="2176"/>
      <w:r>
        <w:rPr>
          <w:rtl w:val="true"/>
        </w:rPr>
        <w:t>وقف بر جهتى و شرط عود در وقت احتياج</w:t>
      </w:r>
      <w:bookmarkEnd w:id="2177"/>
    </w:p>
    <w:p>
      <w:pPr>
        <w:pStyle w:val="BookText"/>
        <w:rPr/>
      </w:pPr>
      <w:r>
        <w:rPr>
          <w:rFonts w:ascii="IRNazanin" w:hAnsi="IRNazanin" w:eastAsia="IRNazanin"/>
          <w:color w:val="111111"/>
          <w:sz w:val="28"/>
          <w:sz w:val="28"/>
          <w:szCs w:val="28"/>
          <w:rtl w:val="true"/>
          <w:lang w:bidi="fa-IR"/>
        </w:rPr>
        <w:t>اگر وقف كرد بر جهتى و شرط كرد عود به واقف را در وقت احتياج او به موقوف، اظهر صحّت آن است به عنوان وقفيّت و عود آن در وقت حاجت، و پس از عود ميراث است با وفات واقف، و عود به وقفيّت به زوال حاجت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محتاج نشد تثبيت مى شود وقفيت آن به نحو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از وقف مشروط به عود در وقت حاجت، واسطۀ است بين وقف غير مشروط به آن و بين حبس، و از هر كدام حكمى را دارد</w:t>
      </w:r>
      <w:r>
        <w:rPr>
          <w:rFonts w:eastAsia="IRNazanin" w:cs="IRNazanin"/>
          <w:color w:val="111111"/>
          <w:sz w:val="28"/>
          <w:szCs w:val="28"/>
          <w:rtl w:val="true"/>
          <w:lang w:bidi="fa-IR"/>
        </w:rPr>
        <w:t>.</w:t>
      </w:r>
    </w:p>
    <w:p>
      <w:pPr>
        <w:pStyle w:val="Heading5"/>
        <w:numPr>
          <w:ilvl w:val="4"/>
          <w:numId w:val="1"/>
        </w:numPr>
        <w:rPr/>
      </w:pPr>
      <w:bookmarkStart w:id="2178" w:name="__RefHeading___Toc3599161_1067777946"/>
      <w:bookmarkStart w:id="2179" w:name="_Toc901"/>
      <w:bookmarkEnd w:id="2178"/>
      <w:r>
        <w:rPr>
          <w:rtl w:val="true"/>
        </w:rPr>
        <w:t>شرط اخراج واقف داخل در وقف را يا ادخال خارج از وقف را</w:t>
      </w:r>
      <w:bookmarkEnd w:id="2179"/>
    </w:p>
    <w:p>
      <w:pPr>
        <w:pStyle w:val="BookText"/>
        <w:rPr/>
      </w:pPr>
      <w:r>
        <w:rPr>
          <w:rFonts w:ascii="IRNazanin" w:hAnsi="IRNazanin" w:eastAsia="IRNazanin"/>
          <w:color w:val="111111"/>
          <w:sz w:val="28"/>
          <w:sz w:val="28"/>
          <w:szCs w:val="28"/>
          <w:rtl w:val="true"/>
          <w:lang w:bidi="fa-IR"/>
        </w:rPr>
        <w:t>اگر شرط كرد در وقف، اخراج واقف داخل را يا ادخال خارج را، جايز نيست شرط اوّل، و اظهر عدم صحّت شرط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اصل وقف در صورت عدم انحفاظ شروط آن، با اين شرط</w:t>
      </w:r>
      <w:r>
        <w:rPr>
          <w:rFonts w:eastAsia="IRNazanin" w:cs="IRNazanin"/>
          <w:color w:val="111111"/>
          <w:sz w:val="28"/>
          <w:szCs w:val="28"/>
          <w:rtl w:val="true"/>
          <w:lang w:bidi="fa-IR"/>
        </w:rPr>
        <w:t>.</w:t>
      </w:r>
    </w:p>
    <w:p>
      <w:pPr>
        <w:pStyle w:val="Heading5"/>
        <w:numPr>
          <w:ilvl w:val="4"/>
          <w:numId w:val="1"/>
        </w:numPr>
        <w:rPr/>
      </w:pPr>
      <w:bookmarkStart w:id="2180" w:name="__RefHeading___Toc3599163_1067777946"/>
      <w:bookmarkStart w:id="2181" w:name="_Toc902"/>
      <w:bookmarkEnd w:id="2180"/>
      <w:r>
        <w:rPr>
          <w:rtl w:val="true"/>
        </w:rPr>
        <w:t>شرط نقل از موقوف عليهم</w:t>
      </w:r>
      <w:bookmarkEnd w:id="2181"/>
    </w:p>
    <w:p>
      <w:pPr>
        <w:pStyle w:val="BookText"/>
        <w:rPr/>
      </w:pPr>
      <w:r>
        <w:rPr>
          <w:rFonts w:ascii="IRNazanin" w:hAnsi="IRNazanin" w:eastAsia="IRNazanin"/>
          <w:color w:val="111111"/>
          <w:sz w:val="28"/>
          <w:sz w:val="28"/>
          <w:szCs w:val="28"/>
          <w:rtl w:val="true"/>
          <w:lang w:bidi="fa-IR"/>
        </w:rPr>
        <w:t>و هم چنين جايز نيست شرط نقل وقف از موقوف عليهم به غير ايشان كه در زمان وقف موجود نيستند، كه شرط اخراج موقوف عليه و ادخال غير كه موجود نيستند در زمان وقف، مى باشد</w:t>
      </w:r>
      <w:r>
        <w:rPr>
          <w:rFonts w:eastAsia="IRNazanin" w:cs="IRNazanin"/>
          <w:color w:val="111111"/>
          <w:sz w:val="28"/>
          <w:szCs w:val="28"/>
          <w:rtl w:val="true"/>
          <w:lang w:bidi="fa-IR"/>
        </w:rPr>
        <w:t>.</w:t>
      </w:r>
    </w:p>
    <w:p>
      <w:pPr>
        <w:pStyle w:val="Heading5"/>
        <w:numPr>
          <w:ilvl w:val="4"/>
          <w:numId w:val="1"/>
        </w:numPr>
        <w:rPr/>
      </w:pPr>
      <w:bookmarkStart w:id="2182" w:name="__RefHeading___Toc3599165_1067777946"/>
      <w:bookmarkStart w:id="2183" w:name="_Toc903"/>
      <w:bookmarkEnd w:id="2182"/>
      <w:r>
        <w:rPr>
          <w:rtl w:val="true"/>
        </w:rPr>
        <w:t>وقف يك سال بر اولاد و يك سال بر علما و</w:t>
      </w:r>
      <w:r>
        <w:rPr>
          <w:rtl w:val="true"/>
        </w:rPr>
        <w:t>...</w:t>
      </w:r>
      <w:bookmarkEnd w:id="2183"/>
    </w:p>
    <w:p>
      <w:pPr>
        <w:pStyle w:val="BookText"/>
        <w:rPr/>
      </w:pPr>
      <w:r>
        <w:rPr>
          <w:rFonts w:ascii="IRNazanin" w:hAnsi="IRNazanin" w:eastAsia="IRNazanin"/>
          <w:color w:val="111111"/>
          <w:sz w:val="28"/>
          <w:sz w:val="28"/>
          <w:szCs w:val="28"/>
          <w:rtl w:val="true"/>
          <w:lang w:bidi="fa-IR"/>
        </w:rPr>
        <w:t>و اگر وقف كرد يك سال بر اولاد و يك سال بعد بر علما و بعد از دو سال بر ساير فقرا، اظهر صحّت است به جهت محفوظيت دوام در اصل وقف</w:t>
      </w:r>
      <w:r>
        <w:rPr>
          <w:rFonts w:eastAsia="IRNazanin" w:cs="IRNazanin"/>
          <w:color w:val="111111"/>
          <w:sz w:val="28"/>
          <w:szCs w:val="28"/>
          <w:rtl w:val="true"/>
          <w:lang w:bidi="fa-IR"/>
        </w:rPr>
        <w:t>.</w:t>
      </w:r>
    </w:p>
    <w:p>
      <w:pPr>
        <w:pStyle w:val="Heading5"/>
        <w:numPr>
          <w:ilvl w:val="4"/>
          <w:numId w:val="1"/>
        </w:numPr>
        <w:rPr/>
      </w:pPr>
      <w:bookmarkStart w:id="2184" w:name="__RefHeading___Toc3599167_1067777946"/>
      <w:bookmarkStart w:id="2185" w:name="_Toc904"/>
      <w:bookmarkEnd w:id="2184"/>
      <w:r>
        <w:rPr>
          <w:rtl w:val="true"/>
        </w:rPr>
        <w:t>وقف بر اولاد اصاغر و شرط داخل شدن متولد از او</w:t>
      </w:r>
      <w:bookmarkEnd w:id="218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بر اولاد اصاغر مثلا كرد و شرط كرد دخول هركه از او متولد بشود،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تشريك بدون شرط نمايد يا آنكه شرط تشريك نمايد به نحوى كه </w:t>
      </w:r>
      <w:bookmarkStart w:id="2186" w:name="pg10256_89691"/>
    </w:p>
    <w:p>
      <w:pPr>
        <w:pStyle w:val="BookText"/>
        <w:rPr/>
      </w:pPr>
      <w:bookmarkEnd w:id="2186"/>
      <w:r>
        <w:rPr>
          <w:rFonts w:ascii="Amiri" w:hAnsi="Amiri" w:eastAsia="Amiri" w:cs="Amiri"/>
          <w:color w:val="111111"/>
          <w:sz w:val="28"/>
          <w:sz w:val="28"/>
          <w:szCs w:val="28"/>
          <w:rtl w:val="true"/>
          <w:lang w:bidi="ar-SA"/>
        </w:rPr>
        <w:t>موقوف عليه با عمل به شرط و بدون آن متغير باشد، اظهر عدم صحّت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گذشت، قبض موقوف عليهم، شرط صحّت و لزوم است؛ و اگر موجودين از طبقۀ اوّل يا قائم مقام ايشان قبض كرد، وقف تامّ است؛ و قبض كسانى كه از اين طبقه متجدّد خواهند شد يا از طبقات بعديّه، قبض ايشان در تماميّت وقف مدخليّت ندارد</w:t>
      </w:r>
      <w:r>
        <w:rPr>
          <w:rFonts w:eastAsia="IRNazanin" w:cs="IRNazanin"/>
          <w:color w:val="111111"/>
          <w:sz w:val="28"/>
          <w:szCs w:val="28"/>
          <w:rtl w:val="true"/>
          <w:lang w:bidi="fa-IR"/>
        </w:rPr>
        <w:t>.</w:t>
      </w:r>
    </w:p>
    <w:p>
      <w:pPr>
        <w:pStyle w:val="Heading5"/>
        <w:numPr>
          <w:ilvl w:val="4"/>
          <w:numId w:val="1"/>
        </w:numPr>
        <w:rPr/>
      </w:pPr>
      <w:bookmarkStart w:id="2187" w:name="__RefHeading___Toc3599169_1067777946"/>
      <w:bookmarkStart w:id="2188" w:name="_Toc905"/>
      <w:bookmarkEnd w:id="2187"/>
      <w:r>
        <w:rPr>
          <w:rtl w:val="true"/>
        </w:rPr>
        <w:t>احتياط در قبض حاكم در وقف بر مصلحت يا بر فقرا و فقها</w:t>
      </w:r>
      <w:bookmarkEnd w:id="2188"/>
    </w:p>
    <w:p>
      <w:pPr>
        <w:pStyle w:val="BookText"/>
        <w:rPr/>
      </w:pPr>
      <w:r>
        <w:rPr>
          <w:rFonts w:ascii="IRNazanin" w:hAnsi="IRNazanin" w:eastAsia="IRNazanin"/>
          <w:color w:val="111111"/>
          <w:sz w:val="28"/>
          <w:sz w:val="28"/>
          <w:szCs w:val="28"/>
          <w:rtl w:val="true"/>
          <w:lang w:bidi="fa-IR"/>
        </w:rPr>
        <w:t xml:space="preserve">اگر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يا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احتياط در قبض حاكم شرع از جانب ايشان يا مأذون حاكم،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احتياط در قبول و قبض حاكم يا مأذون او است در وقف بر مصلحت، مثل قنطره يا مسجد</w:t>
      </w:r>
      <w:r>
        <w:rPr>
          <w:rFonts w:eastAsia="IRNazanin" w:cs="IRNazanin"/>
          <w:color w:val="111111"/>
          <w:sz w:val="28"/>
          <w:szCs w:val="28"/>
          <w:rtl w:val="true"/>
          <w:lang w:bidi="fa-IR"/>
        </w:rPr>
        <w:t>.</w:t>
      </w:r>
    </w:p>
    <w:p>
      <w:pPr>
        <w:pStyle w:val="Heading5"/>
        <w:numPr>
          <w:ilvl w:val="4"/>
          <w:numId w:val="1"/>
        </w:numPr>
        <w:rPr/>
      </w:pPr>
      <w:bookmarkStart w:id="2189" w:name="__RefHeading___Toc3599171_1067777946"/>
      <w:bookmarkStart w:id="2190" w:name="_Toc906"/>
      <w:bookmarkEnd w:id="2189"/>
      <w:r>
        <w:rPr>
          <w:rtl w:val="true"/>
        </w:rPr>
        <w:t>وقف مسجد و مقبره</w:t>
      </w:r>
      <w:bookmarkEnd w:id="2190"/>
    </w:p>
    <w:p>
      <w:pPr>
        <w:pStyle w:val="BookText"/>
        <w:rPr/>
      </w:pPr>
      <w:r>
        <w:rPr>
          <w:rFonts w:ascii="IRNazanin" w:hAnsi="IRNazanin" w:eastAsia="IRNazanin"/>
          <w:color w:val="111111"/>
          <w:sz w:val="28"/>
          <w:sz w:val="28"/>
          <w:szCs w:val="28"/>
          <w:rtl w:val="true"/>
          <w:lang w:bidi="fa-IR"/>
        </w:rPr>
        <w:t xml:space="preserve">و احوط در وقف مسجد و مقبره، رعايت آنچه ذكر فرموده اند كه كفايت نمازِ يكى با اذن واقف و دفن يكى با اذن واقف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مقتضاى قاعده است از قبض حاكم يا مأذون او كه ولايت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هم براى تعيين قبض در جهت وقف و با قصد آن است؛ پس هم اذنِ مطلقِ واقف باشد و هم نماز از مأذون حاكم باشد به قصد نماز در مسجد و دفن يكى به نحو مذكور با اذن هر دو، تا به نحو يقينْ وقف مسجد يا مدفن، تمام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اكتفا به معاطات در وقف مسجد به اذن در نماز در آن به عنوان مسجديت، بدون تلفّظ به عقد وقف با تمكّن از آن، و اشارۀ مُفهمه با عدم تمكّن، تأمل است</w:t>
      </w:r>
      <w:r>
        <w:rPr>
          <w:rFonts w:eastAsia="Amiri" w:cs="Amiri" w:ascii="Amiri" w:hAnsi="Amiri"/>
          <w:color w:val="111111"/>
          <w:sz w:val="28"/>
          <w:szCs w:val="28"/>
          <w:rtl w:val="true"/>
          <w:lang w:bidi="ar-SA"/>
        </w:rPr>
        <w:t xml:space="preserve">. </w:t>
      </w:r>
      <w:bookmarkStart w:id="2191" w:name="pg10256_89692"/>
    </w:p>
    <w:p>
      <w:pPr>
        <w:pStyle w:val="Heading3"/>
        <w:numPr>
          <w:ilvl w:val="2"/>
          <w:numId w:val="1"/>
        </w:numPr>
        <w:rPr/>
      </w:pPr>
      <w:bookmarkStart w:id="2192" w:name="__RefHeading___Toc3599173_1067777946"/>
      <w:bookmarkStart w:id="2193" w:name="_Toc907"/>
      <w:bookmarkEnd w:id="2191"/>
      <w:bookmarkEnd w:id="2192"/>
      <w:r>
        <w:rPr>
          <w:rtl w:val="true"/>
        </w:rPr>
        <w:t>فصل دوّم احكام وقف</w:t>
      </w:r>
      <w:bookmarkEnd w:id="2193"/>
    </w:p>
    <w:p>
      <w:pPr>
        <w:pStyle w:val="Heading4"/>
        <w:numPr>
          <w:ilvl w:val="3"/>
          <w:numId w:val="1"/>
        </w:numPr>
        <w:rPr/>
      </w:pPr>
      <w:bookmarkStart w:id="2194" w:name="__RefHeading___Toc3599175_1067777946"/>
      <w:bookmarkStart w:id="2195" w:name="_Toc908"/>
      <w:bookmarkEnd w:id="2194"/>
      <w:r>
        <w:rPr>
          <w:rtl w:val="true"/>
        </w:rPr>
        <w:t>خروج عين موقوفه از ملك واقف</w:t>
      </w:r>
      <w:bookmarkEnd w:id="2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موقوفه با تماميّت وقفْ‌، از ملك واقف خارج و در ملك موقوف عليه داخل مى شود در وقف بر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جهات و مصالح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فقرا و علما و مصلّين در مسجد و عابرين در قناطر و ساكنين در خانات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عدم فرق در موقوف عليه به غير عموم و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كرد حصه اى از غير را كه مشترك بين خود او و ديگرى بود، و فقط آن حصۀ خاصه را مالك بود، پس از آن عتق كرد همان حصه را، منعتق نمى شود حتى بنا بر عدم خروج از ملك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موقوف عليه عتق نمايد به واسطۀ تعلق حقوق بطون لاحقه و به واسطۀ دوام وقف و عدم طروّ تغيير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شريكْ عتق نمايد حصۀ خودش را، تقويم نمى شود وقف بر او، به واسطۀ دوام وقف، اگر چه جارى نباشد حق بطون در سرايت قهريۀ شرعيّه و منحصر باشد مانعيّت حق بطون در عتق مباشرتى و نحو آن از مزيل اختيارى ملك، و مثل ارث از غير اختيارى؛ لكن عدم تقويم و سرايت، خالى از تأمل نيست</w:t>
      </w:r>
      <w:r>
        <w:rPr>
          <w:rFonts w:eastAsia="IRNazanin" w:cs="IRNazanin"/>
          <w:color w:val="111111"/>
          <w:sz w:val="28"/>
          <w:szCs w:val="28"/>
          <w:rtl w:val="true"/>
          <w:lang w:bidi="fa-IR"/>
        </w:rPr>
        <w:t>.</w:t>
      </w:r>
    </w:p>
    <w:p>
      <w:pPr>
        <w:pStyle w:val="Heading4"/>
        <w:numPr>
          <w:ilvl w:val="3"/>
          <w:numId w:val="1"/>
        </w:numPr>
        <w:rPr/>
      </w:pPr>
      <w:bookmarkStart w:id="2196" w:name="__RefHeading___Toc3599177_1067777946"/>
      <w:bookmarkStart w:id="2197" w:name="_Toc909"/>
      <w:bookmarkEnd w:id="2196"/>
      <w:r>
        <w:rPr>
          <w:rtl w:val="true"/>
        </w:rPr>
        <w:t>نفقۀ موقوف</w:t>
      </w:r>
      <w:bookmarkEnd w:id="21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كرد مملوك را، نفقۀ او بر مالك او كه موقوف عليه است مى باشد، چه معيّن باشد يا غير معيّن، و متعيّن در كسب مملوك نيست</w:t>
      </w:r>
      <w:r>
        <w:rPr>
          <w:rFonts w:eastAsia="IRNazanin" w:cs="IRNazanin"/>
          <w:color w:val="111111"/>
          <w:sz w:val="28"/>
          <w:szCs w:val="28"/>
          <w:rtl w:val="true"/>
          <w:lang w:bidi="fa-IR"/>
        </w:rPr>
        <w:t>.</w:t>
      </w:r>
      <w:bookmarkStart w:id="2198" w:name="pg10256_89693"/>
    </w:p>
    <w:p>
      <w:pPr>
        <w:pStyle w:val="BookText"/>
        <w:rPr/>
      </w:pPr>
      <w:bookmarkEnd w:id="2198"/>
      <w:r>
        <w:rPr>
          <w:rFonts w:ascii="IRNazanin" w:hAnsi="IRNazanin" w:eastAsia="IRNazanin"/>
          <w:color w:val="111111"/>
          <w:sz w:val="28"/>
          <w:sz w:val="28"/>
          <w:szCs w:val="28"/>
          <w:rtl w:val="true"/>
          <w:lang w:bidi="fa-IR"/>
        </w:rPr>
        <w:t>و اگر مُنفقى نباشد، دور نيست تعمير زمين و عقار از غلۀ آنها مقدّم بر منافع موقوف عليه باشد؛ و هم چنين نفقه از كسب مملوك از انسان و حيوان، مقدم بر انتفاع موقوف عليهم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مملوك مُقْعِد شد منعتق مى شود، و ساقط مى شود از مالكْ نفقۀ موقوف، و از مملوكْ خدمت موقوف عليهم به واسطۀ انعتاق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حكمْ منشأ تأملِ متقدّم در سرايت قهريّه است، زيرا دليل انعتاق قهرى در اين مقام و در سرايت، مزيل موضوع وقف است از قابليت آن، و وقف و دليلش محقِّق موضوع خودش نيست</w:t>
      </w:r>
      <w:r>
        <w:rPr>
          <w:rFonts w:eastAsia="IRNazanin" w:cs="IRNazanin"/>
          <w:color w:val="111111"/>
          <w:sz w:val="28"/>
          <w:szCs w:val="28"/>
          <w:rtl w:val="true"/>
          <w:lang w:bidi="fa-IR"/>
        </w:rPr>
        <w:t>.</w:t>
      </w:r>
    </w:p>
    <w:p>
      <w:pPr>
        <w:pStyle w:val="Heading4"/>
        <w:numPr>
          <w:ilvl w:val="3"/>
          <w:numId w:val="1"/>
        </w:numPr>
        <w:rPr/>
      </w:pPr>
      <w:bookmarkStart w:id="2199" w:name="__RefHeading___Toc3599179_1067777946"/>
      <w:bookmarkStart w:id="2200" w:name="_Toc910"/>
      <w:bookmarkEnd w:id="2199"/>
      <w:r>
        <w:rPr>
          <w:rtl w:val="true"/>
        </w:rPr>
        <w:t>جنايت عبد موقوف</w:t>
      </w:r>
      <w:bookmarkEnd w:id="2200"/>
    </w:p>
    <w:p>
      <w:pPr>
        <w:pStyle w:val="Heading5"/>
        <w:numPr>
          <w:ilvl w:val="4"/>
          <w:numId w:val="1"/>
        </w:numPr>
        <w:rPr/>
      </w:pPr>
      <w:bookmarkStart w:id="2201" w:name="__RefHeading___Toc3599181_1067777946"/>
      <w:bookmarkStart w:id="2202" w:name="_Toc911"/>
      <w:bookmarkEnd w:id="2201"/>
      <w:r>
        <w:rPr>
          <w:rtl w:val="true"/>
        </w:rPr>
        <w:t>اشاره</w:t>
      </w:r>
      <w:bookmarkEnd w:id="22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عبدِ موقوف، جنايت عمديّه اى را مرتكب شد، قصاص بر او ثابت است با ساير شروط آن؛ پس اگر در نفس نباشد، باقى به وقفيّت باقى است؛ و اگر در نفس باشد، وقف باطل مى شود به تحقق قصاص كه اتلاف موضوع است، و اظهر جواز استرقاق است براى مجنىّ عليه به جهت اشتراك با قتل در نفى موضوع وقف به دليل مقدم بر دليل وقف، به حسب آنچه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جنايت عبد، خطايى باشد، متعلق به رقبۀ او مى شود، پس مسترقّ مى شود آنچه مقابل قيمت جنايت است، در صورت عدم اختيار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موقوف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او را از ساير اموال خودش، بنا بر اظهر</w:t>
      </w:r>
      <w:r>
        <w:rPr>
          <w:rFonts w:eastAsia="IRNazanin" w:cs="IRNazanin"/>
          <w:color w:val="111111"/>
          <w:sz w:val="28"/>
          <w:szCs w:val="28"/>
          <w:rtl w:val="true"/>
          <w:lang w:bidi="fa-IR"/>
        </w:rPr>
        <w:t>.</w:t>
      </w:r>
    </w:p>
    <w:p>
      <w:pPr>
        <w:pStyle w:val="Heading5"/>
        <w:numPr>
          <w:ilvl w:val="4"/>
          <w:numId w:val="1"/>
        </w:numPr>
        <w:rPr/>
      </w:pPr>
      <w:bookmarkStart w:id="2203" w:name="__RefHeading___Toc3599183_1067777946"/>
      <w:bookmarkStart w:id="2204" w:name="_Toc912"/>
      <w:bookmarkEnd w:id="2203"/>
      <w:r>
        <w:rPr>
          <w:rtl w:val="true"/>
        </w:rPr>
        <w:t>جنايت بر مملوك موقوف</w:t>
      </w:r>
      <w:bookmarkEnd w:id="220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جنايت بر مملوك شد از روى خطأ بى تقدير، يا از حرّ بود و مقدّر نبود، كه موجب ارش بود، پس اختصاص آن به كسانى كه از موقوف عليهم به آن مى رسند، نه اعم از بطون لاحقه،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عمدى و موجب قصاص بود، احوط توافق موجودين از موقوف عليهم با حاكم شرع است</w:t>
      </w:r>
      <w:r>
        <w:rPr>
          <w:rFonts w:eastAsia="IRNazanin" w:cs="IRNazanin"/>
          <w:color w:val="111111"/>
          <w:sz w:val="28"/>
          <w:szCs w:val="28"/>
          <w:rtl w:val="true"/>
          <w:lang w:bidi="fa-IR"/>
        </w:rPr>
        <w:t xml:space="preserve">. </w:t>
      </w:r>
      <w:bookmarkStart w:id="2205" w:name="pg10256_89694"/>
    </w:p>
    <w:p>
      <w:pPr>
        <w:pStyle w:val="BookText"/>
        <w:rPr/>
      </w:pPr>
      <w:bookmarkEnd w:id="2205"/>
      <w:r>
        <w:rPr>
          <w:rFonts w:ascii="IRNazanin" w:hAnsi="IRNazanin" w:eastAsia="IRNazanin"/>
          <w:color w:val="111111"/>
          <w:sz w:val="28"/>
          <w:sz w:val="28"/>
          <w:szCs w:val="28"/>
          <w:rtl w:val="true"/>
          <w:lang w:bidi="fa-IR"/>
        </w:rPr>
        <w:t>اگر جنايتْ موجب ديه باشد و از جانى اخذ شد، اظهر قيام ديه است در وقفيت، مقام عين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ديۀ صلحى از موجب قصاص تأمل است، و عدم فرق با ديۀ خطأ خالى از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ارش طَرَف اگر چه به استرقاق عبد جانى يا بعض او باشد، جارى است آنچه در مطلق 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ديۀ صلحى با نظر حاكم بود، اظهر سقوط حق قصاص است از بطون لاحقه، و هم چنين اگر عفو مطلق كردند</w:t>
      </w:r>
      <w:r>
        <w:rPr>
          <w:rFonts w:eastAsia="IRNazanin" w:cs="IRNazanin"/>
          <w:color w:val="111111"/>
          <w:sz w:val="28"/>
          <w:szCs w:val="28"/>
          <w:rtl w:val="true"/>
          <w:lang w:bidi="fa-IR"/>
        </w:rPr>
        <w:t>.</w:t>
      </w:r>
    </w:p>
    <w:p>
      <w:pPr>
        <w:pStyle w:val="Heading4"/>
        <w:numPr>
          <w:ilvl w:val="3"/>
          <w:numId w:val="1"/>
        </w:numPr>
        <w:rPr/>
      </w:pPr>
      <w:bookmarkStart w:id="2206" w:name="__RefHeading___Toc3599185_1067777946"/>
      <w:bookmarkStart w:id="2207" w:name="_Toc913"/>
      <w:bookmarkEnd w:id="2206"/>
      <w:r>
        <w:rPr>
          <w:rtl w:val="true"/>
        </w:rPr>
        <w:t>مصارف وقف در راه خدا</w:t>
      </w:r>
      <w:bookmarkEnd w:id="22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وقف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است بر هر خيرى كه در آن ثواب باشد، و اختصاص به غزوه و حج و عمره و بناى قناطر و مساجد و نفع اهل حاجت ندارد و تقسيم بر اينها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اينها</w:t>
      </w:r>
      <w:r>
        <w:rPr>
          <w:rFonts w:eastAsia="IRNazanin" w:cs="IRNazanin"/>
          <w:color w:val="111111"/>
          <w:sz w:val="28"/>
          <w:szCs w:val="28"/>
          <w:rtl w:val="true"/>
          <w:lang w:bidi="fa-IR"/>
        </w:rPr>
        <w:t>.</w:t>
      </w:r>
    </w:p>
    <w:p>
      <w:pPr>
        <w:pStyle w:val="Heading4"/>
        <w:numPr>
          <w:ilvl w:val="3"/>
          <w:numId w:val="1"/>
        </w:numPr>
        <w:rPr/>
      </w:pPr>
      <w:bookmarkStart w:id="2208" w:name="__RefHeading___Toc3599187_1067777946"/>
      <w:bookmarkStart w:id="2209" w:name="_Toc914"/>
      <w:bookmarkEnd w:id="2208"/>
      <w:r>
        <w:rPr>
          <w:rtl w:val="true"/>
        </w:rPr>
        <w:t>مراد از موالى در وقف بر موالى</w:t>
      </w:r>
      <w:bookmarkEnd w:id="22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معتق به فتح و كسر بود اگر چه بالواسطه باشند، پس اگر قرينه بر ارادۀ يكى خاص يا هر دو بود، متّبع است بنا بر مختار از جواز استعمال لفظ واحد در اكثر از معناى واحد با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قرينه نبود، در صحّت وقف و كفايت قصد بدون تكميل دالّ بر آن مقصود، تأمل است؛ و اكتفاى به قرعه، يعنى تعيين ارادۀ هر دو يا يكى مخصوص در تقدير صحّت، خالى از وجه نيست</w:t>
      </w:r>
      <w:r>
        <w:rPr>
          <w:rFonts w:eastAsia="IRNazanin" w:cs="IRNazanin"/>
          <w:color w:val="111111"/>
          <w:sz w:val="28"/>
          <w:szCs w:val="28"/>
          <w:rtl w:val="true"/>
          <w:lang w:bidi="fa-IR"/>
        </w:rPr>
        <w:t>.</w:t>
      </w:r>
    </w:p>
    <w:p>
      <w:pPr>
        <w:pStyle w:val="Heading4"/>
        <w:numPr>
          <w:ilvl w:val="3"/>
          <w:numId w:val="1"/>
        </w:numPr>
        <w:rPr/>
      </w:pPr>
      <w:bookmarkStart w:id="2210" w:name="__RefHeading___Toc3599189_1067777946"/>
      <w:bookmarkStart w:id="2211" w:name="_Toc915"/>
      <w:bookmarkEnd w:id="2210"/>
      <w:r>
        <w:rPr>
          <w:rtl w:val="true"/>
        </w:rPr>
        <w:t>احكام وقف بر اولاد و شبيه آن</w:t>
      </w:r>
      <w:bookmarkEnd w:id="22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كرد بر اولاد اولاد، داخل مى شود اولاد بنين و بنات، چه مرد باشند يا زن يا خنثى، بدون تفضيل بين آنهايى كه داخل هستند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وقف بر بنين كرد، بنات خارج مى باشند؛ و اگر وقف بر بنات كرد، بنين خارج هستند، چنانچه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تعيين دخول و خروج خنثى در اين دو صورت، با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وقف بر بنين و بنات كرد، ممكن است تعيين دخول و </w:t>
      </w:r>
      <w:bookmarkStart w:id="2212" w:name="pg10256_89695"/>
    </w:p>
    <w:p>
      <w:pPr>
        <w:pStyle w:val="BookText"/>
        <w:rPr/>
      </w:pPr>
      <w:bookmarkEnd w:id="2212"/>
      <w:r>
        <w:rPr>
          <w:rFonts w:ascii="IRNazanin" w:hAnsi="IRNazanin" w:eastAsia="IRNazanin"/>
          <w:color w:val="111111"/>
          <w:sz w:val="28"/>
          <w:sz w:val="28"/>
          <w:szCs w:val="28"/>
          <w:rtl w:val="true"/>
          <w:lang w:bidi="fa-IR"/>
        </w:rPr>
        <w:t>خروج خنثى با قرعه اگر چه احتمال خروج خنثى از صنفين بدهيم؛ و اگر قطع به خروج از صنفين حاصل باشد در واقع، پس داخل نمى شود خنثى در هيچ يك از سه صورت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كرد بر منتسبين به واقف، داخل نمى شود اولاد بنات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كرد بر اولاد واقف، داخل مى شود اولاد اولاد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اولاد و اولاد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تصريح است به عدم اشتراط انقراض بطن اوّل در دخول بطن دوّم، و به عدم مانعيّت حيات والد از دخول ولد او، و منحصر به بطن دوّم نمى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اولادم كردم و پس از انقراض ايشان و انقراض اولاد اولاد بر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دخول اولاد اولاد در وقف است به مناسبت لزوم تأبيد در وقف كه منقطع الوسط، فاقد آن است، و رعايت استخدام در عبارت، محذورى ندارد با قوّت لزوم تأبيد</w:t>
      </w:r>
      <w:r>
        <w:rPr>
          <w:rFonts w:eastAsia="IRNazanin" w:cs="IRNazanin"/>
          <w:color w:val="111111"/>
          <w:sz w:val="28"/>
          <w:szCs w:val="28"/>
          <w:rtl w:val="true"/>
          <w:lang w:bidi="fa-IR"/>
        </w:rPr>
        <w:t>.</w:t>
      </w:r>
    </w:p>
    <w:p>
      <w:pPr>
        <w:pStyle w:val="Heading4"/>
        <w:numPr>
          <w:ilvl w:val="3"/>
          <w:numId w:val="1"/>
        </w:numPr>
        <w:rPr/>
      </w:pPr>
      <w:bookmarkStart w:id="2213" w:name="__RefHeading___Toc3599191_1067777946"/>
      <w:bookmarkStart w:id="2214" w:name="_Toc916"/>
      <w:bookmarkEnd w:id="2213"/>
      <w:r>
        <w:rPr>
          <w:rtl w:val="true"/>
        </w:rPr>
        <w:t>خرابى مسجد موقوف</w:t>
      </w:r>
      <w:bookmarkEnd w:id="221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مسجدى را وقف كرد پس خراب شد، يا خراب شد قريه اى كه مسجد در آن است، به نحوى كه ممكن نشد انتفاع مشروع به آن مسجد، از وقفيّت خارج نمى شود، و زمين آن مسجديّت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جريان اين حكم در مساجد مبنيّة در زمينهاى مفتوح العنوه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مملوك شخص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سيل ميّتى را بُرد و كفن بدست آمد بى فايدۀ محتمله، بر مى گردد به ورثۀ ميّت</w:t>
      </w:r>
      <w:r>
        <w:rPr>
          <w:rFonts w:eastAsia="IRNazanin" w:cs="IRNazanin"/>
          <w:color w:val="111111"/>
          <w:sz w:val="28"/>
          <w:szCs w:val="28"/>
          <w:rtl w:val="true"/>
          <w:lang w:bidi="fa-IR"/>
        </w:rPr>
        <w:t>.</w:t>
      </w:r>
    </w:p>
    <w:p>
      <w:pPr>
        <w:pStyle w:val="Heading4"/>
        <w:numPr>
          <w:ilvl w:val="3"/>
          <w:numId w:val="1"/>
        </w:numPr>
        <w:rPr/>
      </w:pPr>
      <w:bookmarkStart w:id="2215" w:name="__RefHeading___Toc3599193_1067777946"/>
      <w:bookmarkStart w:id="2216" w:name="_Toc917"/>
      <w:bookmarkEnd w:id="2215"/>
      <w:r>
        <w:rPr>
          <w:rtl w:val="true"/>
        </w:rPr>
        <w:t>وقف خانه</w:t>
      </w:r>
      <w:bookmarkEnd w:id="2216"/>
    </w:p>
    <w:p>
      <w:pPr>
        <w:pStyle w:val="Heading5"/>
        <w:numPr>
          <w:ilvl w:val="4"/>
          <w:numId w:val="1"/>
        </w:numPr>
        <w:rPr/>
      </w:pPr>
      <w:bookmarkStart w:id="2217" w:name="__RefHeading___Toc3599195_1067777946"/>
      <w:bookmarkStart w:id="2218" w:name="_Toc918"/>
      <w:bookmarkEnd w:id="2217"/>
      <w:r>
        <w:rPr>
          <w:rtl w:val="true"/>
        </w:rPr>
        <w:t>اشاره</w:t>
      </w:r>
      <w:bookmarkEnd w:id="221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عنوان و براى منافع خانه، باقى است با بقاى آن و زايل است با انهدام آن، و جايز نيست منهدم نمودن به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انهدام، در</w:t>
      </w:r>
      <w:bookmarkStart w:id="2219" w:name="pg10256_89696"/>
    </w:p>
    <w:p>
      <w:pPr>
        <w:pStyle w:val="BookText"/>
        <w:rPr/>
      </w:pPr>
      <w:bookmarkEnd w:id="2219"/>
      <w:r>
        <w:rPr>
          <w:rFonts w:ascii="Amiri" w:hAnsi="Amiri" w:eastAsia="Amiri" w:cs="Amiri"/>
          <w:color w:val="111111"/>
          <w:sz w:val="28"/>
          <w:sz w:val="28"/>
          <w:szCs w:val="28"/>
          <w:rtl w:val="true"/>
          <w:lang w:bidi="ar-SA"/>
        </w:rPr>
        <w:t>اختصاص آن به موجودين قبل از انهدام از موقوف عليهم يا رجوع آن به ورثۀ واقف،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وقف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تقييد، و براى جميع منافع متصوّرۀ آن، باقى است اگر چه هيچ از آن جز زمين نماند، و بايد منتفع به منافع زمين بشوند اگر بدون اختيار منهدم شد يا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اختيارى آن به احسن و انفع مانعى ندارد، بلكه به مساوى هم با توافق با كسانى كه اختيار وقف با آنها است، بر حسب آنچه سابقاً ذكر شد</w:t>
      </w:r>
      <w:r>
        <w:rPr>
          <w:rFonts w:eastAsia="IRNazanin" w:cs="IRNazanin"/>
          <w:color w:val="111111"/>
          <w:sz w:val="28"/>
          <w:szCs w:val="28"/>
          <w:rtl w:val="true"/>
          <w:lang w:bidi="fa-IR"/>
        </w:rPr>
        <w:t>.</w:t>
      </w:r>
    </w:p>
    <w:p>
      <w:pPr>
        <w:pStyle w:val="Heading5"/>
        <w:numPr>
          <w:ilvl w:val="4"/>
          <w:numId w:val="1"/>
        </w:numPr>
        <w:rPr/>
      </w:pPr>
      <w:bookmarkStart w:id="2220" w:name="__RefHeading___Toc3599197_1067777946"/>
      <w:bookmarkStart w:id="2221" w:name="_Toc919"/>
      <w:bookmarkEnd w:id="2220"/>
      <w:r>
        <w:rPr>
          <w:rtl w:val="true"/>
        </w:rPr>
        <w:t>بعضى از موارد جواز بيع موقوف</w:t>
      </w:r>
      <w:bookmarkEnd w:id="2221"/>
    </w:p>
    <w:p>
      <w:pPr>
        <w:pStyle w:val="BookText"/>
        <w:rPr/>
      </w:pPr>
      <w:r>
        <w:rPr>
          <w:rFonts w:ascii="IRNazanin" w:hAnsi="IRNazanin" w:eastAsia="IRNazanin"/>
          <w:color w:val="111111"/>
          <w:sz w:val="28"/>
          <w:sz w:val="28"/>
          <w:szCs w:val="28"/>
          <w:rtl w:val="true"/>
          <w:lang w:bidi="fa-IR"/>
        </w:rPr>
        <w:t>اگر بين موقوف عليهم اختلاف شديدى شد به نحوى كه خوف خرابى آن و عدم حصول مقصود واقف در بقاى آن بود، جايز است بيع آن و تبديل به چيزى كه محصِّل مقصود واقف است، يا موثوق باشد حصول آن مقصود، يا اقرب به آن از چيزهاى ديگر، با توافق با صاحبان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موارد انفعيّت بيع و تبديل، نسبت به غرض ملحوظ واقف، به واسطۀ اشياى مستحدثه بعد از وقف كه اگر قبل از وقف بود، همان را واقف اختيار مى كرد، با توافق متقدّم</w:t>
      </w:r>
      <w:r>
        <w:rPr>
          <w:rFonts w:eastAsia="IRNazanin" w:cs="IRNazanin"/>
          <w:color w:val="111111"/>
          <w:sz w:val="28"/>
          <w:szCs w:val="28"/>
          <w:rtl w:val="true"/>
          <w:lang w:bidi="fa-IR"/>
        </w:rPr>
        <w:t>.</w:t>
      </w:r>
    </w:p>
    <w:p>
      <w:pPr>
        <w:pStyle w:val="Heading5"/>
        <w:numPr>
          <w:ilvl w:val="4"/>
          <w:numId w:val="1"/>
        </w:numPr>
        <w:rPr/>
      </w:pPr>
      <w:bookmarkStart w:id="2222" w:name="__RefHeading___Toc3599199_1067777946"/>
      <w:bookmarkStart w:id="2223" w:name="_Toc920"/>
      <w:bookmarkEnd w:id="2222"/>
      <w:r>
        <w:rPr>
          <w:rtl w:val="true"/>
        </w:rPr>
        <w:t>قلع شدن نخلۀ موقوفه</w:t>
      </w:r>
      <w:bookmarkEnd w:id="2223"/>
    </w:p>
    <w:p>
      <w:pPr>
        <w:pStyle w:val="BookText"/>
        <w:rPr/>
      </w:pPr>
      <w:r>
        <w:rPr>
          <w:rFonts w:ascii="IRNazanin" w:hAnsi="IRNazanin" w:eastAsia="IRNazanin"/>
          <w:color w:val="111111"/>
          <w:sz w:val="28"/>
          <w:sz w:val="28"/>
          <w:szCs w:val="28"/>
          <w:rtl w:val="true"/>
          <w:lang w:bidi="fa-IR"/>
        </w:rPr>
        <w:t>و جارى است در نخلۀ موقوفه اگر قلع شد، از حيث بقاى وقف و زوال آن، آنچه گذشت در دار موقوفه اگر منهدم شد، از تفصيل در موضوع و حكم</w:t>
      </w:r>
      <w:r>
        <w:rPr>
          <w:rFonts w:eastAsia="IRNazanin" w:cs="IRNazanin"/>
          <w:color w:val="111111"/>
          <w:sz w:val="28"/>
          <w:szCs w:val="28"/>
          <w:rtl w:val="true"/>
          <w:lang w:bidi="fa-IR"/>
        </w:rPr>
        <w:t>.</w:t>
      </w:r>
    </w:p>
    <w:p>
      <w:pPr>
        <w:pStyle w:val="Heading5"/>
        <w:numPr>
          <w:ilvl w:val="4"/>
          <w:numId w:val="1"/>
        </w:numPr>
        <w:rPr/>
      </w:pPr>
      <w:bookmarkStart w:id="2224" w:name="__RefHeading___Toc3599201_1067777946"/>
      <w:bookmarkStart w:id="2225" w:name="_Toc921"/>
      <w:bookmarkEnd w:id="2224"/>
      <w:r>
        <w:rPr>
          <w:rtl w:val="true"/>
        </w:rPr>
        <w:t>وظيفه در صورت عدم امكان استفاده از موقوف</w:t>
      </w:r>
      <w:bookmarkEnd w:id="222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نيست در صورت احراز عنوان و هيئت، لزوم رعايت اقرب به عنوان ملحوظ در وقف در نظر واقف، مثل صرف حصير مسجد بعد از عدم امكان استفاده از آن در مسجد، در مسجد ديگر؛ و بعد از عدم امكان رعايت فرش بودن آن، صرف در ساير انتفاعات مسجد؛ و با عدم امكان استفاده به غير تبديل معاملى و صرف ثمن در </w:t>
      </w:r>
      <w:bookmarkStart w:id="2226" w:name="pg10256_89697"/>
    </w:p>
    <w:p>
      <w:pPr>
        <w:pStyle w:val="BookText"/>
        <w:rPr/>
      </w:pPr>
      <w:bookmarkEnd w:id="2226"/>
      <w:r>
        <w:rPr>
          <w:rFonts w:ascii="IRNazanin" w:hAnsi="IRNazanin" w:eastAsia="IRNazanin"/>
          <w:color w:val="111111"/>
          <w:sz w:val="28"/>
          <w:sz w:val="28"/>
          <w:szCs w:val="28"/>
          <w:rtl w:val="true"/>
          <w:lang w:bidi="fa-IR"/>
        </w:rPr>
        <w:t>مصالح ديگر مسجد، رعايت آن؛ پس رجوع به واقف يا ورثه و يا اختصاص به طبقۀ موجودين از موقوف عليهم قبل از زوال هيئت و انتفاع وقفى به ماده و ثمن آن، در صورت عدم امكان رعايت مذكورات در عين موقوفه و ثمن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موقوف عليه و مصرف وقف معلوم نباشد و استعلام ممكن نباشد، تصدق به آن مى شود، يا صرف در وجوه 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به موقوف عليهم و احتمال تفضيل، تقسيم بالسويه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توافق صلحى بين موقوف عليهم و ولىّ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معلوميّت تفضيل و جهل به مورد، تعيين با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رجوع به قول واقف اگر چه مفيد اطمينان نباشد، محتمل است</w:t>
      </w:r>
      <w:r>
        <w:rPr>
          <w:rFonts w:eastAsia="IRNazanin" w:cs="IRNazanin"/>
          <w:color w:val="111111"/>
          <w:sz w:val="28"/>
          <w:szCs w:val="28"/>
          <w:rtl w:val="true"/>
          <w:lang w:bidi="fa-IR"/>
        </w:rPr>
        <w:t>.</w:t>
      </w:r>
    </w:p>
    <w:p>
      <w:pPr>
        <w:pStyle w:val="Heading4"/>
        <w:numPr>
          <w:ilvl w:val="3"/>
          <w:numId w:val="1"/>
        </w:numPr>
        <w:rPr/>
      </w:pPr>
      <w:bookmarkStart w:id="2227" w:name="__RefHeading___Toc3599203_1067777946"/>
      <w:bookmarkStart w:id="2228" w:name="_Toc922"/>
      <w:bookmarkEnd w:id="2227"/>
      <w:r>
        <w:rPr>
          <w:rtl w:val="true"/>
        </w:rPr>
        <w:t>اجاره دادن بطن اوّل و انقراض آنها</w:t>
      </w:r>
      <w:bookmarkEnd w:id="222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اجاره دادند بطن اوّل، وقف را تا مدت معينه، پس در اثناى آن مدت، همۀ آن بطن منقرض شدند، اظهر فضولى بودن آن در مقدار مملوك از منافع براى بطن دوّم است؛ و با رد آنها منفسخ مى شود اجاره در مدت باقيه؛ و نسبت اجرت المثل در ماضى و باقى از اجرت المسماة، استرجاع مى شود از تركۀ بطن 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اجاره از ناظر يا حاكم بود، اظهر صحّت اجاره است، و مقدار اجرت كه تقسيط مى شود بر ملك بطن دوّم، مربوط به ايشان است نه به بطن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متولّى اجاره داد به اجرت المثل وقت اجاره، پس اتفاق زيادتى اجرت المثل شد، اظهر عدم انفساخ است، مثل زيادتى در اثناى مدت حيات بطن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اجاره داد ازيد از مدت شرط واقف، باطل است در مقدار زايد از آن مدت</w:t>
      </w:r>
      <w:r>
        <w:rPr>
          <w:rFonts w:eastAsia="IRNazanin" w:cs="IRNazanin"/>
          <w:color w:val="111111"/>
          <w:sz w:val="28"/>
          <w:szCs w:val="28"/>
          <w:rtl w:val="true"/>
          <w:lang w:bidi="fa-IR"/>
        </w:rPr>
        <w:t>.</w:t>
      </w:r>
    </w:p>
    <w:p>
      <w:pPr>
        <w:pStyle w:val="Heading4"/>
        <w:numPr>
          <w:ilvl w:val="3"/>
          <w:numId w:val="1"/>
        </w:numPr>
        <w:rPr/>
      </w:pPr>
      <w:bookmarkStart w:id="2229" w:name="__RefHeading___Toc3599205_1067777946"/>
      <w:bookmarkStart w:id="2230" w:name="_Toc923"/>
      <w:bookmarkEnd w:id="2229"/>
      <w:r>
        <w:rPr>
          <w:rtl w:val="true"/>
        </w:rPr>
        <w:t>عدم لزوم تتبع و استيعاب در وقف بر فقراى بلد يا علويين و يا پسران فلانى</w:t>
      </w:r>
      <w:bookmarkEnd w:id="223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است صرف در حاضرين از آنها در بلد وقف، و واجب نيست تتبع غايبين از آن محل، بلكه اظهر عدم وجوب استيعاب است در فقراى بلد، و مستفادْ مصرفيت آنها است مثل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تسويه در اعطا لازم</w:t>
      </w:r>
      <w:bookmarkStart w:id="2231" w:name="pg10256_89698"/>
    </w:p>
    <w:p>
      <w:pPr>
        <w:pStyle w:val="BookText"/>
        <w:rPr/>
      </w:pPr>
      <w:bookmarkEnd w:id="2231"/>
      <w:r>
        <w:rPr>
          <w:rFonts w:ascii="IRNazanin" w:hAnsi="IRNazanin" w:eastAsia="IRNazanin"/>
          <w:color w:val="111111"/>
          <w:sz w:val="28"/>
          <w:sz w:val="28"/>
          <w:szCs w:val="28"/>
          <w:rtl w:val="true"/>
          <w:lang w:bidi="fa-IR"/>
        </w:rPr>
        <w:t>نيست بلكه گاهى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واقف تصريح نمايد به تتبع يا استيعاب حاضرين يا تسويه در اعطاى حاضرين، كه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وقف كرد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فلان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منتشر در بلاد هستند</w:t>
      </w:r>
      <w:r>
        <w:rPr>
          <w:rFonts w:eastAsia="IRNazanin" w:cs="IRNazanin"/>
          <w:color w:val="111111"/>
          <w:sz w:val="28"/>
          <w:szCs w:val="28"/>
          <w:rtl w:val="true"/>
          <w:lang w:bidi="fa-IR"/>
        </w:rPr>
        <w:t>.</w:t>
      </w:r>
    </w:p>
    <w:p>
      <w:pPr>
        <w:pStyle w:val="Heading4"/>
        <w:numPr>
          <w:ilvl w:val="3"/>
          <w:numId w:val="1"/>
        </w:numPr>
        <w:rPr/>
      </w:pPr>
      <w:bookmarkStart w:id="2232" w:name="__RefHeading___Toc3599207_1067777946"/>
      <w:bookmarkStart w:id="2233" w:name="_Toc924"/>
      <w:bookmarkEnd w:id="2232"/>
      <w:r>
        <w:rPr>
          <w:rtl w:val="true"/>
        </w:rPr>
        <w:t>امۀ موقوفه</w:t>
      </w:r>
      <w:bookmarkEnd w:id="223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اظهر عدم جواز وطى امۀ موقوفه است، براى موقوف عليهم حتى در صورت انحصار در يك نفر موجود از ايشان و عدم محذور استيلاد، بنا بر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ولادتى از حرّ شد، ولد حرّ است و بر واطى غرامتى نيست بنا بر اظهر، و حدّ بر مالك واطى نيست اگر چه تعزير بر عالم به حرمت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فعلاً شريك داشته بوده، پس در موافقت آن در حكم با وطى امۀ مشتركه در ضمان قيمت حصه و ثبوت حدّ بالنسبه،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تقدير وطى امۀ موقوفه، در ثبوت حكم استيلاد از انعتاق به موت واطى و ضمان قيمت و لزوم شراى امه از اصل تركۀ ميّت براى بطون لاحقه، تأمل و خلاف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ثبوت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 اشتراك طبقۀ موجوده، انعتاق به موت واطى و لزوم شراء براى باقيمانده از بطن فعلى، خالى از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ولد كه موجوب انعتاق است، زايد بر نصيب خودش از ارث والدش ثابت است براى ورثه كه به ايشان تأديه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اختيار اين گونه تصرفات را در وقف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امۀ موقوفۀ يائسه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يائسه، خالى از شبهه نيست بنا بر عدم جواز استيلاد او براى موقوف عليه، در تقديرى كه اجماع بر جواز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اختصاص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صحّت 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بطن موجود در زمان استقرار آن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عقد و دخول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خالى از وجه نيست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ولد او اگر محكوم به حريّت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از مملوك يا از زنا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منافع </w:t>
      </w:r>
    </w:p>
    <w:p>
      <w:pPr>
        <w:pStyle w:val="BookText"/>
        <w:rPr/>
      </w:pPr>
      <w:r>
        <w:rPr>
          <w:rFonts w:ascii="IRNazanin" w:hAnsi="IRNazanin" w:eastAsia="IRNazanin"/>
          <w:color w:val="111111"/>
          <w:sz w:val="28"/>
          <w:sz w:val="28"/>
          <w:szCs w:val="28"/>
          <w:rtl w:val="true"/>
          <w:lang w:bidi="fa-IR"/>
        </w:rPr>
        <w:t>او است، و مختص است به او بطن موجود در زمان علوق يا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حرّ باشد به وطى صحيح، محكوم به حريّت است، مگر با شرط رقيّت در عقد 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وطى شبهه از حرّ باشد، محكوم به حريّت است، و قيمت تفويت او بر واطى است براى بطن موجود در زمان علوق و ولادت از موقوف عليهم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وطى واقف، مثل وطى اجنبى است در حكم، بنا بر خروج ملك از او، چنانچه گذشت</w:t>
      </w:r>
      <w:r>
        <w:rPr>
          <w:rFonts w:eastAsia="IRNazanin" w:cs="IRNazanin"/>
          <w:color w:val="111111"/>
          <w:sz w:val="28"/>
          <w:szCs w:val="28"/>
          <w:rtl w:val="true"/>
          <w:lang w:bidi="fa-IR"/>
        </w:rPr>
        <w:t>.</w:t>
      </w:r>
      <w:r>
        <w:rPr>
          <w:rStyle w:val="FootnoteAnchor"/>
          <w:rtl w:val="true"/>
        </w:rPr>
        <w:footnoteReference w:id="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4" w:name="pg10256_89701"/>
      <w:bookmarkStart w:id="2235" w:name="pg10256_89701"/>
      <w:bookmarkEnd w:id="2235"/>
    </w:p>
    <w:p>
      <w:pPr>
        <w:pStyle w:val="Heading2"/>
        <w:numPr>
          <w:ilvl w:val="1"/>
          <w:numId w:val="1"/>
        </w:numPr>
        <w:rPr/>
      </w:pPr>
      <w:bookmarkStart w:id="2236" w:name="pg10256_89701"/>
      <w:bookmarkStart w:id="2237" w:name="__RefHeading___Toc3599209_1067777946"/>
      <w:bookmarkStart w:id="2238" w:name="_Toc925"/>
      <w:bookmarkEnd w:id="2236"/>
      <w:bookmarkEnd w:id="2237"/>
      <w:r>
        <w:rPr>
          <w:rtl w:val="true"/>
        </w:rPr>
        <w:t>كتاب صدقه</w:t>
      </w:r>
      <w:bookmarkEnd w:id="223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9" w:name="__RefHeading___Toc3599211_1067777946"/>
      <w:bookmarkStart w:id="2240" w:name="_Toc926"/>
      <w:bookmarkEnd w:id="2239"/>
      <w:r>
        <w:rPr>
          <w:rtl w:val="true"/>
        </w:rPr>
        <w:t>اشاره</w:t>
      </w:r>
      <w:bookmarkEnd w:id="224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1" w:name="pg10256_89703"/>
      <w:bookmarkStart w:id="2242" w:name="pg10256_89703"/>
      <w:bookmarkEnd w:id="2242"/>
    </w:p>
    <w:p>
      <w:pPr>
        <w:pStyle w:val="Heading3"/>
        <w:numPr>
          <w:ilvl w:val="2"/>
          <w:numId w:val="1"/>
        </w:numPr>
        <w:rPr/>
      </w:pPr>
      <w:bookmarkStart w:id="2243" w:name="pg10256_89703"/>
      <w:bookmarkStart w:id="2244" w:name="__RefHeading___Toc3599213_1067777946"/>
      <w:bookmarkStart w:id="2245" w:name="_Toc927"/>
      <w:bookmarkEnd w:id="2243"/>
      <w:bookmarkEnd w:id="2244"/>
      <w:r>
        <w:rPr>
          <w:rtl w:val="true"/>
        </w:rPr>
        <w:t>تعريف صدقه</w:t>
      </w:r>
      <w:bookmarkEnd w:id="2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قسمى از هبه است كه در آن قسم، قصد قربت معتبر است؛ و از اين جهت صدقه، موجب برائت ناذر هبه است و موجب حنثِ ناذرِ تركِ هبه است</w:t>
      </w:r>
      <w:r>
        <w:rPr>
          <w:rFonts w:eastAsia="Amiri" w:cs="Amiri" w:ascii="Amiri" w:hAnsi="Amiri"/>
          <w:color w:val="111111"/>
          <w:sz w:val="28"/>
          <w:szCs w:val="28"/>
          <w:rtl w:val="true"/>
          <w:lang w:bidi="ar-SA"/>
        </w:rPr>
        <w:t>.</w:t>
      </w:r>
    </w:p>
    <w:p>
      <w:pPr>
        <w:pStyle w:val="Heading3"/>
        <w:numPr>
          <w:ilvl w:val="2"/>
          <w:numId w:val="1"/>
        </w:numPr>
        <w:rPr/>
      </w:pPr>
      <w:bookmarkStart w:id="2246" w:name="__RefHeading___Toc3599215_1067777946"/>
      <w:bookmarkStart w:id="2247" w:name="_Toc928"/>
      <w:bookmarkEnd w:id="2246"/>
      <w:r>
        <w:rPr>
          <w:rtl w:val="true"/>
        </w:rPr>
        <w:t>اعتبار ايجاب و قبول</w:t>
      </w:r>
      <w:bookmarkEnd w:id="2247"/>
    </w:p>
    <w:p>
      <w:pPr>
        <w:pStyle w:val="BookText"/>
        <w:rPr/>
      </w:pPr>
      <w:r>
        <w:rPr>
          <w:rFonts w:ascii="IRNazanin" w:hAnsi="IRNazanin" w:eastAsia="IRNazanin"/>
          <w:color w:val="111111"/>
          <w:sz w:val="28"/>
          <w:sz w:val="28"/>
          <w:szCs w:val="28"/>
          <w:rtl w:val="true"/>
          <w:lang w:bidi="fa-IR"/>
        </w:rPr>
        <w:t>و معتبر است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دو فعلى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لزوم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فعلى باشد و بنا بر جواز عقد بيع فعلى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واجد قصد قربت باشد</w:t>
      </w:r>
      <w:r>
        <w:rPr>
          <w:rFonts w:eastAsia="IRNazanin" w:cs="IRNazanin"/>
          <w:color w:val="111111"/>
          <w:sz w:val="28"/>
          <w:szCs w:val="28"/>
          <w:rtl w:val="true"/>
          <w:lang w:bidi="fa-IR"/>
        </w:rPr>
        <w:t>.</w:t>
      </w:r>
    </w:p>
    <w:p>
      <w:pPr>
        <w:pStyle w:val="Heading3"/>
        <w:numPr>
          <w:ilvl w:val="2"/>
          <w:numId w:val="1"/>
        </w:numPr>
        <w:rPr/>
      </w:pPr>
      <w:bookmarkStart w:id="2248" w:name="__RefHeading___Toc3599217_1067777946"/>
      <w:bookmarkStart w:id="2249" w:name="_Toc929"/>
      <w:bookmarkEnd w:id="2248"/>
      <w:r>
        <w:rPr>
          <w:rtl w:val="true"/>
        </w:rPr>
        <w:t>صدقۀ غير عقديّه</w:t>
      </w:r>
      <w:bookmarkEnd w:id="2249"/>
    </w:p>
    <w:p>
      <w:pPr>
        <w:pStyle w:val="BookText"/>
        <w:rPr/>
      </w:pPr>
      <w:r>
        <w:rPr>
          <w:rFonts w:ascii="IRNazanin" w:hAnsi="IRNazanin" w:eastAsia="IRNazanin"/>
          <w:color w:val="111111"/>
          <w:sz w:val="28"/>
          <w:sz w:val="28"/>
          <w:szCs w:val="28"/>
          <w:rtl w:val="true"/>
          <w:lang w:bidi="fa-IR"/>
        </w:rPr>
        <w:t xml:space="preserve">و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غير صدقۀ عقديّه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هبه و وقف و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واجد قصد قربت باشند؛ پس حكم آنها مرتّب است بر آنها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واسطۀ قربت، منتفى است در جميع اقسام صدقه در موارد جواز رجوع، اگر نبود حيثيت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اطلاق صدقه به معنى عام، اطلاق آن بر زكات و تكفير است</w:t>
      </w:r>
      <w:r>
        <w:rPr>
          <w:rFonts w:eastAsia="Amiri" w:cs="Amiri" w:ascii="Amiri" w:hAnsi="Amiri"/>
          <w:color w:val="111111"/>
          <w:sz w:val="28"/>
          <w:szCs w:val="28"/>
          <w:rtl w:val="true"/>
          <w:lang w:bidi="ar-SA"/>
        </w:rPr>
        <w:t>.</w:t>
      </w:r>
    </w:p>
    <w:p>
      <w:pPr>
        <w:pStyle w:val="Heading3"/>
        <w:numPr>
          <w:ilvl w:val="2"/>
          <w:numId w:val="1"/>
        </w:numPr>
        <w:rPr/>
      </w:pPr>
      <w:bookmarkStart w:id="2250" w:name="__RefHeading___Toc3599219_1067777946"/>
      <w:bookmarkStart w:id="2251" w:name="_Toc930"/>
      <w:bookmarkEnd w:id="2250"/>
      <w:r>
        <w:rPr>
          <w:rtl w:val="true"/>
        </w:rPr>
        <w:t>اعتبار تحقق قبض با اذن مالك</w:t>
      </w:r>
      <w:bookmarkEnd w:id="225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است در صدقه و احكام خاصۀ آن، بعد از ايجاب و قبول، تحقق قبض با اذن مالك؛ پس با عدم اقباض يا آنكه قبض بدون اذن مالك باشد، موجب انتقال ملكى نمى شود</w:t>
      </w:r>
      <w:r>
        <w:rPr>
          <w:rFonts w:eastAsia="IRNazanin" w:cs="IRNazanin"/>
          <w:color w:val="111111"/>
          <w:sz w:val="28"/>
          <w:szCs w:val="28"/>
          <w:rtl w:val="true"/>
          <w:lang w:bidi="fa-IR"/>
        </w:rPr>
        <w:t xml:space="preserve">. </w:t>
      </w:r>
      <w:bookmarkStart w:id="2252" w:name="pg10256_89704"/>
    </w:p>
    <w:p>
      <w:pPr>
        <w:pStyle w:val="Heading3"/>
        <w:numPr>
          <w:ilvl w:val="2"/>
          <w:numId w:val="1"/>
        </w:numPr>
        <w:rPr/>
      </w:pPr>
      <w:bookmarkStart w:id="2253" w:name="__RefHeading___Toc3599221_1067777946"/>
      <w:bookmarkStart w:id="2254" w:name="_Toc931"/>
      <w:bookmarkEnd w:id="2252"/>
      <w:bookmarkEnd w:id="2253"/>
      <w:r>
        <w:rPr>
          <w:rtl w:val="true"/>
        </w:rPr>
        <w:t>اعتبار قصد قربت</w:t>
      </w:r>
      <w:bookmarkEnd w:id="2254"/>
    </w:p>
    <w:p>
      <w:pPr>
        <w:pStyle w:val="BookText"/>
        <w:rPr/>
      </w:pPr>
      <w:r>
        <w:rPr>
          <w:rFonts w:ascii="IRNazanin" w:hAnsi="IRNazanin" w:eastAsia="IRNazanin"/>
          <w:color w:val="111111"/>
          <w:sz w:val="28"/>
          <w:sz w:val="28"/>
          <w:szCs w:val="28"/>
          <w:rtl w:val="true"/>
          <w:lang w:bidi="fa-IR"/>
        </w:rPr>
        <w:t>معتبر است در احكام صدقه يا در صدق موضوع، قصد قربت به آن، چنانچه اشاره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وجدان صدقه قصد قربت را و تحقق قبض مأذون، جايز نيست رجوع در آن چنانچه ذكر شد، اگر چه معوّض و به رحم نباشد</w:t>
      </w:r>
      <w:r>
        <w:rPr>
          <w:rFonts w:eastAsia="IRNazanin" w:cs="IRNazanin"/>
          <w:color w:val="111111"/>
          <w:sz w:val="28"/>
          <w:szCs w:val="28"/>
          <w:rtl w:val="true"/>
          <w:lang w:bidi="fa-IR"/>
        </w:rPr>
        <w:t>.</w:t>
      </w:r>
    </w:p>
    <w:p>
      <w:pPr>
        <w:pStyle w:val="Heading3"/>
        <w:numPr>
          <w:ilvl w:val="2"/>
          <w:numId w:val="1"/>
        </w:numPr>
        <w:rPr/>
      </w:pPr>
      <w:bookmarkStart w:id="2255" w:name="__RefHeading___Toc3599223_1067777946"/>
      <w:bookmarkStart w:id="2256" w:name="_Toc932"/>
      <w:bookmarkEnd w:id="2255"/>
      <w:r>
        <w:rPr>
          <w:rtl w:val="true"/>
        </w:rPr>
        <w:t>صدقه به هاشمى</w:t>
      </w:r>
      <w:bookmarkEnd w:id="2256"/>
    </w:p>
    <w:p>
      <w:pPr>
        <w:pStyle w:val="BookText"/>
        <w:rPr/>
      </w:pPr>
      <w:r>
        <w:rPr>
          <w:rFonts w:ascii="IRNazanin" w:hAnsi="IRNazanin" w:eastAsia="IRNazanin"/>
          <w:color w:val="111111"/>
          <w:sz w:val="28"/>
          <w:sz w:val="28"/>
          <w:szCs w:val="28"/>
          <w:rtl w:val="true"/>
          <w:lang w:bidi="fa-IR"/>
        </w:rPr>
        <w:t>و كلام در حرمت مطلق صدقۀ واجبه يا خصوص زكات مفروضه، از غير هاشمى به او، گذشت در كتاب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صدقۀ مندوبه، در آن مانعى نيست</w:t>
      </w:r>
      <w:r>
        <w:rPr>
          <w:rFonts w:eastAsia="IRNazanin" w:cs="IRNazanin"/>
          <w:color w:val="111111"/>
          <w:sz w:val="28"/>
          <w:szCs w:val="28"/>
          <w:rtl w:val="true"/>
          <w:lang w:bidi="fa-IR"/>
        </w:rPr>
        <w:t>.</w:t>
      </w:r>
    </w:p>
    <w:p>
      <w:pPr>
        <w:pStyle w:val="Heading3"/>
        <w:numPr>
          <w:ilvl w:val="2"/>
          <w:numId w:val="1"/>
        </w:numPr>
        <w:rPr/>
      </w:pPr>
      <w:bookmarkStart w:id="2257" w:name="__RefHeading___Toc3599225_1067777946"/>
      <w:bookmarkStart w:id="2258" w:name="_Toc933"/>
      <w:bookmarkEnd w:id="2257"/>
      <w:r>
        <w:rPr>
          <w:rtl w:val="true"/>
        </w:rPr>
        <w:t>حكم صدقۀ بدون قصد قربت</w:t>
      </w:r>
      <w:bookmarkEnd w:id="2258"/>
    </w:p>
    <w:p>
      <w:pPr>
        <w:pStyle w:val="BookText"/>
        <w:rPr/>
      </w:pPr>
      <w:r>
        <w:rPr>
          <w:rFonts w:ascii="Amiri" w:hAnsi="Amiri" w:eastAsia="Amiri" w:cs="Amiri"/>
          <w:color w:val="111111"/>
          <w:sz w:val="28"/>
          <w:sz w:val="28"/>
          <w:szCs w:val="28"/>
          <w:rtl w:val="true"/>
          <w:lang w:bidi="ar-SA"/>
        </w:rPr>
        <w:t>و با عدم قربت، در فساد آن رأساً يا لحوق حكم هبه، تأمل است در غير صورت انشاى هبه با قصد قربت</w:t>
      </w:r>
      <w:r>
        <w:rPr>
          <w:rFonts w:eastAsia="Amiri" w:cs="Amiri" w:ascii="Amiri" w:hAnsi="Amiri"/>
          <w:color w:val="111111"/>
          <w:sz w:val="28"/>
          <w:szCs w:val="28"/>
          <w:rtl w:val="true"/>
          <w:lang w:bidi="ar-SA"/>
        </w:rPr>
        <w:t>.</w:t>
      </w:r>
    </w:p>
    <w:p>
      <w:pPr>
        <w:pStyle w:val="Heading3"/>
        <w:numPr>
          <w:ilvl w:val="2"/>
          <w:numId w:val="1"/>
        </w:numPr>
        <w:rPr/>
      </w:pPr>
      <w:bookmarkStart w:id="2259" w:name="__RefHeading___Toc3599227_1067777946"/>
      <w:bookmarkStart w:id="2260" w:name="_Toc934"/>
      <w:bookmarkEnd w:id="2259"/>
      <w:r>
        <w:rPr>
          <w:rtl w:val="true"/>
        </w:rPr>
        <w:t>چند مسأله</w:t>
      </w:r>
      <w:bookmarkEnd w:id="2260"/>
    </w:p>
    <w:p>
      <w:pPr>
        <w:pStyle w:val="Heading4"/>
        <w:numPr>
          <w:ilvl w:val="3"/>
          <w:numId w:val="1"/>
        </w:numPr>
        <w:rPr/>
      </w:pPr>
      <w:bookmarkStart w:id="2261" w:name="__RefHeading___Toc3599229_1067777946"/>
      <w:bookmarkStart w:id="2262" w:name="_Toc935"/>
      <w:bookmarkEnd w:id="2261"/>
      <w:r>
        <w:rPr>
          <w:rtl w:val="true"/>
        </w:rPr>
        <w:t>صدقه بر كافر</w:t>
      </w:r>
      <w:bookmarkEnd w:id="226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بر كافر غير حربى، مشروع و جايز است</w:t>
      </w:r>
      <w:r>
        <w:rPr>
          <w:rFonts w:eastAsia="Amiri" w:cs="Amiri" w:ascii="Amiri" w:hAnsi="Amiri"/>
          <w:color w:val="111111"/>
          <w:sz w:val="28"/>
          <w:szCs w:val="28"/>
          <w:rtl w:val="true"/>
          <w:lang w:bidi="ar-SA"/>
        </w:rPr>
        <w:t>.</w:t>
      </w:r>
    </w:p>
    <w:p>
      <w:pPr>
        <w:pStyle w:val="Heading4"/>
        <w:numPr>
          <w:ilvl w:val="3"/>
          <w:numId w:val="1"/>
        </w:numPr>
        <w:rPr/>
      </w:pPr>
      <w:bookmarkStart w:id="2263" w:name="__RefHeading___Toc3599231_1067777946"/>
      <w:bookmarkStart w:id="2264" w:name="_Toc936"/>
      <w:bookmarkEnd w:id="2263"/>
      <w:r>
        <w:rPr>
          <w:rtl w:val="true"/>
        </w:rPr>
        <w:t>اخفا و اعلان در صدقه</w:t>
      </w:r>
      <w:bookmarkEnd w:id="2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مندوبه، افضل از اعلان آن است مگر براى دفع تهمت يا براى ترغيب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واجبه، اعلان آن افضل است، مگر براى خائف عروض ريا و نحو آن اگر به نحوى نباشد كه مبطل عمل باشد</w:t>
      </w:r>
      <w:r>
        <w:rPr>
          <w:rFonts w:eastAsia="IRNazanin" w:cs="IRNazanin"/>
          <w:color w:val="111111"/>
          <w:sz w:val="28"/>
          <w:szCs w:val="28"/>
          <w:rtl w:val="true"/>
          <w:lang w:bidi="fa-IR"/>
        </w:rPr>
        <w:t>.</w:t>
      </w:r>
    </w:p>
    <w:p>
      <w:pPr>
        <w:pStyle w:val="Heading4"/>
        <w:numPr>
          <w:ilvl w:val="3"/>
          <w:numId w:val="1"/>
        </w:numPr>
        <w:rPr/>
      </w:pPr>
      <w:bookmarkStart w:id="2265" w:name="__RefHeading___Toc3599233_1067777946"/>
      <w:bookmarkStart w:id="2266" w:name="_Toc937"/>
      <w:bookmarkEnd w:id="2265"/>
      <w:r>
        <w:rPr>
          <w:rtl w:val="true"/>
        </w:rPr>
        <w:t>كراهت تصدّق همۀ مال</w:t>
      </w:r>
      <w:bookmarkEnd w:id="226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صدقۀ همۀ مال مكروه است مگر در مقام ايثار بدون محذور شرعى اگر </w:t>
      </w:r>
      <w:bookmarkStart w:id="2267" w:name="pg10256_89705"/>
    </w:p>
    <w:p>
      <w:pPr>
        <w:pStyle w:val="BookText"/>
        <w:rPr/>
      </w:pPr>
      <w:bookmarkEnd w:id="2267"/>
      <w:r>
        <w:rPr>
          <w:rFonts w:ascii="IRNazanin" w:hAnsi="IRNazanin" w:eastAsia="IRNazanin"/>
          <w:color w:val="111111"/>
          <w:sz w:val="28"/>
          <w:sz w:val="28"/>
          <w:szCs w:val="28"/>
          <w:rtl w:val="true"/>
          <w:lang w:bidi="fa-IR"/>
        </w:rPr>
        <w:t>چه غير الزامى باشد، مثل خوف وقوع در ترك صبر به اتيان مكروهات و مشتبهات به نحوى كه راجح باشد ترك ايثار مخصوص، يا آنكه راجح نباشد ايثار</w:t>
      </w:r>
      <w:r>
        <w:rPr>
          <w:rFonts w:eastAsia="IRNazanin" w:cs="IRNazanin"/>
          <w:color w:val="111111"/>
          <w:sz w:val="28"/>
          <w:szCs w:val="28"/>
          <w:rtl w:val="true"/>
          <w:lang w:bidi="fa-IR"/>
        </w:rPr>
        <w:t>.</w:t>
      </w:r>
    </w:p>
    <w:p>
      <w:pPr>
        <w:pStyle w:val="Heading4"/>
        <w:numPr>
          <w:ilvl w:val="3"/>
          <w:numId w:val="1"/>
        </w:numPr>
        <w:rPr/>
      </w:pPr>
      <w:bookmarkStart w:id="2268" w:name="__RefHeading___Toc3599235_1067777946"/>
      <w:bookmarkStart w:id="2269" w:name="_Toc938"/>
      <w:bookmarkEnd w:id="2268"/>
      <w:r>
        <w:rPr>
          <w:rtl w:val="true"/>
        </w:rPr>
        <w:t>اولويّت صدقه بر قريب</w:t>
      </w:r>
      <w:bookmarkEnd w:id="22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بر اجنبى مرجوح است بالنسبه به صدقه بر قريب اگر عوارض ديگرى نباشد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0" w:name="pg10256_89707"/>
      <w:bookmarkStart w:id="2271" w:name="pg10256_89707"/>
      <w:bookmarkEnd w:id="2271"/>
    </w:p>
    <w:p>
      <w:pPr>
        <w:pStyle w:val="Heading2"/>
        <w:numPr>
          <w:ilvl w:val="1"/>
          <w:numId w:val="1"/>
        </w:numPr>
        <w:rPr/>
      </w:pPr>
      <w:bookmarkStart w:id="2272" w:name="pg10256_89707"/>
      <w:bookmarkStart w:id="2273" w:name="__RefHeading___Toc3599237_1067777946"/>
      <w:bookmarkStart w:id="2274" w:name="_Toc939"/>
      <w:bookmarkEnd w:id="2272"/>
      <w:bookmarkEnd w:id="2273"/>
      <w:r>
        <w:rPr>
          <w:rtl w:val="true"/>
        </w:rPr>
        <w:t>كتاب سكنى</w:t>
      </w:r>
      <w:bookmarkEnd w:id="227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5" w:name="__RefHeading___Toc3599239_1067777946"/>
      <w:bookmarkStart w:id="2276" w:name="_Toc940"/>
      <w:bookmarkEnd w:id="2275"/>
      <w:r>
        <w:rPr>
          <w:rtl w:val="true"/>
        </w:rPr>
        <w:t>اشاره</w:t>
      </w:r>
      <w:bookmarkEnd w:id="227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7" w:name="pg10256_89709"/>
      <w:bookmarkStart w:id="2278" w:name="pg10256_89709"/>
      <w:bookmarkEnd w:id="2278"/>
    </w:p>
    <w:p>
      <w:pPr>
        <w:pStyle w:val="Heading3"/>
        <w:numPr>
          <w:ilvl w:val="2"/>
          <w:numId w:val="1"/>
        </w:numPr>
        <w:rPr/>
      </w:pPr>
      <w:bookmarkStart w:id="2279" w:name="pg10256_89709"/>
      <w:bookmarkStart w:id="2280" w:name="__RefHeading___Toc3599241_1067777946"/>
      <w:bookmarkStart w:id="2281" w:name="_Toc941"/>
      <w:bookmarkEnd w:id="2279"/>
      <w:bookmarkEnd w:id="2280"/>
      <w:r>
        <w:rPr>
          <w:rtl w:val="true"/>
        </w:rPr>
        <w:t>عقد سُكنىٰ‌</w:t>
      </w:r>
      <w:bookmarkEnd w:id="2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صحيح مى شود با عقد مشتمل بر ايجاب و قبول اگر چه فعلى باشند، و با قبض با اذن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فايدۀ آن تسلط بر استيفاى منفعت است بر سبيل مجانيّت، با بقاى ملك عين براى مالك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توقف صحّت سكنى است بر قبض مذكور؛ و آنكه تسلط مذكور، بدون آن منتفى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عدم اعتبار نيّت قربت در غير فعليّت ثواب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لزوم فى الجمله براى سكنى يا جواز آن مطلقاً حتى اگر انشاى ايجاب و قبول به لفظ باشد، تأمل است</w:t>
      </w:r>
      <w:r>
        <w:rPr>
          <w:rFonts w:eastAsia="IRNazanin" w:cs="IRNazanin"/>
          <w:color w:val="111111"/>
          <w:sz w:val="28"/>
          <w:szCs w:val="28"/>
          <w:rtl w:val="true"/>
          <w:lang w:bidi="fa-IR"/>
        </w:rPr>
        <w:t>.</w:t>
      </w:r>
    </w:p>
    <w:p>
      <w:pPr>
        <w:pStyle w:val="Heading3"/>
        <w:numPr>
          <w:ilvl w:val="2"/>
          <w:numId w:val="1"/>
        </w:numPr>
        <w:rPr/>
      </w:pPr>
      <w:bookmarkStart w:id="2282" w:name="__RefHeading___Toc3599243_1067777946"/>
      <w:bookmarkStart w:id="2283" w:name="_Toc942"/>
      <w:bookmarkEnd w:id="2282"/>
      <w:r>
        <w:rPr>
          <w:rtl w:val="true"/>
        </w:rPr>
        <w:t>نسبت سكنى به رُقبى و عُمرىٰ‌</w:t>
      </w:r>
      <w:bookmarkEnd w:id="228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سكنى نسبت به هر يك از رُقبىٰ و عُمرىٰ عموم من وجه دارد؛ پس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شد و مقرون به عمر يا مدت معينه نبود، سكنى است و عمرىٰ و رقبىٰ نيست؛ و اگر بود، عمرىٰ يا رقبىٰ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متعلق به مسكن نبود و يا انشا به لفظ اعمار يا ارقاب شد، پس مقرون به عمر يا مدت معينه شد، سكنى نيست بلكه عمرى يا رقبى است؛ و هم چنين متعلق به مسكن اگر مقرون به عمر يا مدت بود و انشا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جامع است بين سكنى و يكى از عمرى و رقبى در صورت تقييد به يكى از دو قيد، بنا بر اظهر و منسوب به اكثر</w:t>
      </w:r>
      <w:r>
        <w:rPr>
          <w:rFonts w:eastAsia="IRNazanin" w:cs="IRNazanin"/>
          <w:color w:val="111111"/>
          <w:sz w:val="28"/>
          <w:szCs w:val="28"/>
          <w:rtl w:val="true"/>
          <w:lang w:bidi="fa-IR"/>
        </w:rPr>
        <w:t xml:space="preserve">. </w:t>
      </w:r>
      <w:bookmarkStart w:id="2284" w:name="pg10256_89710"/>
    </w:p>
    <w:p>
      <w:pPr>
        <w:pStyle w:val="Heading3"/>
        <w:numPr>
          <w:ilvl w:val="2"/>
          <w:numId w:val="1"/>
        </w:numPr>
        <w:rPr/>
      </w:pPr>
      <w:bookmarkStart w:id="2285" w:name="__RefHeading___Toc3599245_1067777946"/>
      <w:bookmarkStart w:id="2286" w:name="_Toc943"/>
      <w:bookmarkEnd w:id="2284"/>
      <w:bookmarkEnd w:id="2285"/>
      <w:r>
        <w:rPr>
          <w:rtl w:val="true"/>
        </w:rPr>
        <w:t>الفاظ سُكنى و عُمرى و رُقبى و موارد لزوم و جواز آنها</w:t>
      </w:r>
      <w:bookmarkEnd w:id="2286"/>
    </w:p>
    <w:p>
      <w:pPr>
        <w:pStyle w:val="BookText"/>
        <w:rPr/>
      </w:pPr>
      <w:r>
        <w:rPr>
          <w:rFonts w:ascii="IRNazanin" w:hAnsi="IRNazanin" w:eastAsia="IRNazanin"/>
          <w:color w:val="111111"/>
          <w:sz w:val="28"/>
          <w:sz w:val="28"/>
          <w:szCs w:val="28"/>
          <w:rtl w:val="true"/>
          <w:lang w:bidi="fa-IR"/>
        </w:rPr>
        <w:t>كافى است در ايجاب اين عقود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اسكنتك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اعمرتك هذه الدار عُمرىٖ‌، يا عُمرك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ارقبتك هذه الدار، يا هذه الارض مدّة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عمرىٰ و رقبىٰ لازم مى شوند با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سكناى مقيّده به يكى از دو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سكناى مطلقه، پس استرجاع آن براى مالك جايز است هر وقت كه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سكنى هذه الدار ما حييت انت، يا ما بقيت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بعد از موت ساكن، راجع به مُسكن و مُعمِر يا ورثۀ او مى شود اگر چه تصريح نكند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متَّ رجعَتْ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ضميمه نمايد در كلام خودش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لعقبك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بعد از انقراض، رجوع به مُعمِر يا ورثۀ او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جميع تقادير، عين در ملك مُسكِن و مُعْمِر است، نه ساكن و مُعمَر و نه ورثۀ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براى اسكان مدتى معيّن كرد و اقباض كرد، رقبى بر آن صادق است و لازم مى شود تا آخر آن مدت، و جايز نيست رجوع در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اسكان كرد و محدود كرد آن را به عُمر مالك، كه عُمرىٰ بر آن صادق مى شود و رجوع به مالك نمى نمايد اگر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نمايد، بلكه به ورثۀ مُعمَر منتقل مى شود و در ملك ورثه باقى مى شود تا زمان موت مالك عين، كه به ورثۀ او منتقل مى شود، مثل صورت تصريح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عقب تو بعد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مستظهر از اوّلْ موافق تصريح در دوّم باشد؛ و اگر مستظهر از آن اين باشد كه در مدت حيات مالك در تقدير حيات ساكن باشد، پس رجوع به مالك مى نمايد به موت ساكن در زمان حيات مالك</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عُمرىٰ را مقرون كرد به موت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مالك وفات كرد قبل از مُعمَر، جايز نيست براى ورثۀ مالكْ ارتجاع آن قبل از موت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در حيات مالكْ و غايت، عمْر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برمى گردد سكنى به مالك نه ورثۀ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گذشت</w:t>
      </w:r>
      <w:r>
        <w:rPr>
          <w:rFonts w:eastAsia="IRNazanin" w:cs="IRNazanin"/>
          <w:color w:val="111111"/>
          <w:sz w:val="28"/>
          <w:szCs w:val="28"/>
          <w:rtl w:val="true"/>
          <w:lang w:bidi="fa-IR"/>
        </w:rPr>
        <w:t xml:space="preserve">. </w:t>
      </w:r>
      <w:bookmarkStart w:id="2287" w:name="pg10256_89711"/>
    </w:p>
    <w:p>
      <w:pPr>
        <w:pStyle w:val="Heading3"/>
        <w:numPr>
          <w:ilvl w:val="2"/>
          <w:numId w:val="1"/>
        </w:numPr>
        <w:rPr/>
      </w:pPr>
      <w:bookmarkStart w:id="2288" w:name="__RefHeading___Toc3599247_1067777946"/>
      <w:bookmarkStart w:id="2289" w:name="_Toc944"/>
      <w:bookmarkEnd w:id="2287"/>
      <w:bookmarkEnd w:id="2288"/>
      <w:r>
        <w:rPr>
          <w:rtl w:val="true"/>
        </w:rPr>
        <w:t>فروعى از سكنى و عمرى و رقبى</w:t>
      </w:r>
      <w:bookmarkEnd w:id="2289"/>
    </w:p>
    <w:p>
      <w:pPr>
        <w:pStyle w:val="BookText"/>
        <w:rPr/>
      </w:pPr>
      <w:r>
        <w:rPr>
          <w:rFonts w:ascii="Amiri" w:hAnsi="Amiri" w:eastAsia="Amiri" w:cs="Amiri"/>
          <w:color w:val="111111"/>
          <w:sz w:val="28"/>
          <w:sz w:val="28"/>
          <w:szCs w:val="28"/>
          <w:rtl w:val="true"/>
          <w:lang w:bidi="ar-SA"/>
        </w:rPr>
        <w:t>و در غايت قرار دادن عمر مالك على التعيين يا ساكن على التعيين اشكالى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صحّت عُمرىٰ در صورت غايت بودن غير اين دو مذكور،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مانعى ندارد از قرار دادن عمرىٰ براى شخص و بعض معيّن از عقب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براى شخصى مادام العمر و براى عقب او تا مدت مخصوصه، قرار عمرىٰ و رقبىٰ با صيغۀ مناسبۀ هر دو قرار بدهد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را در سكنى تعيين نكرد، سكنى صحيح است و لزوم آن فى الجمله محتمل؛ و بعد از تحقق اسكان، استرجاعْ جايز است هر وقت كه مالك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سكنى را مطلق قرارداد، صحيح است و جواز رجوع بعد از اسكان،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عمرى و رقبى را مطلق گذاشت، اظهر عدم صحّت آنها است، يعنى آنچه محتمل است كه مثل سكنى مطلقه باشد اگر چه در غير مسكن باشند؛ اما اكتفاى در صيغۀ سكناى مطلقه به عبارت عمرى و رقبى بدون تعيين قيد، پس خالى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تقيد عمرى به مدّت معينه، خالى از تأمل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رُقباى موقّت به عُمْر، اگر مقصودْ ارتقاب زمان خاص باشد بلكه مطلقاً، محلّ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عمرى و رقبى به مسكن اختصاص ندارند به خلاف سكنى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قابل وقف است، قابل اعمار و إرقاب است، از قبيل عقار و حيوان و اثاث</w:t>
      </w:r>
      <w:r>
        <w:rPr>
          <w:rFonts w:eastAsia="IRNazanin" w:cs="IRNazanin"/>
          <w:color w:val="111111"/>
          <w:sz w:val="28"/>
          <w:szCs w:val="28"/>
          <w:rtl w:val="true"/>
          <w:lang w:bidi="fa-IR"/>
        </w:rPr>
        <w:t>.</w:t>
      </w:r>
    </w:p>
    <w:p>
      <w:pPr>
        <w:pStyle w:val="Heading3"/>
        <w:numPr>
          <w:ilvl w:val="2"/>
          <w:numId w:val="1"/>
        </w:numPr>
        <w:rPr/>
      </w:pPr>
      <w:bookmarkStart w:id="2290" w:name="__RefHeading___Toc3599249_1067777946"/>
      <w:bookmarkStart w:id="2291" w:name="_Toc945"/>
      <w:bookmarkEnd w:id="2290"/>
      <w:r>
        <w:rPr>
          <w:rtl w:val="true"/>
        </w:rPr>
        <w:t>عدم بطلان عُمرىٰ و رقبىٰ و سكناى موقّته، به بيع و بعضى از احكام بيع مذكور</w:t>
      </w:r>
      <w:bookmarkEnd w:id="229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كدام از عمرىٰ و رقبىٰ و سكناى موقّته، به سبب بيع عين و ساير نواقل عينْ باطل نمى شوند تا غايت محقّق نشده است، و واجب است وفا تا غايت اين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انفساخ سكناى مطلقه تأمل است، اظهر عدم انفساخ به غير انشاى فسخ است، مثل بيع عين مستأجره با شرط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 هم باطل نيست با تماميّت عمرى مگر آنكه سفهى </w:t>
      </w:r>
      <w:bookmarkStart w:id="2292" w:name="pg10256_89712"/>
    </w:p>
    <w:p>
      <w:pPr>
        <w:pStyle w:val="BookText"/>
        <w:rPr/>
      </w:pPr>
      <w:bookmarkEnd w:id="2292"/>
      <w:r>
        <w:rPr>
          <w:rFonts w:ascii="Amiri" w:hAnsi="Amiri" w:eastAsia="Amiri" w:cs="Amiri"/>
          <w:color w:val="111111"/>
          <w:sz w:val="28"/>
          <w:sz w:val="28"/>
          <w:szCs w:val="28"/>
          <w:rtl w:val="true"/>
          <w:lang w:bidi="ar-SA"/>
        </w:rPr>
        <w:t>بشود، مثل آنكه ذكر عقب در عمرى كرده باشد و انقراض آنها شرط جواز مطلق انتفاع به مبيع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غير عالم به عمرى، سفه منتفى است و ثبوت خيار دافع تضرر،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عين باشد، جايز است نقل عين با منفعت آن به ديگرى اگر اسكان غير، جايز باشد براى او اگر چه به شرط در عمرى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مشترى عين، غير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تواند مصالحه نمايد منفعت را با معْمَر، به مالى معلوم، در تقدير جواز اسكان غير اگر چه با شرط باشد، چنانچه مذكور شد</w:t>
      </w:r>
      <w:r>
        <w:rPr>
          <w:rFonts w:eastAsia="IRNazanin" w:cs="IRNazanin"/>
          <w:color w:val="111111"/>
          <w:sz w:val="28"/>
          <w:szCs w:val="28"/>
          <w:rtl w:val="true"/>
          <w:lang w:bidi="fa-IR"/>
        </w:rPr>
        <w:t>.</w:t>
      </w:r>
    </w:p>
    <w:p>
      <w:pPr>
        <w:pStyle w:val="Heading3"/>
        <w:numPr>
          <w:ilvl w:val="2"/>
          <w:numId w:val="1"/>
        </w:numPr>
        <w:rPr/>
      </w:pPr>
      <w:bookmarkStart w:id="2293" w:name="__RefHeading___Toc3599251_1067777946"/>
      <w:bookmarkStart w:id="2294" w:name="_Toc946"/>
      <w:bookmarkEnd w:id="2293"/>
      <w:r>
        <w:rPr>
          <w:rtl w:val="true"/>
        </w:rPr>
        <w:t>نحوۀ تصرّف در اسكان مطلق</w:t>
      </w:r>
      <w:bookmarkEnd w:id="2294"/>
    </w:p>
    <w:p>
      <w:pPr>
        <w:pStyle w:val="BookText"/>
        <w:rPr/>
      </w:pPr>
      <w:r>
        <w:rPr>
          <w:rFonts w:ascii="IRNazanin" w:hAnsi="IRNazanin" w:eastAsia="IRNazanin"/>
          <w:color w:val="111111"/>
          <w:sz w:val="28"/>
          <w:sz w:val="28"/>
          <w:szCs w:val="28"/>
          <w:rtl w:val="true"/>
          <w:lang w:bidi="fa-IR"/>
        </w:rPr>
        <w:t>اگر اسكانْ مطلق باشد، محمول بر سكناى طرف به نحو متعارف و لايق محل، از سكناى خود و متعلقين و متعلقات خودش در متعارف حتى خدام و اضياف، مى شود، و نمى تواند بدل خودش اسكانِ غير نمايد يا اجاره بدهد يا به عاريه بدهد يا صلح منفعت نمايد به مالى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اسكانِ غير و تمليك سكنى به غير به مالى يا به تبرّع است، مثل اجاره، نسبت به عدم اعتبار مباشرت در استيفاى منفعت مگر با شرط</w:t>
      </w:r>
      <w:r>
        <w:rPr>
          <w:rFonts w:eastAsia="IRNazanin" w:cs="IRNazanin"/>
          <w:color w:val="111111"/>
          <w:sz w:val="28"/>
          <w:szCs w:val="28"/>
          <w:rtl w:val="true"/>
          <w:lang w:bidi="fa-IR"/>
        </w:rPr>
        <w:t>.</w:t>
      </w:r>
    </w:p>
    <w:p>
      <w:pPr>
        <w:pStyle w:val="Heading3"/>
        <w:numPr>
          <w:ilvl w:val="2"/>
          <w:numId w:val="1"/>
        </w:numPr>
        <w:rPr/>
      </w:pPr>
      <w:bookmarkStart w:id="2295" w:name="__RefHeading___Toc3599253_1067777946"/>
      <w:bookmarkStart w:id="2296" w:name="_Toc947"/>
      <w:bookmarkEnd w:id="2295"/>
      <w:r>
        <w:rPr>
          <w:rtl w:val="true"/>
        </w:rPr>
        <w:t>در حبس است</w:t>
      </w:r>
      <w:bookmarkEnd w:id="2296"/>
    </w:p>
    <w:p>
      <w:pPr>
        <w:pStyle w:val="BookText"/>
        <w:rPr/>
      </w:pPr>
      <w:r>
        <w:rPr>
          <w:rFonts w:ascii="IRNazanin" w:hAnsi="IRNazanin" w:eastAsia="IRNazanin"/>
          <w:color w:val="111111"/>
          <w:sz w:val="28"/>
          <w:sz w:val="28"/>
          <w:szCs w:val="28"/>
          <w:rtl w:val="true"/>
          <w:lang w:bidi="fa-IR"/>
        </w:rPr>
        <w:t>اگر حبس كرد اسب خود يا عبد خود را در راه خدا يا در خدمت خانه، خدا يا مسجد و يا مشهدى براى هميشه، يا بر ساير قُرَب، جايز و لازم است و تغيير آن با بقاى محبوسْ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اعتبار قبول از اهلش و قبض با اذن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اعتبار قربت، موافق با وقف است، بلكه در احكام وقفْ شريك است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ايجاب حبس، لفظ لازم نيست و فعل كافى است در انشاى 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حبس كرد چيزى را بر انسانى بدون تعيين وقت، پس از آن حابس وفات كرد، ميراث است براى ورثۀ حابس، و احوط لزوم و عدم جواز تغيير است در حيات 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مدتى را معيّن كرده باشد پس منقضى بشود، ارث است براى ورثۀ حابس و تغيير آن تا مدت معينه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 الصلاة على سيدنا و نبينا محمد و آله الطاهرين،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اللعن على اعدائهم اجمعين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7" w:name="pg10256_89715"/>
      <w:bookmarkStart w:id="2298" w:name="pg10256_89715"/>
      <w:bookmarkEnd w:id="2298"/>
    </w:p>
    <w:p>
      <w:pPr>
        <w:pStyle w:val="Heading2"/>
        <w:numPr>
          <w:ilvl w:val="1"/>
          <w:numId w:val="1"/>
        </w:numPr>
        <w:rPr/>
      </w:pPr>
      <w:bookmarkStart w:id="2299" w:name="pg10256_89715"/>
      <w:bookmarkStart w:id="2300" w:name="__RefHeading___Toc3599255_1067777946"/>
      <w:bookmarkStart w:id="2301" w:name="_Toc948"/>
      <w:bookmarkEnd w:id="2299"/>
      <w:bookmarkEnd w:id="2300"/>
      <w:r>
        <w:rPr>
          <w:rtl w:val="true"/>
        </w:rPr>
        <w:t>كتاب هبه</w:t>
      </w:r>
      <w:bookmarkEnd w:id="2301"/>
    </w:p>
    <w:p>
      <w:pPr>
        <w:pStyle w:val="Heading3"/>
        <w:numPr>
          <w:ilvl w:val="2"/>
          <w:numId w:val="1"/>
        </w:numPr>
        <w:rPr/>
      </w:pPr>
      <w:bookmarkStart w:id="2302" w:name="__RefHeading___Toc3599257_1067777946"/>
      <w:bookmarkStart w:id="2303" w:name="_Toc949"/>
      <w:bookmarkEnd w:id="2302"/>
      <w:r>
        <w:rPr>
          <w:rtl w:val="true"/>
        </w:rPr>
        <w:t>اشاره</w:t>
      </w:r>
      <w:bookmarkEnd w:id="2303"/>
    </w:p>
    <w:p>
      <w:pPr>
        <w:pStyle w:val="BookText"/>
        <w:rPr/>
      </w:pPr>
      <w:r>
        <w:rPr>
          <w:rFonts w:ascii="Amiri" w:hAnsi="Amiri" w:eastAsia="Amiri" w:cs="Amiri"/>
          <w:color w:val="111111"/>
          <w:sz w:val="28"/>
          <w:sz w:val="28"/>
          <w:szCs w:val="28"/>
          <w:rtl w:val="true"/>
          <w:lang w:bidi="ar-SA"/>
        </w:rPr>
        <w:t>عقد هبه و شرايط آن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هبه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4" w:name="pg10256_89717"/>
      <w:bookmarkStart w:id="2305" w:name="pg10256_89717"/>
      <w:bookmarkEnd w:id="2305"/>
    </w:p>
    <w:p>
      <w:pPr>
        <w:pStyle w:val="Heading3"/>
        <w:numPr>
          <w:ilvl w:val="2"/>
          <w:numId w:val="1"/>
        </w:numPr>
        <w:rPr/>
      </w:pPr>
      <w:bookmarkStart w:id="2306" w:name="pg10256_89717"/>
      <w:bookmarkStart w:id="2307" w:name="__RefHeading___Toc3599259_1067777946"/>
      <w:bookmarkStart w:id="2308" w:name="_Toc950"/>
      <w:bookmarkEnd w:id="2306"/>
      <w:bookmarkEnd w:id="2307"/>
      <w:r>
        <w:rPr>
          <w:rtl w:val="true"/>
        </w:rPr>
        <w:t>فصل اوّل عقد هبه و شرايط آن</w:t>
      </w:r>
      <w:bookmarkEnd w:id="2308"/>
    </w:p>
    <w:p>
      <w:pPr>
        <w:pStyle w:val="Heading4"/>
        <w:numPr>
          <w:ilvl w:val="3"/>
          <w:numId w:val="1"/>
        </w:numPr>
        <w:rPr/>
      </w:pPr>
      <w:bookmarkStart w:id="2309" w:name="__RefHeading___Toc3599261_1067777946"/>
      <w:bookmarkStart w:id="2310" w:name="_Toc951"/>
      <w:bookmarkEnd w:id="2309"/>
      <w:r>
        <w:rPr>
          <w:rtl w:val="true"/>
        </w:rPr>
        <w:t>عقد هبه</w:t>
      </w:r>
      <w:bookmarkEnd w:id="2310"/>
    </w:p>
    <w:p>
      <w:pPr>
        <w:pStyle w:val="BookText"/>
        <w:rPr/>
      </w:pPr>
      <w:r>
        <w:rPr>
          <w:rFonts w:ascii="IRNazanin" w:hAnsi="IRNazanin" w:eastAsia="IRNazanin"/>
          <w:color w:val="111111"/>
          <w:sz w:val="28"/>
          <w:sz w:val="28"/>
          <w:szCs w:val="28"/>
          <w:rtl w:val="true"/>
          <w:lang w:bidi="fa-IR"/>
        </w:rPr>
        <w:t xml:space="preserve">و آن محقّق مى شود به عقدى كه متضمّن تمليك عين بدون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آنچه با تقرب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تنجيز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بيع و اجاره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قربت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هبه نيست، اگر چه اعميّت هبه از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هبۀ معوّضه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p>
    <w:p>
      <w:pPr>
        <w:pStyle w:val="Heading4"/>
        <w:numPr>
          <w:ilvl w:val="3"/>
          <w:numId w:val="1"/>
        </w:numPr>
        <w:rPr/>
      </w:pPr>
      <w:bookmarkStart w:id="2311" w:name="__RefHeading___Toc3599263_1067777946"/>
      <w:bookmarkStart w:id="2312" w:name="_Toc952"/>
      <w:bookmarkEnd w:id="2311"/>
      <w:r>
        <w:rPr>
          <w:rtl w:val="true"/>
        </w:rPr>
        <w:t>اعتبار ايجاب و قبول و شرايط متعاقدين</w:t>
      </w:r>
      <w:bookmarkEnd w:id="2312"/>
    </w:p>
    <w:p>
      <w:pPr>
        <w:pStyle w:val="BookText"/>
        <w:rPr/>
      </w:pPr>
      <w:r>
        <w:rPr>
          <w:rFonts w:ascii="IRNazanin" w:hAnsi="IRNazanin" w:eastAsia="IRNazanin"/>
          <w:color w:val="111111"/>
          <w:sz w:val="28"/>
          <w:sz w:val="28"/>
          <w:szCs w:val="28"/>
          <w:rtl w:val="true"/>
          <w:lang w:bidi="fa-IR"/>
        </w:rPr>
        <w:t xml:space="preserve">معتبر است در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غير لفظ باشد، مثل اشارۀ اخرس، بلكه معاطات جارى است در هبه مثل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موالات بين ايجاب و قبول در هديه و آنچه به حكم آن است، لازم نيست اگر چه اختيار شود لزوم آن در معاطات ساير 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معتبر است در تأثير در ملك، قبض 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 است در عقد هبه در طرف واهب و 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عقل، و بلوغ، و اينكه نافذ باشد تصرّفات وضعيّۀ او</w:t>
      </w:r>
      <w:r>
        <w:rPr>
          <w:rFonts w:eastAsia="Amiri" w:cs="Amiri" w:ascii="Amiri" w:hAnsi="Amiri"/>
          <w:color w:val="111111"/>
          <w:sz w:val="28"/>
          <w:szCs w:val="28"/>
          <w:rtl w:val="true"/>
          <w:lang w:bidi="ar-SA"/>
        </w:rPr>
        <w:t>.</w:t>
      </w:r>
    </w:p>
    <w:p>
      <w:pPr>
        <w:pStyle w:val="Heading4"/>
        <w:numPr>
          <w:ilvl w:val="3"/>
          <w:numId w:val="1"/>
        </w:numPr>
        <w:rPr/>
      </w:pPr>
      <w:bookmarkStart w:id="2313" w:name="__RefHeading___Toc3599265_1067777946"/>
      <w:bookmarkStart w:id="2314" w:name="_Toc953"/>
      <w:bookmarkEnd w:id="2313"/>
      <w:r>
        <w:rPr>
          <w:rtl w:val="true"/>
        </w:rPr>
        <w:t>صحّت هبۀ كلّى ثابت در ذمّه و نحوۀ قبض در آن</w:t>
      </w:r>
      <w:bookmarkEnd w:id="231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هبۀ كلّى ثابت در ذمّه به غير مَن عليه، اظهر صحّت آن است به نحو مشروط به قبض در فعليّت ملكيّت به قبض بعض افراد آن؛ و از اين جهت، جواز رجوع در نفس </w:t>
      </w:r>
      <w:bookmarkStart w:id="2315" w:name="pg10256_89718"/>
    </w:p>
    <w:p>
      <w:pPr>
        <w:pStyle w:val="BookText"/>
        <w:rPr/>
      </w:pPr>
      <w:bookmarkEnd w:id="2315"/>
      <w:r>
        <w:rPr>
          <w:rFonts w:ascii="Amiri" w:hAnsi="Amiri" w:eastAsia="Amiri" w:cs="Amiri"/>
          <w:color w:val="111111"/>
          <w:sz w:val="28"/>
          <w:sz w:val="28"/>
          <w:szCs w:val="28"/>
          <w:rtl w:val="true"/>
          <w:lang w:bidi="ar-SA"/>
        </w:rPr>
        <w:t>تمليك كلّى، قبل از قبض، ثابت است مطلقا، به خلاف بيع نفس 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زيد مديونِ واهب باشد، و عمرو مديون زيد باشد، و دَينها كلى و متساوى در مقدار باشد، پس هبه كرد به عمرو آنچه را كه در ذمۀ زيد دارد، پس هر كدام مالك ما فى الذمۀ ديگرى به يك مقدار كلّى شدند و ساقط شد آنچه مملوك هر كدام بود، اين هم به منزلۀ قبض نفس كلى است و هبه صحّت فعليّه پيدا مى كند</w:t>
      </w:r>
      <w:r>
        <w:rPr>
          <w:rFonts w:eastAsia="IRNazanin" w:cs="IRNazanin"/>
          <w:color w:val="111111"/>
          <w:sz w:val="28"/>
          <w:szCs w:val="28"/>
          <w:rtl w:val="true"/>
          <w:lang w:bidi="fa-IR"/>
        </w:rPr>
        <w:t>.</w:t>
      </w:r>
    </w:p>
    <w:p>
      <w:pPr>
        <w:pStyle w:val="Heading4"/>
        <w:numPr>
          <w:ilvl w:val="3"/>
          <w:numId w:val="1"/>
        </w:numPr>
        <w:rPr/>
      </w:pPr>
      <w:bookmarkStart w:id="2316" w:name="__RefHeading___Toc3599267_1067777946"/>
      <w:bookmarkStart w:id="2317" w:name="_Toc954"/>
      <w:bookmarkEnd w:id="2316"/>
      <w:r>
        <w:rPr>
          <w:rtl w:val="true"/>
        </w:rPr>
        <w:t>صحّت هبۀ دين به مديون</w:t>
      </w:r>
      <w:bookmarkEnd w:id="2317"/>
    </w:p>
    <w:p>
      <w:pPr>
        <w:pStyle w:val="BookText"/>
        <w:rPr/>
      </w:pPr>
      <w:r>
        <w:rPr>
          <w:rFonts w:ascii="IRNazanin" w:hAnsi="IRNazanin" w:eastAsia="IRNazanin"/>
          <w:color w:val="111111"/>
          <w:sz w:val="28"/>
          <w:sz w:val="28"/>
          <w:szCs w:val="28"/>
          <w:rtl w:val="true"/>
          <w:lang w:bidi="fa-IR"/>
        </w:rPr>
        <w:t>و هبۀ دَين به مديون صحيح است و بدون مانع است و قبض هم حاصل است در نفس كلّى؛ و از اين جهت جواز رجوع ندارد، و از اينكه ساقط مى شود به مالكيّت، از ذمّه، و ثبوت بعدى بدون وجهِ معقول يا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نتيجۀ هبۀ دين به مديون، ابراء است؛ لكن ابراءِ محض، محتاج به قبول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آن تعبير به هبه بشود از روى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هبه كه از عقود است</w:t>
      </w:r>
      <w:r>
        <w:rPr>
          <w:rFonts w:eastAsia="IRNazanin" w:cs="IRNazanin"/>
          <w:color w:val="111111"/>
          <w:sz w:val="28"/>
          <w:szCs w:val="28"/>
          <w:rtl w:val="true"/>
          <w:lang w:bidi="fa-IR"/>
        </w:rPr>
        <w:t>.</w:t>
      </w:r>
    </w:p>
    <w:p>
      <w:pPr>
        <w:pStyle w:val="Heading4"/>
        <w:numPr>
          <w:ilvl w:val="3"/>
          <w:numId w:val="1"/>
        </w:numPr>
        <w:rPr/>
      </w:pPr>
      <w:bookmarkStart w:id="2318" w:name="__RefHeading___Toc3599269_1067777946"/>
      <w:bookmarkStart w:id="2319" w:name="_Toc955"/>
      <w:bookmarkEnd w:id="2318"/>
      <w:r>
        <w:rPr>
          <w:rtl w:val="true"/>
        </w:rPr>
        <w:t>اعتبار قبض</w:t>
      </w:r>
      <w:bookmarkEnd w:id="2319"/>
    </w:p>
    <w:p>
      <w:pPr>
        <w:pStyle w:val="BookText"/>
        <w:rPr/>
      </w:pPr>
      <w:r>
        <w:rPr>
          <w:rFonts w:ascii="IRNazanin" w:hAnsi="IRNazanin" w:eastAsia="IRNazanin"/>
          <w:color w:val="111111"/>
          <w:sz w:val="28"/>
          <w:sz w:val="28"/>
          <w:szCs w:val="28"/>
          <w:rtl w:val="true"/>
          <w:lang w:bidi="fa-IR"/>
        </w:rPr>
        <w:t>معتبر است در تأثير عقد هبه در ملكيت، قبض موهوبٌ له به اقباض واهب يا مأذون او؛ پس قبل از قبض، فقط استعداد ملكيت به سبب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اقرار كرد واهب به هبه و اقباض، حكم مى شود بر او به آنها اگر چه بعداً انكار نمايد، و انكارِ بعد از اقرار، مسموع نمى شود اگر چه در دست واهب باشد، و حق استحلاف موهوبٌ له را ندارد مگر در صورت ادّعاى مواطات بر اقرار بنابر تأثير مثل آن در مطلق اقرار</w:t>
      </w:r>
      <w:r>
        <w:rPr>
          <w:rFonts w:eastAsia="IRNazanin" w:cs="IRNazanin"/>
          <w:color w:val="111111"/>
          <w:sz w:val="28"/>
          <w:szCs w:val="28"/>
          <w:rtl w:val="true"/>
          <w:lang w:bidi="fa-IR"/>
        </w:rPr>
        <w:t>.</w:t>
      </w:r>
    </w:p>
    <w:p>
      <w:pPr>
        <w:pStyle w:val="Heading4"/>
        <w:numPr>
          <w:ilvl w:val="3"/>
          <w:numId w:val="1"/>
        </w:numPr>
        <w:rPr/>
      </w:pPr>
      <w:bookmarkStart w:id="2320" w:name="__RefHeading___Toc3599271_1067777946"/>
      <w:bookmarkStart w:id="2321" w:name="_Toc956"/>
      <w:bookmarkEnd w:id="2320"/>
      <w:r>
        <w:rPr>
          <w:rtl w:val="true"/>
        </w:rPr>
        <w:t>فوت واهب يا موهوبٌ له</w:t>
      </w:r>
      <w:bookmarkEnd w:id="232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واهب يا موهوبٌ له بعد از عقد هبه و قبل از قبض با اذن واهب، وفات نمايد، عين موهوبه ميراث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علم رسول و واسطۀ به موت، تأثيرى در تماميّت هبه ندارد</w:t>
      </w:r>
      <w:r>
        <w:rPr>
          <w:rFonts w:eastAsia="IRNazanin" w:cs="IRNazanin"/>
          <w:color w:val="111111"/>
          <w:sz w:val="28"/>
          <w:szCs w:val="28"/>
          <w:rtl w:val="true"/>
          <w:lang w:bidi="fa-IR"/>
        </w:rPr>
        <w:t xml:space="preserve">. </w:t>
      </w:r>
      <w:bookmarkStart w:id="2322" w:name="pg10256_89719"/>
    </w:p>
    <w:p>
      <w:pPr>
        <w:pStyle w:val="Heading4"/>
        <w:numPr>
          <w:ilvl w:val="3"/>
          <w:numId w:val="1"/>
        </w:numPr>
        <w:rPr/>
      </w:pPr>
      <w:bookmarkStart w:id="2323" w:name="__RefHeading___Toc3599273_1067777946"/>
      <w:bookmarkStart w:id="2324" w:name="_Toc957"/>
      <w:bookmarkEnd w:id="2322"/>
      <w:bookmarkEnd w:id="2323"/>
      <w:r>
        <w:rPr>
          <w:rtl w:val="true"/>
        </w:rPr>
        <w:t>اعتبار اذن واهب در قبض</w:t>
      </w:r>
      <w:bookmarkEnd w:id="2324"/>
    </w:p>
    <w:p>
      <w:pPr>
        <w:pStyle w:val="BookText"/>
        <w:rPr/>
      </w:pPr>
      <w:r>
        <w:rPr>
          <w:rFonts w:ascii="IRNazanin" w:hAnsi="IRNazanin" w:eastAsia="IRNazanin"/>
          <w:color w:val="111111"/>
          <w:sz w:val="28"/>
          <w:sz w:val="28"/>
          <w:szCs w:val="28"/>
          <w:rtl w:val="true"/>
          <w:lang w:bidi="fa-IR"/>
        </w:rPr>
        <w:t>و معتبر است در صحّت قبض و تأثير او در تماميّت هبه، اذن واهب در قبض؛ پس قبض بدون اذن كالعدم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لحوق رضاى او به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مكشوف بودن آن به سبب امارات خاصۀ زايده بر اماريت نفس عقد 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اذن است در تماميّت هبۀ 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لزوم اذن در قبض براى هبه است، نه مطلق قبض، يا قبض براى ساير غايات؛ يعنى اذن در قبض، براى هبه باشد اگر چه استفاده از اطلاق اذن بشود، و قبض هم براى هبه باشد اگر چه كشف از اتصال قبض به قبول بشود با عدم 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قبض خاص از هر كدام واقعاً، بى اثر است واقعاً 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در اختلاف، قول قاصد است به حسب ادّعاى خودش مگر با ظهور خلاف به سبب امارات كاشفه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اجازۀ قبض از اذن، در تماميّت هبه، خالى از وجه نيست</w:t>
      </w:r>
      <w:r>
        <w:rPr>
          <w:rFonts w:eastAsia="IRNazanin" w:cs="IRNazanin"/>
          <w:color w:val="111111"/>
          <w:sz w:val="28"/>
          <w:szCs w:val="28"/>
          <w:rtl w:val="true"/>
          <w:lang w:bidi="fa-IR"/>
        </w:rPr>
        <w:t>.</w:t>
      </w:r>
    </w:p>
    <w:p>
      <w:pPr>
        <w:pStyle w:val="Heading4"/>
        <w:numPr>
          <w:ilvl w:val="3"/>
          <w:numId w:val="1"/>
        </w:numPr>
        <w:rPr/>
      </w:pPr>
      <w:bookmarkStart w:id="2325" w:name="__RefHeading___Toc3599275_1067777946"/>
      <w:bookmarkStart w:id="2326" w:name="_Toc958"/>
      <w:bookmarkEnd w:id="2325"/>
      <w:r>
        <w:rPr>
          <w:rtl w:val="true"/>
        </w:rPr>
        <w:t>هبۀ آنچه در يد موهوبٌ له است</w:t>
      </w:r>
      <w:bookmarkEnd w:id="2326"/>
    </w:p>
    <w:p>
      <w:pPr>
        <w:pStyle w:val="BookText"/>
        <w:rPr/>
      </w:pPr>
      <w:r>
        <w:rPr>
          <w:rFonts w:ascii="IRNazanin" w:hAnsi="IRNazanin" w:eastAsia="IRNazanin"/>
          <w:color w:val="111111"/>
          <w:sz w:val="28"/>
          <w:sz w:val="28"/>
          <w:szCs w:val="28"/>
          <w:rtl w:val="true"/>
          <w:lang w:bidi="fa-IR"/>
        </w:rPr>
        <w:t xml:space="preserve">اگر هبه كرد آنچه را كه در يد موهوبٌ 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غصب، وضع يد نموده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كفايت اقرار يد است از اذن، با اطلاع طرفين به وضع يد سابق بر هبه، و اينكه مكشوف مى شود رضاى به قبض براى هبه و تحقق اين مأذون، با التفات مذكور در زمان متصل به عقد هبه به نحو متقدّم، مگر آنكه صارفى از كشف مذكور در يك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 يا جدّ ابى هبه كرد به ولد صغير خودش، آنچه را كه در يد واهب است، اظهر اعتبار آنچه معتبر است در هبۀ آنچه كه در يد اجنبى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قبض براى هبه از جانب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دوام قبض، قبضِ مصحِّح هبه نمى شود بنابر احتياط متقدّم</w:t>
      </w:r>
      <w:r>
        <w:rPr>
          <w:rFonts w:eastAsia="IRNazanin" w:cs="IRNazanin"/>
          <w:color w:val="111111"/>
          <w:sz w:val="28"/>
          <w:szCs w:val="28"/>
          <w:rtl w:val="true"/>
          <w:lang w:bidi="fa-IR"/>
        </w:rPr>
        <w:t>.</w:t>
      </w:r>
    </w:p>
    <w:p>
      <w:pPr>
        <w:pStyle w:val="Heading4"/>
        <w:numPr>
          <w:ilvl w:val="3"/>
          <w:numId w:val="1"/>
        </w:numPr>
        <w:rPr/>
      </w:pPr>
      <w:bookmarkStart w:id="2327" w:name="__RefHeading___Toc3599277_1067777946"/>
      <w:bookmarkStart w:id="2328" w:name="_Toc959"/>
      <w:bookmarkEnd w:id="2327"/>
      <w:r>
        <w:rPr>
          <w:rtl w:val="true"/>
        </w:rPr>
        <w:t>هبۀ چيزى كه از يد واهب خارج است</w:t>
      </w:r>
      <w:bookmarkEnd w:id="232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هبۀ چيزى كه از يد واهب خارج است، محتاج به قبض جديد است براى هبه، </w:t>
      </w:r>
      <w:bookmarkStart w:id="2329" w:name="pg10256_89720"/>
    </w:p>
    <w:p>
      <w:pPr>
        <w:pStyle w:val="BookText"/>
        <w:rPr/>
      </w:pPr>
      <w:bookmarkEnd w:id="2329"/>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وديعه از يد مودع خارج نيست، مثل يد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مستأجَر اگر هبۀ مسلوب المنفعه باشد تا مدت اجاره، و از يد مؤجِر خارج نشده باشد؛ به خلاف مغصوب و مستعار، پس استيلاء لازم است در اين دو، و قصد آن براى هبه لازم است در سابق ها بنابر احتياط 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ذكر شد فرقى نيست در صغير كه مولّىٰ عليه است، بين دختر و پسر؛ و در كبيرْ ولايت ماليّه منقطع باشد با كمال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وصىّ كه ولايت دارد، به منزلۀ موصى است نسبت به هبۀ خودش يا هبۀ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اذن واهبْ قبض براى هبه بشود به وجه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در صورت ولايتش مثل اب و جدّ است و با اذن واهبْ قبض مى نمايد براى هبه، چنانچه در اب و جدّ گذشت؛ لكن در هبۀ غير مالك، اذن مالك در قبض براى هبه، به ولى شرعى، لازم است به نحو سابق</w:t>
      </w:r>
      <w:r>
        <w:rPr>
          <w:rFonts w:eastAsia="IRNazanin" w:cs="IRNazanin"/>
          <w:color w:val="111111"/>
          <w:sz w:val="28"/>
          <w:szCs w:val="28"/>
          <w:rtl w:val="true"/>
          <w:lang w:bidi="fa-IR"/>
        </w:rPr>
        <w:t>.</w:t>
      </w:r>
    </w:p>
    <w:p>
      <w:pPr>
        <w:pStyle w:val="Heading4"/>
        <w:numPr>
          <w:ilvl w:val="3"/>
          <w:numId w:val="1"/>
        </w:numPr>
        <w:rPr/>
      </w:pPr>
      <w:bookmarkStart w:id="2330" w:name="__RefHeading___Toc3599279_1067777946"/>
      <w:bookmarkStart w:id="2331" w:name="_Toc960"/>
      <w:bookmarkEnd w:id="2330"/>
      <w:r>
        <w:rPr>
          <w:rtl w:val="true"/>
        </w:rPr>
        <w:t>هبۀ مشاع</w:t>
      </w:r>
      <w:bookmarkEnd w:id="2331"/>
    </w:p>
    <w:p>
      <w:pPr>
        <w:pStyle w:val="BookText"/>
        <w:rPr/>
      </w:pPr>
      <w:r>
        <w:rPr>
          <w:rFonts w:ascii="Amiri" w:hAnsi="Amiri" w:eastAsia="Amiri" w:cs="Amiri"/>
          <w:color w:val="111111"/>
          <w:sz w:val="28"/>
          <w:sz w:val="28"/>
          <w:szCs w:val="28"/>
          <w:rtl w:val="true"/>
          <w:lang w:bidi="ar-SA"/>
        </w:rPr>
        <w:t>و هبۀ مشاع جايز است، و قبض آن به استيلاء مجموع مالكها بر مجموع است به مثل استيلاء واهب، و به قصد استيلاء براى هبه به هر نحوى كه محقّق قبض لازم در بيع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تقدير توقّف قبض در منقول، بر تصرف، پس به جهت تصرف لازم در قبض، محتاج به اذن مالك بقيّه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امتناع نمود، توكيل مى نمايد موهوبٌ له، او را در قبض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توكيل يا امتناع از قبض مذكور، رفع امر به حاكم مى شود تا قبض نمايد او يا نايبش از جانب 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قبضِ متمّم هبه، محقّق نشد، هبه موقوف است به قبض اهل آن يا انقطاع قابليت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قبض موقوف بر تصرف غير جايز بدون اذن شريك باشد، پس قبض كرد، هبه صحيح مى شود و شرط محقَّق مى شود، اگر چه غير جايز است، بنا بر اظهر</w:t>
      </w:r>
      <w:r>
        <w:rPr>
          <w:rFonts w:eastAsia="IRNazanin" w:cs="IRNazanin"/>
          <w:color w:val="111111"/>
          <w:sz w:val="28"/>
          <w:szCs w:val="28"/>
          <w:rtl w:val="true"/>
          <w:lang w:bidi="fa-IR"/>
        </w:rPr>
        <w:t>.</w:t>
      </w:r>
    </w:p>
    <w:p>
      <w:pPr>
        <w:pStyle w:val="Heading4"/>
        <w:numPr>
          <w:ilvl w:val="3"/>
          <w:numId w:val="1"/>
        </w:numPr>
        <w:rPr/>
      </w:pPr>
      <w:bookmarkStart w:id="2332" w:name="__RefHeading___Toc3599281_1067777946"/>
      <w:bookmarkStart w:id="2333" w:name="_Toc961"/>
      <w:bookmarkEnd w:id="2332"/>
      <w:r>
        <w:rPr>
          <w:rtl w:val="true"/>
        </w:rPr>
        <w:t>هبۀ مرهون</w:t>
      </w:r>
      <w:bookmarkEnd w:id="233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اظهر در هبۀ مرهون و اقباض آن بدون اذن مرتهن، صحّت رهن و مالكيّت موهوبٌ له </w:t>
      </w:r>
      <w:bookmarkStart w:id="2334" w:name="pg10256_89721"/>
    </w:p>
    <w:p>
      <w:pPr>
        <w:pStyle w:val="BookText"/>
        <w:rPr/>
      </w:pPr>
      <w:bookmarkEnd w:id="2334"/>
      <w:r>
        <w:rPr>
          <w:rFonts w:ascii="IRNazanin" w:hAnsi="IRNazanin" w:eastAsia="IRNazanin"/>
          <w:color w:val="111111"/>
          <w:sz w:val="28"/>
          <w:sz w:val="28"/>
          <w:szCs w:val="28"/>
          <w:rtl w:val="true"/>
          <w:lang w:bidi="fa-IR"/>
        </w:rPr>
        <w:t>است به نحو مالكيّت راهن با بقاى حق رهانت؛ پس با بيع آن، مستحق بدل از راهن است و با فكّ آن منتفى مى شود رهانت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اقباض نشد با اذن راهن و به جهت هبه، مراعىٰ است تا حصول بيع كه هبه باطل مى شود، يا فك كه با اقباض واهب تمام مى شود</w:t>
      </w:r>
      <w:r>
        <w:rPr>
          <w:rFonts w:eastAsia="IRNazanin" w:cs="IRNazanin"/>
          <w:color w:val="111111"/>
          <w:sz w:val="28"/>
          <w:szCs w:val="28"/>
          <w:rtl w:val="true"/>
          <w:lang w:bidi="fa-IR"/>
        </w:rPr>
        <w:t>.</w:t>
      </w:r>
    </w:p>
    <w:p>
      <w:pPr>
        <w:pStyle w:val="Heading4"/>
        <w:numPr>
          <w:ilvl w:val="3"/>
          <w:numId w:val="1"/>
        </w:numPr>
        <w:rPr/>
      </w:pPr>
      <w:bookmarkStart w:id="2335" w:name="__RefHeading___Toc3599283_1067777946"/>
      <w:bookmarkStart w:id="2336" w:name="_Toc962"/>
      <w:bookmarkEnd w:id="2335"/>
      <w:r>
        <w:rPr>
          <w:rtl w:val="true"/>
        </w:rPr>
        <w:t>هبۀ غير مقدور التسليم</w:t>
      </w:r>
      <w:bookmarkEnd w:id="2336"/>
    </w:p>
    <w:p>
      <w:pPr>
        <w:pStyle w:val="BookText"/>
        <w:rPr/>
      </w:pPr>
      <w:r>
        <w:rPr>
          <w:rFonts w:ascii="IRNazanin" w:hAnsi="IRNazanin" w:eastAsia="IRNazanin"/>
          <w:color w:val="111111"/>
          <w:sz w:val="28"/>
          <w:sz w:val="28"/>
          <w:szCs w:val="28"/>
          <w:rtl w:val="true"/>
          <w:lang w:bidi="fa-IR"/>
        </w:rPr>
        <w:t>هبۀ غير مقدور التسليم در زمان هبه، مراعىٰ به حصول اقباض ممكن است بر سبيل اتفاق، و باطل محض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مراعىٰ است هبۀ مستأجَر به غير مستأجِر به حصول اقباض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مشروط نيست به قدرت بر تسليم در زمان هبه؛ و هم چنين مغصوب</w:t>
      </w:r>
      <w:r>
        <w:rPr>
          <w:rFonts w:eastAsia="IRNazanin" w:cs="IRNazanin"/>
          <w:color w:val="111111"/>
          <w:sz w:val="28"/>
          <w:szCs w:val="28"/>
          <w:rtl w:val="true"/>
          <w:lang w:bidi="fa-IR"/>
        </w:rPr>
        <w:t>.</w:t>
      </w:r>
    </w:p>
    <w:p>
      <w:pPr>
        <w:pStyle w:val="Heading4"/>
        <w:numPr>
          <w:ilvl w:val="3"/>
          <w:numId w:val="1"/>
        </w:numPr>
        <w:rPr/>
      </w:pPr>
      <w:bookmarkStart w:id="2337" w:name="__RefHeading___Toc3599285_1067777946"/>
      <w:bookmarkStart w:id="2338" w:name="_Toc963"/>
      <w:bookmarkEnd w:id="2337"/>
      <w:r>
        <w:rPr>
          <w:rtl w:val="true"/>
        </w:rPr>
        <w:t>هبۀ شيء معيّن به دو نفر و بالعكس و حكم رجوع در آن</w:t>
      </w:r>
      <w:bookmarkEnd w:id="2338"/>
    </w:p>
    <w:p>
      <w:pPr>
        <w:pStyle w:val="BookText"/>
        <w:rPr/>
      </w:pPr>
      <w:r>
        <w:rPr>
          <w:rFonts w:ascii="IRNazanin" w:hAnsi="IRNazanin" w:eastAsia="IRNazanin"/>
          <w:color w:val="111111"/>
          <w:sz w:val="28"/>
          <w:sz w:val="28"/>
          <w:szCs w:val="28"/>
          <w:rtl w:val="true"/>
          <w:lang w:bidi="fa-IR"/>
        </w:rPr>
        <w:t>اگر هبه كرد به دو نفر شيء معيّن را، و هر دو قبول كردند و به قبض هر دو داد آن را، هر دو مالك آن مى شوند به نحو اشاعه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يكى قبول كرد، همان مالك نصف مشاع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قبول هر دو، جايز است براى واهب، تفكيك در رجوع جايز، نسبت به نصيب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تعدّد واهب و وحدت قابل عكس سابق، در جواز رجوع براى هر كدام بدون ديگرى در نصيب خودش</w:t>
      </w:r>
      <w:r>
        <w:rPr>
          <w:rFonts w:eastAsia="IRNazanin" w:cs="IRNazanin"/>
          <w:color w:val="111111"/>
          <w:sz w:val="28"/>
          <w:szCs w:val="28"/>
          <w:rtl w:val="true"/>
          <w:lang w:bidi="fa-IR"/>
        </w:rPr>
        <w:t>.</w:t>
      </w:r>
    </w:p>
    <w:p>
      <w:pPr>
        <w:pStyle w:val="Heading4"/>
        <w:numPr>
          <w:ilvl w:val="3"/>
          <w:numId w:val="1"/>
        </w:numPr>
        <w:rPr/>
      </w:pPr>
      <w:bookmarkStart w:id="2339" w:name="__RefHeading___Toc3599287_1067777946"/>
      <w:bookmarkStart w:id="2340" w:name="_Toc964"/>
      <w:bookmarkEnd w:id="2339"/>
      <w:r>
        <w:rPr>
          <w:rtl w:val="true"/>
        </w:rPr>
        <w:t>جواز تفكيك در رجوع در هبه مجموع دو چيز</w:t>
      </w:r>
      <w:bookmarkEnd w:id="2340"/>
    </w:p>
    <w:p>
      <w:pPr>
        <w:pStyle w:val="BookText"/>
        <w:rPr/>
      </w:pPr>
      <w:r>
        <w:rPr>
          <w:rFonts w:ascii="IRNazanin" w:hAnsi="IRNazanin" w:eastAsia="IRNazanin"/>
          <w:color w:val="111111"/>
          <w:sz w:val="28"/>
          <w:sz w:val="28"/>
          <w:szCs w:val="28"/>
          <w:rtl w:val="true"/>
          <w:lang w:bidi="fa-IR"/>
        </w:rPr>
        <w:t>و اظهر جواز تفكيك است در رجوع در هبۀ مجموع دو چيز به يك نفر از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فسخ در بعض عقد واحد، در بعض متعلق آن، بدون مانع است</w:t>
      </w:r>
      <w:r>
        <w:rPr>
          <w:rFonts w:eastAsia="IRNazanin" w:cs="IRNazanin"/>
          <w:color w:val="111111"/>
          <w:sz w:val="28"/>
          <w:szCs w:val="28"/>
          <w:rtl w:val="true"/>
          <w:lang w:bidi="fa-IR"/>
        </w:rPr>
        <w:t>.</w:t>
      </w:r>
    </w:p>
    <w:p>
      <w:pPr>
        <w:pStyle w:val="Heading4"/>
        <w:numPr>
          <w:ilvl w:val="3"/>
          <w:numId w:val="1"/>
        </w:numPr>
        <w:rPr/>
      </w:pPr>
      <w:bookmarkStart w:id="2341" w:name="__RefHeading___Toc3599289_1067777946"/>
      <w:bookmarkStart w:id="2342" w:name="_Toc965"/>
      <w:bookmarkEnd w:id="2341"/>
      <w:r>
        <w:rPr>
          <w:rtl w:val="true"/>
        </w:rPr>
        <w:t>كراهت تفضيل بعض اولاد بر بعضى در هبه</w:t>
      </w:r>
      <w:bookmarkEnd w:id="234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تفضيل بعض اولاد بر بعضى در هبه، فى الجمله مكروه است، و لكن مطلقاً جايز </w:t>
      </w:r>
      <w:bookmarkStart w:id="2343" w:name="pg10256_89722"/>
    </w:p>
    <w:p>
      <w:pPr>
        <w:pStyle w:val="BookText"/>
        <w:rPr/>
      </w:pPr>
      <w:bookmarkEnd w:id="2343"/>
      <w:r>
        <w:rPr>
          <w:rFonts w:ascii="Amiri" w:hAnsi="Amiri" w:eastAsia="Amiri" w:cs="Amiri"/>
          <w:color w:val="111111"/>
          <w:sz w:val="28"/>
          <w:sz w:val="28"/>
          <w:szCs w:val="28"/>
          <w:rtl w:val="true"/>
          <w:lang w:bidi="ar-SA"/>
        </w:rPr>
        <w:t>است در صحّت و مرض واهب و در عُسر و يسار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عوارض و مرجّحات مثل كثرت عيال مفضَّل نسبت به مفضَّل عليهم، و غير آن، كراهتْ رفع يا تخفيف مى شود</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3599291_1067777946"/>
      <w:bookmarkStart w:id="2345" w:name="_Toc966"/>
      <w:bookmarkEnd w:id="2344"/>
      <w:r>
        <w:rPr>
          <w:rtl w:val="true"/>
        </w:rPr>
        <w:t>موارد عدم جواز رجوع در هبه</w:t>
      </w:r>
      <w:bookmarkEnd w:id="2345"/>
    </w:p>
    <w:p>
      <w:pPr>
        <w:pStyle w:val="BookText"/>
        <w:rPr/>
      </w:pPr>
      <w:r>
        <w:rPr>
          <w:rFonts w:ascii="IRNazanin" w:hAnsi="IRNazanin" w:eastAsia="IRNazanin"/>
          <w:color w:val="111111"/>
          <w:sz w:val="28"/>
          <w:sz w:val="28"/>
          <w:szCs w:val="28"/>
          <w:rtl w:val="true"/>
          <w:lang w:bidi="fa-IR"/>
        </w:rPr>
        <w:t>اگر هبه تمام شد به واسطۀ قبض لازم در آن، پس اگر براى ابوين باشد، جايز نيست رجوع واهب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براى اولاد واهب، چه صغير باشند چه كبير، با واسطۀ باشند يا بى واسطۀ، بعد از قبض، رجوع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ساير ارحام و اقارب واهب، بعد از قبض رجوع جايز نيست بنا بر اظهر، اگر چه احتياط به ترك رجوع يا ارجاع موهوبٌ له بعد از رجوع واهب، اولى است</w:t>
      </w:r>
      <w:r>
        <w:rPr>
          <w:rFonts w:eastAsia="IRNazanin" w:cs="IRNazanin"/>
          <w:color w:val="111111"/>
          <w:sz w:val="28"/>
          <w:szCs w:val="28"/>
          <w:rtl w:val="true"/>
          <w:lang w:bidi="fa-IR"/>
        </w:rPr>
        <w:t>.</w:t>
      </w:r>
    </w:p>
    <w:p>
      <w:pPr>
        <w:pStyle w:val="Heading4"/>
        <w:numPr>
          <w:ilvl w:val="3"/>
          <w:numId w:val="1"/>
        </w:numPr>
        <w:rPr/>
      </w:pPr>
      <w:bookmarkStart w:id="2346" w:name="__RefHeading___Toc3599293_1067777946"/>
      <w:bookmarkStart w:id="2347" w:name="_Toc967"/>
      <w:bookmarkEnd w:id="2346"/>
      <w:r>
        <w:rPr>
          <w:rtl w:val="true"/>
        </w:rPr>
        <w:t>مراد از قريب و رحم</w:t>
      </w:r>
      <w:bookmarkEnd w:id="2347"/>
    </w:p>
    <w:p>
      <w:pPr>
        <w:pStyle w:val="BookText"/>
        <w:rPr/>
      </w:pPr>
      <w:r>
        <w:rPr>
          <w:rFonts w:ascii="IRNazanin" w:hAnsi="IRNazanin" w:eastAsia="IRNazanin"/>
          <w:color w:val="111111"/>
          <w:sz w:val="28"/>
          <w:sz w:val="28"/>
          <w:szCs w:val="28"/>
          <w:rtl w:val="true"/>
          <w:lang w:bidi="fa-IR"/>
        </w:rPr>
        <w:t>و مراد از قريب و رحم در اين مقام، و در صلۀ رحم و حرمت قطع آن، مطلق معروف به نسب است اگر چه بعيد باشد بالنسبه و جايز باشد نكاح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ثابت شد شرعاً نسب او به شخص واهب، اگر چه با وسايط عديده باشد</w:t>
      </w:r>
      <w:r>
        <w:rPr>
          <w:rFonts w:eastAsia="IRNazanin" w:cs="IRNazanin"/>
          <w:color w:val="111111"/>
          <w:sz w:val="28"/>
          <w:szCs w:val="28"/>
          <w:rtl w:val="true"/>
          <w:lang w:bidi="fa-IR"/>
        </w:rPr>
        <w:t>.</w:t>
      </w:r>
    </w:p>
    <w:p>
      <w:pPr>
        <w:pStyle w:val="Heading4"/>
        <w:numPr>
          <w:ilvl w:val="3"/>
          <w:numId w:val="1"/>
        </w:numPr>
        <w:rPr/>
      </w:pPr>
      <w:bookmarkStart w:id="2348" w:name="__RefHeading___Toc3599295_1067777946"/>
      <w:bookmarkStart w:id="2349" w:name="_Toc968"/>
      <w:bookmarkEnd w:id="2348"/>
      <w:r>
        <w:rPr>
          <w:rtl w:val="true"/>
        </w:rPr>
        <w:t>رجوع در هبه به اجنبى</w:t>
      </w:r>
      <w:bookmarkEnd w:id="2349"/>
    </w:p>
    <w:p>
      <w:pPr>
        <w:pStyle w:val="BookText"/>
        <w:rPr/>
      </w:pPr>
      <w:r>
        <w:rPr>
          <w:rFonts w:ascii="IRNazanin" w:hAnsi="IRNazanin" w:eastAsia="IRNazanin"/>
          <w:color w:val="111111"/>
          <w:sz w:val="28"/>
          <w:sz w:val="28"/>
          <w:szCs w:val="28"/>
          <w:rtl w:val="true"/>
          <w:lang w:bidi="fa-IR"/>
        </w:rPr>
        <w:t xml:space="preserve">اگر موهوبٌ له اجنبى باشد نسبت به واهب، جايز است رجوع در هبه براى واهب،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موهوبه تلف نشده است و عين آن باقى است؛ پس با تلف منافى با صدق قيام بعينه، جايز نيست رجوع، اگر چه به سبب اتلاف موهوبٌ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 غير منافى با صدق آن، تاثيرى در عدم جواز رجوع ندارد، مثل تلف ناخن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انفصال ابعاض موهوب از همديگر، اظهر جواز رجوع در بعض باقى است، نه تالف</w:t>
      </w:r>
      <w:r>
        <w:rPr>
          <w:rFonts w:eastAsia="IRNazanin" w:cs="IRNazanin"/>
          <w:color w:val="111111"/>
          <w:sz w:val="28"/>
          <w:szCs w:val="28"/>
          <w:rtl w:val="true"/>
          <w:lang w:bidi="fa-IR"/>
        </w:rPr>
        <w:t>.</w:t>
      </w:r>
    </w:p>
    <w:p>
      <w:pPr>
        <w:pStyle w:val="Heading4"/>
        <w:numPr>
          <w:ilvl w:val="3"/>
          <w:numId w:val="1"/>
        </w:numPr>
        <w:rPr/>
      </w:pPr>
      <w:bookmarkStart w:id="2350" w:name="__RefHeading___Toc3599297_1067777946"/>
      <w:bookmarkStart w:id="2351" w:name="_Toc969"/>
      <w:bookmarkEnd w:id="2350"/>
      <w:r>
        <w:rPr>
          <w:rtl w:val="true"/>
        </w:rPr>
        <w:t>عدم جواز رجوع در هبۀ معوّضه</w:t>
      </w:r>
      <w:bookmarkEnd w:id="235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 نيست رجوع واهب با تعويض موهوب و دفع عوض به عنوان عوضيّت و قبول آن و قبض آن به همين عنوان، چه شرط در عقد هبه بوده يا نه، چه آنكه عوض كثير باشد يا قليل</w:t>
      </w:r>
      <w:r>
        <w:rPr>
          <w:rFonts w:eastAsia="IRNazanin" w:cs="IRNazanin"/>
          <w:color w:val="111111"/>
          <w:sz w:val="28"/>
          <w:szCs w:val="28"/>
          <w:rtl w:val="true"/>
          <w:lang w:bidi="fa-IR"/>
        </w:rPr>
        <w:t xml:space="preserve">. </w:t>
      </w:r>
      <w:bookmarkStart w:id="2352" w:name="pg10256_89723"/>
    </w:p>
    <w:p>
      <w:pPr>
        <w:pStyle w:val="Heading4"/>
        <w:numPr>
          <w:ilvl w:val="3"/>
          <w:numId w:val="1"/>
        </w:numPr>
        <w:rPr/>
      </w:pPr>
      <w:bookmarkStart w:id="2353" w:name="__RefHeading___Toc3599299_1067777946"/>
      <w:bookmarkStart w:id="2354" w:name="_Toc970"/>
      <w:bookmarkEnd w:id="2352"/>
      <w:bookmarkEnd w:id="2353"/>
      <w:r>
        <w:rPr>
          <w:rtl w:val="true"/>
        </w:rPr>
        <w:t>عدم جواز رجوع در هبه به تصرّف موجب تغيّر عين يا ناقل از ملك</w:t>
      </w:r>
      <w:bookmarkEnd w:id="2354"/>
    </w:p>
    <w:p>
      <w:pPr>
        <w:pStyle w:val="BookText"/>
        <w:rPr/>
      </w:pPr>
      <w:r>
        <w:rPr>
          <w:rFonts w:ascii="IRNazanin" w:hAnsi="IRNazanin" w:eastAsia="IRNazanin"/>
          <w:color w:val="111111"/>
          <w:sz w:val="28"/>
          <w:sz w:val="28"/>
          <w:szCs w:val="28"/>
          <w:rtl w:val="true"/>
          <w:lang w:bidi="fa-IR"/>
        </w:rPr>
        <w:t>و هم چنين اظهر عدم جواز رجوع در هبه است بعد از قبض با تصرف موجب تغير عين، مثل بريدن ثوب؛ يا ناقل از ملك اگر چه نقل لازم نباشد، نه غير آنها مثل سكنى و ركوب دابه و حلب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تصرف به وطى امه و مكاتبۀ مملوك و رهن موهوب،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شك در قيام عين بعينها، مقتضاى اصل، جواز رجوع است</w:t>
      </w:r>
      <w:r>
        <w:rPr>
          <w:rFonts w:eastAsia="IRNazanin" w:cs="IRNazanin"/>
          <w:color w:val="111111"/>
          <w:sz w:val="28"/>
          <w:szCs w:val="28"/>
          <w:rtl w:val="true"/>
          <w:lang w:bidi="fa-IR"/>
        </w:rPr>
        <w:t>.</w:t>
      </w:r>
    </w:p>
    <w:p>
      <w:pPr>
        <w:pStyle w:val="Heading4"/>
        <w:numPr>
          <w:ilvl w:val="3"/>
          <w:numId w:val="1"/>
        </w:numPr>
        <w:rPr/>
      </w:pPr>
      <w:bookmarkStart w:id="2355" w:name="__RefHeading___Toc3599301_1067777946"/>
      <w:bookmarkStart w:id="2356" w:name="_Toc971"/>
      <w:bookmarkEnd w:id="2355"/>
      <w:r>
        <w:rPr>
          <w:rtl w:val="true"/>
        </w:rPr>
        <w:t>استحباب هبه به ارحام</w:t>
      </w:r>
      <w:bookmarkEnd w:id="2356"/>
    </w:p>
    <w:p>
      <w:pPr>
        <w:pStyle w:val="BookText"/>
        <w:rPr/>
      </w:pPr>
      <w:r>
        <w:rPr>
          <w:rFonts w:ascii="IRNazanin" w:hAnsi="IRNazanin" w:eastAsia="IRNazanin"/>
          <w:color w:val="111111"/>
          <w:sz w:val="28"/>
          <w:sz w:val="28"/>
          <w:szCs w:val="28"/>
          <w:rtl w:val="true"/>
          <w:lang w:bidi="fa-IR"/>
        </w:rPr>
        <w:t>مستحب است عطيّۀ ارحام؛ و متأكد است در والدين و اولاد، در غير آنچه واجب است انفاق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محتاج باشند به نحوى كه ترك صله، قطع محرّم باشد، مورد وجوب است</w:t>
      </w:r>
      <w:r>
        <w:rPr>
          <w:rFonts w:eastAsia="IRNazanin" w:cs="IRNazanin"/>
          <w:color w:val="111111"/>
          <w:sz w:val="28"/>
          <w:szCs w:val="28"/>
          <w:rtl w:val="true"/>
          <w:lang w:bidi="fa-IR"/>
        </w:rPr>
        <w:t>.</w:t>
      </w:r>
    </w:p>
    <w:p>
      <w:pPr>
        <w:pStyle w:val="Heading4"/>
        <w:numPr>
          <w:ilvl w:val="3"/>
          <w:numId w:val="1"/>
        </w:numPr>
        <w:rPr/>
      </w:pPr>
      <w:bookmarkStart w:id="2357" w:name="__RefHeading___Toc3599303_1067777946"/>
      <w:bookmarkStart w:id="2358" w:name="_Toc972"/>
      <w:bookmarkEnd w:id="2357"/>
      <w:r>
        <w:rPr>
          <w:rtl w:val="true"/>
        </w:rPr>
        <w:t>استحباب تسويه بين اولاد در هبه</w:t>
      </w:r>
      <w:bookmarkEnd w:id="2358"/>
    </w:p>
    <w:p>
      <w:pPr>
        <w:pStyle w:val="BookText"/>
        <w:rPr/>
      </w:pPr>
      <w:r>
        <w:rPr>
          <w:rFonts w:ascii="IRNazanin" w:hAnsi="IRNazanin" w:eastAsia="IRNazanin"/>
          <w:color w:val="111111"/>
          <w:sz w:val="28"/>
          <w:sz w:val="28"/>
          <w:szCs w:val="28"/>
          <w:rtl w:val="true"/>
          <w:lang w:bidi="fa-IR"/>
        </w:rPr>
        <w:t>مستحب است تسويه بين اولاد در عطيّه، يعنى به همه مساوى دادن، اگر چه مختلف باشند در ذكوريت و انوثيّت؛ نه مختلف دادن، يا به بعضى دون بعضى دادن</w:t>
      </w:r>
      <w:r>
        <w:rPr>
          <w:rFonts w:eastAsia="IRNazanin" w:cs="IRNazanin"/>
          <w:color w:val="111111"/>
          <w:sz w:val="28"/>
          <w:szCs w:val="28"/>
          <w:rtl w:val="true"/>
          <w:lang w:bidi="fa-IR"/>
        </w:rPr>
        <w:t>.</w:t>
      </w:r>
    </w:p>
    <w:p>
      <w:pPr>
        <w:pStyle w:val="Heading4"/>
        <w:numPr>
          <w:ilvl w:val="3"/>
          <w:numId w:val="1"/>
        </w:numPr>
        <w:rPr/>
      </w:pPr>
      <w:bookmarkStart w:id="2359" w:name="__RefHeading___Toc3599305_1067777946"/>
      <w:bookmarkStart w:id="2360" w:name="_Toc973"/>
      <w:bookmarkEnd w:id="2359"/>
      <w:r>
        <w:rPr>
          <w:rtl w:val="true"/>
        </w:rPr>
        <w:t>جواز رجوع در هبۀ زوجين</w:t>
      </w:r>
      <w:bookmarkEnd w:id="236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هبۀ احد زوجين به ديگرى بعد از قبض، خلاف است در جواز رجوع، 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منسوب به اكثر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است، و احوط ترك رجوع يا ارجاع است</w:t>
      </w:r>
      <w:r>
        <w:rPr>
          <w:rFonts w:eastAsia="IRNazanin" w:cs="IRNazanin"/>
          <w:color w:val="111111"/>
          <w:sz w:val="28"/>
          <w:szCs w:val="28"/>
          <w:rtl w:val="true"/>
          <w:lang w:bidi="fa-IR"/>
        </w:rPr>
        <w:t xml:space="preserve">. </w:t>
      </w:r>
      <w:bookmarkStart w:id="2361" w:name="pg10256_89724"/>
    </w:p>
    <w:p>
      <w:pPr>
        <w:pStyle w:val="Heading3"/>
        <w:numPr>
          <w:ilvl w:val="2"/>
          <w:numId w:val="1"/>
        </w:numPr>
        <w:rPr/>
      </w:pPr>
      <w:bookmarkStart w:id="2362" w:name="__RefHeading___Toc3599307_1067777946"/>
      <w:bookmarkStart w:id="2363" w:name="_Toc974"/>
      <w:bookmarkEnd w:id="2361"/>
      <w:bookmarkEnd w:id="2362"/>
      <w:r>
        <w:rPr>
          <w:rtl w:val="true"/>
        </w:rPr>
        <w:t>فصل دوّم احكام هبه</w:t>
      </w:r>
      <w:bookmarkEnd w:id="2363"/>
    </w:p>
    <w:p>
      <w:pPr>
        <w:pStyle w:val="Heading4"/>
        <w:numPr>
          <w:ilvl w:val="3"/>
          <w:numId w:val="1"/>
        </w:numPr>
        <w:rPr/>
      </w:pPr>
      <w:bookmarkStart w:id="2364" w:name="__RefHeading___Toc3599309_1067777946"/>
      <w:bookmarkStart w:id="2365" w:name="_Toc975"/>
      <w:bookmarkEnd w:id="2364"/>
      <w:r>
        <w:rPr>
          <w:rtl w:val="true"/>
        </w:rPr>
        <w:t>بيع واهب بعد از هبه و قبض</w:t>
      </w:r>
      <w:bookmarkEnd w:id="2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هبه و قبض محقّق شد، پس واهب فروخت موهوب را به غير، پس با تماميّت مقدمات لزوم آن، بيع باطل است يعنى فضولى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تماميّت و با جواز رجوع در هبه، خلاف است در صحّت بيع؛ احوط انشاى فسخ به غير بيع است؛ و تحقق فسخ و بيع در انشاى بيع، خالى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رجوع و بيع نمود پس معلوم شد فساد هبه، اظهر صحّت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قصد بيع مال خودش نمود به اعتقاد آنكه مالك كه مورّث او بوده باقى است، بعد معلوم شد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بيع مال غير نمود به اعتقاد آنكه مال خودش است، فضولى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تأثير قصد واقع در صورت تخلّف در حكم واقعى بيع است؛ پس اگر قصد عدم بيع در تقدير مخالفت اعتقاد با واقع داشت، حكم واقعى، عدم صحّت بيع است به نحوى كه در صورت عدم تخلّف، واجد آن صحّت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وصيت كرد مملوك معتَق را و ظاهر شد فساد عتق</w:t>
      </w:r>
      <w:r>
        <w:rPr>
          <w:rFonts w:eastAsia="IRNazanin" w:cs="IRNazanin"/>
          <w:color w:val="111111"/>
          <w:sz w:val="28"/>
          <w:szCs w:val="28"/>
          <w:rtl w:val="true"/>
          <w:lang w:bidi="fa-IR"/>
        </w:rPr>
        <w:t>.</w:t>
      </w:r>
    </w:p>
    <w:p>
      <w:pPr>
        <w:pStyle w:val="Heading4"/>
        <w:numPr>
          <w:ilvl w:val="3"/>
          <w:numId w:val="1"/>
        </w:numPr>
        <w:rPr/>
      </w:pPr>
      <w:bookmarkStart w:id="2366" w:name="__RefHeading___Toc3599311_1067777946"/>
      <w:bookmarkStart w:id="2367" w:name="_Toc976"/>
      <w:bookmarkEnd w:id="2366"/>
      <w:r>
        <w:rPr>
          <w:rtl w:val="true"/>
        </w:rPr>
        <w:t>عدم لزوم فوريّت در قبض</w:t>
      </w:r>
      <w:bookmarkEnd w:id="23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قبض لازم در صحّت هبه، فوريّت لازم نيست؛ و هر وقت محقّق شد، انتقال ملك، از زمان قبض مى شود، نه از زمان عقد هبه</w:t>
      </w:r>
      <w:r>
        <w:rPr>
          <w:rFonts w:eastAsia="Amiri" w:cs="Amiri" w:ascii="Amiri" w:hAnsi="Amiri"/>
          <w:color w:val="111111"/>
          <w:sz w:val="28"/>
          <w:szCs w:val="28"/>
          <w:rtl w:val="true"/>
          <w:lang w:bidi="ar-SA"/>
        </w:rPr>
        <w:t>.</w:t>
      </w:r>
      <w:bookmarkStart w:id="2368" w:name="pg10256_89725"/>
    </w:p>
    <w:p>
      <w:pPr>
        <w:pStyle w:val="Heading4"/>
        <w:numPr>
          <w:ilvl w:val="3"/>
          <w:numId w:val="1"/>
        </w:numPr>
        <w:rPr/>
      </w:pPr>
      <w:bookmarkStart w:id="2369" w:name="__RefHeading___Toc3599313_1067777946"/>
      <w:bookmarkStart w:id="2370" w:name="_Toc977"/>
      <w:bookmarkEnd w:id="2368"/>
      <w:bookmarkEnd w:id="2369"/>
      <w:r>
        <w:rPr>
          <w:rtl w:val="true"/>
        </w:rPr>
        <w:t>اختلاف بين واهب و موهوبٌ له</w:t>
      </w:r>
      <w:bookmarkEnd w:id="23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 هبه كردم و اقباض نكرده، اظهر تقدم قول واهب است با يمين او براى مدّعى اقباض، و در انكار وارث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تقديم قول مدّعى صحّت فعليّه است، بر قول مدّعى فساد فعلى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وهبته و ملّكته و لم يقع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قول واهب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وهبته و ملّكته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بعد از انفصال زمان قيود كلام واحد، انكار قبض نمود، حكم به تحقّق ملكيت فعليّه مى شود، و انكار بعد از اين حكم مبنى بر اقرار بر ملزوم و لازم به حسب ظهور كلام، مسموع نمى شود</w:t>
      </w:r>
      <w:r>
        <w:rPr>
          <w:rFonts w:eastAsia="IRNazanin" w:cs="IRNazanin"/>
          <w:color w:val="111111"/>
          <w:sz w:val="28"/>
          <w:szCs w:val="28"/>
          <w:rtl w:val="true"/>
          <w:lang w:bidi="fa-IR"/>
        </w:rPr>
        <w:t>.</w:t>
      </w:r>
    </w:p>
    <w:p>
      <w:pPr>
        <w:pStyle w:val="Heading4"/>
        <w:numPr>
          <w:ilvl w:val="3"/>
          <w:numId w:val="1"/>
        </w:numPr>
        <w:rPr/>
      </w:pPr>
      <w:bookmarkStart w:id="2371" w:name="__RefHeading___Toc3599315_1067777946"/>
      <w:bookmarkStart w:id="2372" w:name="_Toc978"/>
      <w:bookmarkEnd w:id="2371"/>
      <w:r>
        <w:rPr>
          <w:rtl w:val="true"/>
        </w:rPr>
        <w:t>عدم ضمان در رجوع در هبه با فرض حصول عيب</w:t>
      </w:r>
      <w:bookmarkEnd w:id="2372"/>
    </w:p>
    <w:p>
      <w:pPr>
        <w:pStyle w:val="Heading5"/>
        <w:numPr>
          <w:ilvl w:val="4"/>
          <w:numId w:val="1"/>
        </w:numPr>
        <w:rPr/>
      </w:pPr>
      <w:bookmarkStart w:id="2373" w:name="__RefHeading___Toc3599317_1067777946"/>
      <w:bookmarkStart w:id="2374" w:name="_Toc979"/>
      <w:bookmarkEnd w:id="2373"/>
      <w:r>
        <w:rPr>
          <w:rtl w:val="true"/>
        </w:rPr>
        <w:t>اشاره</w:t>
      </w:r>
      <w:bookmarkEnd w:id="23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رجوع كرد در هبه در مورد جواز آن در حالى كه معيوب شده بود به زيادتى يا نقصان، ارش آن عيب مضمون نيست چه آنكه به فعل موهوب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اتلاف آن كه مأذون بوده مضمون نيست</w:t>
      </w:r>
      <w:r>
        <w:rPr>
          <w:rFonts w:eastAsia="IRNazanin" w:cs="IRNazanin"/>
          <w:color w:val="111111"/>
          <w:sz w:val="28"/>
          <w:szCs w:val="28"/>
          <w:rtl w:val="true"/>
          <w:lang w:bidi="fa-IR"/>
        </w:rPr>
        <w:t>.</w:t>
      </w:r>
    </w:p>
    <w:p>
      <w:pPr>
        <w:pStyle w:val="Heading5"/>
        <w:numPr>
          <w:ilvl w:val="4"/>
          <w:numId w:val="1"/>
        </w:numPr>
        <w:rPr/>
      </w:pPr>
      <w:bookmarkStart w:id="2375" w:name="__RefHeading___Toc3599319_1067777946"/>
      <w:bookmarkStart w:id="2376" w:name="_Toc980"/>
      <w:bookmarkEnd w:id="2375"/>
      <w:r>
        <w:rPr>
          <w:rtl w:val="true"/>
        </w:rPr>
        <w:t>حصول زيادتى در موهوب</w:t>
      </w:r>
      <w:bookmarkEnd w:id="2376"/>
    </w:p>
    <w:p>
      <w:pPr>
        <w:pStyle w:val="BookText"/>
        <w:rPr/>
      </w:pPr>
      <w:r>
        <w:rPr>
          <w:rFonts w:ascii="IRNazanin" w:hAnsi="IRNazanin" w:eastAsia="IRNazanin"/>
          <w:color w:val="111111"/>
          <w:sz w:val="28"/>
          <w:sz w:val="28"/>
          <w:szCs w:val="28"/>
          <w:rtl w:val="true"/>
          <w:lang w:bidi="fa-IR"/>
        </w:rPr>
        <w:t xml:space="preserve">و اگر زيادتى غير عيب حاصل بوده، مال واهب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سبب فعل موهوب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متصل باشد مثل 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منفصل باشد مثل ميوه و ولد كه قبل از هبه نبوده، مال موهوب است؛ و اگر قبلاً بوده، جزء موهوب و مال واهب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انفصال، اعم از فعلى است؛ پس شير در پستان، و ولد در بطن مادر، و ميوه قبل از چيدن، و مو قبل از قطع، منفصل و مغاير موهوب هستند اگر زمان جدا كردن رسيده، و جزء موهوبند اگر عرفاً مغاير نيستند بلكه تابع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مذكور شد در رجوع با تعيّب به نقص، در صورتى است كه از قبيل تلف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لزوم هبه است نباشد، به نحوى كه گذشت</w:t>
      </w:r>
      <w:r>
        <w:rPr>
          <w:rFonts w:eastAsia="IRNazanin" w:cs="IRNazanin"/>
          <w:color w:val="111111"/>
          <w:sz w:val="28"/>
          <w:szCs w:val="28"/>
          <w:rtl w:val="true"/>
          <w:lang w:bidi="fa-IR"/>
        </w:rPr>
        <w:t>.</w:t>
      </w:r>
    </w:p>
    <w:p>
      <w:pPr>
        <w:pStyle w:val="Heading4"/>
        <w:numPr>
          <w:ilvl w:val="3"/>
          <w:numId w:val="1"/>
        </w:numPr>
        <w:rPr/>
      </w:pPr>
      <w:bookmarkStart w:id="2377" w:name="__RefHeading___Toc3599321_1067777946"/>
      <w:bookmarkStart w:id="2378" w:name="_Toc981"/>
      <w:bookmarkEnd w:id="2377"/>
      <w:r>
        <w:rPr>
          <w:rtl w:val="true"/>
        </w:rPr>
        <w:t>عدم ذكر عوض در هبه و احكام انحاى اشتراط به عوض</w:t>
      </w:r>
      <w:bookmarkEnd w:id="2378"/>
    </w:p>
    <w:p>
      <w:pPr>
        <w:pStyle w:val="Heading5"/>
        <w:numPr>
          <w:ilvl w:val="4"/>
          <w:numId w:val="1"/>
        </w:numPr>
        <w:rPr/>
      </w:pPr>
      <w:bookmarkStart w:id="2379" w:name="__RefHeading___Toc3599323_1067777946"/>
      <w:bookmarkStart w:id="2380" w:name="_Toc982"/>
      <w:bookmarkEnd w:id="2379"/>
      <w:r>
        <w:rPr>
          <w:rtl w:val="true"/>
        </w:rPr>
        <w:t>اشاره</w:t>
      </w:r>
      <w:bookmarkEnd w:id="238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هبه كرد و عوض را ذكر نكرد، صحّت هبه و تماميّت آن، مشروط به ثواب و</w:t>
      </w:r>
    </w:p>
    <w:p>
      <w:pPr>
        <w:pStyle w:val="BookText"/>
        <w:rPr/>
      </w:pPr>
      <w:r>
        <w:rPr>
          <w:rFonts w:ascii="IRNazanin" w:hAnsi="IRNazanin" w:eastAsia="IRNazanin"/>
          <w:color w:val="111111"/>
          <w:sz w:val="28"/>
          <w:sz w:val="28"/>
          <w:szCs w:val="28"/>
          <w:rtl w:val="true"/>
          <w:lang w:bidi="fa-IR"/>
        </w:rPr>
        <w:t>عوض نيست؛ و اگر عوض داده شد، رجوع واهب جايز نيست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عوض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كرد، هر دو هبه لازم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شرط ثواب و عوض كرد، صحيح است چه مطلق باشد يا معيّن، قليلْ تعيين شود يا كثير؛ و لازم است وفاى به شرط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مطلق يا مجهول كرد، رجوع به مماثل در قيمت مى شود، در غير صورت تعيين اقل از آن يا اكثر از آن با قبول 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اطلاق شرط، مثل يا قيمت لازم مى شود نه مطلق مال، مگر با رضاى واهب يا قرينۀ صارفه از غير مطلق مال مناسب از متّهب به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واهب، جايز است قبل از دفع متّهبْ عوض مشروط را، چه معيّن باشد يا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موهوبٌ له مجبور بر دفع مثل يا قيمت نمى شود، بلكه جايز است بنا بر اظهر در صورت اشتراط عوض، دفع نفس عين نه به قصد فسخ، بلكه به عنوان وفاى به شرط با الغاى خصوصيّت مغايرت، و به اولويت در بعض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امتناع از تعويض، مخيّر است واهب در رجوع، به واسطۀ جواز عقد از طرف او و عدم مجىء تعويضى كه مُلزم آن است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متهب بذل مثل يا قيمت در غير معيّن، و يا بذل معيّن در صورت اشتراط معيّن نمود، واجب نيست قبول مبذول در اين هبۀ جديده، اگر چه واجب است بذل بر متّهب؛ پس در تقدير عدم قبول، جواز رجوع در هبه باقى است؛ و زمانى لازم مى شود هبه، كه مبذول قبول شود به عنوان عوض بودن، كما اينكه جايز است قطعاً در جميع صور در صورت عدم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بذل بدون قبول، پس اظهر عدم وجوب قبول و عدم اجبار بر آن و بقاى جواز رجوع است، لكن جواز رجوع از ناحيۀ تسلّط بر فسخ به واسطۀ تخلّف شرط نيست، زيرا شرط بذل از قِبل متّهب است، بلكه از ناحيۀ جواز عقد با عدم مجيء مُلزِم آن است</w:t>
      </w:r>
      <w:r>
        <w:rPr>
          <w:rFonts w:eastAsia="IRNazanin" w:cs="IRNazanin"/>
          <w:color w:val="111111"/>
          <w:sz w:val="28"/>
          <w:szCs w:val="28"/>
          <w:rtl w:val="true"/>
          <w:lang w:bidi="fa-IR"/>
        </w:rPr>
        <w:t xml:space="preserve">. </w:t>
      </w:r>
      <w:bookmarkStart w:id="2381" w:name="pg10256_89727"/>
    </w:p>
    <w:p>
      <w:pPr>
        <w:pStyle w:val="Heading5"/>
        <w:numPr>
          <w:ilvl w:val="4"/>
          <w:numId w:val="1"/>
        </w:numPr>
        <w:rPr/>
      </w:pPr>
      <w:bookmarkStart w:id="2382" w:name="__RefHeading___Toc3599325_1067777946"/>
      <w:bookmarkStart w:id="2383" w:name="_Toc983"/>
      <w:bookmarkEnd w:id="2381"/>
      <w:bookmarkEnd w:id="2382"/>
      <w:r>
        <w:rPr>
          <w:rtl w:val="true"/>
        </w:rPr>
        <w:t>شرط عدم بذل عوض</w:t>
      </w:r>
      <w:bookmarkEnd w:id="2383"/>
    </w:p>
    <w:p>
      <w:pPr>
        <w:pStyle w:val="BookText"/>
        <w:rPr/>
      </w:pPr>
      <w:r>
        <w:rPr>
          <w:rFonts w:ascii="IRNazanin" w:hAnsi="IRNazanin" w:eastAsia="IRNazanin"/>
          <w:color w:val="111111"/>
          <w:sz w:val="28"/>
          <w:sz w:val="28"/>
          <w:szCs w:val="28"/>
          <w:rtl w:val="true"/>
          <w:lang w:bidi="fa-IR"/>
        </w:rPr>
        <w:t>و هم چنين اگر شرط عدم بذل عوض نمود، پس اگر بذل نكرد، تخلف شرط نكرده و مُلزِم هم براى عقد جايز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بذل كرد، تخلف كرده و جواز رجوع از اين جهت هم محقّق است اگر چه قبول بذل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بذل نمود، پس در جواز رجوع به واسطۀ تخلّف شرط، يا لزوم هبه به واسطۀ فعليّت تعويض، تأمل است، اظهر عدم جواز رجوع است به جهت رجوع قبول با التفات به اسقاط شرط، و دفع عوض مُلزم هبه است</w:t>
      </w:r>
      <w:r>
        <w:rPr>
          <w:rFonts w:eastAsia="IRNazanin" w:cs="IRNazanin"/>
          <w:color w:val="111111"/>
          <w:sz w:val="28"/>
          <w:szCs w:val="28"/>
          <w:rtl w:val="true"/>
          <w:lang w:bidi="fa-IR"/>
        </w:rPr>
        <w:t>.</w:t>
      </w:r>
    </w:p>
    <w:p>
      <w:pPr>
        <w:pStyle w:val="Heading5"/>
        <w:numPr>
          <w:ilvl w:val="4"/>
          <w:numId w:val="1"/>
        </w:numPr>
        <w:rPr/>
      </w:pPr>
      <w:bookmarkStart w:id="2384" w:name="__RefHeading___Toc3599327_1067777946"/>
      <w:bookmarkStart w:id="2385" w:name="_Toc984"/>
      <w:bookmarkEnd w:id="2384"/>
      <w:r>
        <w:rPr>
          <w:rtl w:val="true"/>
        </w:rPr>
        <w:t>انكشاف عدم مالكيّت</w:t>
      </w:r>
      <w:bookmarkEnd w:id="2385"/>
    </w:p>
    <w:p>
      <w:pPr>
        <w:pStyle w:val="BookText"/>
        <w:rPr/>
      </w:pPr>
      <w:r>
        <w:rPr>
          <w:rFonts w:ascii="IRNazanin" w:hAnsi="IRNazanin" w:eastAsia="IRNazanin"/>
          <w:color w:val="111111"/>
          <w:sz w:val="28"/>
          <w:sz w:val="28"/>
          <w:szCs w:val="28"/>
          <w:rtl w:val="true"/>
          <w:lang w:bidi="fa-IR"/>
        </w:rPr>
        <w:t>اگر عوض مبذول، تمام آن يا بعض آن، مستحَقّ غير در آمد، براى مالك واقعى اخذ آن است؛ پس اگر هبه مطلقه بود، دفع بدل لازم نيست و واهب اختيار رجوع دارد، مثل واهب در هبۀ عوض نسبت به بعض باقى كه اختيار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تعويض شده باشد، پس باطل است تعويض در صورت عدم اجازۀ مناسبۀ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شرط متعلّق به تعويض به عين مال غير، باطل است و مثل عدم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مشروط، هبۀ عين بوده و آن مجموعِ مال غير و نفس بوده، هبه در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قابليت براى عوض بودن يا تراضى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ايجاب و قبول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مشروط، هبۀ مطلق عوض بوده، پس دفع عين كالعدم است در صورت عدم اجازه، و هبۀ ديگر محتاج به ايجاب و قبول است و بايد عوض، مثل يا قيمت موهوب اوّل باشد يا مرضىّ واهب؛ و بر هر تقدير با بذل مثل يا قيمت، جواز رجوع براى واهب منتفى است، لكن قبول هبه واجب نيست و بر آن اجبار نمى شود، و تا بذل نكرده جواز رجوع باقى است، چنانچه گذشت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معيب ظاهر شد مبذولِ به عنوان عوض، تفكيك در معيّن به شرط، بين عين و ارش نمى شود، مگر با رضاى واهب و گذشت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معيّن تبديل مى شود به </w:t>
      </w:r>
      <w:bookmarkStart w:id="2386" w:name="pg10256_89728"/>
    </w:p>
    <w:p>
      <w:pPr>
        <w:pStyle w:val="BookText"/>
        <w:rPr/>
      </w:pPr>
      <w:bookmarkEnd w:id="2386"/>
      <w:r>
        <w:rPr>
          <w:rFonts w:ascii="IRNazanin" w:hAnsi="IRNazanin" w:eastAsia="IRNazanin"/>
          <w:color w:val="111111"/>
          <w:sz w:val="28"/>
          <w:sz w:val="28"/>
          <w:szCs w:val="28"/>
          <w:rtl w:val="true"/>
          <w:lang w:bidi="fa-IR"/>
        </w:rPr>
        <w:t>صحيح به نحوى كه در بذل و در قبول آن به حسب حكم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شود اكتفاى به بعض معيب نمايد اگر مثل يا به قدر قيمت موهوب در نفس بذل و در قبول مبذول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تبديل به صحيح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شد كه عين موهوبه، نصف آن، مستحَق غير است، رجوع مى نمايد به نصف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هر دو بتوانند رجوع در تمام هبه و در تمام عوض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و تعيّب عين موهوبه در يد متّهب، مضمون نيست و تغييرى در حكم شرط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ارش عيب را واهب نداد، مى تواند موهوب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اكتفاى به رد آن نمايد؛ و اگر شرط معيّن است، رد نمايد مقدار مساوى با قيمت معيوب از آن معيّن را بنا بر اظهر</w:t>
      </w:r>
      <w:r>
        <w:rPr>
          <w:rFonts w:eastAsia="IRNazanin" w:cs="IRNazanin"/>
          <w:color w:val="111111"/>
          <w:sz w:val="28"/>
          <w:szCs w:val="28"/>
          <w:rtl w:val="true"/>
          <w:lang w:bidi="fa-IR"/>
        </w:rPr>
        <w:t>.</w:t>
      </w:r>
    </w:p>
    <w:p>
      <w:pPr>
        <w:pStyle w:val="Heading4"/>
        <w:numPr>
          <w:ilvl w:val="3"/>
          <w:numId w:val="1"/>
        </w:numPr>
        <w:rPr/>
      </w:pPr>
      <w:bookmarkStart w:id="2387" w:name="__RefHeading___Toc3599329_1067777946"/>
      <w:bookmarkStart w:id="2388" w:name="_Toc985"/>
      <w:bookmarkEnd w:id="2387"/>
      <w:r>
        <w:rPr>
          <w:rtl w:val="true"/>
        </w:rPr>
        <w:t>جواز رجوع در فرض رنگ كردن لباس و امثال آن</w:t>
      </w:r>
      <w:bookmarkEnd w:id="238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جامۀ موهوب را متّهب رنگ كرد، مى تواند واهب رجوع نمايد بنابراين كه امثال اين تصرفِ ملزم نيستند؛ و با رد آن، شريك مى شود با واهب در نسبت قيمت صبغ با مصبوغ؛ و هم چنين امثال رنگ از چيزهايى كه موجب زيادتى قيمت مى شود و تفكيك ممكن نيست</w:t>
      </w:r>
      <w:r>
        <w:rPr>
          <w:rFonts w:eastAsia="IRNazanin" w:cs="IRNazanin"/>
          <w:color w:val="111111"/>
          <w:sz w:val="28"/>
          <w:szCs w:val="28"/>
          <w:rtl w:val="true"/>
          <w:lang w:bidi="fa-IR"/>
        </w:rPr>
        <w:t>.</w:t>
      </w:r>
    </w:p>
    <w:p>
      <w:pPr>
        <w:pStyle w:val="Heading4"/>
        <w:numPr>
          <w:ilvl w:val="3"/>
          <w:numId w:val="1"/>
        </w:numPr>
        <w:rPr/>
      </w:pPr>
      <w:bookmarkStart w:id="2389" w:name="__RefHeading___Toc3599331_1067777946"/>
      <w:bookmarkStart w:id="2390" w:name="_Toc986"/>
      <w:bookmarkEnd w:id="2389"/>
      <w:r>
        <w:rPr>
          <w:rtl w:val="true"/>
        </w:rPr>
        <w:t>هبۀ در مرض موت</w:t>
      </w:r>
      <w:bookmarkEnd w:id="23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مرض مخوف، هبه كرد بعد سالم شد، صحيح است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مرض وفات كرد، مبنى است حكم خروج از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اجازۀ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اصل، بر مختار در منجّزات مريض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على سيد الانبياء و على آله سادة الاوصياء و اللعن على اعدائهم</w:t>
      </w:r>
    </w:p>
    <w:p>
      <w:pPr>
        <w:pStyle w:val="BookText"/>
        <w:rPr/>
      </w:pPr>
      <w:r>
        <w:rPr>
          <w:rFonts w:ascii="Amiri" w:hAnsi="Amiri" w:eastAsia="Amiri" w:cs="Amiri"/>
          <w:color w:val="111111"/>
          <w:sz w:val="28"/>
          <w:sz w:val="28"/>
          <w:szCs w:val="28"/>
          <w:rtl w:val="true"/>
          <w:lang w:bidi="ar-SA"/>
        </w:rPr>
        <w:t>اعداء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المقام بحمده تعالى يوم الثلثاء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شوال المكرّم</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بيد العبد محمد تقى بن محمود الجيلانى عفى عنهما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المشهد المقدس الرضوى صلى اللّٰه على مشرفه</w:t>
      </w:r>
      <w:r>
        <w:rPr>
          <w:rFonts w:eastAsia="IRNazanin" w:cs="IRNazanin"/>
          <w:color w:val="111111"/>
          <w:sz w:val="28"/>
          <w:szCs w:val="28"/>
          <w:rtl w:val="true"/>
          <w:lang w:bidi="fa-IR"/>
        </w:rPr>
        <w:t xml:space="preserve">. </w:t>
      </w:r>
      <w:bookmarkStart w:id="2391" w:name="pg10256_89729"/>
    </w:p>
    <w:p>
      <w:pPr>
        <w:pStyle w:val="Heading2"/>
        <w:numPr>
          <w:ilvl w:val="1"/>
          <w:numId w:val="1"/>
        </w:numPr>
        <w:rPr/>
      </w:pPr>
      <w:bookmarkStart w:id="2392" w:name="__RefHeading___Toc3599333_1067777946"/>
      <w:bookmarkStart w:id="2393" w:name="_Toc987"/>
      <w:bookmarkEnd w:id="2391"/>
      <w:bookmarkEnd w:id="2392"/>
      <w:r>
        <w:rPr>
          <w:rtl w:val="true"/>
        </w:rPr>
        <w:t>كتاب سبق و رمايه</w:t>
      </w:r>
      <w:bookmarkEnd w:id="2393"/>
    </w:p>
    <w:p>
      <w:pPr>
        <w:pStyle w:val="Heading3"/>
        <w:numPr>
          <w:ilvl w:val="2"/>
          <w:numId w:val="1"/>
        </w:numPr>
        <w:rPr/>
      </w:pPr>
      <w:bookmarkStart w:id="2394" w:name="__RefHeading___Toc3599335_1067777946"/>
      <w:bookmarkStart w:id="2395" w:name="_Toc988"/>
      <w:bookmarkEnd w:id="2394"/>
      <w:r>
        <w:rPr>
          <w:rtl w:val="true"/>
        </w:rPr>
        <w:t>اشاره</w:t>
      </w:r>
      <w:bookmarkEnd w:id="2395"/>
    </w:p>
    <w:p>
      <w:pPr>
        <w:pStyle w:val="BookText"/>
        <w:rPr/>
      </w:pPr>
      <w:r>
        <w:rPr>
          <w:rFonts w:ascii="IRNazanin" w:hAnsi="IRNazanin" w:eastAsia="IRNazanin"/>
          <w:color w:val="111111"/>
          <w:sz w:val="28"/>
          <w:sz w:val="28"/>
          <w:szCs w:val="28"/>
          <w:rtl w:val="true"/>
          <w:lang w:bidi="fa-IR"/>
        </w:rPr>
        <w:t>الفاظ و اصطلاحات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و عوض و شروط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6" w:name="pg10256_89731"/>
      <w:bookmarkStart w:id="2397" w:name="pg10256_89731"/>
      <w:bookmarkEnd w:id="2397"/>
    </w:p>
    <w:p>
      <w:pPr>
        <w:pStyle w:val="Heading3"/>
        <w:numPr>
          <w:ilvl w:val="2"/>
          <w:numId w:val="1"/>
        </w:numPr>
        <w:rPr/>
      </w:pPr>
      <w:bookmarkStart w:id="2398" w:name="pg10256_89731"/>
      <w:bookmarkStart w:id="2399" w:name="__RefHeading___Toc3599337_1067777946"/>
      <w:bookmarkStart w:id="2400" w:name="_Toc989"/>
      <w:bookmarkEnd w:id="2398"/>
      <w:bookmarkEnd w:id="2399"/>
      <w:r>
        <w:rPr>
          <w:rtl w:val="true"/>
        </w:rPr>
        <w:t>فصل اوّل الفاظ و اصطلاحات</w:t>
      </w:r>
      <w:bookmarkEnd w:id="2400"/>
    </w:p>
    <w:p>
      <w:pPr>
        <w:pStyle w:val="Heading4"/>
        <w:numPr>
          <w:ilvl w:val="3"/>
          <w:numId w:val="1"/>
        </w:numPr>
        <w:rPr/>
      </w:pPr>
      <w:bookmarkStart w:id="2401" w:name="__RefHeading___Toc3599339_1067777946"/>
      <w:bookmarkStart w:id="2402" w:name="_Toc990"/>
      <w:bookmarkEnd w:id="2401"/>
      <w:r>
        <w:rPr>
          <w:rtl w:val="true"/>
        </w:rPr>
        <w:t>تعريف سبق و رمايه</w:t>
      </w:r>
      <w:bookmarkEnd w:id="2402"/>
    </w:p>
    <w:p>
      <w:pPr>
        <w:pStyle w:val="BookText"/>
        <w:rPr/>
      </w:pPr>
      <w:r>
        <w:rPr>
          <w:rFonts w:ascii="Amiri" w:hAnsi="Amiri" w:eastAsia="Amiri" w:cs="Amiri"/>
          <w:color w:val="111111"/>
          <w:sz w:val="28"/>
          <w:sz w:val="28"/>
          <w:szCs w:val="28"/>
          <w:rtl w:val="true"/>
          <w:lang w:bidi="ar-SA"/>
        </w:rPr>
        <w:t>و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معامله است بر اجراى خيل و مناضلت با تير، براى معرفت سابق، از مركوب و راكب و رامى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صحّت اين معامله و مشروعيّت آن، خلافى نيست</w:t>
      </w:r>
      <w:r>
        <w:rPr>
          <w:rFonts w:eastAsia="Amiri" w:cs="Amiri" w:ascii="Amiri" w:hAnsi="Amiri"/>
          <w:color w:val="111111"/>
          <w:sz w:val="28"/>
          <w:szCs w:val="28"/>
          <w:rtl w:val="true"/>
          <w:lang w:bidi="ar-SA"/>
        </w:rPr>
        <w:t>.</w:t>
      </w:r>
    </w:p>
    <w:p>
      <w:pPr>
        <w:pStyle w:val="Heading4"/>
        <w:numPr>
          <w:ilvl w:val="3"/>
          <w:numId w:val="1"/>
        </w:numPr>
        <w:rPr/>
      </w:pPr>
      <w:bookmarkStart w:id="2403" w:name="__RefHeading___Toc3599341_1067777946"/>
      <w:bookmarkStart w:id="2404" w:name="_Toc991"/>
      <w:bookmarkEnd w:id="2403"/>
      <w:r>
        <w:rPr>
          <w:rtl w:val="true"/>
        </w:rPr>
        <w:t>الفاظ مستعمله در اين باب</w:t>
      </w:r>
      <w:bookmarkEnd w:id="2404"/>
    </w:p>
    <w:p>
      <w:pPr>
        <w:pStyle w:val="BookText"/>
        <w:rPr/>
      </w:pPr>
      <w:r>
        <w:rPr>
          <w:rFonts w:ascii="Amiri" w:hAnsi="Amiri" w:eastAsia="Amiri" w:cs="Amiri"/>
          <w:color w:val="111111"/>
          <w:sz w:val="28"/>
          <w:sz w:val="28"/>
          <w:szCs w:val="28"/>
          <w:rtl w:val="true"/>
          <w:lang w:bidi="ar-SA"/>
        </w:rPr>
        <w:t>و شرح الفاظ مستعمله در اين باب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 شود مراد از آن به عرف متعامِلَيْن، پس حمل مى شود بر ثابت از سبق، به تمام يا به اُذُن يا به عُنُق و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تقييد آنها بر خلاف متفاهم عرف از اين كلمه، متّبع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اسبى است كه محاذات نمايد سر او با استخوانهاى يمين و شمال ذنبِ سابق به معنى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متأخّر از مذكور در سابق بر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مرادِ متراهِنَيْن، مطابق مفهوم لغوى نباشد، و متّبعْ دالّ بر مراد است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معاملۀ خاصه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در اين معامله و </w:t>
      </w:r>
      <w:bookmarkStart w:id="2405" w:name="pg10256_89732"/>
    </w:p>
    <w:p>
      <w:pPr>
        <w:pStyle w:val="BookText"/>
        <w:rPr/>
      </w:pPr>
      <w:bookmarkEnd w:id="2405"/>
      <w:r>
        <w:rPr>
          <w:rFonts w:ascii="Amiri" w:hAnsi="Amiri" w:eastAsia="Amiri" w:cs="Amiri"/>
          <w:color w:val="111111"/>
          <w:sz w:val="28"/>
          <w:sz w:val="28"/>
          <w:szCs w:val="28"/>
          <w:rtl w:val="true"/>
          <w:lang w:bidi="ar-SA"/>
        </w:rPr>
        <w:t xml:space="preserve">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سبق به نحو اشتراط مذكور است، كه آخذ است اگر سابق باشد، وگرنه بر او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منتهاى مسابقه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مسابقه در تيراندازى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مسابقه با 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تيراندازى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تيراندازى،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تيرهايى كه هر كسى مجموع آنها را استعمال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 وجه و 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هم تيرها را انداختن به نحو اتصال در جهت واحده تا تمام شود عدد مقصود</w:t>
      </w:r>
      <w:r>
        <w:rPr>
          <w:rFonts w:eastAsia="IRNazanin" w:cs="IRNazanin"/>
          <w:color w:val="111111"/>
          <w:sz w:val="28"/>
          <w:szCs w:val="28"/>
          <w:rtl w:val="true"/>
          <w:lang w:bidi="fa-IR"/>
        </w:rPr>
        <w:t>.</w:t>
      </w:r>
    </w:p>
    <w:p>
      <w:pPr>
        <w:pStyle w:val="Heading4"/>
        <w:numPr>
          <w:ilvl w:val="3"/>
          <w:numId w:val="1"/>
        </w:numPr>
        <w:rPr/>
      </w:pPr>
      <w:bookmarkStart w:id="2406" w:name="__RefHeading___Toc3599343_1067777946"/>
      <w:bookmarkStart w:id="2407" w:name="_Toc992"/>
      <w:bookmarkEnd w:id="2406"/>
      <w:r>
        <w:rPr>
          <w:rtl w:val="true"/>
        </w:rPr>
        <w:t>اسامى تيرها با توجه به اصابت به هدف</w:t>
      </w:r>
      <w:bookmarkEnd w:id="2407"/>
    </w:p>
    <w:p>
      <w:pPr>
        <w:pStyle w:val="BookText"/>
        <w:rPr/>
      </w:pPr>
      <w:r>
        <w:rPr>
          <w:rFonts w:ascii="IRNazanin" w:hAnsi="IRNazanin" w:eastAsia="IRNazanin"/>
          <w:color w:val="111111"/>
          <w:sz w:val="28"/>
          <w:sz w:val="28"/>
          <w:szCs w:val="28"/>
          <w:rtl w:val="true"/>
          <w:lang w:bidi="fa-IR"/>
        </w:rPr>
        <w:t xml:space="preserve">و براى سهم در حال تيراندازى، اسمايى مذكور است و براى آنها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در مغايرت بعضى از آنها با بعضى ديگر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حابى آن است كه بر زمين برسد و از آنجا مندفع به غرض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خاصر آن است كه به يكى از دو طرف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خازق آن است كه خدشه اى در هدف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خاسق آن است كه نفوذ نمايد در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آن است كه برسد به هدف و خارج شود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خارم آن است كه اثرى در كنار هدف بگذارد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مقصود متعاملين اصابۀ آن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غرض است از خاك يا ديوار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 از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نقشى در غرض قرار داده مى شود مثل هلال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نمايند، و در وسطْ چيزى قرار داده مى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نمايند</w:t>
      </w:r>
      <w:r>
        <w:rPr>
          <w:rFonts w:eastAsia="IRNazanin" w:cs="IRNazanin"/>
          <w:color w:val="111111"/>
          <w:sz w:val="28"/>
          <w:szCs w:val="28"/>
          <w:rtl w:val="true"/>
          <w:lang w:bidi="fa-IR"/>
        </w:rPr>
        <w:t xml:space="preserve">. </w:t>
      </w:r>
      <w:bookmarkStart w:id="2408" w:name="pg10256_89733"/>
    </w:p>
    <w:p>
      <w:pPr>
        <w:pStyle w:val="BookText"/>
        <w:rPr/>
      </w:pPr>
      <w:bookmarkEnd w:id="2408"/>
      <w:r>
        <w:rPr>
          <w:rFonts w:ascii="IRNazanin" w:hAnsi="IRNazanin" w:eastAsia="IRNazanin"/>
          <w:color w:val="111111"/>
          <w:sz w:val="28"/>
          <w:sz w:val="28"/>
          <w:szCs w:val="28"/>
          <w:rtl w:val="true"/>
          <w:lang w:bidi="fa-IR"/>
        </w:rPr>
        <w:t>و تحقق اصابت تابعِ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هدف كافى باشد با شرط، و ممكن است غير خاتم كافى نباشد با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اسامى حكمى مرتّب نيست مگر آنكه در قرارْ شرط شود مسمّى به اسمى در عرف، و آن معلوم باشد نزد متعاملين</w:t>
      </w:r>
      <w:r>
        <w:rPr>
          <w:rFonts w:eastAsia="IRNazanin" w:cs="IRNazanin"/>
          <w:color w:val="111111"/>
          <w:sz w:val="28"/>
          <w:szCs w:val="28"/>
          <w:rtl w:val="true"/>
          <w:lang w:bidi="fa-IR"/>
        </w:rPr>
        <w:t>.</w:t>
      </w:r>
    </w:p>
    <w:p>
      <w:pPr>
        <w:pStyle w:val="Heading4"/>
        <w:numPr>
          <w:ilvl w:val="3"/>
          <w:numId w:val="1"/>
        </w:numPr>
        <w:rPr/>
      </w:pPr>
      <w:bookmarkStart w:id="2409" w:name="__RefHeading___Toc3599345_1067777946"/>
      <w:bookmarkStart w:id="2410" w:name="_Toc993"/>
      <w:bookmarkEnd w:id="2409"/>
      <w:r>
        <w:rPr>
          <w:rtl w:val="true"/>
        </w:rPr>
        <w:t>اقسام مرامات</w:t>
      </w:r>
      <w:r>
        <w:rPr>
          <w:rtl w:val="true"/>
        </w:rPr>
        <w:t xml:space="preserve">: </w:t>
      </w:r>
      <w:r>
        <w:rPr>
          <w:rtl w:val="true"/>
        </w:rPr>
        <w:t>مبادرت و محاطّه</w:t>
      </w:r>
      <w:bookmarkEnd w:id="2410"/>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يكى از دو قسم مرامات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يكى از آنها به مطلق اصابت، يا اصابت عددى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 از پنج با تساوى در عدد تيراندازى از مقدارى معيّن از آن يا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اوّل تيراندازى اصابت كرد يكى و خطا كرد ديگرى، مصيب سبقت كرده و غالب شده؛ به خلاف قرار دادن اصابت عددى در مطلق پنج تيراندازى، كه تا اتمام عدد معلوم مى شود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مرامات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اسقاط مقدار مساوات طرفين است مثلا، پس از آن آنكه مصيب است سابق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اسقاط اقرب به غرض است، ابعد از آن را كه اصابۀ هدف كرده پس به زيادتى قرب، غالب و مصيب است</w:t>
      </w:r>
      <w:r>
        <w:rPr>
          <w:rFonts w:eastAsia="IRNazanin" w:cs="IRNazanin"/>
          <w:color w:val="111111"/>
          <w:sz w:val="28"/>
          <w:szCs w:val="28"/>
          <w:rtl w:val="true"/>
          <w:lang w:bidi="fa-IR"/>
        </w:rPr>
        <w:t>.</w:t>
      </w:r>
    </w:p>
    <w:p>
      <w:pPr>
        <w:pStyle w:val="Heading4"/>
        <w:numPr>
          <w:ilvl w:val="3"/>
          <w:numId w:val="1"/>
        </w:numPr>
        <w:rPr/>
      </w:pPr>
      <w:bookmarkStart w:id="2411" w:name="__RefHeading___Toc3599347_1067777946"/>
      <w:bookmarkStart w:id="2412" w:name="_Toc994"/>
      <w:bookmarkEnd w:id="2411"/>
      <w:r>
        <w:rPr>
          <w:rtl w:val="true"/>
        </w:rPr>
        <w:t>چيزهايى كه با آن مسابقه مشروع است</w:t>
      </w:r>
      <w:bookmarkEnd w:id="2412"/>
    </w:p>
    <w:p>
      <w:pPr>
        <w:pStyle w:val="BookText"/>
        <w:rPr/>
      </w:pPr>
      <w:r>
        <w:rPr>
          <w:rFonts w:ascii="Amiri" w:hAnsi="Amiri" w:eastAsia="Amiri" w:cs="Amiri"/>
          <w:color w:val="111111"/>
          <w:sz w:val="28"/>
          <w:sz w:val="28"/>
          <w:szCs w:val="28"/>
          <w:rtl w:val="true"/>
          <w:lang w:bidi="ar-SA"/>
        </w:rPr>
        <w:t xml:space="preserve">جايز است مسابقه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معاملۀ 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داخل است در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و شمشير و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لحوق آنچه فايدۀ اينها را داشته باشد به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چاقو و حراب و عصايى كه در سر آن آهن تيزى قرار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داخل است در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فيل؛ و در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اُلاغ و اَستَر؛ پس مسابقه در همۀ اينها مشروع و نافذ است؛ به خلاف طيور و به اَقدام و با كشتيها و با كُشتى گرفتن، و بر تقدير جواز عمل، معامله بر آنها نافذ نيست، و اظهر عدم حرمت است؛ و در نفوذ معامله بر آنها اگر بدون عوض باشد، تأمل است</w:t>
      </w:r>
      <w:r>
        <w:rPr>
          <w:rFonts w:eastAsia="IRNazanin" w:cs="IRNazanin"/>
          <w:color w:val="111111"/>
          <w:sz w:val="28"/>
          <w:szCs w:val="28"/>
          <w:rtl w:val="true"/>
          <w:lang w:bidi="fa-IR"/>
        </w:rPr>
        <w:t xml:space="preserve">. </w:t>
      </w:r>
      <w:bookmarkStart w:id="2413" w:name="pg10256_89734"/>
    </w:p>
    <w:p>
      <w:pPr>
        <w:pStyle w:val="Heading3"/>
        <w:numPr>
          <w:ilvl w:val="2"/>
          <w:numId w:val="1"/>
        </w:numPr>
        <w:rPr/>
      </w:pPr>
      <w:bookmarkStart w:id="2414" w:name="__RefHeading___Toc3599349_1067777946"/>
      <w:bookmarkStart w:id="2415" w:name="_Toc995"/>
      <w:bookmarkEnd w:id="2413"/>
      <w:bookmarkEnd w:id="2414"/>
      <w:r>
        <w:rPr>
          <w:rtl w:val="true"/>
        </w:rPr>
        <w:t>فصل دوّم عقد و عوض و شروط</w:t>
      </w:r>
      <w:bookmarkEnd w:id="2415"/>
    </w:p>
    <w:p>
      <w:pPr>
        <w:pStyle w:val="Heading4"/>
        <w:numPr>
          <w:ilvl w:val="3"/>
          <w:numId w:val="1"/>
        </w:numPr>
        <w:rPr/>
      </w:pPr>
      <w:bookmarkStart w:id="2416" w:name="__RefHeading___Toc3599351_1067777946"/>
      <w:bookmarkStart w:id="2417" w:name="_Toc996"/>
      <w:bookmarkEnd w:id="2416"/>
      <w:r>
        <w:rPr>
          <w:rtl w:val="true"/>
        </w:rPr>
        <w:t>كيفيّت عقد</w:t>
      </w:r>
      <w:bookmarkEnd w:id="2417"/>
    </w:p>
    <w:p>
      <w:pPr>
        <w:pStyle w:val="BookText"/>
        <w:rPr/>
      </w:pPr>
      <w:r>
        <w:rPr>
          <w:rFonts w:ascii="IRNazanin" w:hAnsi="IRNazanin" w:eastAsia="IRNazanin"/>
          <w:color w:val="111111"/>
          <w:sz w:val="28"/>
          <w:sz w:val="28"/>
          <w:szCs w:val="28"/>
          <w:rtl w:val="true"/>
          <w:lang w:bidi="fa-IR"/>
        </w:rPr>
        <w:t xml:space="preserve">عقد مسابقه، متقوّم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دالّ بر آنها است؛ پس معتبر است در آن، شروط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معتبر است در لزوم بر سبيل جزم يا احتمال از مفارقت و عربيّت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معاطات در آن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به جُعاله بودن آن، مرجوح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عقد مسابقه حتى قبل از شروع در عمل، خالى از وجه نيست</w:t>
      </w:r>
      <w:r>
        <w:rPr>
          <w:rFonts w:eastAsia="Amiri" w:cs="Amiri" w:ascii="Amiri" w:hAnsi="Amiri"/>
          <w:color w:val="111111"/>
          <w:sz w:val="28"/>
          <w:szCs w:val="28"/>
          <w:rtl w:val="true"/>
          <w:lang w:bidi="ar-SA"/>
        </w:rPr>
        <w:t>.</w:t>
      </w:r>
    </w:p>
    <w:p>
      <w:pPr>
        <w:pStyle w:val="Heading4"/>
        <w:numPr>
          <w:ilvl w:val="3"/>
          <w:numId w:val="1"/>
        </w:numPr>
        <w:rPr/>
      </w:pPr>
      <w:bookmarkStart w:id="2418" w:name="__RefHeading___Toc3599353_1067777946"/>
      <w:bookmarkStart w:id="2419" w:name="_Toc997"/>
      <w:bookmarkEnd w:id="2418"/>
      <w:r>
        <w:rPr>
          <w:rtl w:val="true"/>
        </w:rPr>
        <w:t>عوض در سبق و رمايه</w:t>
      </w:r>
      <w:bookmarkEnd w:id="2419"/>
    </w:p>
    <w:p>
      <w:pPr>
        <w:pStyle w:val="BookText"/>
        <w:rPr/>
      </w:pPr>
      <w:r>
        <w:rPr>
          <w:rFonts w:ascii="IRNazanin" w:hAnsi="IRNazanin" w:eastAsia="IRNazanin"/>
          <w:color w:val="111111"/>
          <w:sz w:val="28"/>
          <w:sz w:val="28"/>
          <w:szCs w:val="28"/>
          <w:rtl w:val="true"/>
          <w:lang w:bidi="fa-IR"/>
        </w:rPr>
        <w:t>عوض در اين عقد، مثل عوض در اجاره و ساير معاوضات است، و بايد معلوم و مضبوط باشد به مثل مشاهده اگر عين باشد، يا توصيف اگر كلى ذمى باشد، حالّ باشد يا مؤجّل يا به اختلاف در عين بودن عوض يا در حلول و تأجيل از متراهنين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اعتبار عمل در مالكيّت عوض است، بلكه در وجوبِ تسليمِ آن لازم است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غير متسابقَين، به حسب قرار، بذل عوض كرد، جايز و صحيح است اگر چه غير امام و نايب او باشد</w:t>
      </w:r>
      <w:r>
        <w:rPr>
          <w:rFonts w:eastAsia="IRNazanin" w:cs="IRNazanin"/>
          <w:color w:val="111111"/>
          <w:sz w:val="28"/>
          <w:szCs w:val="28"/>
          <w:rtl w:val="true"/>
          <w:lang w:bidi="fa-IR"/>
        </w:rPr>
        <w:t xml:space="preserve">. </w:t>
      </w:r>
      <w:bookmarkStart w:id="2420" w:name="pg10256_89735"/>
    </w:p>
    <w:p>
      <w:pPr>
        <w:pStyle w:val="BookText"/>
        <w:rPr/>
      </w:pPr>
      <w:bookmarkEnd w:id="2420"/>
      <w:r>
        <w:rPr>
          <w:rFonts w:ascii="IRNazanin" w:hAnsi="IRNazanin" w:eastAsia="IRNazanin"/>
          <w:color w:val="111111"/>
          <w:sz w:val="28"/>
          <w:sz w:val="28"/>
          <w:szCs w:val="28"/>
          <w:rtl w:val="true"/>
          <w:lang w:bidi="fa-IR"/>
        </w:rPr>
        <w:t>و اگر قرارِ بذلِ عوض از يكى از متسابقَين يا از هر دو بود، صحيح است اگر چه محلِّل داخل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جايز است قرار عوض از جانب امام يا نايب او از بيت المال مصروف در مصالح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جايز است عوض را فقط براى محلِّل در تقدير سبق او قرار بدهند، نه براى يكى از متعاملين اگر سابق باشد، كه در اين صورت كسى مستحِق عوض نمى شود؛ و هم چنين است اگر يكى از آنها با محلِّل سبقت كرد، در صورت تعلّق قرار به سبق محلِّل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به سبق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يكى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بگيرد، مستحِق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عوض را براى يكى از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محلِّل يكى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سبق آن يكى قرار بدهند، صحيح است</w:t>
      </w:r>
      <w:r>
        <w:rPr>
          <w:rFonts w:eastAsia="IRNazanin" w:cs="IRNazanin"/>
          <w:color w:val="111111"/>
          <w:sz w:val="28"/>
          <w:szCs w:val="28"/>
          <w:rtl w:val="true"/>
          <w:lang w:bidi="fa-IR"/>
        </w:rPr>
        <w:t>.</w:t>
      </w:r>
    </w:p>
    <w:p>
      <w:pPr>
        <w:pStyle w:val="Heading4"/>
        <w:numPr>
          <w:ilvl w:val="3"/>
          <w:numId w:val="1"/>
        </w:numPr>
        <w:rPr/>
      </w:pPr>
      <w:bookmarkStart w:id="2421" w:name="__RefHeading___Toc3599355_1067777946"/>
      <w:bookmarkStart w:id="2422" w:name="_Toc998"/>
      <w:bookmarkEnd w:id="2421"/>
      <w:r>
        <w:rPr>
          <w:rtl w:val="true"/>
        </w:rPr>
        <w:t>معنى محلِّل و عدم اشتراط صحّت به آن</w:t>
      </w:r>
      <w:bookmarkEnd w:id="2422"/>
    </w:p>
    <w:p>
      <w:pPr>
        <w:pStyle w:val="BookText"/>
        <w:rPr/>
      </w:pPr>
      <w:r>
        <w:rPr>
          <w:rFonts w:ascii="IRNazanin" w:hAnsi="IRNazanin" w:eastAsia="IRNazanin"/>
          <w:color w:val="111111"/>
          <w:sz w:val="28"/>
          <w:sz w:val="28"/>
          <w:szCs w:val="28"/>
          <w:rtl w:val="true"/>
          <w:lang w:bidi="fa-IR"/>
        </w:rPr>
        <w:t>و وجود محلِّل شرط صحّت مسابقه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محلِّل كسى است كه داخل مى شود به حسب شرط در عقد سبق بين متراهنين تا با آنها مسابقه نمايد بدون عوضى كه بر او باشد بر تقدير عدم سبق او؛ و اگر سابق شد، عوض مى گيرد؛ و اگر مسبوق شد، چيزى بر او نيست، و به منزلۀ امين بين دو طرف معامله است</w:t>
      </w:r>
      <w:r>
        <w:rPr>
          <w:rFonts w:eastAsia="IRNazanin" w:cs="IRNazanin"/>
          <w:color w:val="111111"/>
          <w:sz w:val="28"/>
          <w:szCs w:val="28"/>
          <w:rtl w:val="true"/>
          <w:lang w:bidi="fa-IR"/>
        </w:rPr>
        <w:t>.</w:t>
      </w:r>
    </w:p>
    <w:p>
      <w:pPr>
        <w:pStyle w:val="Heading4"/>
        <w:numPr>
          <w:ilvl w:val="3"/>
          <w:numId w:val="1"/>
        </w:numPr>
        <w:rPr/>
      </w:pPr>
      <w:bookmarkStart w:id="2423" w:name="__RefHeading___Toc3599357_1067777946"/>
      <w:bookmarkStart w:id="2424" w:name="_Toc999"/>
      <w:bookmarkEnd w:id="2423"/>
      <w:r>
        <w:rPr>
          <w:rtl w:val="true"/>
        </w:rPr>
        <w:t>شروط عقد مسابقه</w:t>
      </w:r>
      <w:bookmarkEnd w:id="2424"/>
    </w:p>
    <w:p>
      <w:pPr>
        <w:pStyle w:val="BookText"/>
        <w:rPr/>
      </w:pPr>
      <w:r>
        <w:rPr>
          <w:rFonts w:ascii="IRNazanin" w:hAnsi="IRNazanin" w:eastAsia="IRNazanin"/>
          <w:color w:val="111111"/>
          <w:sz w:val="28"/>
          <w:sz w:val="28"/>
          <w:szCs w:val="28"/>
          <w:rtl w:val="true"/>
          <w:lang w:bidi="fa-IR"/>
        </w:rPr>
        <w:t>امورى در صحّت عقد مسابقه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مسافت است از مبدء تا غايت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معلوميّت آن در عقد،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 ضبط عوض در صورت تعلّق قرار مسابقه به عوض، تا آنكه معاوضه غرريّه نباشد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آنچه با او مسابقه مى شود از اسب يا شتر با مشاهدۀ آن</w:t>
      </w:r>
      <w:r>
        <w:rPr>
          <w:rFonts w:eastAsia="IRNazanin" w:cs="IRNazanin"/>
          <w:color w:val="111111"/>
          <w:sz w:val="28"/>
          <w:szCs w:val="28"/>
          <w:rtl w:val="true"/>
          <w:lang w:bidi="fa-IR"/>
        </w:rPr>
        <w:t xml:space="preserve">. </w:t>
      </w:r>
      <w:bookmarkStart w:id="2425" w:name="pg10256_89736"/>
    </w:p>
    <w:p>
      <w:pPr>
        <w:pStyle w:val="BookText"/>
        <w:rPr/>
      </w:pPr>
      <w:bookmarkEnd w:id="2425"/>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آنچه به او مسابقه مى شود در قوّت و ضعف؛ پس با معلوم الاختلاف و با احراز ضعف يكى از ديگرى، مسابقه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دو شرط اخير،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عوض براى يكى از متراهنين يا محلِّل باشد، نه براى اجنبى و نه براى مسبوق، مگر آنكه براى سابق، ازيد از آنچه براى مسبوق است قرار داده شود كه در حقيقتْ عوض، آن زيادتى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دو دابّه در جنس است؛ پس مسابقه بين خيل و بغل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اعتبار است با احتمال سبق در خصوص هر يك، و هم چنين اگر اختلاف صنفى از يك جنس داشتند، مثل عربى و غير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تساوى دو دابّه در موقف و عدم تفاوت معتدّ به، و آنكه ارسال آنها در يك دفعه باشد، موافق احتياط است مگر با شرط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مسابقۀ متراهنين در ركوب دابَّه باشد، نه به مجرّد ارسال دو دابّه و معرفت سابق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بر حسب عادتْ قطع دو اسب آن مسافت را، محتمل باشد، نه آنكه به قدرى طولانى باشد كه به غايت نرسند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عقد از مستعدّينِ قتال باشد، نه از مثل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عقد ولىّ‌، مسابقه را، براى متمكن از پسرها، جوازْ اظهر است</w:t>
      </w:r>
      <w:r>
        <w:rPr>
          <w:rFonts w:eastAsia="IRNazanin" w:cs="IRNazanin"/>
          <w:color w:val="111111"/>
          <w:sz w:val="28"/>
          <w:szCs w:val="28"/>
          <w:rtl w:val="true"/>
          <w:lang w:bidi="fa-IR"/>
        </w:rPr>
        <w:t>.</w:t>
      </w:r>
    </w:p>
    <w:p>
      <w:pPr>
        <w:pStyle w:val="Heading4"/>
        <w:numPr>
          <w:ilvl w:val="3"/>
          <w:numId w:val="1"/>
        </w:numPr>
        <w:rPr/>
      </w:pPr>
      <w:bookmarkStart w:id="2426" w:name="__RefHeading___Toc3599359_1067777946"/>
      <w:bookmarkStart w:id="2427" w:name="_Toc1000"/>
      <w:bookmarkEnd w:id="2426"/>
      <w:r>
        <w:rPr>
          <w:rtl w:val="true"/>
        </w:rPr>
        <w:t>شروط عقد رمايه</w:t>
      </w:r>
      <w:bookmarkEnd w:id="2427"/>
    </w:p>
    <w:p>
      <w:pPr>
        <w:pStyle w:val="Heading5"/>
        <w:numPr>
          <w:ilvl w:val="4"/>
          <w:numId w:val="1"/>
        </w:numPr>
        <w:rPr/>
      </w:pPr>
      <w:bookmarkStart w:id="2428" w:name="__RefHeading___Toc3599361_1067777946"/>
      <w:bookmarkStart w:id="2429" w:name="_Toc1001"/>
      <w:bookmarkEnd w:id="2428"/>
      <w:r>
        <w:rPr>
          <w:rtl w:val="true"/>
        </w:rPr>
        <w:t>اشاره</w:t>
      </w:r>
      <w:bookmarkEnd w:id="2429"/>
    </w:p>
    <w:p>
      <w:pPr>
        <w:pStyle w:val="BookText"/>
        <w:rPr/>
      </w:pPr>
      <w:r>
        <w:rPr>
          <w:rFonts w:ascii="IRNazanin" w:hAnsi="IRNazanin" w:eastAsia="IRNazanin"/>
          <w:color w:val="111111"/>
          <w:sz w:val="28"/>
          <w:sz w:val="28"/>
          <w:szCs w:val="28"/>
          <w:rtl w:val="true"/>
          <w:lang w:bidi="fa-IR"/>
        </w:rPr>
        <w:t>عقد رمى محتاج به علم به امورى است</w:t>
      </w:r>
      <w:r>
        <w:rPr>
          <w:rFonts w:eastAsia="IRNazanin" w:cs="IRNazanin"/>
          <w:color w:val="111111"/>
          <w:sz w:val="28"/>
          <w:szCs w:val="28"/>
          <w:rtl w:val="true"/>
          <w:lang w:bidi="fa-IR"/>
        </w:rPr>
        <w:t>:</w:t>
      </w:r>
    </w:p>
    <w:p>
      <w:pPr>
        <w:pStyle w:val="Heading5"/>
        <w:numPr>
          <w:ilvl w:val="4"/>
          <w:numId w:val="1"/>
        </w:numPr>
        <w:rPr/>
      </w:pPr>
      <w:bookmarkStart w:id="2430" w:name="__RefHeading___Toc3599363_1067777946"/>
      <w:bookmarkStart w:id="2431" w:name="_Toc1002"/>
      <w:bookmarkEnd w:id="2430"/>
      <w:r>
        <w:rPr>
          <w:rtl w:val="true"/>
        </w:rPr>
        <w:t>«</w:t>
      </w:r>
      <w:r>
        <w:rPr>
          <w:rtl w:val="true"/>
        </w:rPr>
        <w:t>رشق</w:t>
      </w:r>
      <w:r>
        <w:rPr>
          <w:rtl w:val="true"/>
        </w:rPr>
        <w:t>» (</w:t>
      </w:r>
      <w:r>
        <w:rPr>
          <w:rtl w:val="true"/>
        </w:rPr>
        <w:t>عدد رمى</w:t>
      </w:r>
      <w:r>
        <w:rPr>
          <w:rtl w:val="true"/>
        </w:rPr>
        <w:t>)</w:t>
      </w:r>
      <w:bookmarkEnd w:id="243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آنها رشق به معنى عددِ رمى است، به اينكه معلوم باشد بر حسب شرط كه در هر پنج مثلاً، اصابت هر كدام كه بيش از ديگرى است، غالب و ناضل او است، چه آنكه يك </w:t>
      </w:r>
      <w:bookmarkStart w:id="2432" w:name="pg10256_89737"/>
    </w:p>
    <w:p>
      <w:pPr>
        <w:pStyle w:val="BookText"/>
        <w:rPr/>
      </w:pPr>
      <w:bookmarkEnd w:id="2432"/>
      <w:r>
        <w:rPr>
          <w:rFonts w:ascii="IRNazanin" w:hAnsi="IRNazanin" w:eastAsia="IRNazanin"/>
          <w:color w:val="111111"/>
          <w:sz w:val="28"/>
          <w:sz w:val="28"/>
          <w:szCs w:val="28"/>
          <w:rtl w:val="true"/>
          <w:lang w:bidi="fa-IR"/>
        </w:rPr>
        <w:t>پنج رمى باشد يا دو يا آن قدر كه شرط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شرط اين باشد كه دو دفعه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تساوى در رمى، در عدد هر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اصابت نمايد، غالب و ناضل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تعيين عدد اصابت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پنج در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عدد اصابۀ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در دَه رمى است، بلكه ممكن است اشتراط دَه اصابت در دَه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اصابت در ده رمى است با شرط آن، يعنى مضافاً به اشتراط زيادتى اصابۀ ناضل، بايد اصابت او پنج در بيست رمى باشد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تعيين صفت اصابت از خزق و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شود، متّبع است، لكن تعيين آنها و اشتراط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اصابت، كافى در ناضل بودن است</w:t>
      </w:r>
      <w:r>
        <w:rPr>
          <w:rFonts w:eastAsia="IRNazanin" w:cs="IRNazanin"/>
          <w:color w:val="111111"/>
          <w:sz w:val="28"/>
          <w:szCs w:val="28"/>
          <w:rtl w:val="true"/>
          <w:lang w:bidi="fa-IR"/>
        </w:rPr>
        <w:t>.</w:t>
      </w:r>
    </w:p>
    <w:p>
      <w:pPr>
        <w:pStyle w:val="Heading5"/>
        <w:numPr>
          <w:ilvl w:val="4"/>
          <w:numId w:val="1"/>
        </w:numPr>
        <w:rPr/>
      </w:pPr>
      <w:bookmarkStart w:id="2433" w:name="__RefHeading___Toc3599365_1067777946"/>
      <w:bookmarkStart w:id="2434" w:name="_Toc1003"/>
      <w:bookmarkEnd w:id="2433"/>
      <w:r>
        <w:rPr>
          <w:rtl w:val="true"/>
        </w:rPr>
        <w:t>تعيين قدر مسافت و غرض</w:t>
      </w:r>
      <w:bookmarkEnd w:id="2434"/>
    </w:p>
    <w:p>
      <w:pPr>
        <w:pStyle w:val="BookText"/>
        <w:rPr/>
      </w:pPr>
      <w:r>
        <w:rPr>
          <w:rFonts w:ascii="Amiri" w:hAnsi="Amiri" w:eastAsia="Amiri" w:cs="Amiri"/>
          <w:color w:val="111111"/>
          <w:sz w:val="28"/>
          <w:sz w:val="28"/>
          <w:szCs w:val="28"/>
          <w:rtl w:val="true"/>
          <w:lang w:bidi="ar-SA"/>
        </w:rPr>
        <w:t>و از آنها تعيين قدر مسافت با مشاهده يا ذكر مسافت است، به نحوى كه محتمل باشد سبق در آن براى هر دو، كه لازم است در عقد مرامات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آنها تعيين غرض است كه در هدف واقع مى شود، با مشاهدۀ آنها و معرفت صفت آن از ارتفاع و انخفاض و سعه 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شرط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معلوم باشد به نحوى كه سالم از احتمال غرر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ذكر عوض و شرط آن، در صحّت عقد لازم نيست</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3599367_1067777946"/>
      <w:bookmarkStart w:id="2436" w:name="_Toc1004"/>
      <w:bookmarkEnd w:id="2435"/>
      <w:r>
        <w:rPr>
          <w:rtl w:val="true"/>
        </w:rPr>
        <w:t>چيزهايى كه در عقد رمى، شرط نيست</w:t>
      </w:r>
      <w:bookmarkEnd w:id="2436"/>
    </w:p>
    <w:p>
      <w:pPr>
        <w:pStyle w:val="BookText"/>
        <w:rPr/>
      </w:pPr>
      <w:r>
        <w:rPr>
          <w:rFonts w:ascii="IRNazanin" w:hAnsi="IRNazanin" w:eastAsia="IRNazanin"/>
          <w:color w:val="111111"/>
          <w:sz w:val="28"/>
          <w:sz w:val="28"/>
          <w:szCs w:val="28"/>
          <w:rtl w:val="true"/>
          <w:lang w:bidi="fa-IR"/>
        </w:rPr>
        <w:t>عقد رمى با احتمال اصابت و غلبه، صحيح مى شود؛ و لازم نيست اتحاد جنس و تماثل آلت رمى و شرط اتحاد و تماثل كردن در عقد؛ و اگر شرط كردند، لازم است عمل به شرط، و عدول بدون توافق و تراضى جايز نيست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شرط نيست تعيين يكى از دو قسم مرامات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مبادرت و محاطّه به معناى متقدّم </w:t>
      </w:r>
      <w:bookmarkStart w:id="2437" w:name="pg10256_89738"/>
    </w:p>
    <w:p>
      <w:pPr>
        <w:pStyle w:val="BookText"/>
        <w:rPr/>
      </w:pPr>
      <w:bookmarkEnd w:id="2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شد متعيّن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متعارف در عرف متراهنين، يك قسم مخصوص باشد و اطلاق عقد، منصرف به آن باشد، متعيّن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تعيين قوس و سهم، لازم و معتبر در صحّت عقد نيست، و اگر شرط شد متعيّن مى شود</w:t>
      </w:r>
      <w:r>
        <w:rPr>
          <w:rFonts w:eastAsia="IRNazanin" w:cs="IRNazanin"/>
          <w:color w:val="111111"/>
          <w:sz w:val="28"/>
          <w:szCs w:val="28"/>
          <w:rtl w:val="true"/>
          <w:lang w:bidi="fa-IR"/>
        </w:rPr>
        <w:t>.</w:t>
      </w:r>
    </w:p>
    <w:p>
      <w:pPr>
        <w:pStyle w:val="Heading4"/>
        <w:numPr>
          <w:ilvl w:val="3"/>
          <w:numId w:val="1"/>
        </w:numPr>
        <w:rPr/>
      </w:pPr>
      <w:bookmarkStart w:id="2438" w:name="__RefHeading___Toc3599369_1067777946"/>
      <w:bookmarkStart w:id="2439" w:name="_Toc1005"/>
      <w:bookmarkEnd w:id="2438"/>
      <w:r>
        <w:rPr>
          <w:rtl w:val="true"/>
        </w:rPr>
        <w:t>چند مسأله</w:t>
      </w:r>
      <w:bookmarkEnd w:id="2439"/>
    </w:p>
    <w:p>
      <w:pPr>
        <w:pStyle w:val="Heading5"/>
        <w:numPr>
          <w:ilvl w:val="4"/>
          <w:numId w:val="1"/>
        </w:numPr>
        <w:rPr/>
      </w:pPr>
      <w:bookmarkStart w:id="2440" w:name="__RefHeading___Toc3599371_1067777946"/>
      <w:bookmarkStart w:id="2441" w:name="_Toc1006"/>
      <w:bookmarkEnd w:id="2440"/>
      <w:r>
        <w:rPr>
          <w:rtl w:val="true"/>
        </w:rPr>
        <w:t>نحوۀ استحقاق عوض</w:t>
      </w:r>
      <w:bookmarkEnd w:id="2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مسابقه بين پنج نفر به اين نحو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فله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متساوى شدند در بلوغِ غايت، چيزى براى كسى نيست؛ و اگر يكى سبقت گرفت، تمام پنج، مال او است؛ و اگر دو نفر سبقت گرفتند بر سه نفر ديگر، اظهر اين است كه براى هر كدام پنج است؛ و هم چنين در سبقت سه نفر، براى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هكذا با سبقت چهار نفر، براى مجموع بيست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نظاير مسأله به عبارت مذكوره، از آنچه ذكر شد معلوم مى شود</w:t>
      </w:r>
      <w:r>
        <w:rPr>
          <w:rFonts w:eastAsia="IRNazanin" w:cs="IRNazanin"/>
          <w:color w:val="111111"/>
          <w:sz w:val="28"/>
          <w:szCs w:val="28"/>
          <w:rtl w:val="true"/>
          <w:lang w:bidi="fa-IR"/>
        </w:rPr>
        <w:t>.</w:t>
      </w:r>
    </w:p>
    <w:p>
      <w:pPr>
        <w:pStyle w:val="Heading5"/>
        <w:numPr>
          <w:ilvl w:val="4"/>
          <w:numId w:val="1"/>
        </w:numPr>
        <w:rPr/>
      </w:pPr>
      <w:bookmarkStart w:id="2442" w:name="__RefHeading___Toc3599373_1067777946"/>
      <w:bookmarkStart w:id="2443" w:name="_Toc1007"/>
      <w:bookmarkEnd w:id="2442"/>
      <w:r>
        <w:rPr>
          <w:rtl w:val="true"/>
        </w:rPr>
        <w:t>كيفيت تعلق سبق در فرض اخراج سبق توسط متراهنين و ادخال محلِّل</w:t>
      </w:r>
      <w:bookmarkEnd w:id="24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متراهِنَيْن هر كدام سَبَق را اخراج كردند و محلِّل را هم داخل نمودند و گفتند در 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سه نفر سبقت گرفت، دو سَبَق مال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يكى از دو مُستبِق سبقت گرفت، هر دو سَبَق مال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محلِّل سبقت گرفت، هر دو سَبَق مال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متراهن سبقت گرفتند، براى هر كدام مال خود ثابت است و براى محلِّل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متراهنين با محلِّل سبقت گرفت، اظهر اين است كه بر مسبوق است تمام سَبَق را به محلِّل ادا نمايد، و براى سابقِ ديگر است تمام سبقِ ديگر، نه آنكه نصفِ مال مسبوقْ براى محلِّل و نصف ديگر براى سابقِ ديگر با ضميمۀ تمامِ مال خودش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يكى از متراهنين سابق بود و محلِّل مصلّى، همۀ دو سبق مخصوص سابق است، و براى مصلّى چيزى نيست</w:t>
      </w:r>
      <w:r>
        <w:rPr>
          <w:rFonts w:eastAsia="IRNazanin" w:cs="IRNazanin"/>
          <w:color w:val="111111"/>
          <w:sz w:val="28"/>
          <w:szCs w:val="28"/>
          <w:rtl w:val="true"/>
          <w:lang w:bidi="fa-IR"/>
        </w:rPr>
        <w:t xml:space="preserve">. </w:t>
      </w:r>
      <w:bookmarkStart w:id="2444" w:name="pg10256_89739"/>
    </w:p>
    <w:p>
      <w:pPr>
        <w:pStyle w:val="BookText"/>
        <w:rPr/>
      </w:pPr>
      <w:bookmarkEnd w:id="2444"/>
      <w:r>
        <w:rPr>
          <w:rFonts w:ascii="IRNazanin" w:hAnsi="IRNazanin" w:eastAsia="IRNazanin"/>
          <w:color w:val="111111"/>
          <w:sz w:val="28"/>
          <w:sz w:val="28"/>
          <w:szCs w:val="28"/>
          <w:rtl w:val="true"/>
          <w:lang w:bidi="fa-IR"/>
        </w:rPr>
        <w:t>و هم چنين اگر يكى از متراهنين سابق شد و ديگرى با محلِّل متأخر شدند، همۀ دو سَبَق مال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يكى از متراهنين سابق شد و ديگرى مصلّى، و محلّلْ متأخر شد، تمام دو سَبَق مال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سه متساوى در وصول به غايت بودند، براى هر كدام از متراهنين مال خودش است و براى محلِّل چيزى نيست</w:t>
      </w:r>
      <w:r>
        <w:rPr>
          <w:rFonts w:eastAsia="IRNazanin" w:cs="IRNazanin"/>
          <w:color w:val="111111"/>
          <w:sz w:val="28"/>
          <w:szCs w:val="28"/>
          <w:rtl w:val="true"/>
          <w:lang w:bidi="fa-IR"/>
        </w:rPr>
        <w:t>.</w:t>
      </w:r>
    </w:p>
    <w:p>
      <w:pPr>
        <w:pStyle w:val="Heading5"/>
        <w:numPr>
          <w:ilvl w:val="4"/>
          <w:numId w:val="1"/>
        </w:numPr>
        <w:rPr/>
      </w:pPr>
      <w:bookmarkStart w:id="2445" w:name="__RefHeading___Toc3599375_1067777946"/>
      <w:bookmarkStart w:id="2446" w:name="_Toc1008"/>
      <w:bookmarkEnd w:id="2445"/>
      <w:r>
        <w:rPr>
          <w:rtl w:val="true"/>
        </w:rPr>
        <w:t>شرط مبادرت</w:t>
      </w:r>
      <w:bookmarkEnd w:id="24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شرط كردند مبادرت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قسم از مرامات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رمى را بيست قرار دادند و عدد اصابت را پنج قرار دادند پس هر كدام دَه رمى نمود و پنج عدد اصابت كرد، در اصابت و رمى متساوى هستند، و لازم نيست اكمال عدد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از مفروض كه مبادرت است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كدام ده رمى كرد پس يكى پنج اصابت داشت و ديگرى چهار اصابت، صاحب پنج غالب است و اكمال عدد رمى لازم نيست در مفروض كه شرط مبادرت است</w:t>
      </w:r>
      <w:r>
        <w:rPr>
          <w:rFonts w:eastAsia="IRNazanin" w:cs="IRNazanin"/>
          <w:color w:val="111111"/>
          <w:sz w:val="28"/>
          <w:szCs w:val="28"/>
          <w:rtl w:val="true"/>
          <w:lang w:bidi="fa-IR"/>
        </w:rPr>
        <w:t>.</w:t>
      </w:r>
    </w:p>
    <w:p>
      <w:pPr>
        <w:pStyle w:val="Heading5"/>
        <w:numPr>
          <w:ilvl w:val="4"/>
          <w:numId w:val="1"/>
        </w:numPr>
        <w:rPr/>
      </w:pPr>
      <w:bookmarkStart w:id="2447" w:name="__RefHeading___Toc3599377_1067777946"/>
      <w:bookmarkStart w:id="2448" w:name="_Toc1009"/>
      <w:bookmarkEnd w:id="2447"/>
      <w:r>
        <w:rPr>
          <w:rtl w:val="true"/>
        </w:rPr>
        <w:t>شرط محاطّه</w:t>
      </w:r>
      <w:bookmarkEnd w:id="2448"/>
    </w:p>
    <w:p>
      <w:pPr>
        <w:pStyle w:val="BookText"/>
        <w:rPr/>
      </w:pPr>
      <w:r>
        <w:rPr>
          <w:rFonts w:ascii="IRNazanin" w:hAnsi="IRNazanin" w:eastAsia="IRNazanin"/>
          <w:color w:val="111111"/>
          <w:sz w:val="28"/>
          <w:sz w:val="28"/>
          <w:szCs w:val="28"/>
          <w:rtl w:val="true"/>
          <w:lang w:bidi="fa-IR"/>
        </w:rPr>
        <w:t xml:space="preserve">و اگر شرط محاطّه كردند، پس هر يك ده رمى كرد و پنج اصابت، متساوى مى شوند به سبب محاطّۀ پنج با پنج، پس از آن اكمالِ عددِ رمىِ مشروط مى نمايند تا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يكى از آنها در دَه رمى، نُه اصابت داشت و ديگرى پنج اصابت، در پنج محاطّه مى شود و اكمالِ عددِ مشروط براى تعيين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محاطّه نمودند، پس يكى اصابت عدد مشروط نمود با انتهاى رشق از هر دو، پس لازم آن ناضل بودن آن يكى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او به اين عدد اصابت مشروط رسيد قبل از ديگرى، قبل از تمام رِشْق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عدد رمى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خواست صاحب اقل اكمال عدد مشروط را براى غرض خودش، پس اگر فايده در اتمام براى او 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رجحان بر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هر دو ده رمى كرده بودند، يكى تمام آن را اصابت كرد و ديگرى در پنج رمى از آن ده اصابت كرد پس اميد اصابۀ ده رمى ديگر را دارد؛ و اگر اصابت كرد در بقيه و اوّلى خطأ كرد، دومى ناضل و غالب مى شود و حايز عوض مشروط مى شود؛</w:t>
      </w:r>
    </w:p>
    <w:p>
      <w:pPr>
        <w:pStyle w:val="BookText"/>
        <w:rPr/>
      </w:pPr>
      <w:r>
        <w:rPr>
          <w:rFonts w:ascii="IRNazanin" w:hAnsi="IRNazanin" w:eastAsia="IRNazanin"/>
          <w:color w:val="111111"/>
          <w:sz w:val="28"/>
          <w:sz w:val="28"/>
          <w:szCs w:val="28"/>
          <w:rtl w:val="true"/>
          <w:lang w:bidi="fa-IR"/>
        </w:rPr>
        <w:t>از اوّلى، زيرا بعد از محاطّه، پنج اصابت در بيست رمى مشروط، مخصوص دومى مى شود؛ يا اميد مساوات با اوّلى و عدم استحقاق يكى بر ديگرى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يكى در تمام ده رمى اصابت كرد و ديگرى در تمام ده خطا كرد، پس اميد است كه در اكمال بيست، عكس حاصل شود؛</w:t>
      </w:r>
    </w:p>
    <w:p>
      <w:pPr>
        <w:pStyle w:val="BookText"/>
        <w:rPr/>
      </w:pPr>
      <w:r>
        <w:rPr>
          <w:rFonts w:ascii="IRNazanin" w:hAnsi="IRNazanin" w:eastAsia="IRNazanin"/>
          <w:color w:val="111111"/>
          <w:sz w:val="28"/>
          <w:sz w:val="28"/>
          <w:szCs w:val="28"/>
          <w:rtl w:val="true"/>
          <w:lang w:bidi="fa-IR"/>
        </w:rPr>
        <w:t>يا اميد منع اوّلى از انفراد به اصابت به اينكه بعد از محاطّه، عدد مشروط اصابت براى دوّمى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يكى در تمام ده اصابت نمايد و ديگرى از ده، دو رمى او اصابت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اصابت در ده باقيمانده و خطأ صاحب خودش در آن دارد؛ و براى دوّمى هم بعد از محاطّۀ عشره به عشره، عدد مشروط اصابت حاصل نمى شود چون بيش از دو اصابت ندارد؛ پس در اين صورِ مذكوره، اجبار مى شود صاحب اكثر بر اكمال و وفاى به مقتضاى عقد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فايده نباشد به واسطۀ مغلوبيّت بر هر تقدير، اجبار نمى شود، مثل آنكه يكى در پانزده رمى اصابت كرد و ديگرى در آن عدد، پنج اصابت نمود؛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اصابت او در پنج رمى باقى و خطأ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است، چون براى صاحب او بعد از محاطّه، پنج اصابت زايد خواهد بود و فايده اى براى او در اكمال بيست نخواهد بود</w:t>
      </w:r>
      <w:r>
        <w:rPr>
          <w:rFonts w:eastAsia="IRNazanin" w:cs="IRNazanin"/>
          <w:color w:val="111111"/>
          <w:sz w:val="28"/>
          <w:szCs w:val="28"/>
          <w:rtl w:val="true"/>
          <w:lang w:bidi="fa-IR"/>
        </w:rPr>
        <w:t xml:space="preserve">. </w:t>
      </w:r>
      <w:bookmarkStart w:id="2449" w:name="pg10256_89741"/>
    </w:p>
    <w:p>
      <w:pPr>
        <w:pStyle w:val="Heading5"/>
        <w:numPr>
          <w:ilvl w:val="4"/>
          <w:numId w:val="1"/>
        </w:numPr>
        <w:rPr/>
      </w:pPr>
      <w:bookmarkStart w:id="2450" w:name="__RefHeading___Toc3599379_1067777946"/>
      <w:bookmarkStart w:id="2451" w:name="_Toc1010"/>
      <w:bookmarkEnd w:id="2449"/>
      <w:bookmarkEnd w:id="2450"/>
      <w:r>
        <w:rPr>
          <w:rtl w:val="true"/>
        </w:rPr>
        <w:t>مالكيّت سابق بر عوض با تماميّت مسابقه</w:t>
      </w:r>
      <w:bookmarkEnd w:id="24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تماميّت مسابقه، سابق مالك مى شود عوض را، يا آنكه كشف مالكيّت او به خصوص از حين عقد مى شود و تصرّفات مالكيّۀ او سائغ و نافذ است در آن</w:t>
      </w:r>
      <w:r>
        <w:rPr>
          <w:rFonts w:eastAsia="Amiri" w:cs="Amiri" w:ascii="Amiri" w:hAnsi="Amiri"/>
          <w:color w:val="111111"/>
          <w:sz w:val="28"/>
          <w:szCs w:val="28"/>
          <w:rtl w:val="true"/>
          <w:lang w:bidi="ar-SA"/>
        </w:rPr>
        <w:t>.</w:t>
      </w:r>
    </w:p>
    <w:p>
      <w:pPr>
        <w:pStyle w:val="Heading5"/>
        <w:numPr>
          <w:ilvl w:val="4"/>
          <w:numId w:val="1"/>
        </w:numPr>
        <w:rPr/>
      </w:pPr>
      <w:bookmarkStart w:id="2452" w:name="__RefHeading___Toc3599381_1067777946"/>
      <w:bookmarkStart w:id="2453" w:name="_Toc1011"/>
      <w:bookmarkEnd w:id="2452"/>
      <w:r>
        <w:rPr>
          <w:rtl w:val="true"/>
        </w:rPr>
        <w:t>جواز اشتراط اطعام</w:t>
      </w:r>
      <w:bookmarkEnd w:id="2453"/>
    </w:p>
    <w:p>
      <w:pPr>
        <w:pStyle w:val="BookText"/>
        <w:rPr/>
      </w:pPr>
      <w:r>
        <w:rPr>
          <w:rFonts w:ascii="IRNazanin" w:hAnsi="IRNazanin" w:eastAsia="IRNazanin"/>
          <w:color w:val="111111"/>
          <w:sz w:val="28"/>
          <w:sz w:val="28"/>
          <w:szCs w:val="28"/>
          <w:rtl w:val="true"/>
          <w:lang w:bidi="fa-IR"/>
        </w:rPr>
        <w:t>و اظهر جواز اشتراط اطعام اصحاب مسبوق است، سابق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مثل اين شرط در اجرت در اجاره نافذ است، به خلاف شرط استحقاق غير متسابقَين يا غير اجير، عوض را</w:t>
      </w:r>
      <w:r>
        <w:rPr>
          <w:rFonts w:eastAsia="IRNazanin" w:cs="IRNazanin"/>
          <w:color w:val="111111"/>
          <w:sz w:val="28"/>
          <w:szCs w:val="28"/>
          <w:rtl w:val="true"/>
          <w:lang w:bidi="fa-IR"/>
        </w:rPr>
        <w:t>.</w:t>
      </w:r>
    </w:p>
    <w:p>
      <w:pPr>
        <w:pStyle w:val="Heading5"/>
        <w:numPr>
          <w:ilvl w:val="4"/>
          <w:numId w:val="1"/>
        </w:numPr>
        <w:rPr/>
      </w:pPr>
      <w:bookmarkStart w:id="2454" w:name="__RefHeading___Toc3599383_1067777946"/>
      <w:bookmarkStart w:id="2455" w:name="_Toc1012"/>
      <w:bookmarkEnd w:id="2454"/>
      <w:r>
        <w:rPr>
          <w:rtl w:val="true"/>
        </w:rPr>
        <w:t>لوازم فساد عقد</w:t>
      </w:r>
      <w:bookmarkEnd w:id="24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عقد سبقْ فاسد بود و خصوص مسبوق، عالم به فساد بود، اظهر ضمان اجرت المثل است براى سابق، چه آنكه فساد به واسطۀ آنكه عوض مستحَق غير بوده، باشد يا به 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براى مسبوقْ ضمان است مطلقاً حتى در صورت جهل به فساد، نه در صورت علم سابق به فساد</w:t>
      </w:r>
      <w:r>
        <w:rPr>
          <w:rFonts w:eastAsia="IRNazanin" w:cs="IRNazanin"/>
          <w:color w:val="111111"/>
          <w:sz w:val="28"/>
          <w:szCs w:val="28"/>
          <w:rtl w:val="true"/>
          <w:lang w:bidi="fa-IR"/>
        </w:rPr>
        <w:t>.</w:t>
      </w:r>
    </w:p>
    <w:p>
      <w:pPr>
        <w:pStyle w:val="Heading5"/>
        <w:numPr>
          <w:ilvl w:val="4"/>
          <w:numId w:val="1"/>
        </w:numPr>
        <w:rPr/>
      </w:pPr>
      <w:bookmarkStart w:id="2456" w:name="__RefHeading___Toc3599385_1067777946"/>
      <w:bookmarkStart w:id="2457" w:name="_Toc1013"/>
      <w:bookmarkEnd w:id="2456"/>
      <w:r>
        <w:rPr>
          <w:rtl w:val="true"/>
        </w:rPr>
        <w:t>تغيير عقد مسابقه</w:t>
      </w:r>
      <w:bookmarkEnd w:id="245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سبقت محقّق شد براى يكى، پس سابق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زيادتى به عوض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تمام مسابقه و بدون تقايل در اثنا، اظهر عدم جواز تغيير عقد مسابقه است با اينگونه امور، چه دعواى صلح بشود و چه 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استحقاقْ فعليّت پيدا نكرده و عملْ قابلِ معامله و بذل عوض در طرح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آنكه بخواهند اتمام نمايند مسابقه را با اسقاط فضل، يا رفع يد از معاملۀ لازمه نمايند</w:t>
      </w:r>
      <w:r>
        <w:rPr>
          <w:rFonts w:eastAsia="IRNazanin" w:cs="IRNazanin"/>
          <w:color w:val="111111"/>
          <w:sz w:val="28"/>
          <w:szCs w:val="28"/>
          <w:rtl w:val="true"/>
          <w:lang w:bidi="fa-IR"/>
        </w:rPr>
        <w:t>.</w:t>
      </w:r>
    </w:p>
    <w:p>
      <w:pPr>
        <w:pStyle w:val="Heading5"/>
        <w:numPr>
          <w:ilvl w:val="4"/>
          <w:numId w:val="1"/>
        </w:numPr>
        <w:rPr/>
      </w:pPr>
      <w:bookmarkStart w:id="2458" w:name="__RefHeading___Toc3599387_1067777946"/>
      <w:bookmarkStart w:id="2459" w:name="_Toc1014"/>
      <w:bookmarkEnd w:id="2458"/>
      <w:r>
        <w:rPr>
          <w:rtl w:val="true"/>
        </w:rPr>
        <w:t>جواز عقد مسابقه بين دو طايفه و حزب و امثال آن</w:t>
      </w:r>
      <w:bookmarkEnd w:id="245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عقد مسابقه بين دو طايفه و دو حزب؛ پس هر حزبى، به منزلۀ شخص واحد مى شود در احتساب اصابۀ آنها، يعنى مجموع افراد هر حزب به منزلۀ واحد</w:t>
      </w:r>
    </w:p>
    <w:p>
      <w:pPr>
        <w:pStyle w:val="BookText"/>
        <w:rPr/>
      </w:pPr>
      <w:r>
        <w:rPr>
          <w:rFonts w:ascii="Amiri" w:hAnsi="Amiri" w:eastAsia="Amiri" w:cs="Amiri"/>
          <w:color w:val="111111"/>
          <w:sz w:val="28"/>
          <w:sz w:val="28"/>
          <w:szCs w:val="28"/>
          <w:rtl w:val="true"/>
          <w:lang w:bidi="ar-SA"/>
        </w:rPr>
        <w:t>مى شود، و ايقاع عقد بين آنها به توكيل واحدى از جانب آنها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تساوى عدد دو حزب، لازم نيست؛ پس مى تواند يكى با سه نفر مرامات نمايند در سه رمى، يعنى واحد، سه رمى نمايد و سه نفر، سه رمى، و هر كدام از آن سه، يك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نيست تعيين دو طرف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نفرى كه با هم رمى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تعيين راميها از طرفان، مگر آنكه با شرط در عقد، تعيين نمايند، و هم چنين تعيين رئيسى از هر طرف كه اختيار تعيين دو طرف رمى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حزبى به منزلۀ شخص واحد است، پس اخذ و غُرْمْ بالسويه بر آنها توزيع مى شود مگر با شرط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عدد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صحيح توزيع مى شود، پس اگر سه نفر هستند، بايد عددى ثلث صحيح دار رشق باشد، و هم ربع صحيح در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حزبى كسى باشد كه نمى تواند تيراندازى يا سوارىِ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در او عقدْ باطل، و در مقابلش باطل شود، اختيار فسخِ عقد براى دو حزب، به واسطۀ تبعّض،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غلبۀ بين دو حزب، مثل كيفيّت غلبه بين دو شخص است مگر آنكه با شرطى تعيين خصوصيّتى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سيد انبيائه محمد و آله الطاهرين و اللعن على اعدائهم</w:t>
      </w:r>
    </w:p>
    <w:p>
      <w:pPr>
        <w:pStyle w:val="BookText"/>
        <w:rPr/>
      </w:pP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المقام بمنّه، ليلة السبت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الحرام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العبد محمد تقى بن محمود عفى عنهما</w:t>
      </w:r>
      <w:r>
        <w:rPr>
          <w:rFonts w:eastAsia="Amiri" w:cs="Amiri" w:ascii="Amiri" w:hAnsi="Amiri"/>
          <w:color w:val="111111"/>
          <w:sz w:val="28"/>
          <w:szCs w:val="28"/>
          <w:rtl w:val="true"/>
          <w:lang w:bidi="ar-SA"/>
        </w:rPr>
        <w:t xml:space="preserve">. </w:t>
      </w:r>
      <w:bookmarkStart w:id="2460" w:name="pg10256_89743"/>
    </w:p>
    <w:p>
      <w:pPr>
        <w:pStyle w:val="Heading2"/>
        <w:numPr>
          <w:ilvl w:val="1"/>
          <w:numId w:val="1"/>
        </w:numPr>
        <w:rPr/>
      </w:pPr>
      <w:bookmarkStart w:id="2461" w:name="__RefHeading___Toc3599389_1067777946"/>
      <w:bookmarkStart w:id="2462" w:name="_Toc1015"/>
      <w:bookmarkEnd w:id="2460"/>
      <w:bookmarkEnd w:id="2461"/>
      <w:r>
        <w:rPr>
          <w:rtl w:val="true"/>
        </w:rPr>
        <w:t>كتاب وصيّت</w:t>
      </w:r>
      <w:bookmarkEnd w:id="2462"/>
    </w:p>
    <w:p>
      <w:pPr>
        <w:pStyle w:val="Heading3"/>
        <w:numPr>
          <w:ilvl w:val="2"/>
          <w:numId w:val="1"/>
        </w:numPr>
        <w:rPr/>
      </w:pPr>
      <w:bookmarkStart w:id="2463" w:name="__RefHeading___Toc3599391_1067777946"/>
      <w:bookmarkStart w:id="2464" w:name="_Toc1016"/>
      <w:bookmarkEnd w:id="2463"/>
      <w:r>
        <w:rPr>
          <w:rtl w:val="true"/>
        </w:rPr>
        <w:t>اشاره</w:t>
      </w:r>
      <w:bookmarkEnd w:id="2464"/>
    </w:p>
    <w:p>
      <w:pPr>
        <w:pStyle w:val="BookText"/>
        <w:rPr/>
      </w:pPr>
      <w:r>
        <w:rPr>
          <w:rFonts w:ascii="Amiri" w:hAnsi="Amiri" w:eastAsia="Amiri" w:cs="Amiri"/>
          <w:color w:val="111111"/>
          <w:sz w:val="28"/>
          <w:sz w:val="28"/>
          <w:szCs w:val="28"/>
          <w:rtl w:val="true"/>
          <w:lang w:bidi="ar-SA"/>
        </w:rPr>
        <w:t>اقسام و شرايط وصيّت</w:t>
      </w:r>
    </w:p>
    <w:p>
      <w:pPr>
        <w:pStyle w:val="BookText"/>
        <w:rPr/>
      </w:pPr>
      <w:r>
        <w:rPr>
          <w:rFonts w:ascii="IRNazanin" w:hAnsi="IRNazanin" w:eastAsia="IRNazanin"/>
          <w:color w:val="111111"/>
          <w:sz w:val="28"/>
          <w:sz w:val="28"/>
          <w:szCs w:val="28"/>
          <w:rtl w:val="true"/>
          <w:lang w:bidi="fa-IR"/>
        </w:rPr>
        <w:t>شروط موصىٖ‌</w:t>
      </w:r>
    </w:p>
    <w:p>
      <w:pPr>
        <w:pStyle w:val="BookText"/>
        <w:rPr/>
      </w:pPr>
      <w:r>
        <w:rPr>
          <w:rFonts w:ascii="IRNazanin" w:hAnsi="IRNazanin" w:eastAsia="IRNazanin"/>
          <w:color w:val="111111"/>
          <w:sz w:val="28"/>
          <w:sz w:val="28"/>
          <w:szCs w:val="28"/>
          <w:rtl w:val="true"/>
          <w:lang w:bidi="fa-IR"/>
        </w:rPr>
        <w:t>شروط موصىٰ به</w:t>
      </w:r>
    </w:p>
    <w:p>
      <w:pPr>
        <w:pStyle w:val="BookText"/>
        <w:rPr/>
      </w:pPr>
      <w:r>
        <w:rPr>
          <w:rFonts w:ascii="Amiri" w:hAnsi="Amiri" w:eastAsia="Amiri" w:cs="Amiri"/>
          <w:color w:val="111111"/>
          <w:sz w:val="28"/>
          <w:sz w:val="28"/>
          <w:szCs w:val="28"/>
          <w:rtl w:val="true"/>
          <w:lang w:bidi="ar-SA"/>
        </w:rPr>
        <w:t>شرايط و احكام موصىٰ له</w:t>
      </w:r>
    </w:p>
    <w:p>
      <w:pPr>
        <w:pStyle w:val="BookText"/>
        <w:rPr/>
      </w:pPr>
      <w:r>
        <w:rPr>
          <w:rFonts w:ascii="Amiri" w:hAnsi="Amiri" w:eastAsia="Amiri" w:cs="Amiri"/>
          <w:color w:val="111111"/>
          <w:sz w:val="28"/>
          <w:sz w:val="28"/>
          <w:szCs w:val="28"/>
          <w:rtl w:val="true"/>
          <w:lang w:bidi="ar-SA"/>
        </w:rPr>
        <w:t>كيفيّت وصايت و شروط وصىّ‌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منجّزات مريض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5" w:name="pg10256_89745"/>
      <w:bookmarkStart w:id="2466" w:name="pg10256_89745"/>
      <w:bookmarkEnd w:id="2466"/>
    </w:p>
    <w:p>
      <w:pPr>
        <w:pStyle w:val="Heading3"/>
        <w:numPr>
          <w:ilvl w:val="2"/>
          <w:numId w:val="1"/>
        </w:numPr>
        <w:rPr/>
      </w:pPr>
      <w:bookmarkStart w:id="2467" w:name="pg10256_89745"/>
      <w:bookmarkStart w:id="2468" w:name="__RefHeading___Toc3599393_1067777946"/>
      <w:bookmarkStart w:id="2469" w:name="_Toc1017"/>
      <w:bookmarkEnd w:id="2467"/>
      <w:bookmarkEnd w:id="2468"/>
      <w:r>
        <w:rPr>
          <w:rtl w:val="true"/>
        </w:rPr>
        <w:t>فصل اوّل اقسام و شرايط وصيّت</w:t>
      </w:r>
      <w:bookmarkEnd w:id="2469"/>
    </w:p>
    <w:p>
      <w:pPr>
        <w:pStyle w:val="Heading4"/>
        <w:numPr>
          <w:ilvl w:val="3"/>
          <w:numId w:val="1"/>
        </w:numPr>
        <w:rPr/>
      </w:pPr>
      <w:bookmarkStart w:id="2470" w:name="__RefHeading___Toc3599395_1067777946"/>
      <w:bookmarkStart w:id="2471" w:name="_Toc1018"/>
      <w:bookmarkEnd w:id="2470"/>
      <w:r>
        <w:rPr>
          <w:rtl w:val="true"/>
        </w:rPr>
        <w:t>اشاره</w:t>
      </w:r>
      <w:bookmarkEnd w:id="2471"/>
    </w:p>
    <w:p>
      <w:pPr>
        <w:pStyle w:val="BookText"/>
        <w:rPr/>
      </w:pPr>
      <w:r>
        <w:rPr>
          <w:rFonts w:ascii="Amiri" w:hAnsi="Amiri" w:eastAsia="Amiri" w:cs="Amiri"/>
          <w:color w:val="111111"/>
          <w:sz w:val="28"/>
          <w:sz w:val="28"/>
          <w:szCs w:val="28"/>
          <w:rtl w:val="true"/>
          <w:lang w:bidi="ar-SA"/>
        </w:rPr>
        <w:t>فصل اوّل</w:t>
      </w:r>
      <w:r>
        <w:rPr>
          <w:rStyle w:val="FootnoteAnchor"/>
          <w:rtl w:val="true"/>
        </w:rPr>
        <w:footnoteReference w:id="8"/>
      </w:r>
      <w:r>
        <w:rPr>
          <w:rFonts w:ascii="Amiri" w:hAnsi="Amiri" w:eastAsia="Amiri" w:cs="Amiri"/>
          <w:color w:val="111111"/>
          <w:sz w:val="28"/>
          <w:sz w:val="28"/>
          <w:szCs w:val="28"/>
          <w:rtl w:val="true"/>
          <w:lang w:bidi="ar-SA"/>
        </w:rPr>
        <w:t>اقسام و شرايط وصيّت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الانبياء محمد و آله سادة الاوصياء</w:t>
      </w:r>
    </w:p>
    <w:p>
      <w:pPr>
        <w:pStyle w:val="BookText"/>
        <w:rPr/>
      </w:pPr>
      <w:r>
        <w:rPr>
          <w:rFonts w:ascii="Amiri" w:hAnsi="Amiri" w:eastAsia="Amiri" w:cs="Amiri"/>
          <w:color w:val="111111"/>
          <w:sz w:val="28"/>
          <w:sz w:val="28"/>
          <w:szCs w:val="28"/>
          <w:rtl w:val="true"/>
          <w:lang w:bidi="ar-SA"/>
        </w:rPr>
        <w:t>الطاهرين و اللعن الدائم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 بر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عهديّه</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3599397_1067777946"/>
      <w:bookmarkStart w:id="2473" w:name="_Toc1019"/>
      <w:bookmarkEnd w:id="2472"/>
      <w:r>
        <w:rPr>
          <w:rtl w:val="true"/>
        </w:rPr>
        <w:t>وصيّت تمليكيّه و احتياج آن به ايجاب و قبول</w:t>
      </w:r>
      <w:bookmarkEnd w:id="2473"/>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شخصى يا صنفى است بعد از وفات، به نحو مشتمل بر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محتاج به ايجاب و قبول است، يعنى مشروط است در تأثير در ملكيت، به تعقّب ايجاب به قبول متعلق به مضمون ايصاء و كاشف از تأثير آن در زمان تحقق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ايجاب آن محقّق مى شود به هر لفظى كه دلالت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ضميمۀ قرينه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انشاى تمليك بعد از وفات؛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تقييد به ما بعد الوفاة لازم است، وگرنه اقرار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غير منازعه، محتمل است اكتفاى به قصد اين قصد اگر چه مدلول دالّى بر آن نباشد</w:t>
      </w:r>
      <w:r>
        <w:rPr>
          <w:rFonts w:eastAsia="IRNazanin" w:cs="IRNazanin"/>
          <w:color w:val="111111"/>
          <w:sz w:val="28"/>
          <w:szCs w:val="28"/>
          <w:rtl w:val="true"/>
          <w:lang w:bidi="fa-IR"/>
        </w:rPr>
        <w:t xml:space="preserve">. </w:t>
      </w:r>
      <w:bookmarkStart w:id="2474" w:name="pg10256_89746"/>
    </w:p>
    <w:p>
      <w:pPr>
        <w:pStyle w:val="Heading4"/>
        <w:numPr>
          <w:ilvl w:val="3"/>
          <w:numId w:val="1"/>
        </w:numPr>
        <w:rPr/>
      </w:pPr>
      <w:bookmarkStart w:id="2475" w:name="__RefHeading___Toc3599399_1067777946"/>
      <w:bookmarkStart w:id="2476" w:name="_Toc1020"/>
      <w:bookmarkEnd w:id="2474"/>
      <w:bookmarkEnd w:id="2475"/>
      <w:r>
        <w:rPr>
          <w:rtl w:val="true"/>
        </w:rPr>
        <w:t>كفايت معاطات</w:t>
      </w:r>
      <w:bookmarkEnd w:id="2476"/>
    </w:p>
    <w:p>
      <w:pPr>
        <w:pStyle w:val="BookText"/>
        <w:rPr/>
      </w:pPr>
      <w:r>
        <w:rPr>
          <w:rFonts w:ascii="Amiri" w:hAnsi="Amiri" w:eastAsia="Amiri" w:cs="Amiri"/>
          <w:color w:val="111111"/>
          <w:sz w:val="28"/>
          <w:sz w:val="28"/>
          <w:szCs w:val="28"/>
          <w:rtl w:val="true"/>
          <w:lang w:bidi="ar-SA"/>
        </w:rPr>
        <w:t xml:space="preserve">و لازم نيست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و قبول لفظاً، بلكه معاطات كافى در تحقق وصيت تمليكيّه است، مانند ساير عقود تنجيزيّه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قبول وصيت، به هر دالّى بر رضا به مضمون ايجاب آن، محقّق مى شود</w:t>
      </w:r>
      <w:r>
        <w:rPr>
          <w:rFonts w:eastAsia="Amiri" w:cs="Amiri" w:ascii="Amiri" w:hAnsi="Amiri"/>
          <w:color w:val="111111"/>
          <w:sz w:val="28"/>
          <w:szCs w:val="28"/>
          <w:rtl w:val="true"/>
          <w:lang w:bidi="ar-SA"/>
        </w:rPr>
        <w:t>.</w:t>
      </w:r>
    </w:p>
    <w:p>
      <w:pPr>
        <w:pStyle w:val="Heading4"/>
        <w:numPr>
          <w:ilvl w:val="3"/>
          <w:numId w:val="1"/>
        </w:numPr>
        <w:rPr/>
      </w:pPr>
      <w:bookmarkStart w:id="2477" w:name="__RefHeading___Toc3599401_1067777946"/>
      <w:bookmarkStart w:id="2478" w:name="_Toc1021"/>
      <w:bookmarkEnd w:id="2477"/>
      <w:r>
        <w:rPr>
          <w:rtl w:val="true"/>
        </w:rPr>
        <w:t>احوطيّت اعتبار قبول در تحقق تمليك به وصيّت</w:t>
      </w:r>
      <w:bookmarkEnd w:id="2478"/>
    </w:p>
    <w:p>
      <w:pPr>
        <w:pStyle w:val="BookText"/>
        <w:rPr/>
      </w:pPr>
      <w:r>
        <w:rPr>
          <w:rFonts w:ascii="IRNazanin" w:hAnsi="IRNazanin" w:eastAsia="IRNazanin"/>
          <w:color w:val="111111"/>
          <w:sz w:val="28"/>
          <w:sz w:val="28"/>
          <w:szCs w:val="28"/>
          <w:rtl w:val="true"/>
          <w:lang w:bidi="fa-IR"/>
        </w:rPr>
        <w:t xml:space="preserve">و احوط اعتبار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تمليك به وصيت، اگر چه به غير معيّن مثل جنس، يا جهت مثل مدرسه و مسجد و قنطره باشد، اگر چه از ناظر يا حاكم شرع باشد</w:t>
      </w:r>
      <w:r>
        <w:rPr>
          <w:rFonts w:eastAsia="IRNazanin" w:cs="IRNazanin"/>
          <w:color w:val="111111"/>
          <w:sz w:val="28"/>
          <w:szCs w:val="28"/>
          <w:rtl w:val="true"/>
          <w:lang w:bidi="fa-IR"/>
        </w:rPr>
        <w:t>.</w:t>
      </w:r>
    </w:p>
    <w:p>
      <w:pPr>
        <w:pStyle w:val="Heading4"/>
        <w:numPr>
          <w:ilvl w:val="3"/>
          <w:numId w:val="1"/>
        </w:numPr>
        <w:rPr/>
      </w:pPr>
      <w:bookmarkStart w:id="2479" w:name="__RefHeading___Toc3599403_1067777946"/>
      <w:bookmarkStart w:id="2480" w:name="_Toc1022"/>
      <w:bookmarkEnd w:id="2479"/>
      <w:r>
        <w:rPr>
          <w:rtl w:val="true"/>
        </w:rPr>
        <w:t>كفايت اشاره و كتابت</w:t>
      </w:r>
      <w:bookmarkEnd w:id="2480"/>
    </w:p>
    <w:p>
      <w:pPr>
        <w:pStyle w:val="BookText"/>
        <w:rPr/>
      </w:pPr>
      <w:r>
        <w:rPr>
          <w:rFonts w:ascii="IRNazanin" w:hAnsi="IRNazanin" w:eastAsia="IRNazanin"/>
          <w:color w:val="111111"/>
          <w:sz w:val="28"/>
          <w:sz w:val="28"/>
          <w:szCs w:val="28"/>
          <w:rtl w:val="true"/>
          <w:lang w:bidi="fa-IR"/>
        </w:rPr>
        <w:t>و اظهر كفايت اشاره و كتابت است در وصيت، با قرينۀ انشاى آن، اگر چه متمكن از نطق باشد؛ بلى عدم تمكّن از نطق و معلوميّت آن غالباً قرينۀ انشاى وصيت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تحقق عقديّت و احكام آن است با اينها در صورت تمكّن با قرينۀ انشا، مثل صورت عجز معلوم كه از قراين است</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3599405_1067777946"/>
      <w:bookmarkStart w:id="2482" w:name="_Toc1023"/>
      <w:bookmarkEnd w:id="2481"/>
      <w:r>
        <w:rPr>
          <w:rtl w:val="true"/>
        </w:rPr>
        <w:t>فرق بين وصيّت عهديّه و تمليكيّه و ابطال تمليكيّه به رد</w:t>
      </w:r>
      <w:bookmarkEnd w:id="2482"/>
    </w:p>
    <w:p>
      <w:pPr>
        <w:pStyle w:val="BookText"/>
        <w:rPr/>
      </w:pPr>
      <w:r>
        <w:rPr>
          <w:rFonts w:ascii="IRNazanin" w:hAnsi="IRNazanin" w:eastAsia="IRNazanin"/>
          <w:color w:val="111111"/>
          <w:sz w:val="28"/>
          <w:sz w:val="28"/>
          <w:szCs w:val="28"/>
          <w:rtl w:val="true"/>
          <w:lang w:bidi="fa-IR"/>
        </w:rPr>
        <w:t>پس وصيت عهديه ايقاع است؛ و وصيت تمليكيه، متوسط است بين عقد و 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مانع از تأثير و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تعقّب به قبول موصىٰ له، شرط تأثير از زمان موت بعد از ايجاب است</w:t>
      </w:r>
      <w:r>
        <w:rPr>
          <w:rFonts w:eastAsia="IRNazanin" w:cs="IRNazanin"/>
          <w:color w:val="111111"/>
          <w:sz w:val="28"/>
          <w:szCs w:val="28"/>
          <w:rtl w:val="true"/>
          <w:lang w:bidi="fa-IR"/>
        </w:rPr>
        <w:t>.</w:t>
      </w:r>
    </w:p>
    <w:p>
      <w:pPr>
        <w:pStyle w:val="Heading4"/>
        <w:numPr>
          <w:ilvl w:val="3"/>
          <w:numId w:val="1"/>
        </w:numPr>
        <w:rPr/>
      </w:pPr>
      <w:bookmarkStart w:id="2483" w:name="__RefHeading___Toc3599407_1067777946"/>
      <w:bookmarkStart w:id="2484" w:name="_Toc1024"/>
      <w:bookmarkEnd w:id="2483"/>
      <w:r>
        <w:rPr>
          <w:rtl w:val="true"/>
        </w:rPr>
        <w:t>مطلق قبول كافى است و لو قبل يا بعد موت باشد</w:t>
      </w:r>
      <w:bookmarkEnd w:id="2484"/>
    </w:p>
    <w:p>
      <w:pPr>
        <w:pStyle w:val="BookText"/>
        <w:rPr/>
      </w:pPr>
      <w:r>
        <w:rPr>
          <w:rFonts w:ascii="IRNazanin" w:hAnsi="IRNazanin" w:eastAsia="IRNazanin"/>
          <w:color w:val="111111"/>
          <w:sz w:val="28"/>
          <w:sz w:val="28"/>
          <w:szCs w:val="28"/>
          <w:rtl w:val="true"/>
          <w:lang w:bidi="fa-IR"/>
        </w:rPr>
        <w:t>و كفايت مى كند قبول موصىٰ له اگر چه قبل از وفات باشد، به نحوى كه مثل ايجاب، متعلق به ملكيت بعد از وفات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قبول بعد از وفات موصىٖ كافى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اتصال قبول به ايجاب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اتصال قبول به وفات موصىٖ معتبر نيست</w:t>
      </w:r>
      <w:r>
        <w:rPr>
          <w:rFonts w:eastAsia="Amiri" w:cs="Amiri" w:ascii="Amiri" w:hAnsi="Amiri"/>
          <w:color w:val="111111"/>
          <w:sz w:val="28"/>
          <w:szCs w:val="28"/>
          <w:rtl w:val="true"/>
          <w:lang w:bidi="ar-SA"/>
        </w:rPr>
        <w:t xml:space="preserve">. </w:t>
      </w:r>
      <w:bookmarkStart w:id="2485" w:name="pg10256_89747"/>
    </w:p>
    <w:p>
      <w:pPr>
        <w:pStyle w:val="Heading4"/>
        <w:numPr>
          <w:ilvl w:val="3"/>
          <w:numId w:val="1"/>
        </w:numPr>
        <w:rPr/>
      </w:pPr>
      <w:bookmarkStart w:id="2486" w:name="__RefHeading___Toc3599409_1067777946"/>
      <w:bookmarkStart w:id="2487" w:name="_Toc1025"/>
      <w:bookmarkEnd w:id="2485"/>
      <w:bookmarkEnd w:id="2486"/>
      <w:r>
        <w:rPr>
          <w:rtl w:val="true"/>
        </w:rPr>
        <w:t>گونه هاى مختلف رد موصىٰ له</w:t>
      </w:r>
      <w:bookmarkEnd w:id="2487"/>
    </w:p>
    <w:p>
      <w:pPr>
        <w:pStyle w:val="BookText"/>
        <w:rPr/>
      </w:pPr>
      <w:r>
        <w:rPr>
          <w:rFonts w:ascii="IRNazanin" w:hAnsi="IRNazanin" w:eastAsia="IRNazanin"/>
          <w:color w:val="111111"/>
          <w:sz w:val="28"/>
          <w:sz w:val="28"/>
          <w:szCs w:val="28"/>
          <w:rtl w:val="true"/>
          <w:lang w:bidi="fa-IR"/>
        </w:rPr>
        <w:t>و اگر رد موصىٰ له وصيت را، بعد از وفات و قبول و تحقق ملكيت واقع بشود، مؤثر در زوال ملكيت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موت و قبل از قبول واقع بشود، مؤثر در بطلان وصيت است، اگر چه بعد از قبض باشد در تقدير فرض قبض بدون قبول اگر چه فعلى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رد بعد از قبول بعد از موت و قبل از قبض باشد، اظهر عدم بطلان وصيت است، مثل صورت موت و قبول و قبض قبل از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زمان حيات موصىٖ واقع بشود قبل از قبول، بطلان وصيت، خالى از وجه نيست، به خلاف صورت وقوع آن بعد از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وقوع قبول بعد از موت موصى در دو صورت اخيره، صلح است</w:t>
      </w:r>
      <w:r>
        <w:rPr>
          <w:rFonts w:eastAsia="IRNazanin" w:cs="IRNazanin"/>
          <w:color w:val="111111"/>
          <w:sz w:val="28"/>
          <w:szCs w:val="28"/>
          <w:rtl w:val="true"/>
          <w:lang w:bidi="fa-IR"/>
        </w:rPr>
        <w:t>.</w:t>
      </w:r>
    </w:p>
    <w:p>
      <w:pPr>
        <w:pStyle w:val="Heading4"/>
        <w:numPr>
          <w:ilvl w:val="3"/>
          <w:numId w:val="1"/>
        </w:numPr>
        <w:rPr/>
      </w:pPr>
      <w:bookmarkStart w:id="2488" w:name="__RefHeading___Toc3599411_1067777946"/>
      <w:bookmarkStart w:id="2489" w:name="_Toc1026"/>
      <w:bookmarkEnd w:id="2488"/>
      <w:r>
        <w:rPr>
          <w:rtl w:val="true"/>
        </w:rPr>
        <w:t>تبعّض در قبول توسط موصىٰ له</w:t>
      </w:r>
      <w:bookmarkEnd w:id="2489"/>
    </w:p>
    <w:p>
      <w:pPr>
        <w:pStyle w:val="BookText"/>
        <w:rPr/>
      </w:pPr>
      <w:r>
        <w:rPr>
          <w:rFonts w:ascii="IRNazanin" w:hAnsi="IRNazanin" w:eastAsia="IRNazanin"/>
          <w:color w:val="111111"/>
          <w:sz w:val="28"/>
          <w:sz w:val="28"/>
          <w:szCs w:val="28"/>
          <w:rtl w:val="true"/>
          <w:lang w:bidi="fa-IR"/>
        </w:rPr>
        <w:t>اگر قبول نمود بعض موصىٰ به را و رد نمود بعض ديگر را، صحيح است در بعض مقبول و باطل است در بعض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در صورت فهم ارتباط بين ابعاض در قصد موصى، خالى از اشكال نيست؛ و هم چنين در صورت مشكوك بودن و عدم استظهار تعدد وصيت اگر چه از قراين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اشكال در صورت مخالفت قبول با موصىٰ به، به كلّيت و جزئيت، يا اشاعه و تعيّن، مگر در صورت استظهار وحدت در قصد موصى يا تعدد، كه رفع اشكال ممكن است</w:t>
      </w:r>
      <w:r>
        <w:rPr>
          <w:rFonts w:eastAsia="IRNazanin" w:cs="IRNazanin"/>
          <w:color w:val="111111"/>
          <w:sz w:val="28"/>
          <w:szCs w:val="28"/>
          <w:rtl w:val="true"/>
          <w:lang w:bidi="fa-IR"/>
        </w:rPr>
        <w:t>.</w:t>
      </w:r>
    </w:p>
    <w:p>
      <w:pPr>
        <w:pStyle w:val="Heading4"/>
        <w:numPr>
          <w:ilvl w:val="3"/>
          <w:numId w:val="1"/>
        </w:numPr>
        <w:rPr/>
      </w:pPr>
      <w:bookmarkStart w:id="2490" w:name="__RefHeading___Toc3599413_1067777946"/>
      <w:bookmarkStart w:id="2491" w:name="_Toc1027"/>
      <w:bookmarkEnd w:id="2490"/>
      <w:r>
        <w:rPr>
          <w:rtl w:val="true"/>
        </w:rPr>
        <w:t>رجوع موصى در بعض</w:t>
      </w:r>
      <w:bookmarkEnd w:id="2491"/>
    </w:p>
    <w:p>
      <w:pPr>
        <w:pStyle w:val="BookText"/>
        <w:rPr/>
      </w:pPr>
      <w:r>
        <w:rPr>
          <w:rFonts w:ascii="IRNazanin" w:hAnsi="IRNazanin" w:eastAsia="IRNazanin"/>
          <w:color w:val="111111"/>
          <w:sz w:val="28"/>
          <w:sz w:val="28"/>
          <w:szCs w:val="28"/>
          <w:rtl w:val="true"/>
          <w:lang w:bidi="fa-IR"/>
        </w:rPr>
        <w:t>و هم چنين است رجوع موصى در بعض، كه مبطل وصيت در همان بعض است نه غير آن، به نحو مذكور</w:t>
      </w:r>
      <w:r>
        <w:rPr>
          <w:rFonts w:eastAsia="IRNazanin" w:cs="IRNazanin"/>
          <w:color w:val="111111"/>
          <w:sz w:val="28"/>
          <w:szCs w:val="28"/>
          <w:rtl w:val="true"/>
          <w:lang w:bidi="fa-IR"/>
        </w:rPr>
        <w:t>.</w:t>
      </w:r>
    </w:p>
    <w:p>
      <w:pPr>
        <w:pStyle w:val="Heading4"/>
        <w:numPr>
          <w:ilvl w:val="3"/>
          <w:numId w:val="1"/>
        </w:numPr>
        <w:rPr/>
      </w:pPr>
      <w:bookmarkStart w:id="2492" w:name="__RefHeading___Toc3599415_1067777946"/>
      <w:bookmarkStart w:id="2493" w:name="_Toc1028"/>
      <w:bookmarkEnd w:id="2492"/>
      <w:r>
        <w:rPr>
          <w:rtl w:val="true"/>
        </w:rPr>
        <w:t>وفات موصىٰ له قبل از قبول وصيّت</w:t>
      </w:r>
      <w:bookmarkEnd w:id="249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موصىٰ له وفات نمود قبل از قبول وصيت، وارث او قائم مقام او است در قبول </w:t>
      </w:r>
      <w:bookmarkStart w:id="2494" w:name="pg10256_89748"/>
    </w:p>
    <w:p>
      <w:pPr>
        <w:pStyle w:val="BookText"/>
        <w:rPr/>
      </w:pPr>
      <w:bookmarkEnd w:id="2494"/>
      <w:r>
        <w:rPr>
          <w:rFonts w:ascii="IRNazanin" w:hAnsi="IRNazanin" w:eastAsia="IRNazanin"/>
          <w:color w:val="111111"/>
          <w:sz w:val="28"/>
          <w:sz w:val="28"/>
          <w:szCs w:val="28"/>
          <w:rtl w:val="true"/>
          <w:lang w:bidi="fa-IR"/>
        </w:rPr>
        <w:t>وصيت و رد آن، چه آنكه موت موصىٰ له در حيات موصى باشد يا آنكه بعد از وفات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فروع وسطيّت وصيّت است بين عقد و ايقاع، كه حق تملك، به قبول، ثابت و موروث مى شود براى وارث؛ پس با قبولْ متملّك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حين امكان تملك كه بعد از موت موصى و موصىٰ له باشد، يا آنكه از زمان موت موصىٰ له بعد از موت موصى، تا قابل ملك به وراثت ملك باشد، يعنى يكى از دو طريقۀ كشف قبول از ملكيت موروثه از موصىٰ له، يا از تلقّى ملك از موصى بعد از موت او و موت موصىٰ له، كه حق تملك به قبول را فقط از او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زمان مالكيّت وارثِ قابل، زمان اجتماع موت موصى و موت موصىٰ له است</w:t>
      </w:r>
      <w:r>
        <w:rPr>
          <w:rFonts w:eastAsia="IRNazanin" w:cs="IRNazanin"/>
          <w:color w:val="111111"/>
          <w:sz w:val="28"/>
          <w:szCs w:val="28"/>
          <w:rtl w:val="true"/>
          <w:lang w:bidi="fa-IR"/>
        </w:rPr>
        <w:t>.</w:t>
      </w:r>
    </w:p>
    <w:p>
      <w:pPr>
        <w:pStyle w:val="Heading4"/>
        <w:numPr>
          <w:ilvl w:val="3"/>
          <w:numId w:val="1"/>
        </w:numPr>
        <w:rPr/>
      </w:pPr>
      <w:bookmarkStart w:id="2495" w:name="__RefHeading___Toc3599417_1067777946"/>
      <w:bookmarkStart w:id="2496" w:name="_Toc1029"/>
      <w:bookmarkEnd w:id="2495"/>
      <w:r>
        <w:rPr>
          <w:rtl w:val="true"/>
        </w:rPr>
        <w:t>وصيّت به كنيز و حمل او و فوت موصىٰ له قبل از قبول</w:t>
      </w:r>
      <w:bookmarkEnd w:id="2496"/>
    </w:p>
    <w:p>
      <w:pPr>
        <w:pStyle w:val="BookText"/>
        <w:rPr/>
      </w:pPr>
      <w:r>
        <w:rPr>
          <w:rFonts w:ascii="IRNazanin" w:hAnsi="IRNazanin" w:eastAsia="IRNazanin"/>
          <w:color w:val="111111"/>
          <w:sz w:val="28"/>
          <w:sz w:val="28"/>
          <w:szCs w:val="28"/>
          <w:rtl w:val="true"/>
          <w:lang w:bidi="fa-IR"/>
        </w:rPr>
        <w:t>اگر شخصى كنيز خود و حمل او را وصيت كرد براى زوج او يا براى شخصى ديگر، پس موصىٰ له وفات نمود قبل از قبول، وارث موصىٰ له حق تملك به قبول را دارد؛ پس با قبول، وارث ولد و والدۀ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منعتق بر موصىٰ له نمى شود، به واسطۀ عدم تملك در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وارثِ مال پدر نمى شود، به واسطۀ رقيّت، مگر در صورت انعتاق او بر ورثه كه جماعتى باشند، كه در اين تقدير كه منعتق قبل از قسمت مى شود، شريك با ساير ورثه در ساير اموال پدر مى شود؛ و وارث خود پدر نمى شود، زيرا مملوك موصىٰ له نبوده است؛ مگر بنابر كاشفيت قبول وارث از مالكيّت موصىٰ له بعد از موت موصى، كه ولد منعتق بر موصىٰ له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مادر هم مى شود و منعتقه بر ولد مى 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موصىٰ له در فرض مسأله، وارث خاصى نداشته باشد، وصى تصدّق مى نمايد، و احوط استيذان از حاكم شرع در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وارث خاص موجود باشد و متمكن از ايصال به او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امانت نگاه 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مى نمايند، مثل تصدّق به مال غايب غير ممكن الايصال يا مجهول المالك</w:t>
      </w:r>
      <w:r>
        <w:rPr>
          <w:rFonts w:eastAsia="IRNazanin" w:cs="IRNazanin"/>
          <w:color w:val="111111"/>
          <w:sz w:val="28"/>
          <w:szCs w:val="28"/>
          <w:rtl w:val="true"/>
          <w:lang w:bidi="fa-IR"/>
        </w:rPr>
        <w:t xml:space="preserve">. </w:t>
      </w:r>
      <w:bookmarkStart w:id="2497" w:name="pg10256_89749"/>
    </w:p>
    <w:p>
      <w:pPr>
        <w:pStyle w:val="Heading4"/>
        <w:numPr>
          <w:ilvl w:val="3"/>
          <w:numId w:val="1"/>
        </w:numPr>
        <w:rPr/>
      </w:pPr>
      <w:bookmarkStart w:id="2498" w:name="__RefHeading___Toc3599419_1067777946"/>
      <w:bookmarkStart w:id="2499" w:name="_Toc1030"/>
      <w:bookmarkEnd w:id="2497"/>
      <w:bookmarkEnd w:id="2498"/>
      <w:r>
        <w:rPr>
          <w:rtl w:val="true"/>
        </w:rPr>
        <w:t>عدم جواز وصيت به صرف مال در معصيت</w:t>
      </w:r>
      <w:bookmarkEnd w:id="2499"/>
    </w:p>
    <w:p>
      <w:pPr>
        <w:pStyle w:val="BookText"/>
        <w:rPr/>
      </w:pPr>
      <w:r>
        <w:rPr>
          <w:rFonts w:ascii="IRNazanin" w:hAnsi="IRNazanin" w:eastAsia="IRNazanin"/>
          <w:color w:val="111111"/>
          <w:sz w:val="28"/>
          <w:sz w:val="28"/>
          <w:szCs w:val="28"/>
          <w:rtl w:val="true"/>
          <w:lang w:bidi="fa-IR"/>
        </w:rPr>
        <w:t>جايز نيست وصيت به صرف مال در معصيت، و صحيح نيست در خصوصيت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 تعددِ مطلوب شد، دور نيست صحّت وصيت در ساير قربتها و امور برّيّه، مثل صورت تعذر عمل يا نسيان خصوصيت موصىٰ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فهم تعدد مطلوب به وصيت، اصل وصيت باطل مى شود و داخل در ميراث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وصيت به مالى براى كنايس نصارى و بِيَع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معابد خاصۀ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خاصۀ آنها كه تورات يا انجيل باشد، به نحوى كه مشتمل باشد موصىٰ به بر باطل آنها يا براى اعانت ظالم در ظلم او يا فاسق در فسق او، باطل است، چنانكه فعل اين امور در حال حيات براى موصى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مواردى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تأليف قلوب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يا وصيت به صرف مال در آن، بنا بر جواز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وصيت يهود مثلاً براى بِيَع خودشان، اقرار مى شود و حكم به صحت ظاهريّه مى شود در صورت ارجاع به حكام مسلمين</w:t>
      </w:r>
      <w:r>
        <w:rPr>
          <w:rFonts w:eastAsia="Amiri" w:cs="Amiri" w:ascii="Amiri" w:hAnsi="Amiri"/>
          <w:color w:val="111111"/>
          <w:sz w:val="28"/>
          <w:szCs w:val="28"/>
          <w:rtl w:val="true"/>
          <w:lang w:bidi="ar-SA"/>
        </w:rPr>
        <w:t>.</w:t>
      </w:r>
    </w:p>
    <w:p>
      <w:pPr>
        <w:pStyle w:val="Heading4"/>
        <w:numPr>
          <w:ilvl w:val="3"/>
          <w:numId w:val="1"/>
        </w:numPr>
        <w:rPr/>
      </w:pPr>
      <w:bookmarkStart w:id="2500" w:name="__RefHeading___Toc3599421_1067777946"/>
      <w:bookmarkStart w:id="2501" w:name="_Toc1031"/>
      <w:bookmarkEnd w:id="2500"/>
      <w:r>
        <w:rPr>
          <w:rtl w:val="true"/>
        </w:rPr>
        <w:t>وصيت تمليكيّه جايز از طرفين است</w:t>
      </w:r>
      <w:bookmarkEnd w:id="2501"/>
    </w:p>
    <w:p>
      <w:pPr>
        <w:pStyle w:val="BookText"/>
        <w:rPr/>
      </w:pPr>
      <w:r>
        <w:rPr>
          <w:rFonts w:ascii="IRNazanin" w:hAnsi="IRNazanin" w:eastAsia="IRNazanin"/>
          <w:color w:val="111111"/>
          <w:sz w:val="28"/>
          <w:sz w:val="28"/>
          <w:szCs w:val="28"/>
          <w:rtl w:val="true"/>
          <w:lang w:bidi="fa-IR"/>
        </w:rPr>
        <w:t>وصيت تمليكيه، جايز است از طرف موصى و مى تواند رجوع نمايد از آن، اگر چه بعد از قبول موصىٰ له در زمان حيات موصى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موصىٰ له جايز است در حال حيات موصى اگر چه بعد از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بعد از وفات موصى و قبل از قبول موصىٰ له، و بعد از قبول او و قبل از قبض موصىٰ له بنابر اعتبار قبض در تملك او، اگر چه اظهر عدم اعتبار است</w:t>
      </w:r>
      <w:r>
        <w:rPr>
          <w:rFonts w:eastAsia="IRNazanin" w:cs="IRNazanin"/>
          <w:color w:val="111111"/>
          <w:sz w:val="28"/>
          <w:szCs w:val="28"/>
          <w:rtl w:val="true"/>
          <w:lang w:bidi="fa-IR"/>
        </w:rPr>
        <w:t>.</w:t>
      </w:r>
    </w:p>
    <w:p>
      <w:pPr>
        <w:pStyle w:val="Heading4"/>
        <w:numPr>
          <w:ilvl w:val="3"/>
          <w:numId w:val="1"/>
        </w:numPr>
        <w:rPr/>
      </w:pPr>
      <w:bookmarkStart w:id="2502" w:name="__RefHeading___Toc3599423_1067777946"/>
      <w:bookmarkStart w:id="2503" w:name="_Toc1032"/>
      <w:bookmarkEnd w:id="2502"/>
      <w:r>
        <w:rPr>
          <w:rtl w:val="true"/>
        </w:rPr>
        <w:t>الفاظ رجوع از وصيت و حكم وصيّت موصىٰ به، براى ديگرى</w:t>
      </w:r>
      <w:bookmarkEnd w:id="250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از وصيت محقّق مى شود به ذكر الفاظ صريحه يا ظاهره در رجوع،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اينها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ميراث است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موصىٰ به، 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بر 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التفات به وصيت، يا آنكه </w:t>
      </w:r>
      <w:bookmarkStart w:id="2504" w:name="pg10256_89750"/>
    </w:p>
    <w:p>
      <w:pPr>
        <w:pStyle w:val="BookText"/>
        <w:rPr/>
      </w:pPr>
      <w:bookmarkEnd w:id="2504"/>
      <w:r>
        <w:rPr>
          <w:rFonts w:ascii="IRNazanin" w:hAnsi="IRNazanin" w:eastAsia="IRNazanin"/>
          <w:color w:val="111111"/>
          <w:sz w:val="28"/>
          <w:sz w:val="28"/>
          <w:szCs w:val="28"/>
          <w:rtl w:val="true"/>
          <w:lang w:bidi="fa-IR"/>
        </w:rPr>
        <w:t>وصيت نمايد همان عين موصىٰ به را براى ديگرى با التفات به وصيّت سابقه مگر با قرينه بر ارادۀ تشريك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صدور وصيت ثانيه با فراموشى وصيت اولىٰ‌، تأمل است، از جهت عدم قصد رجوع و عدم واقعيت ابتدائيت مقصوده</w:t>
      </w:r>
      <w:r>
        <w:rPr>
          <w:rFonts w:eastAsia="IRNazanin" w:cs="IRNazanin"/>
          <w:color w:val="111111"/>
          <w:sz w:val="28"/>
          <w:szCs w:val="28"/>
          <w:rtl w:val="true"/>
          <w:lang w:bidi="fa-IR"/>
        </w:rPr>
        <w:t>.</w:t>
      </w:r>
    </w:p>
    <w:p>
      <w:pPr>
        <w:pStyle w:val="Heading4"/>
        <w:numPr>
          <w:ilvl w:val="3"/>
          <w:numId w:val="1"/>
        </w:numPr>
        <w:rPr/>
      </w:pPr>
      <w:bookmarkStart w:id="2505" w:name="__RefHeading___Toc3599425_1067777946"/>
      <w:bookmarkStart w:id="2506" w:name="_Toc1033"/>
      <w:bookmarkEnd w:id="2505"/>
      <w:r>
        <w:rPr>
          <w:rtl w:val="true"/>
        </w:rPr>
        <w:t>تعقّب وصيّت به مقدارى بعد از وصيّت به آن يا اقلّ از آن</w:t>
      </w:r>
      <w:bookmarkEnd w:id="2506"/>
    </w:p>
    <w:p>
      <w:pPr>
        <w:pStyle w:val="BookText"/>
        <w:rPr/>
      </w:pPr>
      <w:r>
        <w:rPr>
          <w:rFonts w:ascii="IRNazanin" w:hAnsi="IRNazanin" w:eastAsia="IRNazanin"/>
          <w:color w:val="111111"/>
          <w:sz w:val="28"/>
          <w:sz w:val="28"/>
          <w:szCs w:val="28"/>
          <w:rtl w:val="true"/>
          <w:lang w:bidi="fa-IR"/>
        </w:rPr>
        <w:t xml:space="preserve">و اگر وصيت به الْف نمايد بعد از وصيت به الْف، حمل بر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قرينۀ ارادۀ مغايرت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وصيت به الْفَين نمايد بعد از وصيت به الْف، كه حمل بر الْفَين، يعنى تأكيد در الْف مى شود</w:t>
      </w:r>
      <w:r>
        <w:rPr>
          <w:rFonts w:eastAsia="IRNazanin" w:cs="IRNazanin"/>
          <w:color w:val="111111"/>
          <w:sz w:val="28"/>
          <w:szCs w:val="28"/>
          <w:rtl w:val="true"/>
          <w:lang w:bidi="fa-IR"/>
        </w:rPr>
        <w:t>.</w:t>
      </w:r>
    </w:p>
    <w:p>
      <w:pPr>
        <w:pStyle w:val="Heading4"/>
        <w:numPr>
          <w:ilvl w:val="3"/>
          <w:numId w:val="1"/>
        </w:numPr>
        <w:rPr/>
      </w:pPr>
      <w:bookmarkStart w:id="2507" w:name="__RefHeading___Toc3599427_1067777946"/>
      <w:bookmarkStart w:id="2508" w:name="_Toc1034"/>
      <w:bookmarkEnd w:id="2507"/>
      <w:r>
        <w:rPr>
          <w:rtl w:val="true"/>
        </w:rPr>
        <w:t>تحقق رجوع از وصيّت به فعل منافى</w:t>
      </w:r>
      <w:bookmarkEnd w:id="2508"/>
    </w:p>
    <w:p>
      <w:pPr>
        <w:pStyle w:val="BookText"/>
        <w:rPr/>
      </w:pPr>
      <w:r>
        <w:rPr>
          <w:rFonts w:ascii="IRNazanin" w:hAnsi="IRNazanin" w:eastAsia="IRNazanin"/>
          <w:color w:val="111111"/>
          <w:sz w:val="28"/>
          <w:sz w:val="28"/>
          <w:szCs w:val="28"/>
          <w:rtl w:val="true"/>
          <w:lang w:bidi="fa-IR"/>
        </w:rPr>
        <w:t>و محقّق مى شود رجوع از وصيت، با فعل منافى با آن، مثل بيع موصىٰ به يا وصيت به بيع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صدور فعل از روى نسيان وصيت سابقه، تأمل است؛ و بطلان وصيت سابقه، خالى از رجحان نيست در اين مورد و در هر صورتى كه وصيت در قصد، معلَّق بر عدم لحوق منافى يا بر وجود صفتى است، مثل تصرّفات مُتلِفه يا مغيِّرۀ اسم، مثل حنطۀ موصىٰ بها اگر دقيق شود، يا دقيق موصىٰ به اگر عجين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قراين معينۀ بقا يا عدم آن هم متّبع مى شود در خصوص موارد</w:t>
      </w:r>
      <w:r>
        <w:rPr>
          <w:rFonts w:eastAsia="IRNazanin" w:cs="IRNazanin"/>
          <w:color w:val="111111"/>
          <w:sz w:val="28"/>
          <w:szCs w:val="28"/>
          <w:rtl w:val="true"/>
          <w:lang w:bidi="fa-IR"/>
        </w:rPr>
        <w:t>.</w:t>
      </w:r>
    </w:p>
    <w:p>
      <w:pPr>
        <w:pStyle w:val="Heading4"/>
        <w:numPr>
          <w:ilvl w:val="3"/>
          <w:numId w:val="1"/>
        </w:numPr>
        <w:rPr/>
      </w:pPr>
      <w:bookmarkStart w:id="2509" w:name="__RefHeading___Toc3599429_1067777946"/>
      <w:bookmarkStart w:id="2510" w:name="_Toc1035"/>
      <w:bookmarkEnd w:id="2509"/>
      <w:r>
        <w:rPr>
          <w:rtl w:val="true"/>
        </w:rPr>
        <w:t>دلالت خلط بر بطلان وصيت و عدم آن</w:t>
      </w:r>
      <w:bookmarkEnd w:id="2510"/>
    </w:p>
    <w:p>
      <w:pPr>
        <w:pStyle w:val="BookText"/>
        <w:rPr/>
      </w:pPr>
      <w:r>
        <w:rPr>
          <w:rFonts w:ascii="IRNazanin" w:hAnsi="IRNazanin" w:eastAsia="IRNazanin"/>
          <w:color w:val="111111"/>
          <w:sz w:val="28"/>
          <w:sz w:val="28"/>
          <w:szCs w:val="28"/>
          <w:rtl w:val="true"/>
          <w:lang w:bidi="fa-IR"/>
        </w:rPr>
        <w:t>و در صورت خلط موصىٰ به، به مساوى و اجود و أردأ، از جانب موصى، پس اظهر عدم بطلان وصيت و عدم تحقق رجوع است در خلط به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خلط به غير مساوى، پس با معلوميّت عدم انتهاى امر به تنازع، رجوع محقّق نمى شود؛ و با معلوميّت انتهاى به آن، اظهر رجوع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در صورت قرينۀ ديگر بر رجوع يا عدم آن، عمل به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مشكوك بودنِ حال، باقى و مستصحبْ وصيت است، و لازمِ بقاى وصيتْ تحقق شركت به نسبت قيمت هركدام از ممتزجين است به قيمت مجموع</w:t>
      </w:r>
      <w:r>
        <w:rPr>
          <w:rFonts w:eastAsia="IRNazanin" w:cs="IRNazanin"/>
          <w:color w:val="111111"/>
          <w:sz w:val="28"/>
          <w:szCs w:val="28"/>
          <w:rtl w:val="true"/>
          <w:lang w:bidi="fa-IR"/>
        </w:rPr>
        <w:t xml:space="preserve">. </w:t>
      </w:r>
      <w:bookmarkStart w:id="2511" w:name="pg10256_89751"/>
    </w:p>
    <w:p>
      <w:pPr>
        <w:pStyle w:val="BookText"/>
        <w:rPr/>
      </w:pPr>
      <w:bookmarkEnd w:id="2511"/>
      <w:r>
        <w:rPr>
          <w:rFonts w:ascii="IRNazanin" w:hAnsi="IRNazanin" w:eastAsia="IRNazanin"/>
          <w:color w:val="111111"/>
          <w:sz w:val="28"/>
          <w:sz w:val="28"/>
          <w:szCs w:val="28"/>
          <w:rtl w:val="true"/>
          <w:lang w:bidi="fa-IR"/>
        </w:rPr>
        <w:t>و در صورت وقوع خلط با فعل غير مربوط به موصى، بقاى وصيت و تحقق شركت،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وقوع خلط از موصى بدون اختيار يا با نسيان وصيت، اظهر بقاى وصيت است، مگر در صورت معلوميّت يا معرضيّت امر اختلاط مخصوص، به تنازع</w:t>
      </w:r>
      <w:r>
        <w:rPr>
          <w:rFonts w:eastAsia="IRNazanin" w:cs="IRNazanin"/>
          <w:color w:val="111111"/>
          <w:sz w:val="28"/>
          <w:szCs w:val="28"/>
          <w:rtl w:val="true"/>
          <w:lang w:bidi="fa-IR"/>
        </w:rPr>
        <w:t>.</w:t>
      </w:r>
    </w:p>
    <w:p>
      <w:pPr>
        <w:pStyle w:val="Heading4"/>
        <w:numPr>
          <w:ilvl w:val="3"/>
          <w:numId w:val="1"/>
        </w:numPr>
        <w:rPr/>
      </w:pPr>
      <w:bookmarkStart w:id="2512" w:name="__RefHeading___Toc3599431_1067777946"/>
      <w:bookmarkStart w:id="2513" w:name="_Toc1036"/>
      <w:bookmarkEnd w:id="2512"/>
      <w:r>
        <w:rPr>
          <w:rtl w:val="true"/>
        </w:rPr>
        <w:t>اخذ به قرينه در تشخيص بقاى وصيت و عدم آن</w:t>
      </w:r>
      <w:bookmarkEnd w:id="2513"/>
    </w:p>
    <w:p>
      <w:pPr>
        <w:pStyle w:val="BookText"/>
        <w:rPr/>
      </w:pPr>
      <w:r>
        <w:rPr>
          <w:rFonts w:ascii="IRNazanin" w:hAnsi="IRNazanin" w:eastAsia="IRNazanin"/>
          <w:color w:val="111111"/>
          <w:sz w:val="28"/>
          <w:sz w:val="28"/>
          <w:szCs w:val="28"/>
          <w:rtl w:val="true"/>
          <w:lang w:bidi="fa-IR"/>
        </w:rPr>
        <w:t xml:space="preserve">و هم چنين با قرينه، تشخيص بقاى وصيت يا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استصحاب مى شود با عدم احراز هيچ كدام، اگر وصيت به نانى نمود پس آن را ريزريز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كلّى ندارد در كشف رجوع يا عدم آن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وصيت كرد عينى را براى زيد، و عين ديگرى را پس از آن براى عمرو، و ثلثْ وافى نشد، نقص بر وصيت دوّم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رجوع از اولى كرد و عين اولى را براى بكر وصيت نمود پس از وصيت عين ديگر براى عمرو،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وصيت براى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 شود</w:t>
      </w:r>
      <w:r>
        <w:rPr>
          <w:rFonts w:eastAsia="IRNazanin" w:cs="IRNazanin"/>
          <w:color w:val="111111"/>
          <w:sz w:val="28"/>
          <w:szCs w:val="28"/>
          <w:rtl w:val="true"/>
          <w:lang w:bidi="fa-IR"/>
        </w:rPr>
        <w:t xml:space="preserve">. </w:t>
      </w:r>
      <w:bookmarkStart w:id="2514" w:name="pg10256_89752"/>
    </w:p>
    <w:p>
      <w:pPr>
        <w:pStyle w:val="Heading3"/>
        <w:numPr>
          <w:ilvl w:val="2"/>
          <w:numId w:val="1"/>
        </w:numPr>
        <w:rPr/>
      </w:pPr>
      <w:bookmarkStart w:id="2515" w:name="__RefHeading___Toc3599433_1067777946"/>
      <w:bookmarkStart w:id="2516" w:name="_Toc1037"/>
      <w:bookmarkEnd w:id="2514"/>
      <w:bookmarkEnd w:id="2515"/>
      <w:r>
        <w:rPr>
          <w:rtl w:val="true"/>
        </w:rPr>
        <w:t>فصل دوّم شروط موصىٖ‌</w:t>
      </w:r>
      <w:bookmarkEnd w:id="2516"/>
    </w:p>
    <w:p>
      <w:pPr>
        <w:pStyle w:val="Heading4"/>
        <w:numPr>
          <w:ilvl w:val="3"/>
          <w:numId w:val="1"/>
        </w:numPr>
        <w:rPr/>
      </w:pPr>
      <w:bookmarkStart w:id="2517" w:name="__RefHeading___Toc3599435_1067777946"/>
      <w:bookmarkStart w:id="2518" w:name="_Toc1038"/>
      <w:bookmarkEnd w:id="2517"/>
      <w:r>
        <w:rPr>
          <w:rtl w:val="true"/>
        </w:rPr>
        <w:t>كامل بودن</w:t>
      </w:r>
      <w:bookmarkEnd w:id="2518"/>
    </w:p>
    <w:p>
      <w:pPr>
        <w:pStyle w:val="BookText"/>
        <w:rPr/>
      </w:pPr>
      <w:r>
        <w:rPr>
          <w:rFonts w:ascii="IRNazanin" w:hAnsi="IRNazanin" w:eastAsia="IRNazanin"/>
          <w:color w:val="111111"/>
          <w:sz w:val="28"/>
          <w:sz w:val="28"/>
          <w:szCs w:val="28"/>
          <w:rtl w:val="true"/>
          <w:lang w:bidi="fa-IR"/>
        </w:rPr>
        <w:t>معتبر است در موصى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صحيح نيست ايصاى مجنون در حال جنون او، و مملوك و صبىّ اگر چه مميّز باشد</w:t>
      </w:r>
      <w:r>
        <w:rPr>
          <w:rFonts w:eastAsia="IRNazanin" w:cs="IRNazanin"/>
          <w:color w:val="111111"/>
          <w:sz w:val="28"/>
          <w:szCs w:val="28"/>
          <w:rtl w:val="true"/>
          <w:lang w:bidi="fa-IR"/>
        </w:rPr>
        <w:t>.</w:t>
      </w:r>
    </w:p>
    <w:p>
      <w:pPr>
        <w:pStyle w:val="Heading4"/>
        <w:numPr>
          <w:ilvl w:val="3"/>
          <w:numId w:val="1"/>
        </w:numPr>
        <w:rPr/>
      </w:pPr>
      <w:bookmarkStart w:id="2519" w:name="__RefHeading___Toc3599437_1067777946"/>
      <w:bookmarkStart w:id="2520" w:name="_Toc1039"/>
      <w:bookmarkEnd w:id="2519"/>
      <w:r>
        <w:rPr>
          <w:rtl w:val="true"/>
        </w:rPr>
        <w:t>صحّت وصيت ده ساله با شرايط ديگر</w:t>
      </w:r>
      <w:bookmarkEnd w:id="2520"/>
    </w:p>
    <w:p>
      <w:pPr>
        <w:pStyle w:val="BookText"/>
        <w:rPr/>
      </w:pPr>
      <w:r>
        <w:rPr>
          <w:rFonts w:ascii="IRNazanin" w:hAnsi="IRNazanin" w:eastAsia="IRNazanin"/>
          <w:color w:val="111111"/>
          <w:sz w:val="28"/>
          <w:sz w:val="28"/>
          <w:szCs w:val="28"/>
          <w:rtl w:val="true"/>
          <w:lang w:bidi="fa-IR"/>
        </w:rPr>
        <w:t>و اگر به سن ده سالگى رسيد و عاقل و مميّز بود و خصوص وصيت او مثل افعال كبير از عقلاء بود، اظهر نفوذ آن است</w:t>
      </w:r>
      <w:r>
        <w:rPr>
          <w:rFonts w:eastAsia="IRNazanin" w:cs="IRNazanin"/>
          <w:color w:val="111111"/>
          <w:sz w:val="28"/>
          <w:szCs w:val="28"/>
          <w:rtl w:val="true"/>
          <w:lang w:bidi="fa-IR"/>
        </w:rPr>
        <w:t>.</w:t>
      </w:r>
    </w:p>
    <w:p>
      <w:pPr>
        <w:pStyle w:val="Heading4"/>
        <w:numPr>
          <w:ilvl w:val="3"/>
          <w:numId w:val="1"/>
        </w:numPr>
        <w:rPr/>
      </w:pPr>
      <w:bookmarkStart w:id="2521" w:name="__RefHeading___Toc3599439_1067777946"/>
      <w:bookmarkStart w:id="2522" w:name="_Toc1040"/>
      <w:bookmarkEnd w:id="2521"/>
      <w:r>
        <w:rPr>
          <w:rtl w:val="true"/>
        </w:rPr>
        <w:t>اجازۀ مالك</w:t>
      </w:r>
      <w:bookmarkEnd w:id="2522"/>
    </w:p>
    <w:p>
      <w:pPr>
        <w:pStyle w:val="BookText"/>
        <w:rPr/>
      </w:pPr>
      <w:r>
        <w:rPr>
          <w:rFonts w:ascii="IRNazanin" w:hAnsi="IRNazanin" w:eastAsia="IRNazanin"/>
          <w:color w:val="111111"/>
          <w:sz w:val="28"/>
          <w:sz w:val="28"/>
          <w:szCs w:val="28"/>
          <w:rtl w:val="true"/>
          <w:lang w:bidi="fa-IR"/>
        </w:rPr>
        <w:t xml:space="preserve">و اگر مالك اذن داد يا اجازه كرد وصيت مملوك را، اظهر صحّت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متعقّب به مالكيّت بعد از عتق بعد از وصيت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مالكِ بعد از عتق شد بدون اذن يا اجازۀ مالك، پس با تجديد وصيت، از شبهه خارج است</w:t>
      </w:r>
      <w:r>
        <w:rPr>
          <w:rFonts w:eastAsia="IRNazanin" w:cs="IRNazanin"/>
          <w:color w:val="111111"/>
          <w:sz w:val="28"/>
          <w:szCs w:val="28"/>
          <w:rtl w:val="true"/>
          <w:lang w:bidi="fa-IR"/>
        </w:rPr>
        <w:t>.</w:t>
      </w:r>
    </w:p>
    <w:p>
      <w:pPr>
        <w:pStyle w:val="Heading4"/>
        <w:numPr>
          <w:ilvl w:val="3"/>
          <w:numId w:val="1"/>
        </w:numPr>
        <w:rPr/>
      </w:pPr>
      <w:bookmarkStart w:id="2523" w:name="__RefHeading___Toc3599441_1067777946"/>
      <w:bookmarkStart w:id="2524" w:name="_Toc1041"/>
      <w:bookmarkEnd w:id="2523"/>
      <w:r>
        <w:rPr>
          <w:rtl w:val="true"/>
        </w:rPr>
        <w:t>نفوذ وصيّت عهديّه سفيه و مملوك و مفلَّس</w:t>
      </w:r>
      <w:bookmarkEnd w:id="2524"/>
    </w:p>
    <w:p>
      <w:pPr>
        <w:pStyle w:val="BookText"/>
        <w:rPr/>
      </w:pPr>
      <w:r>
        <w:rPr>
          <w:rFonts w:ascii="IRNazanin" w:hAnsi="IRNazanin" w:eastAsia="IRNazanin"/>
          <w:color w:val="111111"/>
          <w:sz w:val="28"/>
          <w:sz w:val="28"/>
          <w:szCs w:val="28"/>
          <w:rtl w:val="true"/>
          <w:lang w:bidi="fa-IR"/>
        </w:rPr>
        <w:t>و اظهر نفوذ وصيت سفيه است اگر عقلايى و غير تمليكيه و نحو آن باشد و عهديۀ محضه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وصيت عهديه از مملوك مثل دفن در مكان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مفلَّس وصيت او نافذ است در فرض عدم مزاحمت با حقوق دُيّان</w:t>
      </w:r>
      <w:r>
        <w:rPr>
          <w:rFonts w:eastAsia="IRNazanin" w:cs="IRNazanin"/>
          <w:color w:val="111111"/>
          <w:sz w:val="28"/>
          <w:szCs w:val="28"/>
          <w:rtl w:val="true"/>
          <w:lang w:bidi="fa-IR"/>
        </w:rPr>
        <w:t>.</w:t>
      </w:r>
    </w:p>
    <w:p>
      <w:pPr>
        <w:pStyle w:val="Heading4"/>
        <w:numPr>
          <w:ilvl w:val="3"/>
          <w:numId w:val="1"/>
        </w:numPr>
        <w:rPr/>
      </w:pPr>
      <w:bookmarkStart w:id="2525" w:name="__RefHeading___Toc3599443_1067777946"/>
      <w:bookmarkStart w:id="2526" w:name="_Toc1042"/>
      <w:bookmarkEnd w:id="2525"/>
      <w:r>
        <w:rPr>
          <w:rtl w:val="true"/>
        </w:rPr>
        <w:t>عدم نفوذ وصيّتِ بعد از اقدام به خودكشى</w:t>
      </w:r>
      <w:bookmarkEnd w:id="252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موصى، براى اهلاك، خود را مجروح كرد يا عملى ديگر كه عادتاً مهلك است اگر </w:t>
      </w:r>
      <w:bookmarkStart w:id="2527" w:name="pg10256_89753"/>
    </w:p>
    <w:p>
      <w:pPr>
        <w:pStyle w:val="BookText"/>
        <w:rPr/>
      </w:pPr>
      <w:bookmarkEnd w:id="2527"/>
      <w:r>
        <w:rPr>
          <w:rFonts w:ascii="IRNazanin" w:hAnsi="IRNazanin" w:eastAsia="IRNazanin"/>
          <w:color w:val="111111"/>
          <w:sz w:val="28"/>
          <w:sz w:val="28"/>
          <w:szCs w:val="28"/>
          <w:rtl w:val="true"/>
          <w:lang w:bidi="fa-IR"/>
        </w:rPr>
        <w:t>چه بعد از زمانى باشد، پس از آن وصيت كرد، نافذ نيست، به خلاف صورت سبق وصيت بر جرح و نحو آن و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لحوق ساير مُهلكات، به جرح است مثل آشاميدن سموم و القاى از بلندى براى اماتۀ خود؛ و در صورت عدم تعقّب آن به موت، تأمل است، احتياط در تجديد ايصاء است بعد از عافيت از آن سبب؛ و در صورت عدم تجديد، احتياط مناسب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اختصاص به عصيان در ايجاد سبب و عدم لحوق فعل صبىّ بعد از ده سالگى و قبل از تكليف، به وصيت بعد از تكليف، محل تأمل است، بلكه رجحان لحوق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عمل را قبل از سن ده سالگى انجام داد و وصيتْ بعد از اين سن واقع شد، عدم نفوذْ اقرب است</w:t>
      </w:r>
      <w:r>
        <w:rPr>
          <w:rFonts w:eastAsia="IRNazanin" w:cs="IRNazanin"/>
          <w:color w:val="111111"/>
          <w:sz w:val="28"/>
          <w:szCs w:val="28"/>
          <w:rtl w:val="true"/>
          <w:lang w:bidi="fa-IR"/>
        </w:rPr>
        <w:t>.</w:t>
      </w:r>
    </w:p>
    <w:p>
      <w:pPr>
        <w:pStyle w:val="Heading4"/>
        <w:numPr>
          <w:ilvl w:val="3"/>
          <w:numId w:val="1"/>
        </w:numPr>
        <w:rPr/>
      </w:pPr>
      <w:bookmarkStart w:id="2528" w:name="__RefHeading___Toc3599445_1067777946"/>
      <w:bookmarkStart w:id="2529" w:name="_Toc1043"/>
      <w:bookmarkEnd w:id="2528"/>
      <w:r>
        <w:rPr>
          <w:rtl w:val="true"/>
        </w:rPr>
        <w:t>تعقّب وصيّت غير نافذه به اجازۀ ورثه</w:t>
      </w:r>
      <w:bookmarkEnd w:id="2529"/>
    </w:p>
    <w:p>
      <w:pPr>
        <w:pStyle w:val="BookText"/>
        <w:rPr/>
      </w:pPr>
      <w:r>
        <w:rPr>
          <w:rFonts w:ascii="IRNazanin" w:hAnsi="IRNazanin" w:eastAsia="IRNazanin"/>
          <w:color w:val="111111"/>
          <w:sz w:val="28"/>
          <w:sz w:val="28"/>
          <w:szCs w:val="28"/>
          <w:rtl w:val="true"/>
          <w:lang w:bidi="fa-IR"/>
        </w:rPr>
        <w:t>اگر وصيت غير نافذه، متعقّب به اجازۀ ورثه شد، اقرب نفوذ است؛ پس وصيت بعد از اين عمل در ثلث، به حكم وصيت قبل از اين عمل است در زايد بر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عدم لحوق منجزاتْ در اين منعِ مخصوصِ مستثنى از قواعد عامه است</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3599447_1067777946"/>
      <w:bookmarkStart w:id="2531" w:name="_Toc1044"/>
      <w:bookmarkEnd w:id="2530"/>
      <w:r>
        <w:rPr>
          <w:rtl w:val="true"/>
        </w:rPr>
        <w:t>اثبات ولايت، به وصايت، توسّط پدر و جدّ پدرى</w:t>
      </w:r>
      <w:bookmarkEnd w:id="2531"/>
    </w:p>
    <w:p>
      <w:pPr>
        <w:pStyle w:val="BookText"/>
        <w:rPr/>
      </w:pPr>
      <w:r>
        <w:rPr>
          <w:rFonts w:ascii="IRNazanin" w:hAnsi="IRNazanin" w:eastAsia="IRNazanin"/>
          <w:color w:val="111111"/>
          <w:sz w:val="28"/>
          <w:sz w:val="28"/>
          <w:szCs w:val="28"/>
          <w:rtl w:val="true"/>
          <w:lang w:bidi="fa-IR"/>
        </w:rPr>
        <w:t xml:space="preserve">اب و جدّ ابى كه ولايت بر اطفال خودشان دارند 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ولىّ‌، منحصر است در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وصايت، اثبات ولايت بر آنها بعد از موت خودشان، براى شخصى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براى وصى خود مى تواند ولايت در ايصاى ولايت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اب و جدّ كه ولايت ندارند، حق اثبات آن به وصايت ندارند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ولايت صنفيه مثل حاكم، پس متعدى به غير، به وصايت نمى شود اگر چه منحصر به واحد باشد</w:t>
      </w:r>
      <w:r>
        <w:rPr>
          <w:rFonts w:eastAsia="IRNazanin" w:cs="IRNazanin"/>
          <w:color w:val="111111"/>
          <w:sz w:val="28"/>
          <w:szCs w:val="28"/>
          <w:rtl w:val="true"/>
          <w:lang w:bidi="fa-IR"/>
        </w:rPr>
        <w:t xml:space="preserve">. </w:t>
      </w:r>
      <w:bookmarkStart w:id="2532" w:name="pg10256_89754"/>
    </w:p>
    <w:p>
      <w:pPr>
        <w:pStyle w:val="Heading4"/>
        <w:numPr>
          <w:ilvl w:val="3"/>
          <w:numId w:val="1"/>
        </w:numPr>
        <w:rPr/>
      </w:pPr>
      <w:bookmarkStart w:id="2533" w:name="__RefHeading___Toc3599449_1067777946"/>
      <w:bookmarkStart w:id="2534" w:name="_Toc1045"/>
      <w:bookmarkEnd w:id="2532"/>
      <w:bookmarkEnd w:id="2533"/>
      <w:r>
        <w:rPr>
          <w:rtl w:val="true"/>
        </w:rPr>
        <w:t>ولايت بر طفل بعد از پدر و جدّ پدرى در صورت عدم وصايت</w:t>
      </w:r>
      <w:bookmarkEnd w:id="2534"/>
    </w:p>
    <w:p>
      <w:pPr>
        <w:pStyle w:val="BookText"/>
        <w:rPr/>
      </w:pPr>
      <w:r>
        <w:rPr>
          <w:rFonts w:ascii="IRNazanin" w:hAnsi="IRNazanin" w:eastAsia="IRNazanin"/>
          <w:color w:val="111111"/>
          <w:sz w:val="28"/>
          <w:sz w:val="28"/>
          <w:szCs w:val="28"/>
          <w:rtl w:val="true"/>
          <w:lang w:bidi="fa-IR"/>
        </w:rPr>
        <w:t>و ولايت در صورت عدم وصايت از اب و جد، حق حاكم است؛ و پس از انعزال حاكم به موت و عدم حاكم ديگر، براى عدول مؤمنين است</w:t>
      </w:r>
      <w:r>
        <w:rPr>
          <w:rFonts w:eastAsia="IRNazanin" w:cs="IRNazanin"/>
          <w:color w:val="111111"/>
          <w:sz w:val="28"/>
          <w:szCs w:val="28"/>
          <w:rtl w:val="true"/>
          <w:lang w:bidi="fa-IR"/>
        </w:rPr>
        <w:t>.</w:t>
      </w:r>
    </w:p>
    <w:p>
      <w:pPr>
        <w:pStyle w:val="Heading4"/>
        <w:numPr>
          <w:ilvl w:val="3"/>
          <w:numId w:val="1"/>
        </w:numPr>
        <w:rPr/>
      </w:pPr>
      <w:bookmarkStart w:id="2535" w:name="__RefHeading___Toc3599451_1067777946"/>
      <w:bookmarkStart w:id="2536" w:name="_Toc1046"/>
      <w:bookmarkEnd w:id="2535"/>
      <w:r>
        <w:rPr>
          <w:rtl w:val="true"/>
        </w:rPr>
        <w:t>عدم ولايت امّ بر صغير</w:t>
      </w:r>
      <w:bookmarkEnd w:id="2536"/>
    </w:p>
    <w:p>
      <w:pPr>
        <w:pStyle w:val="BookText"/>
        <w:rPr/>
      </w:pPr>
      <w:r>
        <w:rPr>
          <w:rFonts w:ascii="IRNazanin" w:hAnsi="IRNazanin" w:eastAsia="IRNazanin"/>
          <w:color w:val="111111"/>
          <w:sz w:val="28"/>
          <w:sz w:val="28"/>
          <w:szCs w:val="28"/>
          <w:rtl w:val="true"/>
          <w:lang w:bidi="fa-IR"/>
        </w:rPr>
        <w:t xml:space="preserve">و ولايت براى مادر صغيرها نيست؛ پس وصايت ولايت شخصى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ثلث مال خودش اگر وصيت كرد براى اطفال، امر آن ثلث با ولىّ شرعى طفل است نه با وصى مادر، مگر آنكه تمليك نمايد در وصيت خودش، به صغير، حاصل از تصرفات وصى خودش را، مثل تمليك منفعت بستان و خانه بعد از تصرفات وصى خودش در تحصيل منفعت و در تبديل به نقد، براى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تحقق مملوك صغير، امر آن مملوك با ولىّ صغير است و از وصى مادر، خارج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است ولايت وصى مادر اگر موصىٰ به، تمليك وصى بعد از حصول مال به وجه مخصوص باشد، نه مالكيّت صغير بعد از موت موصى</w:t>
      </w:r>
      <w:r>
        <w:rPr>
          <w:rFonts w:eastAsia="IRNazanin" w:cs="IRNazanin"/>
          <w:color w:val="111111"/>
          <w:sz w:val="28"/>
          <w:szCs w:val="28"/>
          <w:rtl w:val="true"/>
          <w:lang w:bidi="fa-IR"/>
        </w:rPr>
        <w:t xml:space="preserve">. </w:t>
      </w:r>
      <w:bookmarkStart w:id="2537" w:name="pg10256_89755"/>
    </w:p>
    <w:p>
      <w:pPr>
        <w:pStyle w:val="Heading3"/>
        <w:numPr>
          <w:ilvl w:val="2"/>
          <w:numId w:val="1"/>
        </w:numPr>
        <w:rPr/>
      </w:pPr>
      <w:bookmarkStart w:id="2538" w:name="__RefHeading___Toc3599453_1067777946"/>
      <w:bookmarkStart w:id="2539" w:name="_Toc1047"/>
      <w:bookmarkEnd w:id="2537"/>
      <w:bookmarkEnd w:id="2538"/>
      <w:r>
        <w:rPr>
          <w:rtl w:val="true"/>
        </w:rPr>
        <w:t>فصل سوّم شروط موصىٰ به</w:t>
      </w:r>
      <w:bookmarkEnd w:id="2539"/>
    </w:p>
    <w:p>
      <w:pPr>
        <w:pStyle w:val="Heading4"/>
        <w:numPr>
          <w:ilvl w:val="3"/>
          <w:numId w:val="1"/>
        </w:numPr>
        <w:rPr/>
      </w:pPr>
      <w:bookmarkStart w:id="2540" w:name="__RefHeading___Toc3599455_1067777946"/>
      <w:bookmarkStart w:id="2541" w:name="_Toc1048"/>
      <w:bookmarkEnd w:id="2540"/>
      <w:r>
        <w:rPr/>
        <w:t>1</w:t>
      </w:r>
      <w:r>
        <w:rPr>
          <w:rtl w:val="true"/>
        </w:rPr>
        <w:t xml:space="preserve">. </w:t>
      </w:r>
      <w:r>
        <w:rPr>
          <w:rtl w:val="true"/>
        </w:rPr>
        <w:t>متعلَّق وصيّت</w:t>
      </w:r>
      <w:bookmarkEnd w:id="2541"/>
    </w:p>
    <w:p>
      <w:pPr>
        <w:pStyle w:val="Heading5"/>
        <w:numPr>
          <w:ilvl w:val="4"/>
          <w:numId w:val="1"/>
        </w:numPr>
        <w:rPr/>
      </w:pPr>
      <w:bookmarkStart w:id="2542" w:name="__RefHeading___Toc3599457_1067777946"/>
      <w:bookmarkStart w:id="2543" w:name="_Toc1049"/>
      <w:bookmarkEnd w:id="2542"/>
      <w:r>
        <w:rPr>
          <w:rtl w:val="true"/>
        </w:rPr>
        <w:t>شروط معتبر در متعلّق وصيّت</w:t>
      </w:r>
      <w:bookmarkEnd w:id="2543"/>
    </w:p>
    <w:p>
      <w:pPr>
        <w:pStyle w:val="BookText"/>
        <w:rPr/>
      </w:pPr>
      <w:r>
        <w:rPr>
          <w:rFonts w:ascii="IRNazanin" w:hAnsi="IRNazanin" w:eastAsia="IRNazanin"/>
          <w:color w:val="111111"/>
          <w:sz w:val="28"/>
          <w:sz w:val="28"/>
          <w:szCs w:val="28"/>
          <w:rtl w:val="true"/>
          <w:lang w:bidi="fa-IR"/>
        </w:rPr>
        <w:t>متعلق وصيت بايد قابل تملك باشد؛ پس نافذ نيست وصيت به خمرِ غيرِ مأخوذ براى تخليل، و به خنزير، و به كلب غير مملوكِ منتفعٌ به در حلال از كلاب اربعه، و به آلات لهو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موصىٰ به، منفعتِ عين باشد بايد مباح باشد انتفاع به آن در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حق قابل نقل، قابل وصيت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وصيت به مالِ غير، قابل نفوذ با اجازۀ مالك نيست مگر با احتمالى كه در بيع غاصب لنفسه با اجازۀ مالك،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وصيت به زايد از ثلث، نافذ است با اجازۀ وارث در مقدار 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 نيست جريان وصيت مجراى صلح و شرط در توسعه و عدم اعتبار ماليّت و صحّت نقل معاوضى و شروط آن و كفايت عقلايى بودن با عدم مانع شرعى در صحّت تمليك در وصيت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دور نيست ترتيب اثر صحّت، در وصيت به خمر يا خنزير از كافر ذمى مستحِل در صورتى كه براى مثل خودش باشد نه براى مسلم، به خلاف وصيت مسلم به آنها، اگر چه براى كافر باشد</w:t>
      </w:r>
      <w:r>
        <w:rPr>
          <w:rFonts w:eastAsia="IRNazanin" w:cs="IRNazanin"/>
          <w:color w:val="111111"/>
          <w:sz w:val="28"/>
          <w:szCs w:val="28"/>
          <w:rtl w:val="true"/>
          <w:lang w:bidi="fa-IR"/>
        </w:rPr>
        <w:t>.</w:t>
      </w:r>
    </w:p>
    <w:p>
      <w:pPr>
        <w:pStyle w:val="Heading5"/>
        <w:numPr>
          <w:ilvl w:val="4"/>
          <w:numId w:val="1"/>
        </w:numPr>
        <w:rPr/>
      </w:pPr>
      <w:bookmarkStart w:id="2544" w:name="__RefHeading___Toc3599459_1067777946"/>
      <w:bookmarkStart w:id="2545" w:name="_Toc1050"/>
      <w:bookmarkEnd w:id="2544"/>
      <w:r>
        <w:rPr>
          <w:rtl w:val="true"/>
        </w:rPr>
        <w:t>وصيّت به ثلث و اكثر از آن</w:t>
      </w:r>
      <w:bookmarkEnd w:id="254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 در ثلث مال موصى، نافذ است و در زايد بر آن محتاج به اجازۀ ورثه است؛ و </w:t>
      </w:r>
      <w:bookmarkStart w:id="2546" w:name="pg10256_89756"/>
    </w:p>
    <w:p>
      <w:pPr>
        <w:pStyle w:val="BookText"/>
        <w:rPr/>
      </w:pPr>
      <w:bookmarkEnd w:id="2546"/>
      <w:r>
        <w:rPr>
          <w:rFonts w:ascii="IRNazanin" w:hAnsi="IRNazanin" w:eastAsia="IRNazanin"/>
          <w:color w:val="111111"/>
          <w:sz w:val="28"/>
          <w:sz w:val="28"/>
          <w:szCs w:val="28"/>
          <w:rtl w:val="true"/>
          <w:lang w:bidi="fa-IR"/>
        </w:rPr>
        <w:t>علم موصى به عدم زيادت از ثلث و قصد آن معتبر نيست، و قصد خلاف و خروج از اصلْ مضِرّ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تصريح به خروج از اصل نمود، حكم وصيت در خصوص محل تصريح، مرتّب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زايد بر ثلث، در تقدير عدم تصريح، الغا مى شود؛ و هم چنين اگر خود آن، موردِ تصريحِ مذكور بعد از وصيت به ثلث است، براى امور ديگر الغا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در نفوذ از ثلث نه از زايد مگر با اجازۀ ورثه، بين تعلق وصيت به حصۀ مشاعه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ربع و ثلث و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تعلق آن به امورى كه در قيمت موافق ربع يا ثلث و نحو آن باشد نيست</w:t>
      </w:r>
      <w:r>
        <w:rPr>
          <w:rFonts w:eastAsia="IRNazanin" w:cs="IRNazanin"/>
          <w:color w:val="111111"/>
          <w:sz w:val="28"/>
          <w:szCs w:val="28"/>
          <w:rtl w:val="true"/>
          <w:lang w:bidi="fa-IR"/>
        </w:rPr>
        <w:t>.</w:t>
      </w:r>
    </w:p>
    <w:p>
      <w:pPr>
        <w:pStyle w:val="Heading5"/>
        <w:numPr>
          <w:ilvl w:val="4"/>
          <w:numId w:val="1"/>
        </w:numPr>
        <w:rPr/>
      </w:pPr>
      <w:bookmarkStart w:id="2547" w:name="__RefHeading___Toc3599461_1067777946"/>
      <w:bookmarkStart w:id="2548" w:name="_Toc1051"/>
      <w:bookmarkEnd w:id="2547"/>
      <w:r>
        <w:rPr>
          <w:rtl w:val="true"/>
        </w:rPr>
        <w:t>تبعّض در اجازۀ وصيّت بر زايد از ثلث</w:t>
      </w:r>
      <w:bookmarkEnd w:id="2548"/>
    </w:p>
    <w:p>
      <w:pPr>
        <w:pStyle w:val="BookText"/>
        <w:rPr/>
      </w:pPr>
      <w:r>
        <w:rPr>
          <w:rFonts w:ascii="IRNazanin" w:hAnsi="IRNazanin" w:eastAsia="IRNazanin"/>
          <w:color w:val="111111"/>
          <w:sz w:val="28"/>
          <w:sz w:val="28"/>
          <w:szCs w:val="28"/>
          <w:rtl w:val="true"/>
          <w:lang w:bidi="fa-IR"/>
        </w:rPr>
        <w:t>اگر ورثه متعدد بودند و بعضى اجازه كردند وصيت بر زايد از ثلث را، در نصيبِ مجيز از آن زيادتى،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همه، بعض وصيت در زايد را اجازه كردند يا بعضى از آنها بعض آن وصيت بر زايد را اجازه كرد، در خصوص مجازْ نصيبِ مجيز ملاحظه و تنفيذ مى شود، نه در غير مجاز و نه در نصيب غير مجيز</w:t>
      </w:r>
      <w:r>
        <w:rPr>
          <w:rFonts w:eastAsia="IRNazanin" w:cs="IRNazanin"/>
          <w:color w:val="111111"/>
          <w:sz w:val="28"/>
          <w:szCs w:val="28"/>
          <w:rtl w:val="true"/>
          <w:lang w:bidi="fa-IR"/>
        </w:rPr>
        <w:t>.</w:t>
      </w:r>
    </w:p>
    <w:p>
      <w:pPr>
        <w:pStyle w:val="Heading5"/>
        <w:numPr>
          <w:ilvl w:val="4"/>
          <w:numId w:val="1"/>
        </w:numPr>
        <w:rPr/>
      </w:pPr>
      <w:bookmarkStart w:id="2549" w:name="__RefHeading___Toc3599463_1067777946"/>
      <w:bookmarkStart w:id="2550" w:name="_Toc1052"/>
      <w:bookmarkEnd w:id="2549"/>
      <w:r>
        <w:rPr>
          <w:rtl w:val="true"/>
        </w:rPr>
        <w:t>نفوذ اجازۀ وارث در حيات موصى و بعد از آن</w:t>
      </w:r>
      <w:bookmarkEnd w:id="2550"/>
    </w:p>
    <w:p>
      <w:pPr>
        <w:pStyle w:val="BookText"/>
        <w:rPr/>
      </w:pPr>
      <w:r>
        <w:rPr>
          <w:rFonts w:ascii="IRNazanin" w:hAnsi="IRNazanin" w:eastAsia="IRNazanin"/>
          <w:color w:val="111111"/>
          <w:sz w:val="28"/>
          <w:sz w:val="28"/>
          <w:szCs w:val="28"/>
          <w:rtl w:val="true"/>
          <w:lang w:bidi="fa-IR"/>
        </w:rPr>
        <w:t>و اجازۀ وارث در زايد بر ثلث، بعد از وفات موصى و تحقق وارثيّت بعد از وصيتْ معتبر است؛ و در اعتبار آن در حيات موصى، اختلاف است، و اظهر وفاقاً للمشهور المنصوص، اعتبار آن است؛ پس ردِّ بعد از وفات و بقاى اجازه بعد از وفات موصى يا حدوث اجازه در زمان تحقق وارثيت، بى اثر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مانعيّت رد مسبوق به اجازۀ وارث با وقوع هر دو در حيات موصى، از نفوذ وصيت، تأمل است در صورت عدم اجازه بعد از وفات، وگرنه وصيتْ نافذ است؛ پس محل تأمل، بقاى بر رد است تا بعد از موت، يا عدم تجدد اجازه و عدم انشاى رد بعد از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مقتضاى قاعده، نفوذ رد است بعد از موت، و خارج به دليل، اجازۀ </w:t>
      </w:r>
      <w:bookmarkStart w:id="2551" w:name="pg10256_89757"/>
    </w:p>
    <w:p>
      <w:pPr>
        <w:pStyle w:val="BookText"/>
        <w:rPr/>
      </w:pPr>
      <w:bookmarkEnd w:id="2551"/>
      <w:r>
        <w:rPr>
          <w:rFonts w:ascii="IRNazanin" w:hAnsi="IRNazanin" w:eastAsia="IRNazanin"/>
          <w:color w:val="111111"/>
          <w:sz w:val="28"/>
          <w:sz w:val="28"/>
          <w:szCs w:val="28"/>
          <w:rtl w:val="true"/>
          <w:lang w:bidi="fa-IR"/>
        </w:rPr>
        <w:t>مستمرّه تا موت است، پس عدم نفوذ وصيت در فرض مذكور تا تعقّب به اجازه بعد از موت، خالى از رجحان نيست؛ و اطلاق روايت به صورت مذكوره، خالى از ضعف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 رد در حال حيات با قبول، در حكم مذكور، خالى از وجه نيست، پس نافذ مى شود وصيت با اجازۀ وارث بعد از وفات موصى اگر چه مسبوق به رد در حال حيات او باشد با بقاى موصى بر ايجاب تا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لحوق اذن سابق بر وصيت، به اجازۀ لاحقه از وارث، در احكام مذكوره، خالى از وجه نيست</w:t>
      </w:r>
      <w:r>
        <w:rPr>
          <w:rFonts w:eastAsia="IRNazanin" w:cs="IRNazanin"/>
          <w:color w:val="111111"/>
          <w:sz w:val="28"/>
          <w:szCs w:val="28"/>
          <w:rtl w:val="true"/>
          <w:lang w:bidi="fa-IR"/>
        </w:rPr>
        <w:t>.</w:t>
      </w:r>
    </w:p>
    <w:p>
      <w:pPr>
        <w:pStyle w:val="Heading5"/>
        <w:numPr>
          <w:ilvl w:val="4"/>
          <w:numId w:val="1"/>
        </w:numPr>
        <w:rPr/>
      </w:pPr>
      <w:bookmarkStart w:id="2552" w:name="__RefHeading___Toc3599465_1067777946"/>
      <w:bookmarkStart w:id="2553" w:name="_Toc1053"/>
      <w:bookmarkEnd w:id="2552"/>
      <w:r>
        <w:rPr>
          <w:rtl w:val="true"/>
        </w:rPr>
        <w:t>تنفيذ بودن اجازۀ در زايد بر ثلث</w:t>
      </w:r>
      <w:bookmarkEnd w:id="2553"/>
    </w:p>
    <w:p>
      <w:pPr>
        <w:pStyle w:val="BookText"/>
        <w:rPr/>
      </w:pPr>
      <w:r>
        <w:rPr>
          <w:rFonts w:ascii="IRNazanin" w:hAnsi="IRNazanin" w:eastAsia="IRNazanin"/>
          <w:color w:val="111111"/>
          <w:sz w:val="28"/>
          <w:sz w:val="28"/>
          <w:szCs w:val="28"/>
          <w:rtl w:val="true"/>
          <w:lang w:bidi="fa-IR"/>
        </w:rPr>
        <w:t xml:space="preserve">اجازۀ وارثْ وصيت را در زايد بر ثلث، تنفيذ است عمل موصى را، نه ابتداى هبه، و حكم هبه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اعتبار قبض و ساير احكام هبه و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چه تمليكيه باشد يا عهديه، مثل وصيت به عتق يا فكّ به وقف، چه اجازه كاشف باشد يا ناقل، بنابر اظهر</w:t>
      </w:r>
      <w:r>
        <w:rPr>
          <w:rFonts w:eastAsia="IRNazanin" w:cs="IRNazanin"/>
          <w:color w:val="111111"/>
          <w:sz w:val="28"/>
          <w:szCs w:val="28"/>
          <w:rtl w:val="true"/>
          <w:lang w:bidi="fa-IR"/>
        </w:rPr>
        <w:t>.</w:t>
      </w:r>
    </w:p>
    <w:p>
      <w:pPr>
        <w:pStyle w:val="Heading5"/>
        <w:numPr>
          <w:ilvl w:val="4"/>
          <w:numId w:val="1"/>
        </w:numPr>
        <w:rPr/>
      </w:pPr>
      <w:bookmarkStart w:id="2554" w:name="__RefHeading___Toc3599467_1067777946"/>
      <w:bookmarkStart w:id="2555" w:name="_Toc1054"/>
      <w:bookmarkEnd w:id="2554"/>
      <w:r>
        <w:rPr>
          <w:rtl w:val="true"/>
        </w:rPr>
        <w:t>اجازه مفلَّس و مجنون و صبىّ و سفيه</w:t>
      </w:r>
      <w:bookmarkEnd w:id="2555"/>
    </w:p>
    <w:p>
      <w:pPr>
        <w:pStyle w:val="BookText"/>
        <w:rPr/>
      </w:pPr>
      <w:r>
        <w:rPr>
          <w:rFonts w:ascii="Amiri" w:hAnsi="Amiri" w:eastAsia="Amiri" w:cs="Amiri"/>
          <w:color w:val="111111"/>
          <w:sz w:val="28"/>
          <w:sz w:val="28"/>
          <w:szCs w:val="28"/>
          <w:rtl w:val="true"/>
          <w:lang w:bidi="ar-SA"/>
        </w:rPr>
        <w:t>و در نفوذ اجازۀ مفلَّس بعد از وفات موصى، تأمل است، و ابتناى آن بر كشف و نقل، بى وجه نيست؛ و نفوذ آن در حال حيات موصى، بى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اجازۀ مجنون و صبىّ‌، بى اثر است و اجازۀ سفيه، مورد اشكال است، حتى در حيات موصى</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3599469_1067777946"/>
      <w:bookmarkStart w:id="2557" w:name="_Toc1055"/>
      <w:bookmarkEnd w:id="2556"/>
      <w:r>
        <w:rPr>
          <w:rtl w:val="true"/>
        </w:rPr>
        <w:t>اعتبار در ميزان ثلث، وقت وفات است نه وقت وصيّت</w:t>
      </w:r>
      <w:bookmarkEnd w:id="255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نافذ است وصيت از ثلث اموال ميّت، و در زايد بر آن، موقوف به اجازۀ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در ثلث، به وقت وفات است كه وقت اقتطاع مال است به وصيت از مالكِ بر تقدير عدم وصيت كه وارث است، چه آنكه وصيت به معيّن باشد يا به كلى، مثل ثلث و ربع يا به مثل صد تومان، نه به وقت وصيت؛ پس در صورتى كه نقص مال بعد از وصيت در وقت وفات باشد، نقصان بر موصى و ورثه واقع مى شود در هر سه صورت، يعنى بايد موصىٰ به از ثلث مملوكات در وقت موت، زايد نباشد، چه آنكه در وقت وصيت زايد بوده يا ناقص بوده است</w:t>
      </w:r>
      <w:r>
        <w:rPr>
          <w:rFonts w:eastAsia="IRNazanin" w:cs="IRNazanin"/>
          <w:color w:val="111111"/>
          <w:sz w:val="28"/>
          <w:szCs w:val="28"/>
          <w:rtl w:val="true"/>
          <w:lang w:bidi="fa-IR"/>
        </w:rPr>
        <w:t xml:space="preserve">. </w:t>
      </w:r>
      <w:bookmarkStart w:id="2558" w:name="pg10256_89758"/>
    </w:p>
    <w:p>
      <w:pPr>
        <w:pStyle w:val="Heading5"/>
        <w:numPr>
          <w:ilvl w:val="4"/>
          <w:numId w:val="1"/>
        </w:numPr>
        <w:rPr/>
      </w:pPr>
      <w:bookmarkStart w:id="2559" w:name="__RefHeading___Toc3599471_1067777946"/>
      <w:bookmarkStart w:id="2560" w:name="_Toc1056"/>
      <w:bookmarkEnd w:id="2558"/>
      <w:bookmarkEnd w:id="2559"/>
      <w:r>
        <w:rPr>
          <w:rtl w:val="true"/>
        </w:rPr>
        <w:t>حكم اموال افزودۀ بعد از وصيّت</w:t>
      </w:r>
      <w:bookmarkEnd w:id="2560"/>
    </w:p>
    <w:p>
      <w:pPr>
        <w:pStyle w:val="BookText"/>
        <w:rPr/>
      </w:pPr>
      <w:r>
        <w:rPr>
          <w:rFonts w:ascii="IRNazanin" w:hAnsi="IRNazanin" w:eastAsia="IRNazanin"/>
          <w:color w:val="111111"/>
          <w:sz w:val="28"/>
          <w:sz w:val="28"/>
          <w:szCs w:val="28"/>
          <w:rtl w:val="true"/>
          <w:lang w:bidi="fa-IR"/>
        </w:rPr>
        <w:t>و اما زيادتى اموال متجدّدۀ بعد از وقت وصيت و در حين وفات يا بعد از آن، پس دخول آنها در وصيت اگر متعلّق به مثل ثلث يا ربع باشد، تابع قراين است بر اطلاق موصىٰ به يا تقيد آن به مملوكات در حال وصيت يا مملوكات از امور مخصوصه؛ و در صورت عدم مقيّد، پس عمل به اطلاق در ديۀ خطأ مى شود، چه ديۀ قتل نفس باشد يا ديۀ اعضا يا ارش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لحوق ديۀ عمد كه صلحاً مأخوذ باشد و صيد واقع در شبكه به نصب موصى، خالى از رجحان نيست؛ پس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اخراج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آن از زياداتِ متجددۀ بعد از وصيت، متوقعه يا غير مترقّبه باشند، اظهر لحوق آن با عدم مقيّد، به ديۀ خطأ، در عمل به اطلاق و خروج موصىٰ به از ثلث آنها است، به جهت اشتراك در عدم قصد و عدم وجود و عدم ترقّب در حال وصيت و كفايت قصد طبيعى ربع مثلاً و عدم اختيار فى الجمله؛ و شرط عدم مانع از اطلاقْ مشترك است</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3599473_1067777946"/>
      <w:bookmarkStart w:id="2562" w:name="_Toc1057"/>
      <w:bookmarkEnd w:id="2561"/>
      <w:r>
        <w:rPr>
          <w:rtl w:val="true"/>
        </w:rPr>
        <w:t>الحاق تلف و افزودۀ بعد از موت به قبل از موت</w:t>
      </w:r>
      <w:bookmarkEnd w:id="2562"/>
    </w:p>
    <w:p>
      <w:pPr>
        <w:pStyle w:val="BookText"/>
        <w:rPr/>
      </w:pPr>
      <w:r>
        <w:rPr>
          <w:rFonts w:ascii="IRNazanin" w:hAnsi="IRNazanin" w:eastAsia="IRNazanin"/>
          <w:color w:val="111111"/>
          <w:sz w:val="28"/>
          <w:sz w:val="28"/>
          <w:szCs w:val="28"/>
          <w:rtl w:val="true"/>
          <w:lang w:bidi="fa-IR"/>
        </w:rPr>
        <w:t>و لحوق تلف و زيادات متجدده بعد از موت و قبل از تمكّن مستحقين از قبض، به تلف و زيادتى قبل از موت موصى، در احكام مذكوره، بى وجه نيست، به خلاف آنچه بعد از قبض مستحقين واقع مى شود؛ مگر در زيادات متجدده به اسباب آن، مثل ديات به اسباب حادثه بعد از موت و نحو آنها، كه لحوق به سابق، محل تأمل است؛ و اخراج ثلث از ديات، احوط است، و از صيد بعد از وقوع شبكه در نصيب بعضى، و مالكيّت او و قبض او لازم نيست</w:t>
      </w:r>
      <w:r>
        <w:rPr>
          <w:rFonts w:eastAsia="IRNazanin" w:cs="IRNazanin"/>
          <w:color w:val="111111"/>
          <w:sz w:val="28"/>
          <w:szCs w:val="28"/>
          <w:rtl w:val="true"/>
          <w:lang w:bidi="fa-IR"/>
        </w:rPr>
        <w:t>.</w:t>
      </w:r>
    </w:p>
    <w:p>
      <w:pPr>
        <w:pStyle w:val="Heading5"/>
        <w:numPr>
          <w:ilvl w:val="4"/>
          <w:numId w:val="1"/>
        </w:numPr>
        <w:rPr/>
      </w:pPr>
      <w:bookmarkStart w:id="2563" w:name="__RefHeading___Toc3599475_1067777946"/>
      <w:bookmarkStart w:id="2564" w:name="_Toc1058"/>
      <w:bookmarkEnd w:id="2563"/>
      <w:r>
        <w:rPr>
          <w:rtl w:val="true"/>
        </w:rPr>
        <w:t>وصيّت به مضاربه در مال ورثه</w:t>
      </w:r>
      <w:bookmarkEnd w:id="256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كرد به مضاربه در مال ورثۀ او در خصوص ميراث، اظهر صحّت وصيت </w:t>
      </w:r>
      <w:bookmarkStart w:id="2565" w:name="pg10256_89759"/>
    </w:p>
    <w:p>
      <w:pPr>
        <w:pStyle w:val="BookText"/>
        <w:rPr/>
      </w:pPr>
      <w:bookmarkEnd w:id="2565"/>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مشتمل است بر وصايت به ولايت در ايجاب مضاربه بعد از وفات، و قبول آن به اصالت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ثلث مطلقاً، و در زايد با عدم مفسده بنا بر اكتفاى به آن در حصۀ صغير، و با اجازه در حصۀ كبير از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بلكه غالب است كه تخصيص اذن در مضاربه به ربحى كه اكثر از اجرت المثل عامل باشد، مشتمل بر مفسده و تفويت مال صغار باشد كه از ولى نافذ نيست، به خلاف صورت عدم مفسده</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3599477_1067777946"/>
      <w:bookmarkStart w:id="2567" w:name="_Toc1059"/>
      <w:bookmarkEnd w:id="2566"/>
      <w:r>
        <w:rPr>
          <w:rtl w:val="true"/>
        </w:rPr>
        <w:t>محلّ اخراج در وصيّت به واجبات ماليّه</w:t>
      </w:r>
      <w:bookmarkEnd w:id="2567"/>
    </w:p>
    <w:p>
      <w:pPr>
        <w:pStyle w:val="BookText"/>
        <w:rPr/>
      </w:pPr>
      <w:r>
        <w:rPr>
          <w:rFonts w:ascii="IRNazanin" w:hAnsi="IRNazanin" w:eastAsia="IRNazanin"/>
          <w:color w:val="111111"/>
          <w:sz w:val="28"/>
          <w:sz w:val="28"/>
          <w:szCs w:val="28"/>
          <w:rtl w:val="true"/>
          <w:lang w:bidi="fa-IR"/>
        </w:rPr>
        <w:t xml:space="preserve">اگر وصيت كرد به واجب مالى و غير آن، اخراج مى شود واجب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زكات و خمس و كفارات و نذر اداى مال كه متعيّن در ماليّت باشند و خصوص حج واجب، مثل ديون 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مال، مگر آنكه وصيتْ متعلق به اخراج آنها از ثلث باشد؛ بلكه با فراغ از ثبوت و اثبات اين حقوق ماليّه مثل ديون، اخراج از اصل مى شود اگر چه وصيت ننمايد به آنها</w:t>
      </w:r>
      <w:r>
        <w:rPr>
          <w:rFonts w:eastAsia="IRNazanin" w:cs="IRNazanin"/>
          <w:color w:val="111111"/>
          <w:sz w:val="28"/>
          <w:szCs w:val="28"/>
          <w:rtl w:val="true"/>
          <w:lang w:bidi="fa-IR"/>
        </w:rPr>
        <w:t>.</w:t>
      </w:r>
    </w:p>
    <w:p>
      <w:pPr>
        <w:pStyle w:val="Heading5"/>
        <w:numPr>
          <w:ilvl w:val="4"/>
          <w:numId w:val="1"/>
        </w:numPr>
        <w:rPr/>
      </w:pPr>
      <w:bookmarkStart w:id="2568" w:name="__RefHeading___Toc3599479_1067777946"/>
      <w:bookmarkStart w:id="2569" w:name="_Toc1060"/>
      <w:bookmarkEnd w:id="2568"/>
      <w:r>
        <w:rPr>
          <w:rtl w:val="true"/>
        </w:rPr>
        <w:t>محلّ اخراج در وصيّت به واجبات بدنيّه</w:t>
      </w:r>
      <w:bookmarkEnd w:id="2569"/>
    </w:p>
    <w:p>
      <w:pPr>
        <w:pStyle w:val="BookText"/>
        <w:rPr/>
      </w:pPr>
      <w:r>
        <w:rPr>
          <w:rFonts w:ascii="IRNazanin" w:hAnsi="IRNazanin" w:eastAsia="IRNazanin"/>
          <w:color w:val="111111"/>
          <w:sz w:val="28"/>
          <w:sz w:val="28"/>
          <w:szCs w:val="28"/>
          <w:rtl w:val="true"/>
          <w:lang w:bidi="fa-IR"/>
        </w:rPr>
        <w:t xml:space="preserve">و اما واجبات بدنيّه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صوم و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اخراج آنها از اصل تركه مثل واجبات ماليّه، شبهۀ خلاف است در صورتى كه ولىّ‌، مخاطب به انجام دادن آنها نباشد؛ و مصرّح به اخراج از اصل از روى جزم، معلوم نيست، غير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نفى بأس؛ و مقتضاى اصل، عدم تعلق حق مالى بر تركۀ ميّت و تكليف اخراج به وارث است در صورتى كه دين و حق مالى يا منزّل به دليل به منزلۀ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عدم اخراج مگر از ثلث در خصوص صورت وصيت به آن، اقرب است، اگر چه فى الجمله اخراج از اصل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خارج از اصل، اعم از حجة الاسلام و منذور و واجب به افساد است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بدنى در تقدير خروج از اصل، مورد وضع است، چه آنكه تكليف به قضا، فعلى بوده يا مشروط به التفات و قدرت بوده است در مثل غافل تا زمان فوت يا وصيت، يا </w:t>
      </w:r>
      <w:bookmarkStart w:id="2570" w:name="pg10256_89760"/>
    </w:p>
    <w:p>
      <w:pPr>
        <w:pStyle w:val="BookText"/>
        <w:rPr/>
      </w:pPr>
      <w:bookmarkEnd w:id="2570"/>
      <w:r>
        <w:rPr>
          <w:rFonts w:ascii="Amiri" w:hAnsi="Amiri" w:eastAsia="Amiri" w:cs="Amiri"/>
          <w:color w:val="111111"/>
          <w:sz w:val="28"/>
          <w:sz w:val="28"/>
          <w:szCs w:val="28"/>
          <w:rtl w:val="true"/>
          <w:lang w:bidi="ar-SA"/>
        </w:rPr>
        <w:t>عاجز تا زمان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تقدير عدم خروج از اصل، تابع خصوصيت وصيت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مى شود ولىّ‌، در اقرار او به كميّت فايت از مولّى عليه؛ و در غير اقرار، تأمل است</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3599481_1067777946"/>
      <w:bookmarkStart w:id="2572" w:name="_Toc1061"/>
      <w:bookmarkEnd w:id="2571"/>
      <w:r>
        <w:rPr>
          <w:rtl w:val="true"/>
        </w:rPr>
        <w:t>لزوم اعلام عدد فايت بر كسى كه مظنّۀ فوت دارد</w:t>
      </w:r>
      <w:bookmarkEnd w:id="2572"/>
    </w:p>
    <w:p>
      <w:pPr>
        <w:pStyle w:val="BookText"/>
        <w:rPr/>
      </w:pPr>
      <w:r>
        <w:rPr>
          <w:rFonts w:ascii="IRNazanin" w:hAnsi="IRNazanin" w:eastAsia="IRNazanin"/>
          <w:color w:val="111111"/>
          <w:sz w:val="28"/>
          <w:sz w:val="28"/>
          <w:szCs w:val="28"/>
          <w:rtl w:val="true"/>
          <w:lang w:bidi="fa-IR"/>
        </w:rPr>
        <w:t>و اعلام ظانِّ به وفات، به عدد فايت، لازم است چه آنكه ولىْ مخاطب به قضا باشد يا نه، و چه آنكه در تقدير ثانى خارج از اصل تركه باشد يا نه؛ و بر تقدير ثانى، وصيت به آن لازم است تا از ثلث انجام داده شود مطلقاً؛ و در صورت زيادتى، از زايد بر ثلث با اجازۀ ورثه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صورت زيادتى، دور نيست لازم باشد توصل به اتيان بقيه به مصالحۀ تنجيزيّۀ مشروطه به عمل زايد بر ثلث بر تقدير عدم مصالحه، اگر چه مى تواند ما بقى را احاله بر ثلث بعد از اين مصالحه بنمايد در صورت كفايت آن به ما بقى از عمل و وثوق به اتيان ورثه به آن؛ وگرنه همه را به نحوى كه واثق به برائت ذمّۀ خودش بشود، به مصالحۀ منجّزه و نحو آن در همه، يا تبعيض بين مصالحه و وصيت، انجام مى دهد</w:t>
      </w:r>
      <w:r>
        <w:rPr>
          <w:rFonts w:eastAsia="IRNazanin" w:cs="IRNazanin"/>
          <w:color w:val="111111"/>
          <w:sz w:val="28"/>
          <w:szCs w:val="28"/>
          <w:rtl w:val="true"/>
          <w:lang w:bidi="fa-IR"/>
        </w:rPr>
        <w:t>.</w:t>
      </w:r>
    </w:p>
    <w:p>
      <w:pPr>
        <w:pStyle w:val="Heading5"/>
        <w:numPr>
          <w:ilvl w:val="4"/>
          <w:numId w:val="1"/>
        </w:numPr>
        <w:rPr/>
      </w:pPr>
      <w:bookmarkStart w:id="2573" w:name="__RefHeading___Toc3599483_1067777946"/>
      <w:bookmarkStart w:id="2574" w:name="_Toc1062"/>
      <w:bookmarkEnd w:id="2573"/>
      <w:r>
        <w:rPr>
          <w:rtl w:val="true"/>
        </w:rPr>
        <w:t>كفايت و عدم كفايت ثلث به واجبات ماليّه و بدنيّۀ مورد وصيت</w:t>
      </w:r>
      <w:bookmarkEnd w:id="2574"/>
    </w:p>
    <w:p>
      <w:pPr>
        <w:pStyle w:val="BookText"/>
        <w:rPr/>
      </w:pPr>
      <w:r>
        <w:rPr>
          <w:rFonts w:ascii="IRNazanin" w:hAnsi="IRNazanin" w:eastAsia="IRNazanin"/>
          <w:color w:val="111111"/>
          <w:sz w:val="28"/>
          <w:sz w:val="28"/>
          <w:szCs w:val="28"/>
          <w:rtl w:val="true"/>
          <w:lang w:bidi="fa-IR"/>
        </w:rPr>
        <w:t>و در صورت وصيت به واجب مالى يا مثل حج و به غير واجب مالى، پس اگر ثلثْ وافى به همه شد، همه از آن اخراج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همه وافى نشد و ورثه اجازه نكردند زايد بر ثلث را، واجب مالى و حج از اصل مال اخراج مى شوند، و غير آنها از ثلثِ بعد از آن، در صورتى كه تصريح به اخراج همه از ثلث نشود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تصريح به اخراج همه از ثلث بشود، پس واجبْ مقدم است بر غير آن اگر چه مالى نباشد و بدنى باشد اگر چه متأخر در ذكر در مقام وصيت باشد، و بقيه اخراج از وافى از ثلث مى شود با رعايت ترتيب آتى، نه آنكه در همه رعايت ترتيب بشود به نحو آتى، و نقص، بر بقيه، از غير واجبات كه متأخر است، مى شود</w:t>
      </w:r>
      <w:r>
        <w:rPr>
          <w:rFonts w:eastAsia="IRNazanin" w:cs="IRNazanin"/>
          <w:color w:val="111111"/>
          <w:sz w:val="28"/>
          <w:szCs w:val="28"/>
          <w:rtl w:val="true"/>
          <w:lang w:bidi="fa-IR"/>
        </w:rPr>
        <w:t xml:space="preserve">. </w:t>
      </w:r>
      <w:bookmarkStart w:id="2575" w:name="pg10256_89761"/>
    </w:p>
    <w:p>
      <w:pPr>
        <w:pStyle w:val="BookText"/>
        <w:rPr/>
      </w:pPr>
      <w:bookmarkEnd w:id="2575"/>
      <w:r>
        <w:rPr>
          <w:rFonts w:ascii="IRNazanin" w:hAnsi="IRNazanin" w:eastAsia="IRNazanin"/>
          <w:color w:val="111111"/>
          <w:sz w:val="28"/>
          <w:sz w:val="28"/>
          <w:szCs w:val="28"/>
          <w:rtl w:val="true"/>
          <w:lang w:bidi="fa-IR"/>
        </w:rPr>
        <w:t>و محتمل است در بعض موارد، اطلاق وصيت به اخراج همه از ثلث به تقدير عدم وفاى ثلث به مجموع، ضعيف باشد، پس واجب مالى از اصل خارج مى شود؛ و هم چنين حج، تمام آن يا آن قدرى كه مانع از وفاى ثلث به مجموع است؛ و بقيه از ثلث با تقديم واجب لو لا الوصيه بر غير، يا تقدّم اوّل بر غير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شك در مستفاد از وصيت و انتفاى رافع شك از ظاهر كلام اگر چه به معونۀ قرينه باشد، عمل به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استجازه از ورثه در تصرف در زايد بر ثلثِ لو لا اخراج واجب مالى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Heading5"/>
        <w:numPr>
          <w:ilvl w:val="4"/>
          <w:numId w:val="1"/>
        </w:numPr>
        <w:rPr/>
      </w:pPr>
      <w:bookmarkStart w:id="2576" w:name="__RefHeading___Toc3599485_1067777946"/>
      <w:bookmarkStart w:id="2577" w:name="_Toc1063"/>
      <w:bookmarkEnd w:id="2576"/>
      <w:r>
        <w:rPr>
          <w:rtl w:val="true"/>
        </w:rPr>
        <w:t>قصور ثلث از مورد وصيت به غير واجب</w:t>
      </w:r>
      <w:bookmarkEnd w:id="2577"/>
    </w:p>
    <w:p>
      <w:pPr>
        <w:pStyle w:val="BookText"/>
        <w:rPr/>
      </w:pPr>
      <w:r>
        <w:rPr>
          <w:rFonts w:ascii="IRNazanin" w:hAnsi="IRNazanin" w:eastAsia="IRNazanin"/>
          <w:color w:val="111111"/>
          <w:sz w:val="28"/>
          <w:sz w:val="28"/>
          <w:szCs w:val="28"/>
          <w:rtl w:val="true"/>
          <w:lang w:bidi="fa-IR"/>
        </w:rPr>
        <w:t>و اگر وصيت، متعلق به مجموع امورِ غيرِ واجبۀ لو لا الوصيه باشد و مجموع از ثلثْ زايد باشد و ورثه اجازه ننمايند زيادتى را، نافذ است وصيت مقدمه به مقدار موافق ثلث، و ابطال مى شود وصيت مؤخّره كه از ثلث تجاوز كرده است</w:t>
      </w:r>
      <w:r>
        <w:rPr>
          <w:rFonts w:eastAsia="IRNazanin" w:cs="IRNazanin"/>
          <w:color w:val="111111"/>
          <w:sz w:val="28"/>
          <w:szCs w:val="28"/>
          <w:rtl w:val="true"/>
          <w:lang w:bidi="fa-IR"/>
        </w:rPr>
        <w:t>.</w:t>
      </w:r>
    </w:p>
    <w:p>
      <w:pPr>
        <w:pStyle w:val="Heading5"/>
        <w:numPr>
          <w:ilvl w:val="4"/>
          <w:numId w:val="1"/>
        </w:numPr>
        <w:rPr/>
      </w:pPr>
      <w:bookmarkStart w:id="2578" w:name="__RefHeading___Toc3599487_1067777946"/>
      <w:bookmarkStart w:id="2579" w:name="_Toc1064"/>
      <w:bookmarkEnd w:id="2578"/>
      <w:r>
        <w:rPr>
          <w:rtl w:val="true"/>
        </w:rPr>
        <w:t>لزوم و عدم لزوم ملاحظۀ ترتيب در اختيار زايد بر ثلث</w:t>
      </w:r>
      <w:bookmarkEnd w:id="2579"/>
    </w:p>
    <w:p>
      <w:pPr>
        <w:pStyle w:val="BookText"/>
        <w:rPr/>
      </w:pPr>
      <w:r>
        <w:rPr>
          <w:rFonts w:ascii="IRNazanin" w:hAnsi="IRNazanin" w:eastAsia="IRNazanin"/>
          <w:color w:val="111111"/>
          <w:sz w:val="28"/>
          <w:sz w:val="28"/>
          <w:szCs w:val="28"/>
          <w:rtl w:val="true"/>
          <w:lang w:bidi="fa-IR"/>
        </w:rPr>
        <w:t>و در زايد بر ثلث، ترتيب ملاحظه نمى شود؛ بلكه ورثهْ اختيارِ اجازۀ لاحق و عدم اجازۀ سابق را دارند در صورت مجاوزت هر دو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صورت تقديم و تأخير در وصيت ذكر كرده باشد، پس تصريح او به عدم ارادۀ ترتيب، محمول بر عدول از ترتيب است به سوى تعبير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به صورت ترتيبْ مذكور نباشد بلكه به صورت جمع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اعتقوا خمسة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و چهار عدد موافق ثلث باشد، اختيار عدم اجازۀ خامس را دارند با تخيير ورثه در اختيار هر چهار شخص از پنج مملوك را؛ يا آنكه به مقدار زيادتى از ثلث، نقص بر مجموع مذكورات به عنوان جمع واقع مى شود در مورد قابل نقص</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آمر، به صورت ترتيبْ امر به اعطاى اشخاصى از مال مخصوص نمود و پنجم مثلاً زايد و متجاوز از آن مال مخصوص بود، همان پنجم لغو است چون </w:t>
      </w:r>
      <w:bookmarkStart w:id="2580" w:name="pg10256_89762"/>
    </w:p>
    <w:p>
      <w:pPr>
        <w:pStyle w:val="BookText"/>
        <w:rPr/>
      </w:pPr>
      <w:bookmarkEnd w:id="2580"/>
      <w:r>
        <w:rPr>
          <w:rFonts w:ascii="IRNazanin" w:hAnsi="IRNazanin" w:eastAsia="IRNazanin"/>
          <w:color w:val="111111"/>
          <w:sz w:val="28"/>
          <w:sz w:val="28"/>
          <w:szCs w:val="28"/>
          <w:rtl w:val="true"/>
          <w:lang w:bidi="fa-IR"/>
        </w:rPr>
        <w:t>موضوع ندارد، و نقصْ تقسيط بر همه نمى شود بنابر اظهر؛ مگر آنكه پشيمان شود از ترتيب با بقاى محل آن در موارد ممكنه، پس تقسيط يا تخيير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بدون ترتيب باشد و متعلَّق وصيتْ كلّىِ پنج نفر باشد، ترجيح تخيير خالى از وجه نيست؛ و اگر پنج شخص باشد، ترجيحِ تقسيط بى وجه نيست</w:t>
      </w:r>
      <w:r>
        <w:rPr>
          <w:rFonts w:eastAsia="IRNazanin" w:cs="IRNazanin"/>
          <w:color w:val="111111"/>
          <w:sz w:val="28"/>
          <w:szCs w:val="28"/>
          <w:rtl w:val="true"/>
          <w:lang w:bidi="fa-IR"/>
        </w:rPr>
        <w:t>.</w:t>
      </w:r>
    </w:p>
    <w:p>
      <w:pPr>
        <w:pStyle w:val="Heading5"/>
        <w:numPr>
          <w:ilvl w:val="4"/>
          <w:numId w:val="1"/>
        </w:numPr>
        <w:rPr/>
      </w:pPr>
      <w:bookmarkStart w:id="2581" w:name="__RefHeading___Toc3599489_1067777946"/>
      <w:bookmarkStart w:id="2582" w:name="_Toc1065"/>
      <w:bookmarkEnd w:id="2581"/>
      <w:r>
        <w:rPr>
          <w:rtl w:val="true"/>
        </w:rPr>
        <w:t>تضادّ بين وصاياى متعدّده</w:t>
      </w:r>
      <w:bookmarkEnd w:id="2582"/>
    </w:p>
    <w:p>
      <w:pPr>
        <w:pStyle w:val="BookText"/>
        <w:rPr/>
      </w:pPr>
      <w:r>
        <w:rPr>
          <w:rFonts w:ascii="IRNazanin" w:hAnsi="IRNazanin" w:eastAsia="IRNazanin"/>
          <w:color w:val="111111"/>
          <w:sz w:val="28"/>
          <w:sz w:val="28"/>
          <w:szCs w:val="28"/>
          <w:rtl w:val="true"/>
          <w:lang w:bidi="fa-IR"/>
        </w:rPr>
        <w:t>و اگر بين وصاياى متعدده تضاد باشد، اگر چه به اين باشد كه معلوم بوده هركدام به قدر ثلث است، و محكوم به رجوع از مقدم باشد، عمل به متأخّر مى شود؛ مگر آنكه محتمل باشد متأخر به رجاى اجازۀ ورثه بوده، كه عمل به مقدّم مى شود، و مؤخّر با اجازهْ تنفيذ، و بدون آن، ابطال مى شود</w:t>
      </w:r>
      <w:r>
        <w:rPr>
          <w:rFonts w:eastAsia="IRNazanin" w:cs="IRNazanin"/>
          <w:color w:val="111111"/>
          <w:sz w:val="28"/>
          <w:szCs w:val="28"/>
          <w:rtl w:val="true"/>
          <w:lang w:bidi="fa-IR"/>
        </w:rPr>
        <w:t>.</w:t>
      </w:r>
    </w:p>
    <w:p>
      <w:pPr>
        <w:pStyle w:val="Heading5"/>
        <w:numPr>
          <w:ilvl w:val="4"/>
          <w:numId w:val="1"/>
        </w:numPr>
        <w:rPr/>
      </w:pPr>
      <w:bookmarkStart w:id="2583" w:name="__RefHeading___Toc3599491_1067777946"/>
      <w:bookmarkStart w:id="2584" w:name="_Toc1066"/>
      <w:bookmarkEnd w:id="2583"/>
      <w:r>
        <w:rPr>
          <w:rtl w:val="true"/>
        </w:rPr>
        <w:t>تنفيذ ثلث براى اوّلى و اناطۀ نفوذ زايد به اجازۀ ورثه در وصاياى مرتّبه</w:t>
      </w:r>
      <w:bookmarkEnd w:id="2584"/>
    </w:p>
    <w:p>
      <w:pPr>
        <w:pStyle w:val="BookText"/>
        <w:rPr/>
      </w:pPr>
      <w:r>
        <w:rPr>
          <w:rFonts w:ascii="IRNazanin" w:hAnsi="IRNazanin" w:eastAsia="IRNazanin"/>
          <w:color w:val="111111"/>
          <w:sz w:val="28"/>
          <w:sz w:val="28"/>
          <w:szCs w:val="28"/>
          <w:rtl w:val="true"/>
          <w:lang w:bidi="fa-IR"/>
        </w:rPr>
        <w:t>اگر وصيت كرد براى شخصى ثلث مال خود را و براى دومى ربع و براى سومى سدس را، و اجازه نكردند ورثه، فقط ثلث براى اولى تنفيذ مى شود و بقيه ابطال مى شود، مگر قرينه اى بر رجوع از وصيت متقدمه باشد كه بر حسب قرينه در خصوصِ مورد آن، عمل مى شود و سابقِ بر او، الغا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با حفظ دو ترتيب در وصيت نصف و خمس و ربع باشد، كه فقط ثلث براى صاحب نصفْ تنفيذ مى شود و بقيه ابطال مى شود، مگر با قرينه بر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همۀ مال و ثلث و سدس باشد كه براى صاحب همه، خصوص ثلث تنفيذ مى شود و بقيّه ابطال مى شود مگر با قرينه بر رجوع</w:t>
      </w:r>
      <w:r>
        <w:rPr>
          <w:rFonts w:eastAsia="IRNazanin" w:cs="IRNazanin"/>
          <w:color w:val="111111"/>
          <w:sz w:val="28"/>
          <w:szCs w:val="28"/>
          <w:rtl w:val="true"/>
          <w:lang w:bidi="fa-IR"/>
        </w:rPr>
        <w:t>.</w:t>
      </w:r>
    </w:p>
    <w:p>
      <w:pPr>
        <w:pStyle w:val="Heading5"/>
        <w:numPr>
          <w:ilvl w:val="4"/>
          <w:numId w:val="1"/>
        </w:numPr>
        <w:rPr/>
      </w:pPr>
      <w:bookmarkStart w:id="2585" w:name="__RefHeading___Toc3599493_1067777946"/>
      <w:bookmarkStart w:id="2586" w:name="_Toc1067"/>
      <w:bookmarkEnd w:id="2585"/>
      <w:r>
        <w:rPr>
          <w:rtl w:val="true"/>
        </w:rPr>
        <w:t>اتحاد و عدم اتحاد متعلّق دو وصيّت</w:t>
      </w:r>
      <w:bookmarkEnd w:id="258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وصيت كرد به ثلث مال خودش كه راجع است امر آن ثلث به خود موصى، براى زيد مثلاً، پس از آن وصيت كرد به همان ثلث با آن قيد براى عمرو، حكم به رجوع از وصيت اُولىٰ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عين شخصيه را وصيت كرد براى زيد، پس از آن </w:t>
      </w:r>
      <w:bookmarkStart w:id="2587" w:name="pg10256_89763"/>
    </w:p>
    <w:p>
      <w:pPr>
        <w:pStyle w:val="BookText"/>
        <w:rPr/>
      </w:pPr>
      <w:bookmarkEnd w:id="2587"/>
      <w:r>
        <w:rPr>
          <w:rFonts w:ascii="IRNazanin" w:hAnsi="IRNazanin" w:eastAsia="IRNazanin"/>
          <w:color w:val="111111"/>
          <w:sz w:val="28"/>
          <w:sz w:val="28"/>
          <w:szCs w:val="28"/>
          <w:rtl w:val="true"/>
          <w:lang w:bidi="fa-IR"/>
        </w:rPr>
        <w:t>وصيت كرد آن را براى عمرو، حكم به رجوع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اتحاد متعلق دو وصيت به نحو متقدّم، از قراين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 در هر وصيت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تقييد مذكور و بدون قرينه بر اتحاد، اولى تنفيذ مى شود و دومى موقوف به اجازۀ ورثه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اتحاد موصىٰ به، چه عين باشد يا كسر مشاع يا مقدار كلى، و عدم امكان جمع به جهت تضاد، دومى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اتحاد و عدم وفاى ثلث به همه، اولى تنفيذ مى شود و دومى در زايد از ثلثْ موقوف به اجازه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وصيت اُولىٰ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مالم را به فلان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ثلث مالم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آن تماماً راجع به خودم است به ديگرى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رجوع است از وصيت به آنچه راجع به خودش است، نه از اصل وصيت؛ پس تنفيذ مى شود دومى، و اولى يا مقدار زايد بر ثلث با رعايت دومى، موقوف به اجازۀ ورثه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عكس نمايد، موقوفْ دومى مى شود به نحو مذكور، چنانكه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مالم براى 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مالم براى عمرو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به واسطۀ تضاد، رجوع است؛ پس ثلث به عمرو داده مى شود بدون اجازه و دو ثلث ديگر با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براى 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مال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رجوع مى شود و ثلث براى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 بقيه براى زيد با اجازۀ ورثه</w:t>
      </w:r>
      <w:r>
        <w:rPr>
          <w:rFonts w:eastAsia="IRNazanin" w:cs="IRNazanin"/>
          <w:color w:val="111111"/>
          <w:sz w:val="28"/>
          <w:szCs w:val="28"/>
          <w:rtl w:val="true"/>
          <w:lang w:bidi="fa-IR"/>
        </w:rPr>
        <w:t>.</w:t>
      </w:r>
    </w:p>
    <w:p>
      <w:pPr>
        <w:pStyle w:val="Heading5"/>
        <w:numPr>
          <w:ilvl w:val="4"/>
          <w:numId w:val="1"/>
        </w:numPr>
        <w:rPr/>
      </w:pPr>
      <w:bookmarkStart w:id="2588" w:name="__RefHeading___Toc3599495_1067777946"/>
      <w:bookmarkStart w:id="2589" w:name="_Toc1068"/>
      <w:bookmarkEnd w:id="2588"/>
      <w:r>
        <w:rPr>
          <w:rtl w:val="true"/>
        </w:rPr>
        <w:t>شرط حكم به رجوع و لزوم اتباع قرينۀ شارحه</w:t>
      </w:r>
      <w:bookmarkEnd w:id="258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به رجوع نمى شود با علم به صدور دوّم از روى غفلت يا نسيان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كلام يا در خارج به نحو معلوم قرينه اى باشد كه شارح اختلاف است به غير از تقدم و تأخر، در مورد حكمِ به رجوع در متضادَين و حكم به تنفيذ مقدم در مورد عدم سعۀ ثلث به مجموع، همان قرينه متبع مى شود؛ پس حكم به رجوع در موردى و نفوذ مقدم در موردى، در صورت عدم علم يا حجت بر خلاف است</w:t>
      </w:r>
      <w:r>
        <w:rPr>
          <w:rFonts w:eastAsia="IRNazanin" w:cs="IRNazanin"/>
          <w:color w:val="111111"/>
          <w:sz w:val="28"/>
          <w:szCs w:val="28"/>
          <w:rtl w:val="true"/>
          <w:lang w:bidi="fa-IR"/>
        </w:rPr>
        <w:t xml:space="preserve">. </w:t>
      </w:r>
      <w:bookmarkStart w:id="2590" w:name="pg10256_89764"/>
    </w:p>
    <w:p>
      <w:pPr>
        <w:pStyle w:val="Heading5"/>
        <w:numPr>
          <w:ilvl w:val="4"/>
          <w:numId w:val="1"/>
        </w:numPr>
        <w:rPr/>
      </w:pPr>
      <w:bookmarkStart w:id="2591" w:name="__RefHeading___Toc3599497_1067777946"/>
      <w:bookmarkStart w:id="2592" w:name="_Toc1069"/>
      <w:bookmarkEnd w:id="2590"/>
      <w:bookmarkEnd w:id="2591"/>
      <w:r>
        <w:rPr>
          <w:rtl w:val="true"/>
        </w:rPr>
        <w:t>موارد تعيين با قرعه</w:t>
      </w:r>
      <w:bookmarkEnd w:id="2592"/>
    </w:p>
    <w:p>
      <w:pPr>
        <w:pStyle w:val="BookText"/>
        <w:rPr/>
      </w:pPr>
      <w:r>
        <w:rPr>
          <w:rFonts w:ascii="IRNazanin" w:hAnsi="IRNazanin" w:eastAsia="IRNazanin"/>
          <w:color w:val="111111"/>
          <w:sz w:val="28"/>
          <w:sz w:val="28"/>
          <w:szCs w:val="28"/>
          <w:rtl w:val="true"/>
          <w:lang w:bidi="fa-IR"/>
        </w:rPr>
        <w:t>و اگر وصيت مرتّب بود لكن معلوم نشد اوّل كدام است تا حكم به تقدّم آن يا به رجوع از آن بشود، احوط تعيين اوّل با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 ترتيب و ثبوت اوليّت معلوم نباشد، آن را هم مى تواند با قرعه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تعيين اوّل با قرعه، بعد از اثبات اوليّت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وصيتْ زايد بر ثلث بود و وارث، معيّنى را اجازه نكرد در مقدار زايد، لكن معلوم نشد دفعى بودن وصايا يا مرتّب بودن آن، مى تواند با قرعه استخراج نمايد؛ پس با خارج شدن دفعيّت، اظهر استحقاق وارث است رد معيّن زايد را؛ و با مرتّب بودن به حسب قرعه و خارج بودن معيّن در مقدم بالاضافه، استحقاق وارثْ رد را مقبول نيست، وگرنه مقبول است در تقدير عمل به قرعه</w:t>
      </w:r>
      <w:r>
        <w:rPr>
          <w:rFonts w:eastAsia="IRNazanin" w:cs="IRNazanin"/>
          <w:color w:val="111111"/>
          <w:sz w:val="28"/>
          <w:szCs w:val="28"/>
          <w:rtl w:val="true"/>
          <w:lang w:bidi="fa-IR"/>
        </w:rPr>
        <w:t>.</w:t>
      </w:r>
    </w:p>
    <w:p>
      <w:pPr>
        <w:pStyle w:val="Heading5"/>
        <w:numPr>
          <w:ilvl w:val="4"/>
          <w:numId w:val="1"/>
        </w:numPr>
        <w:rPr/>
      </w:pPr>
      <w:bookmarkStart w:id="2593" w:name="__RefHeading___Toc3599499_1067777946"/>
      <w:bookmarkStart w:id="2594" w:name="_Toc1070"/>
      <w:bookmarkEnd w:id="2593"/>
      <w:r>
        <w:rPr>
          <w:rtl w:val="true"/>
        </w:rPr>
        <w:t>وصيت به مملوك مشترك</w:t>
      </w:r>
      <w:bookmarkEnd w:id="2594"/>
    </w:p>
    <w:p>
      <w:pPr>
        <w:pStyle w:val="BookText"/>
        <w:rPr/>
      </w:pPr>
      <w:r>
        <w:rPr>
          <w:rFonts w:ascii="IRNazanin" w:hAnsi="IRNazanin" w:eastAsia="IRNazanin"/>
          <w:color w:val="111111"/>
          <w:sz w:val="28"/>
          <w:sz w:val="28"/>
          <w:szCs w:val="28"/>
          <w:rtl w:val="true"/>
          <w:lang w:bidi="fa-IR"/>
        </w:rPr>
        <w:t>اگر بگويد در مقام وصيت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مماليك من آزادند بعد از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مى شود مملوك مختص به او و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معتَق مى شود نصيب موصى فقط يا تقويم مى شود بر او آنچه از ثلث مال او كفايت به آن مى نمايد؟ احتياط با رضاى شريك و وارث، در تقويم مذكور است</w:t>
      </w:r>
      <w:r>
        <w:rPr>
          <w:rFonts w:eastAsia="IRNazanin" w:cs="IRNazanin"/>
          <w:color w:val="111111"/>
          <w:sz w:val="28"/>
          <w:szCs w:val="28"/>
          <w:rtl w:val="true"/>
          <w:lang w:bidi="fa-IR"/>
        </w:rPr>
        <w:t>.</w:t>
      </w:r>
    </w:p>
    <w:p>
      <w:pPr>
        <w:pStyle w:val="Heading5"/>
        <w:numPr>
          <w:ilvl w:val="4"/>
          <w:numId w:val="1"/>
        </w:numPr>
        <w:rPr/>
      </w:pPr>
      <w:bookmarkStart w:id="2595" w:name="__RefHeading___Toc3599501_1067777946"/>
      <w:bookmarkStart w:id="2596" w:name="_Toc1071"/>
      <w:bookmarkEnd w:id="2595"/>
      <w:r>
        <w:rPr>
          <w:rtl w:val="true"/>
        </w:rPr>
        <w:t>صور مختلف وصيت به يك خانه براى دو نفر</w:t>
      </w:r>
      <w:bookmarkEnd w:id="2596"/>
    </w:p>
    <w:p>
      <w:pPr>
        <w:pStyle w:val="BookText"/>
        <w:rPr/>
      </w:pPr>
      <w:r>
        <w:rPr>
          <w:rFonts w:ascii="IRNazanin" w:hAnsi="IRNazanin" w:eastAsia="IRNazanin"/>
          <w:color w:val="111111"/>
          <w:sz w:val="28"/>
          <w:sz w:val="28"/>
          <w:szCs w:val="28"/>
          <w:rtl w:val="true"/>
          <w:lang w:bidi="fa-IR"/>
        </w:rPr>
        <w:t xml:space="preserve">اگر يك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براى دو نفر يك دفعه، چه آنكه متعقّب به تفصيل باشد يا نه، براى هركدام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به تفاوت در تفصيل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تفصيل، ترتيب و اختلاف به تعيين شد، مثل آنكه بگويد در تفصيل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يكى فلان غرفۀ معينه و براى ديگرى بقيه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تعدد وصيت است در اخير، به خلاف اوّل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وحدت وصيت، اگر مجموعْ از ثلث زايد باشد، آنچه موافق ثلث </w:t>
      </w:r>
      <w:bookmarkStart w:id="2597" w:name="pg10256_89765"/>
    </w:p>
    <w:p>
      <w:pPr>
        <w:pStyle w:val="BookText"/>
        <w:rPr/>
      </w:pPr>
      <w:bookmarkEnd w:id="2597"/>
      <w:r>
        <w:rPr>
          <w:rFonts w:ascii="IRNazanin" w:hAnsi="IRNazanin" w:eastAsia="IRNazanin"/>
          <w:color w:val="111111"/>
          <w:sz w:val="28"/>
          <w:sz w:val="28"/>
          <w:szCs w:val="28"/>
          <w:rtl w:val="true"/>
          <w:lang w:bidi="fa-IR"/>
        </w:rPr>
        <w:t>است توزيع مى شود بين آنها بر طبق تفصيل، و زايدْ موقوف به اجازۀ ورثه مى شود؛ و در صورت تعدّد وصيت، نقص بر ثانى يا ثالث واقع مى شود، اگر اولى زيادتى ندارد</w:t>
      </w:r>
      <w:r>
        <w:rPr>
          <w:rFonts w:eastAsia="IRNazanin" w:cs="IRNazanin"/>
          <w:color w:val="111111"/>
          <w:sz w:val="28"/>
          <w:szCs w:val="28"/>
          <w:rtl w:val="true"/>
          <w:lang w:bidi="fa-IR"/>
        </w:rPr>
        <w:t>.</w:t>
      </w:r>
    </w:p>
    <w:p>
      <w:pPr>
        <w:pStyle w:val="Heading5"/>
        <w:numPr>
          <w:ilvl w:val="4"/>
          <w:numId w:val="1"/>
        </w:numPr>
        <w:rPr/>
      </w:pPr>
      <w:bookmarkStart w:id="2598" w:name="__RefHeading___Toc3599503_1067777946"/>
      <w:bookmarkStart w:id="2599" w:name="_Toc1072"/>
      <w:bookmarkEnd w:id="2598"/>
      <w:r>
        <w:rPr>
          <w:rtl w:val="true"/>
        </w:rPr>
        <w:t>رجوع ورثه از اجازۀ نصف با ادّعاى ظن به كمى</w:t>
      </w:r>
      <w:bookmarkEnd w:id="2599"/>
    </w:p>
    <w:p>
      <w:pPr>
        <w:pStyle w:val="BookText"/>
        <w:rPr/>
      </w:pPr>
      <w:r>
        <w:rPr>
          <w:rFonts w:ascii="IRNazanin" w:hAnsi="IRNazanin" w:eastAsia="IRNazanin"/>
          <w:color w:val="111111"/>
          <w:sz w:val="28"/>
          <w:sz w:val="28"/>
          <w:szCs w:val="28"/>
          <w:rtl w:val="true"/>
          <w:lang w:bidi="fa-IR"/>
        </w:rPr>
        <w:t>اگر وصيت به نصف مال خودش كرد و ورثه اجازه كردند، پس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كرديم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دعواى ايشان تصديق نمى شود مگر قرينۀ ظاهره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وجدان مال مفقود، تا حين الاجازه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 از ظهور لفظ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تصديق دعواى ظن به قلّت، تنفيذ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مثال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نصف مظنون ايشان به حسب دعواى ايشان، و در ثلث زايد بر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مجموعاً زايد بر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به اجازه و در بعضى به عدم احتياج به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مجموع را گمان كرديم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كه نصف مظنون است مى دهند به سبب اجازه و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ثلث مى دهند به سبب عدم حاجت به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تمام مال در كيسه بود كه گمان مى كردند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معلوم شد كه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بر خلاف ظن بوده است نوعاً به طورى كه تصديق در ادّعاى ظن خلاف شدند</w:t>
      </w:r>
      <w:r>
        <w:rPr>
          <w:rFonts w:eastAsia="IRNazanin" w:cs="IRNazanin"/>
          <w:color w:val="111111"/>
          <w:sz w:val="28"/>
          <w:szCs w:val="28"/>
          <w:rtl w:val="true"/>
          <w:lang w:bidi="fa-IR"/>
        </w:rPr>
        <w:t>.</w:t>
      </w:r>
    </w:p>
    <w:p>
      <w:pPr>
        <w:pStyle w:val="Heading5"/>
        <w:numPr>
          <w:ilvl w:val="4"/>
          <w:numId w:val="1"/>
        </w:numPr>
        <w:rPr/>
      </w:pPr>
      <w:bookmarkStart w:id="2600" w:name="__RefHeading___Toc3599505_1067777946"/>
      <w:bookmarkStart w:id="2601" w:name="_Toc1073"/>
      <w:bookmarkEnd w:id="2600"/>
      <w:r>
        <w:rPr>
          <w:rtl w:val="true"/>
        </w:rPr>
        <w:t>ادّعاى گمان تطابق مورد اجازه با ثلث</w:t>
      </w:r>
      <w:bookmarkEnd w:id="2601"/>
    </w:p>
    <w:p>
      <w:pPr>
        <w:pStyle w:val="BookText"/>
        <w:rPr/>
      </w:pPr>
      <w:r>
        <w:rPr>
          <w:rFonts w:ascii="IRNazanin" w:hAnsi="IRNazanin" w:eastAsia="IRNazanin"/>
          <w:color w:val="111111"/>
          <w:sz w:val="28"/>
          <w:sz w:val="28"/>
          <w:szCs w:val="28"/>
          <w:rtl w:val="true"/>
          <w:lang w:bidi="fa-IR"/>
        </w:rPr>
        <w:t>و اگر اصل وصيت، به معيّن بود و مورد اجازه شد، پس از آن ادّعا كردند كه گمان مى كرديم كه چندان تفاوتى با ثلث مال ندارد، پس چنانكه گذشت عمل به ظهور اجازه مى شود مگر با قرينۀ صارفه از ظهور، مثل ظهور قيمت معيّن بر خلاف مظنون، به ازيد از مسامحه، يا تبيّن عدم مظنون الوجود از تركه بعد از اجازه، يا تبيّن قلّت باقيمانده به واسطۀ ظهور دين غير معلوم در وقت اجازه</w:t>
      </w:r>
      <w:r>
        <w:rPr>
          <w:rFonts w:eastAsia="IRNazanin" w:cs="IRNazanin"/>
          <w:color w:val="111111"/>
          <w:sz w:val="28"/>
          <w:szCs w:val="28"/>
          <w:rtl w:val="true"/>
          <w:lang w:bidi="fa-IR"/>
        </w:rPr>
        <w:t>.</w:t>
      </w:r>
    </w:p>
    <w:p>
      <w:pPr>
        <w:pStyle w:val="Heading5"/>
        <w:numPr>
          <w:ilvl w:val="4"/>
          <w:numId w:val="1"/>
        </w:numPr>
        <w:rPr/>
      </w:pPr>
      <w:bookmarkStart w:id="2602" w:name="__RefHeading___Toc3599507_1067777946"/>
      <w:bookmarkStart w:id="2603" w:name="_Toc1074"/>
      <w:bookmarkEnd w:id="2602"/>
      <w:r>
        <w:rPr>
          <w:rtl w:val="true"/>
        </w:rPr>
        <w:t>تعيين موصىٰ به در ثلث و عدم تعيين آن</w:t>
      </w:r>
      <w:bookmarkEnd w:id="260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كرد به ثلث مال خود، پس اگر تعيين نمود موصىٰ به را در شخص عينى از </w:t>
      </w:r>
      <w:bookmarkStart w:id="2604" w:name="pg10256_89766"/>
    </w:p>
    <w:p>
      <w:pPr>
        <w:pStyle w:val="BookText"/>
        <w:rPr/>
      </w:pPr>
      <w:bookmarkEnd w:id="2604"/>
      <w:r>
        <w:rPr>
          <w:rFonts w:ascii="IRNazanin" w:hAnsi="IRNazanin" w:eastAsia="IRNazanin"/>
          <w:color w:val="111111"/>
          <w:sz w:val="28"/>
          <w:sz w:val="28"/>
          <w:szCs w:val="28"/>
          <w:rtl w:val="true"/>
          <w:lang w:bidi="fa-IR"/>
        </w:rPr>
        <w:t>مال خود، همان عين را موصىٰ له با قبول، بعد از موتْ مالك مى شود و كسى از ورثه بر او حق اعتراض و مطالبۀ تبديل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غير معيّن بود و قرينه اى كه رفع احتمالات نمايد نبود، پس امر داير بين آن است كه موصىٰ به كلى در معيّن يا كسر مشاع باشد؛ و ثمرۀ آنها در اين ظاهر است كه وارث مى تواند دفع نمايد هر عينى از متروكات را كه متقوّم به مقدار ثلث مجموع است؛ و اگر كسر مشاع باشد، بايد از هر فردى از اعيان متروكه، ثلث آن را دفع نمايد بعد از بنا بر عدم كفايت دفع قيمت و لزوم دفع عين متقوّمه به ثلث، و محتمل است كفايت دفع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ظهور در ماليّت مضافۀ به عين خارجيه اعتماد بشود، پس اظهر ارادۀ كلى فى المعيّن، يعنى كسر مجموع تركه است، نه كسر مشاع كه كسر جميع متروكات است؛ يعنى ارادۀ اضافۀ قيمت با تحفّظ به مضافٌ اليه و خارجيّت آن و ارادۀ اشاعۀ در جميع بعد از حمل بر آنچه در آن اضافه معتبر است، محتاج به عنايت خاصّه و قرينۀ خاصّه است و با عدم آن، حمل بر وسيع و غير مقيّد مى شود؛ پس دفعِ يكى از متروكات كه دفع آن را وارث بخواهد، كافى است</w:t>
      </w:r>
      <w:r>
        <w:rPr>
          <w:rFonts w:eastAsia="IRNazanin" w:cs="IRNazanin"/>
          <w:color w:val="111111"/>
          <w:sz w:val="28"/>
          <w:szCs w:val="28"/>
          <w:rtl w:val="true"/>
          <w:lang w:bidi="fa-IR"/>
        </w:rPr>
        <w:t>.</w:t>
      </w:r>
    </w:p>
    <w:p>
      <w:pPr>
        <w:pStyle w:val="Heading5"/>
        <w:numPr>
          <w:ilvl w:val="4"/>
          <w:numId w:val="1"/>
        </w:numPr>
        <w:rPr/>
      </w:pPr>
      <w:bookmarkStart w:id="2605" w:name="__RefHeading___Toc3599509_1067777946"/>
      <w:bookmarkStart w:id="2606" w:name="_Toc1075"/>
      <w:bookmarkEnd w:id="2605"/>
      <w:r>
        <w:rPr>
          <w:rtl w:val="true"/>
        </w:rPr>
        <w:t>در فرض مسأله اگر بعض اموال، غايب باشد</w:t>
      </w:r>
      <w:bookmarkEnd w:id="2606"/>
    </w:p>
    <w:p>
      <w:pPr>
        <w:pStyle w:val="BookText"/>
        <w:rPr/>
      </w:pPr>
      <w:r>
        <w:rPr>
          <w:rFonts w:ascii="IRNazanin" w:hAnsi="IRNazanin" w:eastAsia="IRNazanin"/>
          <w:color w:val="111111"/>
          <w:sz w:val="28"/>
          <w:sz w:val="28"/>
          <w:szCs w:val="28"/>
          <w:rtl w:val="true"/>
          <w:lang w:bidi="fa-IR"/>
        </w:rPr>
        <w:t>و اگر براى ميّت اموالى باشد كه بعض آنها غايب است و ممكن و متوقّع الوصول به موصىٰ له هست، پس فرقى با ساير اموال ندارد؛ و اگر مستلزم تضرر مالى او باشد تأخير وصول، پس احتياط در توافق بين ورثه و موصىٰ له ترك نشود، در غير صورتى كه مستحَق او قيمت محضه باشد يا كسر مشاع در جميع باشد بلكه كسر مشاع در مجموع و به نحو كلى در معيّن باشد، كه حكم غير اين صورت اخيره، واضح است و احتياط، به توافق در صورت اخيره است</w:t>
      </w:r>
      <w:r>
        <w:rPr>
          <w:rFonts w:eastAsia="IRNazanin" w:cs="IRNazanin"/>
          <w:color w:val="111111"/>
          <w:sz w:val="28"/>
          <w:szCs w:val="28"/>
          <w:rtl w:val="true"/>
          <w:lang w:bidi="fa-IR"/>
        </w:rPr>
        <w:t>.</w:t>
      </w:r>
    </w:p>
    <w:p>
      <w:pPr>
        <w:pStyle w:val="Heading5"/>
        <w:numPr>
          <w:ilvl w:val="4"/>
          <w:numId w:val="1"/>
        </w:numPr>
        <w:rPr/>
      </w:pPr>
      <w:bookmarkStart w:id="2607" w:name="__RefHeading___Toc3599511_1067777946"/>
      <w:bookmarkStart w:id="2608" w:name="_Toc1076"/>
      <w:bookmarkEnd w:id="2607"/>
      <w:r>
        <w:rPr>
          <w:rtl w:val="true"/>
        </w:rPr>
        <w:t>وصيّت به معيّنِ مطابق با ثلث و فرض غايب بودن بعض در اين فرض</w:t>
      </w:r>
      <w:bookmarkEnd w:id="260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به معيّنى از اموال خودش نمود و آن معيّن به قدر ثلث بود، نافذ است در </w:t>
      </w:r>
      <w:bookmarkStart w:id="2609" w:name="pg10256_89767"/>
    </w:p>
    <w:p>
      <w:pPr>
        <w:pStyle w:val="BookText"/>
        <w:rPr/>
      </w:pPr>
      <w:bookmarkEnd w:id="2609"/>
      <w:r>
        <w:rPr>
          <w:rFonts w:ascii="IRNazanin" w:hAnsi="IRNazanin" w:eastAsia="IRNazanin"/>
          <w:color w:val="111111"/>
          <w:sz w:val="28"/>
          <w:sz w:val="28"/>
          <w:szCs w:val="28"/>
          <w:rtl w:val="true"/>
          <w:lang w:bidi="fa-IR"/>
        </w:rPr>
        <w:t>اصل و در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اگر بعض اموال ميّتْ غايب بود، پس اعتبار در ثلث، به مجموع اموال حاضره است، و زيادتى موصىٰ به از آنها مراعىٰ به وصول غايب به ورثه و موصىٰ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وصول آن زيادتى، تا به مقدار ثلث مجموع اموال اعم از آن غايب، به موصىٰ له ادا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معلوميّت تلف غايب يا وصول آن، آن زيادتى، مردّد است مملوكيت آن براى وارث يا موصىٰ له، و در نزد امينى گذاشته مى شود تا زمان علم به تعيّن مالك آن</w:t>
      </w:r>
      <w:r>
        <w:rPr>
          <w:rFonts w:eastAsia="IRNazanin" w:cs="IRNazanin"/>
          <w:color w:val="111111"/>
          <w:sz w:val="28"/>
          <w:szCs w:val="28"/>
          <w:rtl w:val="true"/>
          <w:lang w:bidi="fa-IR"/>
        </w:rPr>
        <w:t>.</w:t>
      </w:r>
    </w:p>
    <w:p>
      <w:pPr>
        <w:pStyle w:val="Heading5"/>
        <w:numPr>
          <w:ilvl w:val="4"/>
          <w:numId w:val="1"/>
        </w:numPr>
        <w:rPr/>
      </w:pPr>
      <w:bookmarkStart w:id="2610" w:name="__RefHeading___Toc3599513_1067777946"/>
      <w:bookmarkStart w:id="2611" w:name="_Toc1077"/>
      <w:bookmarkEnd w:id="2610"/>
      <w:r>
        <w:rPr>
          <w:rtl w:val="true"/>
        </w:rPr>
        <w:t>وصيّت به ثلث و ظهور عدم مالكيّت دو ثلث ديگر</w:t>
      </w:r>
      <w:bookmarkEnd w:id="2611"/>
    </w:p>
    <w:p>
      <w:pPr>
        <w:pStyle w:val="BookText"/>
        <w:rPr/>
      </w:pPr>
      <w:r>
        <w:rPr>
          <w:rFonts w:ascii="IRNazanin" w:hAnsi="IRNazanin" w:eastAsia="IRNazanin"/>
          <w:color w:val="111111"/>
          <w:sz w:val="28"/>
          <w:sz w:val="28"/>
          <w:szCs w:val="28"/>
          <w:rtl w:val="true"/>
          <w:lang w:bidi="fa-IR"/>
        </w:rPr>
        <w:t>اگر وصيت كرد به ثلث عبد معيّن يا خانۀ معيّن، پس ظاهر شد دو ثلث ديگر، مملوكِ غيرِ موصى است، محمول است وصيت بر ثلث مملوك موصى در صورت وفاى تركه به آن ثلث، وگرنه تنفيذ مى شود مقدارى از ثلث عبد كه زايد بر ثلث مجموع اموال ميّت نيست، مگر با اجازۀ ورثه در زايد بر آن</w:t>
      </w:r>
      <w:r>
        <w:rPr>
          <w:rFonts w:eastAsia="IRNazanin" w:cs="IRNazanin"/>
          <w:color w:val="111111"/>
          <w:sz w:val="28"/>
          <w:szCs w:val="28"/>
          <w:rtl w:val="true"/>
          <w:lang w:bidi="fa-IR"/>
        </w:rPr>
        <w:t>.</w:t>
      </w:r>
    </w:p>
    <w:p>
      <w:pPr>
        <w:pStyle w:val="Heading5"/>
        <w:numPr>
          <w:ilvl w:val="4"/>
          <w:numId w:val="1"/>
        </w:numPr>
        <w:rPr/>
      </w:pPr>
      <w:bookmarkStart w:id="2612" w:name="__RefHeading___Toc3599515_1067777946"/>
      <w:bookmarkStart w:id="2613" w:name="_Toc1078"/>
      <w:bookmarkEnd w:id="2612"/>
      <w:r>
        <w:rPr>
          <w:rtl w:val="true"/>
        </w:rPr>
        <w:t>وصيّت به لفظ مشترك بين حرام و حلال</w:t>
      </w:r>
      <w:bookmarkEnd w:id="2613"/>
    </w:p>
    <w:p>
      <w:pPr>
        <w:pStyle w:val="BookText"/>
        <w:rPr/>
      </w:pPr>
      <w:r>
        <w:rPr>
          <w:rFonts w:ascii="IRNazanin" w:hAnsi="IRNazanin" w:eastAsia="IRNazanin"/>
          <w:color w:val="111111"/>
          <w:sz w:val="28"/>
          <w:sz w:val="28"/>
          <w:szCs w:val="28"/>
          <w:rtl w:val="true"/>
          <w:lang w:bidi="fa-IR"/>
        </w:rPr>
        <w:t>اگر وصيت كرد به چيزى كه اسم آن بر محلَّل و محرَّم اطلاق مى شود، محمول بر قسم محلّل مى شود، مثل وصيت به عود و به كلب، در صورتى كه ظهورى نباشد كه تعيين قسم محرّم نمايد</w:t>
      </w:r>
      <w:r>
        <w:rPr>
          <w:rFonts w:eastAsia="IRNazanin" w:cs="IRNazanin"/>
          <w:color w:val="111111"/>
          <w:sz w:val="28"/>
          <w:szCs w:val="28"/>
          <w:rtl w:val="true"/>
          <w:lang w:bidi="fa-IR"/>
        </w:rPr>
        <w:t>.</w:t>
      </w:r>
    </w:p>
    <w:p>
      <w:pPr>
        <w:pStyle w:val="Heading5"/>
        <w:numPr>
          <w:ilvl w:val="4"/>
          <w:numId w:val="1"/>
        </w:numPr>
        <w:rPr/>
      </w:pPr>
      <w:bookmarkStart w:id="2614" w:name="__RefHeading___Toc3599517_1067777946"/>
      <w:bookmarkStart w:id="2615" w:name="_Toc1079"/>
      <w:bookmarkEnd w:id="2614"/>
      <w:r>
        <w:rPr>
          <w:rtl w:val="true"/>
        </w:rPr>
        <w:t>وصيّت به مشترك بين منفعت محلّله و محرّمه</w:t>
      </w:r>
      <w:bookmarkEnd w:id="261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وصيت كرد به معيّنى كه مشترك بين منفعت محرّمه و محلّله است، پس اگر منفعت ظاهرهْ محلّل است، نافذ است مگر با قصد منفعت محرّمه به طورى كه اعانت بر اثم باشد؛ و اگر منفعت ظاهرهْ محرم است، نافذ نيست مگر با قصد منفعت محلّله و وثوق به آن انتفاع و خروج از صدق اعانت بر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ظاهر نيست، پس داير مدار صدق اعانت است، چنانكه مقصود باشد حرام از غير و معلوم باشد تحقّق آن، وگرنه اقربْ نفوذ است با خروج از اعانت محرّمه</w:t>
      </w:r>
      <w:r>
        <w:rPr>
          <w:rFonts w:eastAsia="IRNazanin" w:cs="IRNazanin"/>
          <w:color w:val="111111"/>
          <w:sz w:val="28"/>
          <w:szCs w:val="28"/>
          <w:rtl w:val="true"/>
          <w:lang w:bidi="fa-IR"/>
        </w:rPr>
        <w:t xml:space="preserve">. </w:t>
      </w:r>
      <w:bookmarkStart w:id="2616" w:name="pg10256_89768"/>
    </w:p>
    <w:p>
      <w:pPr>
        <w:pStyle w:val="BookText"/>
        <w:rPr/>
      </w:pPr>
      <w:bookmarkEnd w:id="2616"/>
      <w:r>
        <w:rPr>
          <w:rFonts w:ascii="IRNazanin" w:hAnsi="IRNazanin" w:eastAsia="IRNazanin"/>
          <w:color w:val="111111"/>
          <w:sz w:val="28"/>
          <w:sz w:val="28"/>
          <w:szCs w:val="28"/>
          <w:rtl w:val="true"/>
          <w:lang w:bidi="fa-IR"/>
        </w:rPr>
        <w:t>و اگر ممكن باشد ازالۀ صفت محرّمه كه با آن انتفاع به حرام مى شود با صدق اسم موصىٰ به، مانعى از نفوذ با تغيير لازم در وقت دفع به موصىٰ 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نيست مگر با ازالۀ اسم، پس ظاهرْ بطلان وصيت است، مگر با تعلق قصد به منفعت نادرۀ مترتّبه بر مادّه و وثوق به تحقق آن و خروج از اعانت محرّمه و اقامۀ قرينه بر ارادۀ منفعت محللۀ مترتبۀ بر ماده، بنابر احوط</w:t>
      </w:r>
      <w:r>
        <w:rPr>
          <w:rFonts w:eastAsia="IRNazanin" w:cs="IRNazanin"/>
          <w:color w:val="111111"/>
          <w:sz w:val="28"/>
          <w:szCs w:val="28"/>
          <w:rtl w:val="true"/>
          <w:lang w:bidi="fa-IR"/>
        </w:rPr>
        <w:t>.</w:t>
      </w:r>
    </w:p>
    <w:p>
      <w:pPr>
        <w:pStyle w:val="Heading5"/>
        <w:numPr>
          <w:ilvl w:val="4"/>
          <w:numId w:val="1"/>
        </w:numPr>
        <w:rPr/>
      </w:pPr>
      <w:bookmarkStart w:id="2617" w:name="__RefHeading___Toc3599519_1067777946"/>
      <w:bookmarkStart w:id="2618" w:name="_Toc1080"/>
      <w:bookmarkEnd w:id="2617"/>
      <w:r>
        <w:rPr>
          <w:rtl w:val="true"/>
        </w:rPr>
        <w:t>وصيّت به كلاب مملوكه</w:t>
      </w:r>
      <w:bookmarkEnd w:id="2618"/>
    </w:p>
    <w:p>
      <w:pPr>
        <w:pStyle w:val="BookText"/>
        <w:rPr/>
      </w:pPr>
      <w:r>
        <w:rPr>
          <w:rFonts w:ascii="IRNazanin" w:hAnsi="IRNazanin" w:eastAsia="IRNazanin"/>
          <w:color w:val="111111"/>
          <w:sz w:val="28"/>
          <w:sz w:val="28"/>
          <w:szCs w:val="28"/>
          <w:rtl w:val="true"/>
          <w:lang w:bidi="fa-IR"/>
        </w:rPr>
        <w:t xml:space="preserve">وصيت صحيح است به كلاب مملوكه مثل كلب صيد و ماشيه و حايط و زرع بلكه به قابل تعلّم از كلاب و قابل امساك، براى مصالح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بنا بر مملوكيت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وثوق به صرف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به تحصيل آنها به عنوان صلح يا بعضى از آنچه از تركه است، نافذ است بنابر اظهر</w:t>
      </w:r>
      <w:r>
        <w:rPr>
          <w:rFonts w:eastAsia="IRNazanin" w:cs="IRNazanin"/>
          <w:color w:val="111111"/>
          <w:sz w:val="28"/>
          <w:szCs w:val="28"/>
          <w:rtl w:val="true"/>
          <w:lang w:bidi="fa-IR"/>
        </w:rPr>
        <w:t>.</w:t>
      </w:r>
    </w:p>
    <w:p>
      <w:pPr>
        <w:pStyle w:val="Heading4"/>
        <w:numPr>
          <w:ilvl w:val="3"/>
          <w:numId w:val="1"/>
        </w:numPr>
        <w:rPr/>
      </w:pPr>
      <w:bookmarkStart w:id="2619" w:name="__RefHeading___Toc3599521_1067777946"/>
      <w:bookmarkStart w:id="2620" w:name="_Toc1081"/>
      <w:bookmarkEnd w:id="2619"/>
      <w:r>
        <w:rPr/>
        <w:t>2</w:t>
      </w:r>
      <w:r>
        <w:rPr>
          <w:rtl w:val="true"/>
        </w:rPr>
        <w:t xml:space="preserve">. </w:t>
      </w:r>
      <w:r>
        <w:rPr>
          <w:rtl w:val="true"/>
        </w:rPr>
        <w:t>در وصاياى مبهمه در لغت و عرف است</w:t>
      </w:r>
      <w:bookmarkEnd w:id="2620"/>
    </w:p>
    <w:p>
      <w:pPr>
        <w:pStyle w:val="Heading5"/>
        <w:numPr>
          <w:ilvl w:val="4"/>
          <w:numId w:val="1"/>
        </w:numPr>
        <w:rPr/>
      </w:pPr>
      <w:bookmarkStart w:id="2621" w:name="__RefHeading___Toc3599523_1067777946"/>
      <w:bookmarkStart w:id="2622" w:name="_Toc1082"/>
      <w:bookmarkEnd w:id="2621"/>
      <w:r>
        <w:rPr>
          <w:rtl w:val="true"/>
        </w:rPr>
        <w:t>وصيّت به جزئى از مال</w:t>
      </w:r>
      <w:bookmarkEnd w:id="2622"/>
    </w:p>
    <w:p>
      <w:pPr>
        <w:pStyle w:val="BookText"/>
        <w:rPr/>
      </w:pPr>
      <w:r>
        <w:rPr>
          <w:rFonts w:ascii="IRNazanin" w:hAnsi="IRNazanin" w:eastAsia="IRNazanin"/>
          <w:color w:val="111111"/>
          <w:sz w:val="28"/>
          <w:sz w:val="28"/>
          <w:szCs w:val="28"/>
          <w:rtl w:val="true"/>
          <w:lang w:bidi="fa-IR"/>
        </w:rPr>
        <w:t xml:space="preserve">اگر وصيت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 پس آنچه معلوم باشد از قراينْ ارادۀ موصى، عمل به آن مى شود؛ و در صورت عدم علم و عدم ظنِ معتبر نسبت به خصوصيتى و نسبت به ايكال امر به اختيار وصى يا وارث يا مجموع، احوط عدم خروج است از تطبيقات كتابيّه كه عُشر 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طيور و ابواب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صورتى كه عشر قابل امتثال وصيت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تعيين يكى از اين دو بنظر حاكم است بلكه موكول بودن امر بنظر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نايب امام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تنازع، كه اختلاف بين وارث و موصىٰ له در اين مقام از آنها است، خالى از وجه نيست؛ اگر چه براى حاكمْ عدم خروج از اين دو احتياط است با امكان هر دو و عدم تعلّق نظر خصوصى به ملاحظۀ خصوصيات شخصيۀ وصيت، بر خلاف</w:t>
      </w:r>
      <w:r>
        <w:rPr>
          <w:rFonts w:eastAsia="IRNazanin" w:cs="IRNazanin"/>
          <w:color w:val="111111"/>
          <w:sz w:val="28"/>
          <w:szCs w:val="28"/>
          <w:rtl w:val="true"/>
          <w:lang w:bidi="fa-IR"/>
        </w:rPr>
        <w:t xml:space="preserve">. </w:t>
      </w:r>
      <w:bookmarkStart w:id="2623" w:name="pg10256_89769"/>
    </w:p>
    <w:p>
      <w:pPr>
        <w:pStyle w:val="Heading5"/>
        <w:numPr>
          <w:ilvl w:val="4"/>
          <w:numId w:val="1"/>
        </w:numPr>
        <w:rPr/>
      </w:pPr>
      <w:bookmarkStart w:id="2624" w:name="__RefHeading___Toc3599525_1067777946"/>
      <w:bookmarkStart w:id="2625" w:name="_Toc1083"/>
      <w:bookmarkEnd w:id="2623"/>
      <w:bookmarkEnd w:id="2624"/>
      <w:r>
        <w:rPr>
          <w:rtl w:val="true"/>
        </w:rPr>
        <w:t>وصيّت به سهم و شيء</w:t>
      </w:r>
      <w:bookmarkEnd w:id="2625"/>
    </w:p>
    <w:p>
      <w:pPr>
        <w:pStyle w:val="BookText"/>
        <w:rPr/>
      </w:pPr>
      <w:r>
        <w:rPr>
          <w:rFonts w:ascii="IRNazanin" w:hAnsi="IRNazanin" w:eastAsia="IRNazanin"/>
          <w:color w:val="111111"/>
          <w:sz w:val="28"/>
          <w:sz w:val="28"/>
          <w:szCs w:val="28"/>
          <w:rtl w:val="true"/>
          <w:lang w:bidi="fa-IR"/>
        </w:rPr>
        <w:t xml:space="preserve">و محمول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ثُمن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سدس مال، با همان شروط و خصوصيات مذكوره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 جريان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 از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شيئى از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تحفظ بر آنچه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آنها كه مضافٌ اليه است</w:t>
      </w:r>
      <w:r>
        <w:rPr>
          <w:rFonts w:eastAsia="IRNazanin" w:cs="IRNazanin"/>
          <w:color w:val="111111"/>
          <w:sz w:val="28"/>
          <w:szCs w:val="28"/>
          <w:rtl w:val="true"/>
          <w:lang w:bidi="fa-IR"/>
        </w:rPr>
        <w:t>.</w:t>
      </w:r>
    </w:p>
    <w:p>
      <w:pPr>
        <w:pStyle w:val="Heading5"/>
        <w:numPr>
          <w:ilvl w:val="4"/>
          <w:numId w:val="1"/>
        </w:numPr>
        <w:rPr/>
      </w:pPr>
      <w:bookmarkStart w:id="2626" w:name="__RefHeading___Toc3599527_1067777946"/>
      <w:bookmarkStart w:id="2627" w:name="_Toc1084"/>
      <w:bookmarkEnd w:id="2626"/>
      <w:r>
        <w:rPr>
          <w:rtl w:val="true"/>
        </w:rPr>
        <w:t>وصيّت به وجوه خاصۀ خير و فراموشى وصى و</w:t>
      </w:r>
      <w:r>
        <w:rPr>
          <w:rtl w:val="true"/>
        </w:rPr>
        <w:t>...</w:t>
      </w:r>
      <w:bookmarkEnd w:id="2627"/>
    </w:p>
    <w:p>
      <w:pPr>
        <w:pStyle w:val="BookText"/>
        <w:rPr/>
      </w:pPr>
      <w:r>
        <w:rPr>
          <w:rFonts w:ascii="IRNazanin" w:hAnsi="IRNazanin" w:eastAsia="IRNazanin"/>
          <w:color w:val="111111"/>
          <w:sz w:val="28"/>
          <w:sz w:val="28"/>
          <w:szCs w:val="28"/>
          <w:rtl w:val="true"/>
          <w:lang w:bidi="fa-IR"/>
        </w:rPr>
        <w:t>اگر وصيت كرد به وجوه خاصه از ابواب برّ، پس وصى فراموش كرد بعض آنها را يا آنكه دفتر متضمن خصوصيات آنها مفقود شد و مأيوس از بدست آمدن و معرفت آنها شد، صرف مى نمايد مربوط به خصوص منسى را در ابواب برّ كه از آن جمله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نسيان كل و بعض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صورت تعذّر صرف بدون نسيان، در صورتى كه كاشف از بطلان وصيت در اصل نباشد، وگرنه بر مى گردد به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منسى مردّد بين امور محصوره باشد و ممكن نباشد تعيين آن، احتيال در موافقت با ارادۀ موصى مى نمايند با قرعه يا توزيع يا مصالحه</w:t>
      </w:r>
      <w:r>
        <w:rPr>
          <w:rFonts w:eastAsia="IRNazanin" w:cs="IRNazanin"/>
          <w:color w:val="111111"/>
          <w:sz w:val="28"/>
          <w:szCs w:val="28"/>
          <w:rtl w:val="true"/>
          <w:lang w:bidi="fa-IR"/>
        </w:rPr>
        <w:t>.</w:t>
      </w:r>
    </w:p>
    <w:p>
      <w:pPr>
        <w:pStyle w:val="Heading5"/>
        <w:numPr>
          <w:ilvl w:val="4"/>
          <w:numId w:val="1"/>
        </w:numPr>
        <w:rPr/>
      </w:pPr>
      <w:bookmarkStart w:id="2628" w:name="__RefHeading___Toc3599529_1067777946"/>
      <w:bookmarkStart w:id="2629" w:name="_Toc1085"/>
      <w:bookmarkEnd w:id="2628"/>
      <w:r>
        <w:rPr>
          <w:rtl w:val="true"/>
        </w:rPr>
        <w:t>حكم ضمايم و ملحقات مورد وصيت</w:t>
      </w:r>
      <w:bookmarkEnd w:id="2629"/>
    </w:p>
    <w:p>
      <w:pPr>
        <w:pStyle w:val="BookText"/>
        <w:rPr/>
      </w:pPr>
      <w:r>
        <w:rPr>
          <w:rFonts w:ascii="IRNazanin" w:hAnsi="IRNazanin" w:eastAsia="IRNazanin"/>
          <w:color w:val="111111"/>
          <w:sz w:val="28"/>
          <w:sz w:val="28"/>
          <w:szCs w:val="28"/>
          <w:rtl w:val="true"/>
          <w:lang w:bidi="fa-IR"/>
        </w:rPr>
        <w:t>اگر وصيت به شمشير معيّنى كرد و براى آن غلاف و زينتى بود، همۀ آنها داخل در وصيت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خنجر و كارد با پوشش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وصيّت به مطلق شمشير مثلاً بود، غلاف هم موصىٰ به به تبعيت است مگر قرينه بر خلاف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صندوق يا سفينه يا ظرفى كه متاعى يا قماشى در آن محفوظ است، مورد وصيت شد، داخل در وصيت مى شود مظروف هر قدر باشد مادام كه مجموع ظرف و مظروف، ازيد از ثلث متروكات به غير اجازۀ ورثه در زايد بر ثلث نباشد، مگر آنكه قرينه بر اختصاص وصيت به ظرف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2630" w:name="pg10256_89770"/>
    </w:p>
    <w:p>
      <w:pPr>
        <w:pStyle w:val="Heading5"/>
        <w:numPr>
          <w:ilvl w:val="4"/>
          <w:numId w:val="1"/>
        </w:numPr>
        <w:rPr/>
      </w:pPr>
      <w:bookmarkStart w:id="2631" w:name="__RefHeading___Toc3599531_1067777946"/>
      <w:bookmarkStart w:id="2632" w:name="_Toc1086"/>
      <w:bookmarkEnd w:id="2630"/>
      <w:bookmarkEnd w:id="2631"/>
      <w:r>
        <w:rPr>
          <w:rtl w:val="true"/>
        </w:rPr>
        <w:t>وصيّت به اخراج بعض ورثه از ميراث</w:t>
      </w:r>
      <w:bookmarkEnd w:id="2632"/>
    </w:p>
    <w:p>
      <w:pPr>
        <w:pStyle w:val="BookText"/>
        <w:rPr/>
      </w:pPr>
      <w:r>
        <w:rPr>
          <w:rFonts w:ascii="IRNazanin" w:hAnsi="IRNazanin" w:eastAsia="IRNazanin"/>
          <w:color w:val="111111"/>
          <w:sz w:val="28"/>
          <w:sz w:val="28"/>
          <w:szCs w:val="28"/>
          <w:rtl w:val="true"/>
          <w:lang w:bidi="fa-IR"/>
        </w:rPr>
        <w:t>اگر وصيت كرد به اخراج بعض ورثه از ميراث، نافذ است اين وصيت در خصوص ثلث متروكات، پس ثلث تماماً اختصاص داده مى شود به ساير ورثه كه در عرض مُخرَج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وارثْ منحصر به مُخرَج بود، ثلث منحصر مى شود به وارث طولى مُخرَج بنابر اظهر</w:t>
      </w:r>
      <w:r>
        <w:rPr>
          <w:rFonts w:eastAsia="IRNazanin" w:cs="IRNazanin"/>
          <w:color w:val="111111"/>
          <w:sz w:val="28"/>
          <w:szCs w:val="28"/>
          <w:rtl w:val="true"/>
          <w:lang w:bidi="fa-IR"/>
        </w:rPr>
        <w:t>.</w:t>
      </w:r>
    </w:p>
    <w:p>
      <w:pPr>
        <w:pStyle w:val="Heading5"/>
        <w:numPr>
          <w:ilvl w:val="4"/>
          <w:numId w:val="1"/>
        </w:numPr>
        <w:rPr/>
      </w:pPr>
      <w:bookmarkStart w:id="2633" w:name="__RefHeading___Toc3599533_1067777946"/>
      <w:bookmarkStart w:id="2634" w:name="_Toc1087"/>
      <w:bookmarkEnd w:id="2633"/>
      <w:r>
        <w:rPr>
          <w:rtl w:val="true"/>
        </w:rPr>
        <w:t>وصيّت به لفظ مطلق و مال عظيم و كثير</w:t>
      </w:r>
      <w:bookmarkEnd w:id="2634"/>
    </w:p>
    <w:p>
      <w:pPr>
        <w:pStyle w:val="BookText"/>
        <w:rPr/>
      </w:pPr>
      <w:r>
        <w:rPr>
          <w:rFonts w:ascii="IRNazanin" w:hAnsi="IRNazanin" w:eastAsia="IRNazanin"/>
          <w:color w:val="111111"/>
          <w:sz w:val="28"/>
          <w:sz w:val="28"/>
          <w:szCs w:val="28"/>
          <w:rtl w:val="true"/>
          <w:lang w:bidi="fa-IR"/>
        </w:rPr>
        <w:t>اگر وصيت كرد به لفظ مطلق، عمل به اطلاق آن مى شود و وارث مخيّر است در مصاديق آن كه متموّل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متعذر شد مراجعه به وارث، اكتفاى به اقلّ مصاديق كه متموّل باشد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وصيت بود، پس زايد بر تموّلِ فارقِ بين عظيم و حقير، لازم است رعايت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w:t>
      </w:r>
      <w:r>
        <w:rPr>
          <w:rFonts w:eastAsia="IRNazanin" w:cs="IRNazanin"/>
          <w:color w:val="111111"/>
          <w:sz w:val="28"/>
          <w:szCs w:val="28"/>
          <w:rtl w:val="true"/>
          <w:lang w:bidi="fa-IR"/>
        </w:rPr>
        <w:t>.</w:t>
      </w:r>
    </w:p>
    <w:p>
      <w:pPr>
        <w:pStyle w:val="Heading5"/>
        <w:numPr>
          <w:ilvl w:val="4"/>
          <w:numId w:val="1"/>
        </w:numPr>
        <w:rPr/>
      </w:pPr>
      <w:bookmarkStart w:id="2635" w:name="__RefHeading___Toc3599535_1067777946"/>
      <w:bookmarkStart w:id="2636" w:name="_Toc1088"/>
      <w:bookmarkEnd w:id="2635"/>
      <w:r>
        <w:rPr>
          <w:rtl w:val="true"/>
        </w:rPr>
        <w:t>مرتبۀ افضل در وصيت</w:t>
      </w:r>
      <w:bookmarkEnd w:id="2636"/>
    </w:p>
    <w:p>
      <w:pPr>
        <w:pStyle w:val="BookText"/>
        <w:rPr/>
      </w:pPr>
      <w:r>
        <w:rPr>
          <w:rFonts w:ascii="IRNazanin" w:hAnsi="IRNazanin" w:eastAsia="IRNazanin"/>
          <w:color w:val="111111"/>
          <w:sz w:val="28"/>
          <w:sz w:val="28"/>
          <w:szCs w:val="28"/>
          <w:rtl w:val="true"/>
          <w:lang w:bidi="fa-IR"/>
        </w:rPr>
        <w:t>و در افضليت كدام مرتبه از خمس و ربع و ثلث در مقام وصيت،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رعايت زايد بر غناى ورثه، افضل باشد از عدم آن؛ و در اين مرتبه، با مرجحات ديگر، موصى ملاحظۀ تقليل در حدّ و عدم آن نمايد و تعيين حدّ نمايد افضل باشد؛ و در صورت عدم مرجّحات شخصيه، اختيار مرتبۀ نازله از مذكورات، افضل باشد</w:t>
      </w:r>
      <w:r>
        <w:rPr>
          <w:rFonts w:eastAsia="IRNazanin" w:cs="IRNazanin"/>
          <w:color w:val="111111"/>
          <w:sz w:val="28"/>
          <w:szCs w:val="28"/>
          <w:rtl w:val="true"/>
          <w:lang w:bidi="fa-IR"/>
        </w:rPr>
        <w:t>.</w:t>
      </w:r>
    </w:p>
    <w:p>
      <w:pPr>
        <w:pStyle w:val="Heading5"/>
        <w:numPr>
          <w:ilvl w:val="4"/>
          <w:numId w:val="1"/>
        </w:numPr>
        <w:rPr/>
      </w:pPr>
      <w:bookmarkStart w:id="2637" w:name="__RefHeading___Toc3599537_1067777946"/>
      <w:bookmarkStart w:id="2638" w:name="_Toc1089"/>
      <w:bookmarkEnd w:id="2637"/>
      <w:r>
        <w:rPr>
          <w:rtl w:val="true"/>
        </w:rPr>
        <w:t>ادّعاى موصىٰ له چيزى را در قصد و ارادۀ موصىٖ‌</w:t>
      </w:r>
      <w:bookmarkEnd w:id="263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 كرد موصىٰ له تعيين چيزى را به قصد موصى و اراده اش از لفظ مطلق، پس مثل ادّعاى وصيت بر زايد بر متفق عليه، قول وارث با يمين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يمين وارث بر نفى علم كافى است، چنانچه لازم است، بنابر اظهر از تعين فصل خصومت به يمين، در ظرف عدم بيّنه</w:t>
      </w:r>
      <w:r>
        <w:rPr>
          <w:rFonts w:eastAsia="IRNazanin" w:cs="IRNazanin"/>
          <w:color w:val="111111"/>
          <w:sz w:val="28"/>
          <w:szCs w:val="28"/>
          <w:rtl w:val="true"/>
          <w:lang w:bidi="fa-IR"/>
        </w:rPr>
        <w:t xml:space="preserve">. </w:t>
      </w:r>
      <w:bookmarkStart w:id="2639" w:name="pg10256_89771"/>
    </w:p>
    <w:p>
      <w:pPr>
        <w:pStyle w:val="Heading4"/>
        <w:numPr>
          <w:ilvl w:val="3"/>
          <w:numId w:val="1"/>
        </w:numPr>
        <w:rPr/>
      </w:pPr>
      <w:bookmarkStart w:id="2640" w:name="__RefHeading___Toc3599539_1067777946"/>
      <w:bookmarkStart w:id="2641" w:name="_Toc1090"/>
      <w:bookmarkEnd w:id="2639"/>
      <w:bookmarkEnd w:id="2640"/>
      <w:r>
        <w:rPr/>
        <w:t>3</w:t>
      </w:r>
      <w:r>
        <w:rPr>
          <w:rtl w:val="true"/>
        </w:rPr>
        <w:t xml:space="preserve">. </w:t>
      </w:r>
      <w:r>
        <w:rPr>
          <w:rtl w:val="true"/>
        </w:rPr>
        <w:t>در احكام وصيت است</w:t>
      </w:r>
      <w:bookmarkEnd w:id="2641"/>
    </w:p>
    <w:p>
      <w:pPr>
        <w:pStyle w:val="Heading5"/>
        <w:numPr>
          <w:ilvl w:val="4"/>
          <w:numId w:val="1"/>
        </w:numPr>
        <w:rPr/>
      </w:pPr>
      <w:bookmarkStart w:id="2642" w:name="__RefHeading___Toc3599541_1067777946"/>
      <w:bookmarkStart w:id="2643" w:name="_Toc1091"/>
      <w:bookmarkEnd w:id="2642"/>
      <w:r>
        <w:rPr>
          <w:rtl w:val="true"/>
        </w:rPr>
        <w:t>اشاره</w:t>
      </w:r>
      <w:bookmarkEnd w:id="2643"/>
    </w:p>
    <w:p>
      <w:pPr>
        <w:pStyle w:val="BookText"/>
        <w:rPr/>
      </w:pPr>
      <w:r>
        <w:rPr>
          <w:rFonts w:ascii="IRNazanin" w:hAnsi="IRNazanin" w:eastAsia="IRNazanin"/>
          <w:color w:val="111111"/>
          <w:sz w:val="28"/>
          <w:sz w:val="28"/>
          <w:szCs w:val="28"/>
          <w:rtl w:val="true"/>
          <w:lang w:bidi="fa-IR"/>
        </w:rPr>
        <w:t>گذشت حكم وصيتى كه مضادّ فى نفسه با وصيت سابقه باشد و حكم بنفوذ اخيره كه رجوع به آن محقّق مى شود؛ و آنكه اگر تمانع در ثلث غير وافى به هر دو باشد، ابتداى به اوّل مى شود در تنفيذ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بيان بعض فروع متناسبه با اين دو صورت</w:t>
      </w:r>
      <w:r>
        <w:rPr>
          <w:rFonts w:eastAsia="IRNazanin" w:cs="IRNazanin"/>
          <w:color w:val="111111"/>
          <w:sz w:val="28"/>
          <w:szCs w:val="28"/>
          <w:rtl w:val="true"/>
          <w:lang w:bidi="fa-IR"/>
        </w:rPr>
        <w:t>.</w:t>
      </w:r>
    </w:p>
    <w:p>
      <w:pPr>
        <w:pStyle w:val="Heading5"/>
        <w:numPr>
          <w:ilvl w:val="4"/>
          <w:numId w:val="1"/>
        </w:numPr>
        <w:rPr/>
      </w:pPr>
      <w:bookmarkStart w:id="2644" w:name="__RefHeading___Toc3599543_1067777946"/>
      <w:bookmarkStart w:id="2645" w:name="_Toc1092"/>
      <w:bookmarkEnd w:id="2644"/>
      <w:r>
        <w:rPr>
          <w:rtl w:val="true"/>
        </w:rPr>
        <w:t>وصيت به حمل كنيز براى شخصى</w:t>
      </w:r>
      <w:bookmarkEnd w:id="2645"/>
    </w:p>
    <w:p>
      <w:pPr>
        <w:pStyle w:val="BookText"/>
        <w:rPr/>
      </w:pPr>
      <w:r>
        <w:rPr>
          <w:rFonts w:ascii="IRNazanin" w:hAnsi="IRNazanin" w:eastAsia="IRNazanin"/>
          <w:color w:val="111111"/>
          <w:sz w:val="28"/>
          <w:sz w:val="28"/>
          <w:szCs w:val="28"/>
          <w:rtl w:val="true"/>
          <w:lang w:bidi="fa-IR"/>
        </w:rPr>
        <w:t xml:space="preserve">اگر وصيت كرد به حمل زنى كه حامل است در زمان وصيت، براى شخصى، پس گذشت مدت اقل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وصيت بلكه از زمان انعقاد حمل از وطى سابق بر وصيت، و متولد شد از او آن حمل، وصيت صحيح است و ولد مال موصىٰ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زمان بيش از اكثر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وصيت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بين اقل و 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وصيت و ولادت بود، پس با عدم مولىٰ و زوج و هر كه مباح بوده براى او وطى آن زن، حكم به صحّت وصيت مى شود؛ و در صورت وجود يكى از ايشان، پس حكم به عدم صحّت وصيت با امكان لحوق به فراش و تولد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لازمۀ لحوق، حمل بر غير غالب است در مدت حمل؛ چنانچه لازمۀ صحّت وصيت، حمل بر ظاهر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جماعت است، محل تأمل است</w:t>
      </w:r>
      <w:r>
        <w:rPr>
          <w:rFonts w:eastAsia="IRNazanin" w:cs="IRNazanin"/>
          <w:color w:val="111111"/>
          <w:sz w:val="28"/>
          <w:szCs w:val="28"/>
          <w:rtl w:val="true"/>
          <w:lang w:bidi="fa-IR"/>
        </w:rPr>
        <w:t>.</w:t>
      </w:r>
    </w:p>
    <w:p>
      <w:pPr>
        <w:pStyle w:val="Heading5"/>
        <w:numPr>
          <w:ilvl w:val="4"/>
          <w:numId w:val="1"/>
        </w:numPr>
        <w:rPr/>
      </w:pPr>
      <w:bookmarkStart w:id="2646" w:name="__RefHeading___Toc3599545_1067777946"/>
      <w:bookmarkStart w:id="2647" w:name="_Toc1093"/>
      <w:bookmarkEnd w:id="2646"/>
      <w:r>
        <w:rPr>
          <w:rtl w:val="true"/>
        </w:rPr>
        <w:t>وصيّت به حمل حيوانات و اشجار مثمره</w:t>
      </w:r>
      <w:bookmarkEnd w:id="264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مرجع در حمل حيوانات و اشجار مثمره، اطمينان به وجود در حال وصيت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تعيين اهل خبره، كه مختلف است در اصناف حيوانات و در اصناف اشجار مثمره، بدون فرق در ازمنۀ مقدره براى حمل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عدم علم و اطمينان و حجّت شرعيّه به وجود حمل و ثمره در حال وصيت، حكم به صحّت وصيت در موارد شك در وجود در حال وصيّت، در ساير حيوانات، خالى از اشكال نيست؛ و صحّت وصيت، منوط به وجود در حال وصيت نيست بلكه كلام در صورت وصيت به حمل </w:t>
      </w:r>
      <w:bookmarkStart w:id="2648" w:name="pg10256_89772"/>
    </w:p>
    <w:p>
      <w:pPr>
        <w:pStyle w:val="BookText"/>
        <w:rPr/>
      </w:pPr>
      <w:bookmarkEnd w:id="2648"/>
      <w:r>
        <w:rPr>
          <w:rFonts w:ascii="IRNazanin" w:hAnsi="IRNazanin" w:eastAsia="IRNazanin"/>
          <w:color w:val="111111"/>
          <w:sz w:val="28"/>
          <w:sz w:val="28"/>
          <w:szCs w:val="28"/>
          <w:rtl w:val="true"/>
          <w:lang w:bidi="fa-IR"/>
        </w:rPr>
        <w:t>موجود در حال وصيت بوده است؛ و اما اگر متعلَّق وصيت، حمل امه يا حيوان و ثمرۀ درخت باشد، بدون دلالت بر وجود حمل و ثمره در حال وصيت، پس صحيح است با ترقّب، بلكه با امكان، اگر چه قطع به عدم وجود در حال وصيت حاصل بشود، چنانچه از سابق استفاده شد</w:t>
      </w:r>
      <w:r>
        <w:rPr>
          <w:rFonts w:eastAsia="IRNazanin" w:cs="IRNazanin"/>
          <w:color w:val="111111"/>
          <w:sz w:val="28"/>
          <w:szCs w:val="28"/>
          <w:rtl w:val="true"/>
          <w:lang w:bidi="fa-IR"/>
        </w:rPr>
        <w:t>.</w:t>
      </w:r>
    </w:p>
    <w:p>
      <w:pPr>
        <w:pStyle w:val="Heading5"/>
        <w:numPr>
          <w:ilvl w:val="4"/>
          <w:numId w:val="1"/>
        </w:numPr>
        <w:rPr/>
      </w:pPr>
      <w:bookmarkStart w:id="2649" w:name="__RefHeading___Toc3599547_1067777946"/>
      <w:bookmarkStart w:id="2650" w:name="_Toc1094"/>
      <w:bookmarkEnd w:id="2649"/>
      <w:r>
        <w:rPr>
          <w:rtl w:val="true"/>
        </w:rPr>
        <w:t>وصيت به مال براى شخصى با توجّه به نوع حمل كنيز</w:t>
      </w:r>
      <w:bookmarkEnd w:id="2650"/>
    </w:p>
    <w:p>
      <w:pPr>
        <w:pStyle w:val="BookText"/>
        <w:rPr/>
      </w:pPr>
      <w:r>
        <w:rPr>
          <w:rFonts w:ascii="IRNazanin" w:hAnsi="IRNazanin" w:eastAsia="IRNazanin"/>
          <w:color w:val="111111"/>
          <w:sz w:val="28"/>
          <w:sz w:val="28"/>
          <w:szCs w:val="28"/>
          <w:rtl w:val="true"/>
          <w:lang w:bidi="fa-IR"/>
        </w:rPr>
        <w:t>اگر بگويد موصى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بطن اين كنيز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است، براى او از مال من دو درهم است و اگر انثى است براى او يك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است حكم صورت خروج يكى، و اگر خارج يك ذكر و يك انثى بود، پس براى ذكر دو درهم و براى انثى يك درهم است و براى مجموع سه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در بطن او است اگر ذكر بود براى او دو درهم و اگر انثى بود براى او يك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نيست، و اين مبنىّ بر فهم ارادۀ جميع است و جميع، نه ذكر است و نه انثى؛ و اظهر، فهم الغاى خصوصيّت با اولويت است و الغاى مجموع به جميع مثل خنثى؛ پس براى مجموع يك درهمِ مخصوص به ذكر و نصف درهم مخصوص به انثى است در صورت تحفظ بر واحد؛ و اگر آن هم مورد لزوم نباشد به واسطۀ الغاى مذكور، پس در اين صورت هم براى مجموع سه درهم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قيام قرينۀ خاصه بر ارادۀ وحدت در فرع اوّل و اعم از آن در فرع دوّم، محل بحث و اشكال نيست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ظاهر مى شود حكم صورت خروج دو ذكر يا دو انثى يا دو مولود مختلف، كه براى آنها چهار درهم در اوّل و دو درهم در دومى يا سه درهم در سومى است؛ و خصوصيت وحدت مستفاده از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ملغىٰ است بدون قرينه بر اعتبار، پس وصيت شامل تعدّد و حكم استغراقى است، نه تخيير وارث در اعطاى دو درهم مثلاً به هر كدام از دو ذكر يا اشتراك دو ذكر در دو درهم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جارى مجراى غالب از وحدت است، نه ناشى از اعتبار وحدت تا آنكه براى </w:t>
      </w:r>
      <w:bookmarkStart w:id="2651" w:name="pg10256_89773"/>
    </w:p>
    <w:p>
      <w:pPr>
        <w:pStyle w:val="BookText"/>
        <w:rPr/>
      </w:pPr>
      <w:bookmarkEnd w:id="2651"/>
      <w:r>
        <w:rPr>
          <w:rFonts w:ascii="IRNazanin" w:hAnsi="IRNazanin" w:eastAsia="IRNazanin"/>
          <w:color w:val="111111"/>
          <w:sz w:val="28"/>
          <w:sz w:val="28"/>
          <w:szCs w:val="28"/>
          <w:rtl w:val="true"/>
          <w:lang w:bidi="fa-IR"/>
        </w:rPr>
        <w:t>مجتمع هيچ نباشد يا آنكه يك دو درهم باشد حتى در حال اجتماع تا منتهى به تخيير يا تشريك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خارج، خنثاى مشكل بود پس اظهر به حسب اعتبار، ثبوت نصف نصيب ذكر و نصف نصيب انثى است در هر دو عبارت متقدّمه، نه اعطاى اقل متيقن يا صلح يا تعيين با قرعه</w:t>
      </w:r>
      <w:r>
        <w:rPr>
          <w:rFonts w:eastAsia="IRNazanin" w:cs="IRNazanin"/>
          <w:color w:val="111111"/>
          <w:sz w:val="28"/>
          <w:szCs w:val="28"/>
          <w:rtl w:val="true"/>
          <w:lang w:bidi="fa-IR"/>
        </w:rPr>
        <w:t>.</w:t>
      </w:r>
    </w:p>
    <w:p>
      <w:pPr>
        <w:pStyle w:val="Heading5"/>
        <w:numPr>
          <w:ilvl w:val="4"/>
          <w:numId w:val="1"/>
        </w:numPr>
        <w:rPr/>
      </w:pPr>
      <w:bookmarkStart w:id="2652" w:name="__RefHeading___Toc3599549_1067777946"/>
      <w:bookmarkStart w:id="2653" w:name="_Toc1095"/>
      <w:bookmarkEnd w:id="2652"/>
      <w:r>
        <w:rPr>
          <w:rtl w:val="true"/>
        </w:rPr>
        <w:t>وصيت به حمل معيّن</w:t>
      </w:r>
      <w:bookmarkEnd w:id="2653"/>
    </w:p>
    <w:p>
      <w:pPr>
        <w:pStyle w:val="BookText"/>
        <w:rPr/>
      </w:pPr>
      <w:r>
        <w:rPr>
          <w:rFonts w:ascii="IRNazanin" w:hAnsi="IRNazanin" w:eastAsia="IRNazanin"/>
          <w:color w:val="111111"/>
          <w:sz w:val="28"/>
          <w:sz w:val="28"/>
          <w:szCs w:val="28"/>
          <w:rtl w:val="true"/>
          <w:lang w:bidi="fa-IR"/>
        </w:rPr>
        <w:t xml:space="preserve">و اگر موصىٰ به، حمل معيّن باشد، پس جارى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ترديد بين ذكر و انثى به نحو مذكور در موصىٰ له، پس خارج شد دو ذكر يا دو انثى يا دو مختلف با تعدد 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شد از ترديد و احكام آن در موصىٰ له</w:t>
      </w:r>
      <w:r>
        <w:rPr>
          <w:rFonts w:eastAsia="IRNazanin" w:cs="IRNazanin"/>
          <w:color w:val="111111"/>
          <w:sz w:val="28"/>
          <w:szCs w:val="28"/>
          <w:rtl w:val="true"/>
          <w:lang w:bidi="fa-IR"/>
        </w:rPr>
        <w:t>.</w:t>
      </w:r>
    </w:p>
    <w:p>
      <w:pPr>
        <w:pStyle w:val="Heading5"/>
        <w:numPr>
          <w:ilvl w:val="4"/>
          <w:numId w:val="1"/>
        </w:numPr>
        <w:rPr/>
      </w:pPr>
      <w:bookmarkStart w:id="2654" w:name="__RefHeading___Toc3599551_1067777946"/>
      <w:bookmarkStart w:id="2655" w:name="_Toc1096"/>
      <w:bookmarkEnd w:id="2654"/>
      <w:r>
        <w:rPr>
          <w:rtl w:val="true"/>
        </w:rPr>
        <w:t>سقوط حملِ مورد وصيت</w:t>
      </w:r>
      <w:bookmarkEnd w:id="2655"/>
    </w:p>
    <w:p>
      <w:pPr>
        <w:pStyle w:val="BookText"/>
        <w:rPr/>
      </w:pPr>
      <w:r>
        <w:rPr>
          <w:rFonts w:ascii="IRNazanin" w:hAnsi="IRNazanin" w:eastAsia="IRNazanin"/>
          <w:color w:val="111111"/>
          <w:sz w:val="28"/>
          <w:sz w:val="28"/>
          <w:szCs w:val="28"/>
          <w:rtl w:val="true"/>
          <w:lang w:bidi="fa-IR"/>
        </w:rPr>
        <w:t>و حمل معيّن اگر موصىٰ به باشد، پس به جنايت جانى، ساقط شد، جانى ضامن آن است براى موصىٰ له، به خلاف صورتى كه حمل معيّنْ موصىٰ له باشد كه مالكيّت او مراعىٰ بخروج او با حيات است؛ و اين حكم، در واحدْ واضح است؛ و حكم آن در متعدد، از حكم واحد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سقوط بدون جنايت كسى باشد، كشف از بطلان وصيت براى حمل و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Heading5"/>
        <w:numPr>
          <w:ilvl w:val="4"/>
          <w:numId w:val="1"/>
        </w:numPr>
        <w:rPr/>
      </w:pPr>
      <w:bookmarkStart w:id="2656" w:name="__RefHeading___Toc3599553_1067777946"/>
      <w:bookmarkStart w:id="2657" w:name="_Toc1097"/>
      <w:bookmarkEnd w:id="2656"/>
      <w:r>
        <w:rPr>
          <w:rtl w:val="true"/>
        </w:rPr>
        <w:t>مقدار نفوذ وصيت به حمل دابّه و امه و شجرۀ متحقق در حال وصيت</w:t>
      </w:r>
      <w:bookmarkEnd w:id="2657"/>
    </w:p>
    <w:p>
      <w:pPr>
        <w:pStyle w:val="BookText"/>
        <w:rPr/>
      </w:pPr>
      <w:r>
        <w:rPr>
          <w:rFonts w:ascii="IRNazanin" w:hAnsi="IRNazanin" w:eastAsia="IRNazanin"/>
          <w:color w:val="111111"/>
          <w:sz w:val="28"/>
          <w:sz w:val="28"/>
          <w:szCs w:val="28"/>
          <w:rtl w:val="true"/>
          <w:lang w:bidi="fa-IR"/>
        </w:rPr>
        <w:t xml:space="preserve">وصيت به حمل متحقّق در حال وصيت، نافذ است؛ و به آنچه مملوكه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دابه و امه و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 نمايد بعد از وصيت و قبل از موت ايضاً نافذ است؛ و به هر چيزى كه ممتنع الوجود قبل از موت نباشد بلكه ممكن و محتمل باشد، مترقب و متوقع باشد يا نه، نافذ است؛ چنانچه سابقاً در زيادات متجدده بعد از وصيت و قبل از موت ذكر 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جواز تعليق به موت، مستلزم جواز تعليق به حوادث قبل از موت است، بلكه بعد از موت هم اگر سبب قبل از موت باشد مثل صيد در شبكۀ منصوبۀ موصىٖ‌</w:t>
      </w:r>
      <w:r>
        <w:rPr>
          <w:rFonts w:eastAsia="IRNazanin" w:cs="IRNazanin"/>
          <w:color w:val="111111"/>
          <w:sz w:val="28"/>
          <w:szCs w:val="28"/>
          <w:rtl w:val="true"/>
          <w:lang w:bidi="fa-IR"/>
        </w:rPr>
        <w:t xml:space="preserve">. </w:t>
      </w:r>
      <w:bookmarkStart w:id="2658" w:name="pg10256_89774"/>
    </w:p>
    <w:p>
      <w:pPr>
        <w:pStyle w:val="Heading5"/>
        <w:numPr>
          <w:ilvl w:val="4"/>
          <w:numId w:val="1"/>
        </w:numPr>
        <w:rPr/>
      </w:pPr>
      <w:bookmarkStart w:id="2659" w:name="__RefHeading___Toc3599555_1067777946"/>
      <w:bookmarkStart w:id="2660" w:name="_Toc1098"/>
      <w:bookmarkEnd w:id="2658"/>
      <w:bookmarkEnd w:id="2659"/>
      <w:r>
        <w:rPr>
          <w:rtl w:val="true"/>
        </w:rPr>
        <w:t>وصيت به سكناى خانه</w:t>
      </w:r>
      <w:bookmarkEnd w:id="2660"/>
    </w:p>
    <w:p>
      <w:pPr>
        <w:pStyle w:val="BookText"/>
        <w:rPr/>
      </w:pPr>
      <w:r>
        <w:rPr>
          <w:rFonts w:ascii="IRNazanin" w:hAnsi="IRNazanin" w:eastAsia="IRNazanin"/>
          <w:color w:val="111111"/>
          <w:sz w:val="28"/>
          <w:sz w:val="28"/>
          <w:szCs w:val="28"/>
          <w:rtl w:val="true"/>
          <w:lang w:bidi="fa-IR"/>
        </w:rPr>
        <w:t>و هم چنين صحيح است وصيت به سكناى خانه اى، با ضبط به مدت از اوّل يا آخر يا هر دو با اتصال مدت مضبوطه به موت يا انفصال، يا عدم ضبط به مدت يعنى به نحو عموم مادام كه عين خانه باقى است</w:t>
      </w:r>
      <w:r>
        <w:rPr>
          <w:rFonts w:eastAsia="IRNazanin" w:cs="IRNazanin"/>
          <w:color w:val="111111"/>
          <w:sz w:val="28"/>
          <w:szCs w:val="28"/>
          <w:rtl w:val="true"/>
          <w:lang w:bidi="fa-IR"/>
        </w:rPr>
        <w:t>.</w:t>
      </w:r>
    </w:p>
    <w:p>
      <w:pPr>
        <w:pStyle w:val="Heading5"/>
        <w:numPr>
          <w:ilvl w:val="4"/>
          <w:numId w:val="1"/>
        </w:numPr>
        <w:rPr/>
      </w:pPr>
      <w:bookmarkStart w:id="2661" w:name="__RefHeading___Toc3599557_1067777946"/>
      <w:bookmarkStart w:id="2662" w:name="_Toc1099"/>
      <w:bookmarkEnd w:id="2661"/>
      <w:r>
        <w:rPr>
          <w:rtl w:val="true"/>
        </w:rPr>
        <w:t>دخول ميوۀ موجود در حال وصيّت در وصيت به ميوۀ درخت</w:t>
      </w:r>
      <w:bookmarkEnd w:id="2662"/>
    </w:p>
    <w:p>
      <w:pPr>
        <w:pStyle w:val="BookText"/>
        <w:rPr/>
      </w:pPr>
      <w:r>
        <w:rPr>
          <w:rFonts w:ascii="IRNazanin" w:hAnsi="IRNazanin" w:eastAsia="IRNazanin"/>
          <w:color w:val="111111"/>
          <w:sz w:val="28"/>
          <w:sz w:val="28"/>
          <w:szCs w:val="28"/>
          <w:rtl w:val="true"/>
          <w:lang w:bidi="fa-IR"/>
        </w:rPr>
        <w:t>و اگر موصىٰ به، ميوۀ درختى بود، داخل است ميوه موجود در حال وصيت، مگر با قرينه بر خروج</w:t>
      </w:r>
      <w:r>
        <w:rPr>
          <w:rFonts w:eastAsia="IRNazanin" w:cs="IRNazanin"/>
          <w:color w:val="111111"/>
          <w:sz w:val="28"/>
          <w:szCs w:val="28"/>
          <w:rtl w:val="true"/>
          <w:lang w:bidi="fa-IR"/>
        </w:rPr>
        <w:t>.</w:t>
      </w:r>
    </w:p>
    <w:p>
      <w:pPr>
        <w:pStyle w:val="Heading5"/>
        <w:numPr>
          <w:ilvl w:val="4"/>
          <w:numId w:val="1"/>
        </w:numPr>
        <w:rPr/>
      </w:pPr>
      <w:bookmarkStart w:id="2663" w:name="__RefHeading___Toc3599559_1067777946"/>
      <w:bookmarkStart w:id="2664" w:name="_Toc1100"/>
      <w:bookmarkEnd w:id="2663"/>
      <w:r>
        <w:rPr>
          <w:rtl w:val="true"/>
        </w:rPr>
        <w:t>وصيّت به منفعت ابديّۀ عين</w:t>
      </w:r>
      <w:bookmarkEnd w:id="2664"/>
    </w:p>
    <w:p>
      <w:pPr>
        <w:pStyle w:val="BookText"/>
        <w:rPr/>
      </w:pPr>
      <w:r>
        <w:rPr>
          <w:rFonts w:ascii="IRNazanin" w:hAnsi="IRNazanin" w:eastAsia="IRNazanin"/>
          <w:color w:val="111111"/>
          <w:sz w:val="28"/>
          <w:sz w:val="28"/>
          <w:szCs w:val="28"/>
          <w:rtl w:val="true"/>
          <w:lang w:bidi="fa-IR"/>
        </w:rPr>
        <w:t>وصيت به منفعت ابديۀ عين صحيح است، كما اينكه به منفعت محدودۀ معيّنه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اولى تقويم مى شود عين مسلوبة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منافع مترتّبه بر بقاى مملوك در ملك، نه غير آنها كه باقى است براى مالك عين، مثل عتق واكل لحم حيوان مشرف به موت بعد از ذبح و به لحاظ آنها براى عينْ قيمتى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مسلوبة المنافع و تفاوت از ثلث اخراج مى شود و بقيه در ملك وارث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 است وصيت به عين براى شخصى و به منفعت ابديّه براى ديگرى، و وصيت به خصوص عين براى شخصى به نحوى كه تمام منافع ابديه براى ورثه باقى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موضعى كه هيچ براى عينْ قيمتى نباشد، چون هيچ منفعتى مترقّب نيست، تمام قيمت عين منفعت دار از ثلث اخراج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موصىٰ به، بعض منافع باشد مثل لبن، پس عين با استثناى آن منفعت و بدون استثنا، تقويم مى شود و تفاوت از ثلث اخراج مى شود؛ و اگر ثلث وافى نباشد، به مقدار ثلث از آن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موصىٰ له مى شود</w:t>
      </w:r>
      <w:r>
        <w:rPr>
          <w:rFonts w:eastAsia="IRNazanin" w:cs="IRNazanin"/>
          <w:color w:val="111111"/>
          <w:sz w:val="28"/>
          <w:szCs w:val="28"/>
          <w:rtl w:val="true"/>
          <w:lang w:bidi="fa-IR"/>
        </w:rPr>
        <w:t>.</w:t>
      </w:r>
    </w:p>
    <w:p>
      <w:pPr>
        <w:pStyle w:val="Heading5"/>
        <w:numPr>
          <w:ilvl w:val="4"/>
          <w:numId w:val="1"/>
        </w:numPr>
        <w:rPr/>
      </w:pPr>
      <w:bookmarkStart w:id="2665" w:name="__RefHeading___Toc3599561_1067777946"/>
      <w:bookmarkStart w:id="2666" w:name="_Toc1101"/>
      <w:bookmarkEnd w:id="2665"/>
      <w:r>
        <w:rPr>
          <w:rtl w:val="true"/>
        </w:rPr>
        <w:t>وصيت به خدمت عبد</w:t>
      </w:r>
      <w:bookmarkEnd w:id="266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صورت وصيت به خدمت ابديۀ عبد، غير همان عبد را مالك نبود، پس تقويم </w:t>
      </w:r>
    </w:p>
    <w:p>
      <w:pPr>
        <w:pStyle w:val="BookText"/>
        <w:rPr/>
      </w:pPr>
      <w:r>
        <w:rPr>
          <w:rFonts w:ascii="Amiri" w:hAnsi="Amiri" w:eastAsia="Amiri" w:cs="Amiri"/>
          <w:color w:val="111111"/>
          <w:sz w:val="28"/>
          <w:sz w:val="28"/>
          <w:szCs w:val="28"/>
          <w:rtl w:val="true"/>
          <w:lang w:bidi="ar-SA"/>
        </w:rPr>
        <w:t>مى شود عبد با تمام منافع، و ثلث آن قيمت از منفعت مال موصىٰ له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 به مقدار ثلث، استيفاى آن منفعت مى كند پس برمى گردد به ورثه‌؟ يا تبعيض مى شود همان منفعت، و بعض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قيمت، ثلث قيمت مجموع عبد با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موصىٰ له مى شود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نقص واقع مى شود بر تأبيد، و تحفظ بر تمام منفعت مثل خدمت مثلاً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نقص بر منفعت مى شود و تحفظ بر تأبيد، مثل خدمت يك ساعت در روز تا ابد؟ محتمل است وارث مخيّر باشد در صورت تساوى در نفع و ضرر بر موصىٰ له و عدم قرينه بر زيادتى اعتناى موصى در وصيت خود به يكى از اين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موصىٰ به، خدمتِ عبد در مدت معينه باشد، نفقۀ عبد بر وارث است، و هم چنين دابه و شجر 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منفعت مؤبّده است، پس اولويت موصىٰ له به انفاق بر او، موافق ارتكاز است، اگر چه توافق او با وارث احوط است؛ و محتمل است اتحاد حكم در صورت عتق موصىٰ به، چنانچه محتمل است بر بيت المال باشد به واسطۀ عجز مسبّب از مملوكيت جميع منافع، اگر چه مُرْتَكَزْ تغريم منتفِع است كه موصىٰ له است، در اينجا و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خدمت موصىٰ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تأبيد يا توقيت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موصىٰ له شد به قبول او وصيت را، پس رد آن به ورثه به يكى از نواقل است اگر چه صلح باشد، نه به مثل اسقاط يا هبه؛ چنانچه اگر موصىٰ له قبول نكرد، داخل ملك موصىٰ له و خارج از ملك واقعى وارث نمى شود، مگر آنكه متعلَّق اسقاط، حق تملك به قبول باشد كه سقوط و رد به ورثه در صورت تحقق اسقاط قبل از قبول، خالى از وجه نيست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عتق كردند ورثه، عبدى را كه وصيّت به همۀ منافع او شده است، پس اگر عتق بعد از قبول موصىٰ له باشد حكم آن ظاهر شد، و اگر قبل از قبول او باشد اظهر تملك معتَق است منافع خود را، يعنى عدم مالكيّت وارث معتِق منافع او را، اگر چه احوط صلح با ورثه در عامۀ منافع است</w:t>
      </w:r>
      <w:r>
        <w:rPr>
          <w:rFonts w:eastAsia="IRNazanin" w:cs="IRNazanin"/>
          <w:color w:val="111111"/>
          <w:sz w:val="28"/>
          <w:szCs w:val="28"/>
          <w:rtl w:val="true"/>
          <w:lang w:bidi="fa-IR"/>
        </w:rPr>
        <w:t xml:space="preserve">. </w:t>
      </w:r>
      <w:bookmarkStart w:id="2667" w:name="pg10256_89776"/>
    </w:p>
    <w:p>
      <w:pPr>
        <w:pStyle w:val="Heading5"/>
        <w:numPr>
          <w:ilvl w:val="4"/>
          <w:numId w:val="1"/>
        </w:numPr>
        <w:rPr/>
      </w:pPr>
      <w:bookmarkStart w:id="2668" w:name="__RefHeading___Toc3599563_1067777946"/>
      <w:bookmarkStart w:id="2669" w:name="_Toc1102"/>
      <w:bookmarkEnd w:id="2667"/>
      <w:bookmarkEnd w:id="2668"/>
      <w:r>
        <w:rPr>
          <w:rtl w:val="true"/>
        </w:rPr>
        <w:t>سقى يا تعمير در وصيت به منافع مؤبّدۀ خانه و نخل</w:t>
      </w:r>
      <w:bookmarkEnd w:id="2669"/>
    </w:p>
    <w:p>
      <w:pPr>
        <w:pStyle w:val="BookText"/>
        <w:rPr/>
      </w:pPr>
      <w:r>
        <w:rPr>
          <w:rFonts w:ascii="IRNazanin" w:hAnsi="IRNazanin" w:eastAsia="IRNazanin"/>
          <w:color w:val="111111"/>
          <w:sz w:val="28"/>
          <w:sz w:val="28"/>
          <w:szCs w:val="28"/>
          <w:rtl w:val="true"/>
          <w:lang w:bidi="fa-IR"/>
        </w:rPr>
        <w:t>و در مثل خانه و نخل اگر وصيت به منافع مؤبّده يا موقته باشد، هيچ كدام از موصىٰ له كه مالك منفعت است يا وارث كه مالك عين، اجبار بر سقى يا تعمير نمى شود، نه براى مصلحت مال خود و نه براى مصلحت مال غير، و هيچ كدام ممنوع نمى شود از اصلاح اگر ارادۀ آن را بنمايد</w:t>
      </w:r>
      <w:r>
        <w:rPr>
          <w:rFonts w:eastAsia="IRNazanin" w:cs="IRNazanin"/>
          <w:color w:val="111111"/>
          <w:sz w:val="28"/>
          <w:szCs w:val="28"/>
          <w:rtl w:val="true"/>
          <w:lang w:bidi="fa-IR"/>
        </w:rPr>
        <w:t>.</w:t>
      </w:r>
    </w:p>
    <w:p>
      <w:pPr>
        <w:pStyle w:val="Heading5"/>
        <w:numPr>
          <w:ilvl w:val="4"/>
          <w:numId w:val="1"/>
        </w:numPr>
        <w:rPr/>
      </w:pPr>
      <w:bookmarkStart w:id="2670" w:name="__RefHeading___Toc3599565_1067777946"/>
      <w:bookmarkStart w:id="2671" w:name="_Toc1103"/>
      <w:bookmarkEnd w:id="2670"/>
      <w:r>
        <w:rPr>
          <w:rtl w:val="true"/>
        </w:rPr>
        <w:t>جواز تصرّف معاملى در آنچه وصيّت به منافع آن شده است</w:t>
      </w:r>
      <w:bookmarkEnd w:id="2671"/>
    </w:p>
    <w:p>
      <w:pPr>
        <w:pStyle w:val="BookText"/>
        <w:rPr/>
      </w:pPr>
      <w:r>
        <w:rPr>
          <w:rFonts w:ascii="IRNazanin" w:hAnsi="IRNazanin" w:eastAsia="IRNazanin"/>
          <w:color w:val="111111"/>
          <w:sz w:val="28"/>
          <w:sz w:val="28"/>
          <w:szCs w:val="28"/>
          <w:rtl w:val="true"/>
          <w:lang w:bidi="fa-IR"/>
        </w:rPr>
        <w:t>ورثه مى توانند تصرف معاملى نمايند در عين رقبه اى كه به منفعت او به نحو توقيت يا تأبيد وصيت شده باشد، به مثل بيع عين يا عتق او، مگر در مواردى كه بيع مسلوب المنافع سفه باشد؛ و حق موصىٰ له محفوظ است در تبادل مالكهاى عين؛ اگر چه براى مشترى خيار است با جهل به وصيت</w:t>
      </w:r>
      <w:r>
        <w:rPr>
          <w:rFonts w:eastAsia="IRNazanin" w:cs="IRNazanin"/>
          <w:color w:val="111111"/>
          <w:sz w:val="28"/>
          <w:szCs w:val="28"/>
          <w:rtl w:val="true"/>
          <w:lang w:bidi="fa-IR"/>
        </w:rPr>
        <w:t>.</w:t>
      </w:r>
    </w:p>
    <w:p>
      <w:pPr>
        <w:pStyle w:val="Heading5"/>
        <w:numPr>
          <w:ilvl w:val="4"/>
          <w:numId w:val="1"/>
        </w:numPr>
        <w:rPr/>
      </w:pPr>
      <w:bookmarkStart w:id="2672" w:name="__RefHeading___Toc3599567_1067777946"/>
      <w:bookmarkStart w:id="2673" w:name="_Toc1104"/>
      <w:bookmarkEnd w:id="2672"/>
      <w:r>
        <w:rPr>
          <w:rtl w:val="true"/>
        </w:rPr>
        <w:t>مالكيّت ورثه موصىٰ له بعد از موت او</w:t>
      </w:r>
      <w:bookmarkEnd w:id="2673"/>
    </w:p>
    <w:p>
      <w:pPr>
        <w:pStyle w:val="BookText"/>
        <w:rPr/>
      </w:pPr>
      <w:r>
        <w:rPr>
          <w:rFonts w:ascii="IRNazanin" w:hAnsi="IRNazanin" w:eastAsia="IRNazanin"/>
          <w:color w:val="111111"/>
          <w:sz w:val="28"/>
          <w:sz w:val="28"/>
          <w:szCs w:val="28"/>
          <w:rtl w:val="true"/>
          <w:lang w:bidi="fa-IR"/>
        </w:rPr>
        <w:t>و چون وصيتْ تمليك است، پس ورثۀ موصىٰ له، مالك منافع بعد از موت او مى شود، و براى آنها است آنچه براى مورّث بوده است</w:t>
      </w:r>
      <w:r>
        <w:rPr>
          <w:rFonts w:eastAsia="IRNazanin" w:cs="IRNazanin"/>
          <w:color w:val="111111"/>
          <w:sz w:val="28"/>
          <w:szCs w:val="28"/>
          <w:rtl w:val="true"/>
          <w:lang w:bidi="fa-IR"/>
        </w:rPr>
        <w:t>.</w:t>
      </w:r>
    </w:p>
    <w:p>
      <w:pPr>
        <w:pStyle w:val="Heading5"/>
        <w:numPr>
          <w:ilvl w:val="4"/>
          <w:numId w:val="1"/>
        </w:numPr>
        <w:rPr/>
      </w:pPr>
      <w:bookmarkStart w:id="2674" w:name="__RefHeading___Toc3599569_1067777946"/>
      <w:bookmarkStart w:id="2675" w:name="_Toc1105"/>
      <w:bookmarkEnd w:id="2674"/>
      <w:r>
        <w:rPr>
          <w:rtl w:val="true"/>
        </w:rPr>
        <w:t>در وصيت منافع، عين احكام امانت را دارد</w:t>
      </w:r>
      <w:bookmarkEnd w:id="2675"/>
    </w:p>
    <w:p>
      <w:pPr>
        <w:pStyle w:val="BookText"/>
        <w:rPr/>
      </w:pPr>
      <w:r>
        <w:rPr>
          <w:rFonts w:ascii="Amiri" w:hAnsi="Amiri" w:eastAsia="Amiri" w:cs="Amiri"/>
          <w:color w:val="111111"/>
          <w:sz w:val="28"/>
          <w:sz w:val="28"/>
          <w:szCs w:val="28"/>
          <w:rtl w:val="true"/>
          <w:lang w:bidi="ar-SA"/>
        </w:rPr>
        <w:t>و عينْ در يد موصىٰ له، امانت مالكيّه است، و تلف آن بدون تفريط، موجب ضمان موصىٰ له نيست</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3599571_1067777946"/>
      <w:bookmarkStart w:id="2677" w:name="_Toc1106"/>
      <w:bookmarkEnd w:id="2676"/>
      <w:r>
        <w:rPr>
          <w:rtl w:val="true"/>
        </w:rPr>
        <w:t>بعض احكام عبد و امۀ مورد وصيت</w:t>
      </w:r>
      <w:bookmarkEnd w:id="2677"/>
    </w:p>
    <w:p>
      <w:pPr>
        <w:pStyle w:val="BookText"/>
        <w:rPr/>
      </w:pPr>
      <w:r>
        <w:rPr>
          <w:rFonts w:ascii="Amiri" w:hAnsi="Amiri" w:eastAsia="Amiri" w:cs="Amiri"/>
          <w:color w:val="111111"/>
          <w:sz w:val="28"/>
          <w:sz w:val="28"/>
          <w:szCs w:val="28"/>
          <w:rtl w:val="true"/>
          <w:lang w:bidi="ar-SA"/>
        </w:rPr>
        <w:t>و التقاط و اصطياد عبد موصىٰ به، موجب تملّك موصىٰ له است، نه وارث كه مالك عين است يا خود عبد در صورت انعتاق او</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جاريه، از منافع مملوكۀ موصىٰ له نيست؛ به خلاف عقر او كه عوض بضع او است، در موردى كه عوض داشته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جواز وطى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جاريۀ موصىٰ بها را، در صورت عدم منافات با حق موصىٰ له، مثل تقبيل و نظر و لمس،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از وارثْ حامل شد، ام ولد مى شود؛ به خلاف موصىٰ له كه به مجرّد تملك ساير منافع، مباح نيست براى او وطى جاريه، بلكه ثبوت حدّ بر او با علم به عدم جواز وطى، متّجه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تقدير عدم جواز وطى او براى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منافات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واقع شد اگر چه از روى شبهه باشد به نحوى كه بر او حدّ ثابت نباشد، عقر او براى موصىٰ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وطى موصىٰ له ام ولد نمى شود اگر حامل از او باشد از روى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قيمت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استيلاد وارث و موصىٰ له از روى شبهه،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واطى غير وارث است، اگر چه قيمت بضع و عقر براى موصىٰ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تواند موصىٰ له عبد موصىٰ به را در مسافرت با خود يا 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تبديل منازل در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انتفاعات خودش همراه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مذكور نمى تواند تزويج نمايد، مگر با رضاى مالك كه وارث است، و صاحب حق و بضع كه موصىٰ له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عبد مذكورْ مقتول شد و مورد قصاص بود، وصيت منتهى به انتهاى عمر مى شود، و مطالبۀ قصاص با مالك عين كه وارث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مورد اخذ قيمت به عنوان ديه بود، پس آيا اداى به مالك عين مى شود كاملاً يا تقسيط مى شود بر او و موصىٰ له به نسبت قيمت مملوك آن دو، يا با آن شراى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حكم در عين و منفعت محكوم بشود؟ احتمالاتى است، احوط، صلح بر توزيع است حتى در صورت صلح بر قيمت به عنوان ديه در صورت قتل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احتياط است نه فتوى، وگرنه اختيار قصاص براى وارث به جهت تفويت حق موصىٰ له عيناً و بدلاً، مورد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تعليقيّت كه مجوز قصاص است، عدم استحقاق موصىٰ له بدل منفعت را است، به جهت تعليق حق او بر بقاى عبد</w:t>
      </w:r>
      <w:r>
        <w:rPr>
          <w:rFonts w:eastAsia="IRNazanin" w:cs="IRNazanin"/>
          <w:color w:val="111111"/>
          <w:sz w:val="28"/>
          <w:szCs w:val="28"/>
          <w:rtl w:val="true"/>
          <w:lang w:bidi="fa-IR"/>
        </w:rPr>
        <w:t xml:space="preserve">. </w:t>
      </w:r>
      <w:bookmarkStart w:id="2678" w:name="pg10256_89778"/>
    </w:p>
    <w:p>
      <w:pPr>
        <w:pStyle w:val="BookText"/>
        <w:rPr/>
      </w:pPr>
      <w:bookmarkEnd w:id="2678"/>
      <w:r>
        <w:rPr>
          <w:rFonts w:ascii="IRNazanin" w:hAnsi="IRNazanin" w:eastAsia="IRNazanin"/>
          <w:color w:val="111111"/>
          <w:sz w:val="28"/>
          <w:sz w:val="28"/>
          <w:szCs w:val="28"/>
          <w:rtl w:val="true"/>
          <w:lang w:bidi="fa-IR"/>
        </w:rPr>
        <w:t>و در طرف عبد، اگر قطع بشود، جارى است آنچه مذكور در نفس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موجب نقص منفعت نباشد يا آنكه نقص مالى نباشد، مثل قطع انمله فى الجمله، مختص مى شود ارش به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موصىٰ به مذكور جنايت كرد، پس مقدم است حق مجنى عليه؛ و با مشروعيّت هركدام از بيع و فداء، اگر فروخته شد، حق موصىٰ له باطل مى شود؛ و اگر فداء شد از طرف مالك عين يا موصىٰ له، حق موصىٰ له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اجبار مى شود بر قبول فداء از موصىٰ له، در صورت تخيير مجنى عليه‌؟ احوط براى مجنى عليه، قبول فداء از موصىٰ له است</w:t>
      </w:r>
      <w:r>
        <w:rPr>
          <w:rFonts w:eastAsia="Amiri" w:cs="Amiri" w:ascii="Amiri" w:hAnsi="Amiri"/>
          <w:color w:val="111111"/>
          <w:sz w:val="28"/>
          <w:szCs w:val="28"/>
          <w:rtl w:val="true"/>
          <w:lang w:bidi="ar-SA"/>
        </w:rPr>
        <w:t>.</w:t>
      </w:r>
    </w:p>
    <w:p>
      <w:pPr>
        <w:pStyle w:val="Heading5"/>
        <w:numPr>
          <w:ilvl w:val="4"/>
          <w:numId w:val="1"/>
        </w:numPr>
        <w:rPr/>
      </w:pPr>
      <w:bookmarkStart w:id="2679" w:name="__RefHeading___Toc3599573_1067777946"/>
      <w:bookmarkStart w:id="2680" w:name="_Toc1107"/>
      <w:bookmarkEnd w:id="2679"/>
      <w:r>
        <w:rPr>
          <w:rtl w:val="true"/>
        </w:rPr>
        <w:t>حمل الفاظ وصيّت بر مصاديق متعارف</w:t>
      </w:r>
      <w:bookmarkEnd w:id="2680"/>
    </w:p>
    <w:p>
      <w:pPr>
        <w:pStyle w:val="BookText"/>
        <w:rPr/>
      </w:pPr>
      <w:r>
        <w:rPr>
          <w:rFonts w:ascii="IRNazanin" w:hAnsi="IRNazanin" w:eastAsia="IRNazanin"/>
          <w:color w:val="111111"/>
          <w:sz w:val="28"/>
          <w:sz w:val="28"/>
          <w:szCs w:val="28"/>
          <w:rtl w:val="true"/>
          <w:lang w:bidi="fa-IR"/>
        </w:rPr>
        <w:t>اگر وصيت كرد به قَوسى، پس محمول مى شود بر كمان متعارف در زمان و محل خاص موصى و هرچه عرف او تعيين آن نمايد، مگر با قرينه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تساوى اقسامى در عرف، اختيار تعيين با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جارى است در تمام الفاظ واقعه در وصيت براى جميع معانى عرفيه كه از طريق وضع لغوى يا ظهور عرفى يا قرينه بر ارادۀ خلاف، استفاده بشود</w:t>
      </w:r>
      <w:r>
        <w:rPr>
          <w:rFonts w:eastAsia="IRNazanin" w:cs="IRNazanin"/>
          <w:color w:val="111111"/>
          <w:sz w:val="28"/>
          <w:szCs w:val="28"/>
          <w:rtl w:val="true"/>
          <w:lang w:bidi="fa-IR"/>
        </w:rPr>
        <w:t>.</w:t>
      </w:r>
    </w:p>
    <w:p>
      <w:pPr>
        <w:pStyle w:val="Heading5"/>
        <w:numPr>
          <w:ilvl w:val="4"/>
          <w:numId w:val="1"/>
        </w:numPr>
        <w:rPr/>
      </w:pPr>
      <w:bookmarkStart w:id="2681" w:name="__RefHeading___Toc3599575_1067777946"/>
      <w:bookmarkStart w:id="2682" w:name="_Toc1108"/>
      <w:bookmarkEnd w:id="2681"/>
      <w:r>
        <w:rPr>
          <w:rtl w:val="true"/>
        </w:rPr>
        <w:t>مشترك لفظى و مجازِ بدون قرينه</w:t>
      </w:r>
      <w:bookmarkEnd w:id="268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مشترك لفظى بدون قرينۀ تعيين، و در مجاز بدون قرينه بر احد المجازين، ممكن است ترك نصب قرينه، كاشف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تعيين و از ارادۀ مسمّى به لفظ وضعاً يا تجوّزاً با قرينه بر عدم ارادۀ حقيقت و محصوريّت اطراف احتمال، اگر چه مسمّى به لفظ، معنى مجازى است؛ پس با قرعه تعيين نمى شود وگرنه محمول بر خلاف حكمت مى شود، مگر آنكه قرينۀ تعيينْ مفقود شده باشد، اگر چه به حسب احتمال صحيح باشد، كه تعيين معيَّن به حسب قصد متكلم را به نحو صحيح با قرعه بى وجه نيست و موافق احتياط است براى وارث، زيرا طرف احتمال تخيير، او است</w:t>
      </w:r>
      <w:r>
        <w:rPr>
          <w:rFonts w:eastAsia="IRNazanin" w:cs="IRNazanin"/>
          <w:color w:val="111111"/>
          <w:sz w:val="28"/>
          <w:szCs w:val="28"/>
          <w:rtl w:val="true"/>
          <w:lang w:bidi="fa-IR"/>
        </w:rPr>
        <w:t xml:space="preserve">. </w:t>
      </w:r>
      <w:bookmarkStart w:id="2683" w:name="pg10256_89779"/>
    </w:p>
    <w:p>
      <w:pPr>
        <w:pStyle w:val="Heading5"/>
        <w:numPr>
          <w:ilvl w:val="4"/>
          <w:numId w:val="1"/>
        </w:numPr>
        <w:rPr/>
      </w:pPr>
      <w:bookmarkStart w:id="2684" w:name="__RefHeading___Toc3599577_1067777946"/>
      <w:bookmarkStart w:id="2685" w:name="_Toc1109"/>
      <w:bookmarkEnd w:id="2683"/>
      <w:bookmarkEnd w:id="2684"/>
      <w:r>
        <w:rPr>
          <w:rtl w:val="true"/>
        </w:rPr>
        <w:t>اختيار وارث در انتخاب مورد وصيت، در صورت تعدد مصداق و عدم تعيين</w:t>
      </w:r>
      <w:bookmarkEnd w:id="2685"/>
    </w:p>
    <w:p>
      <w:pPr>
        <w:pStyle w:val="BookText"/>
        <w:rPr/>
      </w:pPr>
      <w:r>
        <w:rPr>
          <w:rFonts w:ascii="IRNazanin" w:hAnsi="IRNazanin" w:eastAsia="IRNazanin"/>
          <w:color w:val="111111"/>
          <w:sz w:val="28"/>
          <w:sz w:val="28"/>
          <w:szCs w:val="28"/>
          <w:rtl w:val="true"/>
          <w:lang w:bidi="fa-IR"/>
        </w:rPr>
        <w:t>و اگر موصى اضافه داد قوس را به خودش، پس در صورت انحصار قوس او به يكى، حمل بر آن متعين است؛ و در صورت تعدد، وارثْ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وصيت كرد به يك رأس از مماليك خودش و مملوك او در وقت وفات، متعدد و مختلف بودند، اختيار تعيين با وارث است و مى تواند تعيين در صغير و معيب نمايد، به خلاف مقام توكيل در شراى مملوك، به اقتضاى قرينۀ حال در معاوضه و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وقت وفاتْ مملوك نبود، وصيت محكوم به بطلان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وجود يا بقاى مملوك است در وقت وفات نه وصيت، چنانچه گذشت</w:t>
      </w:r>
      <w:r>
        <w:rPr>
          <w:rFonts w:eastAsia="IRNazanin" w:cs="IRNazanin"/>
          <w:color w:val="111111"/>
          <w:sz w:val="28"/>
          <w:szCs w:val="28"/>
          <w:rtl w:val="true"/>
          <w:lang w:bidi="fa-IR"/>
        </w:rPr>
        <w:t>.</w:t>
      </w:r>
    </w:p>
    <w:p>
      <w:pPr>
        <w:pStyle w:val="Heading5"/>
        <w:numPr>
          <w:ilvl w:val="4"/>
          <w:numId w:val="1"/>
        </w:numPr>
        <w:rPr/>
      </w:pPr>
      <w:bookmarkStart w:id="2686" w:name="__RefHeading___Toc3599579_1067777946"/>
      <w:bookmarkStart w:id="2687" w:name="_Toc1110"/>
      <w:bookmarkEnd w:id="2686"/>
      <w:r>
        <w:rPr>
          <w:rtl w:val="true"/>
        </w:rPr>
        <w:t>محفوظيّت وصيت به انتقال به بدل در صورت عدم قصد خصوصيّت</w:t>
      </w:r>
      <w:bookmarkEnd w:id="2687"/>
    </w:p>
    <w:p>
      <w:pPr>
        <w:pStyle w:val="BookText"/>
        <w:rPr/>
      </w:pPr>
      <w:r>
        <w:rPr>
          <w:rFonts w:ascii="IRNazanin" w:hAnsi="IRNazanin" w:eastAsia="IRNazanin"/>
          <w:color w:val="111111"/>
          <w:sz w:val="28"/>
          <w:sz w:val="28"/>
          <w:szCs w:val="28"/>
          <w:rtl w:val="true"/>
          <w:lang w:bidi="fa-IR"/>
        </w:rPr>
        <w:t>اگر در وقت وفات، مقتول شدند مماليك، محفوظيت وصيت در اَبْدال، بى وجه نيست و ورثه مخيّرند در تعيين موصىٰ به در يكى از ابدال مماليك متعدد، چه آنكه قتل قبل از وفات موصى يا بعد از وفات او يا در وقت وفات او باشد، بعد از مالكيّت موصىٰ له به قبول و قبل از تسلم و تعيين وارث يا قبل از مالكيّت و قبول، واقع بشود، به جهت انحلال موصىٰ به به بدل ثابت در اعتبار در جميع صور مذكوره، در صورتى كه تبديلْ رجوع از وصيت نباشد و قرينه اى بر تقوّم وصيت به خصوصيّت عين در مقام قصد وصيت، نباشد</w:t>
      </w:r>
      <w:r>
        <w:rPr>
          <w:rFonts w:eastAsia="IRNazanin" w:cs="IRNazanin"/>
          <w:color w:val="111111"/>
          <w:sz w:val="28"/>
          <w:szCs w:val="28"/>
          <w:rtl w:val="true"/>
          <w:lang w:bidi="fa-IR"/>
        </w:rPr>
        <w:t>.</w:t>
      </w:r>
    </w:p>
    <w:p>
      <w:pPr>
        <w:pStyle w:val="Heading5"/>
        <w:numPr>
          <w:ilvl w:val="4"/>
          <w:numId w:val="1"/>
        </w:numPr>
        <w:rPr/>
      </w:pPr>
      <w:bookmarkStart w:id="2688" w:name="__RefHeading___Toc3599581_1067777946"/>
      <w:bookmarkStart w:id="2689" w:name="_Toc1111"/>
      <w:bookmarkEnd w:id="2688"/>
      <w:r>
        <w:rPr>
          <w:rtl w:val="true"/>
        </w:rPr>
        <w:t>نحوۀ اثبات وصيّت مسلمان</w:t>
      </w:r>
      <w:bookmarkEnd w:id="2689"/>
    </w:p>
    <w:p>
      <w:pPr>
        <w:pStyle w:val="BookText"/>
        <w:rPr/>
      </w:pPr>
      <w:r>
        <w:rPr>
          <w:rFonts w:ascii="Amiri" w:hAnsi="Amiri" w:eastAsia="Amiri" w:cs="Amiri"/>
          <w:color w:val="111111"/>
          <w:sz w:val="28"/>
          <w:sz w:val="28"/>
          <w:szCs w:val="28"/>
          <w:rtl w:val="true"/>
          <w:lang w:bidi="ar-SA"/>
        </w:rPr>
        <w:t xml:space="preserve">وصيت مسلمان ثابت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مال و ولايت و نحو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دو نفر مسلم عادل</w:t>
      </w:r>
      <w:r>
        <w:rPr>
          <w:rFonts w:eastAsia="Amiri" w:cs="Amiri" w:ascii="Amiri" w:hAnsi="Amiri"/>
          <w:color w:val="111111"/>
          <w:sz w:val="28"/>
          <w:szCs w:val="28"/>
          <w:rtl w:val="true"/>
          <w:lang w:bidi="ar-SA"/>
        </w:rPr>
        <w:t>.</w:t>
      </w:r>
    </w:p>
    <w:p>
      <w:pPr>
        <w:pStyle w:val="Heading5"/>
        <w:numPr>
          <w:ilvl w:val="4"/>
          <w:numId w:val="1"/>
        </w:numPr>
        <w:rPr/>
      </w:pPr>
      <w:bookmarkStart w:id="2690" w:name="__RefHeading___Toc3599583_1067777946"/>
      <w:bookmarkStart w:id="2691" w:name="_Toc1112"/>
      <w:bookmarkEnd w:id="2690"/>
      <w:r>
        <w:rPr>
          <w:rtl w:val="true"/>
        </w:rPr>
        <w:t>حكم شهادت اهل ذمّه و كتاب</w:t>
      </w:r>
      <w:bookmarkEnd w:id="269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مقام ضرورت و عدم تمكّن موصى از اشهاد عدول از اهل اسلام، قبول مى شود شهادت اهل ذمّه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تعدّى به مجوس با اعتبار ضرورت مذكوره، محتمل </w:t>
      </w:r>
      <w:bookmarkStart w:id="2692" w:name="pg10256_89780"/>
    </w:p>
    <w:p>
      <w:pPr>
        <w:pStyle w:val="BookText"/>
        <w:rPr/>
      </w:pPr>
      <w:bookmarkEnd w:id="26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دور نيست اشتراك آنها با اهل كتاب در جميع موارد عدم قيام دليل خاص بر عدم لحوق يا اختصاص تعبير از موضوع حكم به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حاصله به عدم وثوق به تمكّن از اشهاد مسلم، عرفى است پس محل شك نيست در ضرورت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اولويت دو نفر مسلمان متحرّز از كذب و خيانت اگر چه فاسق يا مجهول الحال در ساير معاصى باشند، مورد احتمال است در صورت تحقّق ضرورت؛ و هم چنين عدل واحد از مسلمين، با ضميمۀ يمين؛</w:t>
      </w:r>
    </w:p>
    <w:p>
      <w:pPr>
        <w:pStyle w:val="BookText"/>
        <w:rPr/>
      </w:pPr>
      <w:r>
        <w:rPr>
          <w:rFonts w:ascii="IRNazanin" w:hAnsi="IRNazanin" w:eastAsia="IRNazanin"/>
          <w:color w:val="111111"/>
          <w:sz w:val="28"/>
          <w:sz w:val="28"/>
          <w:szCs w:val="28"/>
          <w:rtl w:val="true"/>
          <w:lang w:bidi="fa-IR"/>
        </w:rPr>
        <w:t>لكن ظهور مقابله در آيۀ شريفه در خصوص وصيت، تنزل به شهادت ذميَّين است با عدم عدلَين، اگر چه متمكن از دو مسلمان فاسق صادق اللهجه يا عدل واحد باشد، يا متمكن از دو يا سه زن با عدالت باشد نسبت به آنچه ثابت نمى شود در حال اختيار به شهادت آنها كه ربع در سه زن باشد با شهادت ايشان در تمام موصىٰ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بالنسبه به آنچه ثابت مى شود در حال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سه زن در سه ربع و دو زن در نصف با عدالت، و يك عدل مسلم با يمين موصىٰ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الغاى خصوصيت از منطوق در آيۀ شريفه، و آنكه حاجت به دو ذمى، به جهت تمام مطلوب است كه تمام موصىٰ به است، نه براى اصل وصيّت در اصل موصىٰ به، و در صورت اثبات تمام وصيت به مجرّد شهادت باشد نه مطلقاً حتّى با ضمّ يمين موصىٰ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آيۀ شريفه، اثبات وصيت به شهادت غير مسلم است، نه تضييق در شهادت مسلم به نحوى كه در غير وصيت در حال اختيار اثبات مى نمايد؛ بلكه اثبات به شهادت كافر، در صورت عدم تمكّن از مثبت اختيارى</w:t>
      </w:r>
      <w:r>
        <w:rPr>
          <w:rFonts w:eastAsia="Amiri" w:cs="Amiri" w:ascii="Amiri" w:hAnsi="Amiri"/>
          <w:color w:val="111111"/>
          <w:sz w:val="28"/>
          <w:szCs w:val="28"/>
          <w:rtl w:val="true"/>
          <w:lang w:bidi="ar-SA"/>
        </w:rPr>
        <w:t>.</w:t>
      </w:r>
    </w:p>
    <w:p>
      <w:pPr>
        <w:pStyle w:val="Heading5"/>
        <w:numPr>
          <w:ilvl w:val="4"/>
          <w:numId w:val="1"/>
        </w:numPr>
        <w:rPr/>
      </w:pPr>
      <w:bookmarkStart w:id="2693" w:name="__RefHeading___Toc3599585_1067777946"/>
      <w:bookmarkStart w:id="2694" w:name="_Toc1113"/>
      <w:bookmarkEnd w:id="2693"/>
      <w:r>
        <w:rPr>
          <w:rtl w:val="true"/>
        </w:rPr>
        <w:t>شرايط شهادت ذمّى</w:t>
      </w:r>
      <w:bookmarkEnd w:id="269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در شهادت ذميَّين، اعتبار عدالت در دين آنها است؛ و اما اعتبار وثاقت به صدق لهجه و عدم خيانت، پس قطعى است؛ پس مستفاد از آيۀ شريفه، عدم اعتبار اسلام در حال ضرورت است، نه عدم اعتبار عدالت يا عدم اعتبار آنچه معتبر است در دين آنها، </w:t>
      </w:r>
      <w:bookmarkStart w:id="2695" w:name="pg10256_89781"/>
    </w:p>
    <w:p>
      <w:pPr>
        <w:pStyle w:val="BookText"/>
        <w:rPr/>
      </w:pPr>
      <w:bookmarkEnd w:id="2695"/>
      <w:r>
        <w:rPr>
          <w:rFonts w:ascii="Amiri" w:hAnsi="Amiri" w:eastAsia="Amiri" w:cs="Amiri"/>
          <w:color w:val="111111"/>
          <w:sz w:val="28"/>
          <w:sz w:val="28"/>
          <w:szCs w:val="28"/>
          <w:rtl w:val="true"/>
          <w:lang w:bidi="ar-SA"/>
        </w:rPr>
        <w:t xml:space="preserve">در اسلام؛ با ورود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شريفه در مورد نفى اعتبار اسلام، نه افادۀ كفايت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اعتبار حلف شاهدهاى غير مسلمان به ترتيب مذكور در آيۀ شريفه، پس مبنى بر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اعتبار سفر است در قبول شهادت كتابيها در صورت ضرورت</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3599587_1067777946"/>
      <w:bookmarkStart w:id="2697" w:name="_Toc1114"/>
      <w:bookmarkEnd w:id="2696"/>
      <w:r>
        <w:rPr>
          <w:rtl w:val="true"/>
        </w:rPr>
        <w:t>ضم ذمّى به عدل واحد</w:t>
      </w:r>
      <w:bookmarkEnd w:id="2697"/>
    </w:p>
    <w:p>
      <w:pPr>
        <w:pStyle w:val="BookText"/>
        <w:rPr/>
      </w:pPr>
      <w:r>
        <w:rPr>
          <w:rFonts w:ascii="IRNazanin" w:hAnsi="IRNazanin" w:eastAsia="IRNazanin"/>
          <w:color w:val="111111"/>
          <w:sz w:val="28"/>
          <w:sz w:val="28"/>
          <w:szCs w:val="28"/>
          <w:rtl w:val="true"/>
          <w:lang w:bidi="fa-IR"/>
        </w:rPr>
        <w:t xml:space="preserve">و اگر با ضرورت، شهادت داد يك عادل با ذمّى، اقرب اولويّت به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ذميَّين، اگر چه احوط، ضمّ يمين با شهادت عدل واحد است</w:t>
      </w:r>
      <w:r>
        <w:rPr>
          <w:rFonts w:eastAsia="IRNazanin" w:cs="IRNazanin"/>
          <w:color w:val="111111"/>
          <w:sz w:val="28"/>
          <w:szCs w:val="28"/>
          <w:rtl w:val="true"/>
          <w:lang w:bidi="fa-IR"/>
        </w:rPr>
        <w:t>.</w:t>
      </w:r>
    </w:p>
    <w:p>
      <w:pPr>
        <w:pStyle w:val="Heading5"/>
        <w:numPr>
          <w:ilvl w:val="4"/>
          <w:numId w:val="1"/>
        </w:numPr>
        <w:rPr/>
      </w:pPr>
      <w:bookmarkStart w:id="2698" w:name="__RefHeading___Toc3599589_1067777946"/>
      <w:bookmarkStart w:id="2699" w:name="_Toc1115"/>
      <w:bookmarkEnd w:id="2698"/>
      <w:r>
        <w:rPr>
          <w:rtl w:val="true"/>
        </w:rPr>
        <w:t>شهادت زن</w:t>
      </w:r>
      <w:bookmarkEnd w:id="2699"/>
    </w:p>
    <w:p>
      <w:pPr>
        <w:pStyle w:val="BookText"/>
        <w:rPr/>
      </w:pPr>
      <w:r>
        <w:rPr>
          <w:rFonts w:ascii="IRNazanin" w:hAnsi="IRNazanin" w:eastAsia="IRNazanin"/>
          <w:color w:val="111111"/>
          <w:sz w:val="28"/>
          <w:sz w:val="28"/>
          <w:szCs w:val="28"/>
          <w:rtl w:val="true"/>
          <w:lang w:bidi="fa-IR"/>
        </w:rPr>
        <w:t>نافذ است در دعواى وصيت به مال، شهادت عدل واحد با يمين 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قبول مى شود در مذكور، شهادت يك عدل با دو زن با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مى شود شهادت يك زن با عدالت در ربع مشهودٌ به، و شهادت دو زن با عدالت در نصف آن، و شهادت سه زن با عدالت در سه ربع آن، مثل شهادت چهار زن با عدالت در جميع مشهودٌ به، كه مشترك است اخير، بين وصيت به مال و غير آن از دعاوى ماليّه</w:t>
      </w:r>
      <w:r>
        <w:rPr>
          <w:rFonts w:eastAsia="IRNazanin" w:cs="IRNazanin"/>
          <w:color w:val="111111"/>
          <w:sz w:val="28"/>
          <w:szCs w:val="28"/>
          <w:rtl w:val="true"/>
          <w:lang w:bidi="fa-IR"/>
        </w:rPr>
        <w:t>.</w:t>
      </w:r>
    </w:p>
    <w:p>
      <w:pPr>
        <w:pStyle w:val="Heading5"/>
        <w:numPr>
          <w:ilvl w:val="4"/>
          <w:numId w:val="1"/>
        </w:numPr>
        <w:rPr/>
      </w:pPr>
      <w:bookmarkStart w:id="2700" w:name="__RefHeading___Toc3599591_1067777946"/>
      <w:bookmarkStart w:id="2701" w:name="_Toc1116"/>
      <w:bookmarkEnd w:id="2700"/>
      <w:r>
        <w:rPr>
          <w:rtl w:val="true"/>
        </w:rPr>
        <w:t>شهادت يك مرد عادل</w:t>
      </w:r>
      <w:bookmarkEnd w:id="2701"/>
    </w:p>
    <w:p>
      <w:pPr>
        <w:pStyle w:val="BookText"/>
        <w:rPr/>
      </w:pPr>
      <w:r>
        <w:rPr>
          <w:rFonts w:ascii="Amiri" w:hAnsi="Amiri" w:eastAsia="Amiri" w:cs="Amiri"/>
          <w:color w:val="111111"/>
          <w:sz w:val="28"/>
          <w:sz w:val="28"/>
          <w:szCs w:val="28"/>
          <w:rtl w:val="true"/>
          <w:lang w:bidi="ar-SA"/>
        </w:rPr>
        <w:t>و شهادت يك مرد عادل در نصف، محتمَل است، به اعتبار اينكه به منزلۀ دو زن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دخالت تعدّد در اثبات نصف، به نحوى كه شهادت يك زن در ربع از نفوذ شهادت دو زن در نصف استفاده نشود، ضعيف است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شهادت يك مرد عادل در ربع مشهودٌ به، پس ثابت است، بنابر اظهر، از اولويّت او از يك زن عادل كه شهادت او مثبت ربع مشهودٌ به است</w:t>
      </w:r>
      <w:r>
        <w:rPr>
          <w:rFonts w:eastAsia="IRNazanin" w:cs="IRNazanin"/>
          <w:color w:val="111111"/>
          <w:sz w:val="28"/>
          <w:szCs w:val="28"/>
          <w:rtl w:val="true"/>
          <w:lang w:bidi="fa-IR"/>
        </w:rPr>
        <w:t xml:space="preserve">. </w:t>
      </w:r>
      <w:bookmarkStart w:id="2702" w:name="pg10256_89782"/>
    </w:p>
    <w:p>
      <w:pPr>
        <w:pStyle w:val="Heading5"/>
        <w:numPr>
          <w:ilvl w:val="4"/>
          <w:numId w:val="1"/>
        </w:numPr>
        <w:rPr/>
      </w:pPr>
      <w:bookmarkStart w:id="2703" w:name="__RefHeading___Toc3599593_1067777946"/>
      <w:bookmarkStart w:id="2704" w:name="_Toc1117"/>
      <w:bookmarkEnd w:id="2702"/>
      <w:bookmarkEnd w:id="2703"/>
      <w:r>
        <w:rPr>
          <w:rtl w:val="true"/>
        </w:rPr>
        <w:t>شهادت خنثى</w:t>
      </w:r>
      <w:bookmarkEnd w:id="2704"/>
    </w:p>
    <w:p>
      <w:pPr>
        <w:pStyle w:val="BookText"/>
        <w:rPr/>
      </w:pPr>
      <w:r>
        <w:rPr>
          <w:rFonts w:ascii="IRNazanin" w:hAnsi="IRNazanin" w:eastAsia="IRNazanin"/>
          <w:color w:val="111111"/>
          <w:sz w:val="28"/>
          <w:sz w:val="28"/>
          <w:szCs w:val="28"/>
          <w:rtl w:val="true"/>
          <w:lang w:bidi="fa-IR"/>
        </w:rPr>
        <w:t xml:space="preserve">و هم چنين نافذ است شهادت خنثاى مشكل با عدالت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زايد است در او احتمال رجوليّت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ربع مشهودٌ به از وصيت به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شهادت دو خنثاى مشكل با عدالت، در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سه خنثاى مشكل با عدالت، در سه ربع مشهود به از وصيّت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چهار خنثاى مشكل با عدالت، در تمام مشهود به از دعاوى ماليّه</w:t>
      </w:r>
      <w:r>
        <w:rPr>
          <w:rFonts w:eastAsia="IRNazanin" w:cs="IRNazanin"/>
          <w:color w:val="111111"/>
          <w:sz w:val="28"/>
          <w:szCs w:val="28"/>
          <w:rtl w:val="true"/>
          <w:lang w:bidi="fa-IR"/>
        </w:rPr>
        <w:t>.</w:t>
      </w:r>
    </w:p>
    <w:p>
      <w:pPr>
        <w:pStyle w:val="Heading5"/>
        <w:numPr>
          <w:ilvl w:val="4"/>
          <w:numId w:val="1"/>
        </w:numPr>
        <w:rPr/>
      </w:pPr>
      <w:bookmarkStart w:id="2705" w:name="__RefHeading___Toc3599595_1067777946"/>
      <w:bookmarkStart w:id="2706" w:name="_Toc1118"/>
      <w:bookmarkEnd w:id="2705"/>
      <w:r>
        <w:rPr>
          <w:rtl w:val="true"/>
        </w:rPr>
        <w:t>فروع مربوط به طرف مذكور در باب شهادت بر وصيّت</w:t>
      </w:r>
      <w:bookmarkEnd w:id="2706"/>
    </w:p>
    <w:p>
      <w:pPr>
        <w:pStyle w:val="BookText"/>
        <w:rPr/>
      </w:pPr>
      <w:r>
        <w:rPr>
          <w:rFonts w:ascii="IRNazanin" w:hAnsi="IRNazanin" w:eastAsia="IRNazanin"/>
          <w:color w:val="111111"/>
          <w:sz w:val="28"/>
          <w:sz w:val="28"/>
          <w:szCs w:val="28"/>
          <w:rtl w:val="true"/>
          <w:lang w:bidi="fa-IR"/>
        </w:rPr>
        <w:t>و شهادت زن كه اثبات ربع موصىٰ به و مشهودٌ به مى نمايد، متوقف نيست نفوذ آن بر يمين مدّعى،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دو زن و سه زن و چهار زن، در نصف و سه ربع و تمام موصىٰ به و مشهود به، متوقف بر يمين موصىٰ له نيست، اگر چه بنا بشود بر قيام چهار زن مقام يك مرد در غير وصيت به مال با ضميمۀ يمين مدعىٖ در اثبات تمام 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نيست در نفوذ شهادت زن در باب وصيت، فقد مَرد؛ بلى معتبر است عدالت در شهادت زن؛ پس فاسقه و ذمّيه، شهادت آنها در وصيت در اقسام مذكوره نافذ نيست؛ و در آن موردى كه شهادت ذمى قبول است، شهادت ذمّيه قبول نيست حتى در صورت فقد ذكور ايشان، حتى در نسبت زن مسلمان با مرد مسلمان، در آنچه اثبات مى شود از موصىٰ به به واسطۀ شهادت مرد و زن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ثابت نمى شود نصف موصىٰ به با شهادت يك مرد مسلمان بدون يمين، اگر چه مقتضاى اعتبار قياسى غير حجّت، اثبات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دو مسلمان عادل، بر ولايت بر غير كاملها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ولايت موصى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وصايت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به شهادت زنهاى با عدالت به تنهايى يا با ضميمۀ مردهاى با عدالت، تأمل است در غير آنچه سابقاً ذكر شد در شهادت بر نفس مال براى موصىٰ له</w:t>
      </w:r>
      <w:r>
        <w:rPr>
          <w:rFonts w:eastAsia="IRNazanin" w:cs="IRNazanin"/>
          <w:color w:val="111111"/>
          <w:sz w:val="28"/>
          <w:szCs w:val="28"/>
          <w:rtl w:val="true"/>
          <w:lang w:bidi="fa-IR"/>
        </w:rPr>
        <w:t xml:space="preserve">. </w:t>
      </w:r>
      <w:bookmarkStart w:id="2707" w:name="pg10256_89783"/>
    </w:p>
    <w:p>
      <w:pPr>
        <w:pStyle w:val="BookText"/>
        <w:rPr/>
      </w:pPr>
      <w:bookmarkEnd w:id="2707"/>
      <w:r>
        <w:rPr>
          <w:rFonts w:ascii="IRNazanin" w:hAnsi="IRNazanin" w:eastAsia="IRNazanin"/>
          <w:color w:val="111111"/>
          <w:sz w:val="28"/>
          <w:sz w:val="28"/>
          <w:szCs w:val="28"/>
          <w:rtl w:val="true"/>
          <w:lang w:bidi="fa-IR"/>
        </w:rPr>
        <w:t>و هم چنين اثبات وصايت به ولايت، به شهادت يك مرد عادل با ضميمۀ يمين مدعِىِ وصايت، محل تأمل است، بلكه مظنّۀ اجماع بر عدم است؛ و هم چنين شهادت دو زن با عدالت با ضميمۀ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شهادت اهل ذمّه، بر وصايت 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نفوذ شهادت ايشان بر وصيت به مال كه صورت ضرورت و فقد دو مسلمان عادل باشد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 و موافق اطلاق آيۀ شريفه، قبول است</w:t>
      </w:r>
      <w:r>
        <w:rPr>
          <w:rFonts w:eastAsia="IRNazanin" w:cs="IRNazanin"/>
          <w:color w:val="111111"/>
          <w:sz w:val="28"/>
          <w:szCs w:val="28"/>
          <w:rtl w:val="true"/>
          <w:lang w:bidi="fa-IR"/>
        </w:rPr>
        <w:t>.</w:t>
      </w:r>
    </w:p>
    <w:p>
      <w:pPr>
        <w:pStyle w:val="Heading5"/>
        <w:numPr>
          <w:ilvl w:val="4"/>
          <w:numId w:val="1"/>
        </w:numPr>
        <w:rPr/>
      </w:pPr>
      <w:bookmarkStart w:id="2708" w:name="__RefHeading___Toc3599597_1067777946"/>
      <w:bookmarkStart w:id="2709" w:name="_Toc1119"/>
      <w:bookmarkEnd w:id="2708"/>
      <w:r>
        <w:rPr>
          <w:rtl w:val="true"/>
        </w:rPr>
        <w:t>قبول شهادت عبد بعد از عتق</w:t>
      </w:r>
      <w:bookmarkEnd w:id="2709"/>
    </w:p>
    <w:p>
      <w:pPr>
        <w:pStyle w:val="BookText"/>
        <w:rPr/>
      </w:pPr>
      <w:r>
        <w:rPr>
          <w:rFonts w:ascii="IRNazanin" w:hAnsi="IRNazanin" w:eastAsia="IRNazanin"/>
          <w:color w:val="111111"/>
          <w:sz w:val="28"/>
          <w:sz w:val="28"/>
          <w:szCs w:val="28"/>
          <w:rtl w:val="true"/>
          <w:lang w:bidi="fa-IR"/>
        </w:rPr>
        <w:t xml:space="preserve">اگر شخصى اشهاد نمود دو عبد خود را بر حمل كنيز خودش كه از او است، پس شهادت دادند بر آن بعد از آنكه معتَق شدند به اعتاق وارث در ظاهر، شهادت آنها قبول مى شود، و كشف مى نمايد از قبول شهادت عبد مطلقاً يا خصوص عبدى كه در ظاهر شرعْ حرّ است در زمان عدم انكشاف خلاف، در مشهودٌ به خاص، و مردود به رقّيّت براى مشهودٌ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اگر چه ابقاى رقّيت آنها براى غلام، مكروه است</w:t>
      </w:r>
      <w:r>
        <w:rPr>
          <w:rFonts w:eastAsia="IRNazanin" w:cs="IRNazanin"/>
          <w:color w:val="111111"/>
          <w:sz w:val="28"/>
          <w:szCs w:val="28"/>
          <w:rtl w:val="true"/>
          <w:lang w:bidi="fa-IR"/>
        </w:rPr>
        <w:t>.</w:t>
      </w:r>
    </w:p>
    <w:p>
      <w:pPr>
        <w:pStyle w:val="Heading5"/>
        <w:numPr>
          <w:ilvl w:val="4"/>
          <w:numId w:val="1"/>
        </w:numPr>
        <w:rPr/>
      </w:pPr>
      <w:bookmarkStart w:id="2710" w:name="__RefHeading___Toc3599599_1067777946"/>
      <w:bookmarkStart w:id="2711" w:name="_Toc1120"/>
      <w:bookmarkEnd w:id="2710"/>
      <w:r>
        <w:rPr>
          <w:rtl w:val="true"/>
        </w:rPr>
        <w:t>شهادت وصىّ‌</w:t>
      </w:r>
      <w:bookmarkEnd w:id="2711"/>
    </w:p>
    <w:p>
      <w:pPr>
        <w:pStyle w:val="BookText"/>
        <w:rPr/>
      </w:pPr>
      <w:r>
        <w:rPr>
          <w:rFonts w:ascii="IRNazanin" w:hAnsi="IRNazanin" w:eastAsia="IRNazanin"/>
          <w:color w:val="111111"/>
          <w:sz w:val="28"/>
          <w:sz w:val="28"/>
          <w:szCs w:val="28"/>
          <w:rtl w:val="true"/>
          <w:lang w:bidi="fa-IR"/>
        </w:rPr>
        <w:t>قبول نمى شود شهادت وصى اگر مستلزم توسعه در دايرۀ حق وصايت او باشد، به خلاف صورت عدم استلزام، مثل آن چيزى كه خارج از وصايت او بوده باشد؛ يا آنكه مشهود به، خروج بعض تركه يا مديونيّت ميّت براى غير باشد، چه وارث باشد يا غير، نه دائن بودن ميّت از غير، چه وارث باشد يا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 استلزام است، شهادت بر تعيين مال خارج به وصيت</w:t>
      </w:r>
      <w:r>
        <w:rPr>
          <w:rFonts w:eastAsia="IRNazanin" w:cs="IRNazanin"/>
          <w:color w:val="111111"/>
          <w:sz w:val="28"/>
          <w:szCs w:val="28"/>
          <w:rtl w:val="true"/>
          <w:lang w:bidi="fa-IR"/>
        </w:rPr>
        <w:t>.</w:t>
      </w:r>
    </w:p>
    <w:p>
      <w:pPr>
        <w:pStyle w:val="Heading5"/>
        <w:numPr>
          <w:ilvl w:val="4"/>
          <w:numId w:val="1"/>
        </w:numPr>
        <w:rPr/>
      </w:pPr>
      <w:bookmarkStart w:id="2712" w:name="__RefHeading___Toc3599601_1067777946"/>
      <w:bookmarkStart w:id="2713" w:name="_Toc1121"/>
      <w:bookmarkEnd w:id="2712"/>
      <w:r>
        <w:rPr>
          <w:rtl w:val="true"/>
        </w:rPr>
        <w:t>وصيّت به عتق عبيد</w:t>
      </w:r>
      <w:bookmarkEnd w:id="271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وصيت كرد به عتق عبدهاى خودش و غير از آنها مالى نداشت، تثليث مى شوند به حسب قيمت و يك ثلث آنها عتق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تعيين آن يك ثلث با قرعه </w:t>
      </w:r>
      <w:bookmarkStart w:id="2714" w:name="pg10256_89784"/>
    </w:p>
    <w:p>
      <w:pPr>
        <w:pStyle w:val="BookText"/>
        <w:rPr/>
      </w:pPr>
      <w:bookmarkEnd w:id="27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يكى از آنها به سبب ملاحظۀ تثليث در قيمت، انكسار واقع شد، همان عبد كه مثلاً ربع آن واقع در ثلث شده است، سعى مى نمايد در بقيه و همۀ او آزاد مى شود؛ و اين در صورتى است كه ورثه اجازه ننمايند وصيت به عتق همه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ترتيب ذكر كرد آنها را، به ترتيب از ثلث اخراج مى شوند بدون احتياج به قرعه، و هر كدام موافق ثلث بود، عتق مى شوند، و زايد عتق نمى شود مگر با اجازۀ ورثه در مقدار واقع در متعلق اجازه؛ و هم چنين اگر در مرض موت، عتق به صورت تنجيز نمود، بنابر خروج عتق منجّز در مرض موت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عتق ثلث از همۀ مماليك نمى گذارند، نه در وصيت و نه در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عدد مخصوصى را ذكر كرد در دو قسم مذكور، همان مقدار يا موافق ثلث از آن عدد را با قرعه تعيين و عتق مى نمايند يا تقرير عتق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تخيير ورثه در تعيين آن عدد، خالى از وجه نيست</w:t>
      </w:r>
      <w:r>
        <w:rPr>
          <w:rFonts w:eastAsia="IRNazanin" w:cs="IRNazanin"/>
          <w:color w:val="111111"/>
          <w:sz w:val="28"/>
          <w:szCs w:val="28"/>
          <w:rtl w:val="true"/>
          <w:lang w:bidi="fa-IR"/>
        </w:rPr>
        <w:t>.</w:t>
      </w:r>
    </w:p>
    <w:p>
      <w:pPr>
        <w:pStyle w:val="Heading5"/>
        <w:numPr>
          <w:ilvl w:val="4"/>
          <w:numId w:val="1"/>
        </w:numPr>
        <w:rPr/>
      </w:pPr>
      <w:bookmarkStart w:id="2715" w:name="__RefHeading___Toc3599603_1067777946"/>
      <w:bookmarkStart w:id="2716" w:name="_Toc1122"/>
      <w:bookmarkEnd w:id="2715"/>
      <w:r>
        <w:rPr>
          <w:rtl w:val="true"/>
        </w:rPr>
        <w:t>عتق عبد در مرض موت</w:t>
      </w:r>
      <w:bookmarkEnd w:id="2716"/>
    </w:p>
    <w:p>
      <w:pPr>
        <w:pStyle w:val="BookText"/>
        <w:rPr/>
      </w:pPr>
      <w:r>
        <w:rPr>
          <w:rFonts w:ascii="IRNazanin" w:hAnsi="IRNazanin" w:eastAsia="IRNazanin"/>
          <w:color w:val="111111"/>
          <w:sz w:val="28"/>
          <w:sz w:val="28"/>
          <w:szCs w:val="28"/>
          <w:rtl w:val="true"/>
          <w:lang w:bidi="fa-IR"/>
        </w:rPr>
        <w:t>اگر عتق نمود عبدى را در مرض موت و بنابر خروج از ثلث بود، يا آنكه وصيّت به عتق او كرد و مال ديگرى نداشت، پس ثلث آن عتق يا تقرير بر عتق مى شود و سعى مى نمايد براى ورثه در باقى، به اداى مكتسَب خودش كه فاضل از مؤونۀ او است، به ورثه، تا موافق با قيمت دو ثلث خودش نمايد و همۀ او آزاد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ثلث عبدى را عتق نمود يا وصيت به عتق او نمود، ثلث آزاد است و در بقيه سعى مى نمايد تا موافق قيمت دو ثلث خودش تأديه به ورثه نمايد و آزاد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فرض، موصى مال ديگرى دارد، بقيۀ عبد از ثلث آن مال آزاد مى شود به سبب سرايت عتق كه سبب آن عتق يا وصيت به عتق ثلث عبد مخصوص بوده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بنابر خروج منجز يا اين قسم از آن از اصل بود، پس خصوص معتَق از عبد، و لازم آن به حسب سرايت كه تمام عبد باشد، قبل از توريث تركه اخراج مى شود</w:t>
      </w:r>
      <w:r>
        <w:rPr>
          <w:rFonts w:eastAsia="IRNazanin" w:cs="IRNazanin"/>
          <w:color w:val="111111"/>
          <w:sz w:val="28"/>
          <w:szCs w:val="28"/>
          <w:rtl w:val="true"/>
          <w:lang w:bidi="fa-IR"/>
        </w:rPr>
        <w:t xml:space="preserve">. </w:t>
      </w:r>
      <w:bookmarkStart w:id="2717" w:name="pg10256_89785"/>
    </w:p>
    <w:p>
      <w:pPr>
        <w:pStyle w:val="Heading5"/>
        <w:numPr>
          <w:ilvl w:val="4"/>
          <w:numId w:val="1"/>
        </w:numPr>
        <w:rPr/>
      </w:pPr>
      <w:bookmarkStart w:id="2718" w:name="__RefHeading___Toc3599605_1067777946"/>
      <w:bookmarkStart w:id="2719" w:name="_Toc1123"/>
      <w:bookmarkEnd w:id="2717"/>
      <w:bookmarkEnd w:id="2718"/>
      <w:r>
        <w:rPr>
          <w:rtl w:val="true"/>
        </w:rPr>
        <w:t>اطلاق و تقييد عتق</w:t>
      </w:r>
      <w:bookmarkEnd w:id="2719"/>
    </w:p>
    <w:p>
      <w:pPr>
        <w:pStyle w:val="BookText"/>
        <w:rPr/>
      </w:pPr>
      <w:r>
        <w:rPr>
          <w:rFonts w:ascii="IRNazanin" w:hAnsi="IRNazanin" w:eastAsia="IRNazanin"/>
          <w:color w:val="111111"/>
          <w:sz w:val="28"/>
          <w:sz w:val="28"/>
          <w:szCs w:val="28"/>
          <w:rtl w:val="true"/>
          <w:lang w:bidi="fa-IR"/>
        </w:rPr>
        <w:t>اگر وصيت كرد به عتق رقبه اى و آن را مقيّد نكرد، مُجزى است عتق صغير و كبير و غلام و كنيز و خنثى و مؤمن و غير مؤمن كه غير محكوم به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مقيّد كرد به ايمان، و موصى از مؤمنين و اثنا عشرى بود، پس مفهوم ايمان به معناى اخص است و واجب است كه عتق يكى از ايشان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موصى از ايشان نباشد، پس با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عرف مكان و زمان وصيت باشد، بلكه دور نيست قرينيت اعتقاد خود موصى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 شود مراد او؛ و عتق اثنا عشرى، متيقن و احوط است در وقت عدم قرينه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نشد رقبۀ متصف به ايمان كه قيديّت آن ثابت باشد در وصيت، پس ساقط است قيد ايمان و اكتفا مى شود به عتق غير ناصبىّ از فرق مسلمين و هم چنين ساير محكومين به كفر از فرق مسلمين مثل غلات و خوارج و نواصب كه مجزى نيست عتق كافر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تصريح به وحدت مقصود به وصيت نمايد در مقابل تعدد مطلوب به وصيت، معاملۀ تعذّر مصرف با آن وصيت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پيدا شد مؤمن و لكن با ازيد از مقدار وصيت با عدم مالى غير آن يا عدم اجازۀ ورثه، يا تصريح به عدم رضاى موصىٖ به صرف ازيد و عدم رضاى بايع به فروختن بعض مملوك و انتظار ثمن بقيه از سعى او فيما بعد با فرض موافقت آن با وصيت، پس ساقط مى شود قيد ايمان خاص و اكتفاى به رقبۀ غير كافره در عتق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اعتقاد ايمان و معرفت حق، خريد و عتق كرد پس از آن تخلف اعتقاد با واقع ظاهر شد، مجزى است همان عتق در صورت عدم محكوميّت به كفر، چنانچه مورد تطابق نص و فتوى است، و ممكن است توجيه شود به اينكه مراد موصى نوعاً عتق معتقد الايمان است به حسب طرق و امارات معتبرۀ شرعيّه</w:t>
      </w:r>
      <w:r>
        <w:rPr>
          <w:rFonts w:eastAsia="IRNazanin" w:cs="IRNazanin"/>
          <w:color w:val="111111"/>
          <w:sz w:val="28"/>
          <w:szCs w:val="28"/>
          <w:rtl w:val="true"/>
          <w:lang w:bidi="fa-IR"/>
        </w:rPr>
        <w:t>.</w:t>
      </w:r>
    </w:p>
    <w:p>
      <w:pPr>
        <w:pStyle w:val="Heading5"/>
        <w:numPr>
          <w:ilvl w:val="4"/>
          <w:numId w:val="1"/>
        </w:numPr>
        <w:rPr/>
      </w:pPr>
      <w:bookmarkStart w:id="2720" w:name="__RefHeading___Toc3599607_1067777946"/>
      <w:bookmarkStart w:id="2721" w:name="_Toc1124"/>
      <w:bookmarkEnd w:id="2720"/>
      <w:r>
        <w:rPr>
          <w:rtl w:val="true"/>
        </w:rPr>
        <w:t>اگر رقبۀ مورد وصيّت يافت نشود</w:t>
      </w:r>
      <w:bookmarkEnd w:id="272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وصيت كرد به عتق رقبه اى با ثمن معيّن، پس پيدا نشد، لازم نيست شراى به ازيد از آن حتى اگر وارثْ بذل نمايد در مقدار ثلث، يا زايد بر آن، يا غير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 </w:t>
      </w:r>
    </w:p>
    <w:p>
      <w:pPr>
        <w:pStyle w:val="BookText"/>
        <w:rPr/>
      </w:pPr>
      <w:r>
        <w:rPr>
          <w:rFonts w:ascii="IRNazanin" w:hAnsi="IRNazanin" w:eastAsia="IRNazanin"/>
          <w:color w:val="111111"/>
          <w:sz w:val="28"/>
          <w:sz w:val="28"/>
          <w:szCs w:val="28"/>
          <w:rtl w:val="true"/>
          <w:lang w:bidi="fa-IR"/>
        </w:rPr>
        <w:t>وجوب شراء با زايد است در صورتى كه مقصود موصى، تخفيف بر وارث باشد و در قبول، منّتى از وارث يا غير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تخفيف از قبل بايع باشد، واجب است شراء و عتق؛ و در صورت عدم وجود مگر با ازيد از معيّن، منتظر تمكّن از شراء با معيّن مى شوند؛ و اگر مأيوس شدند، صرف در وجوه برّ مى نمايند، و اولى شراء بعض رقبه و عتق آن از جانب موصى است كه از وجوه برّيه و اقرب به موصىٰ به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پيدا نشد مگر با اقل از معيّن، شراء به معيّن در صورت عدم سفه مى شود وگرنه به اقلْ شراء مى شود و عتق مى شود مگر با قرينه بر ارادۀ قيديّت به نحوى كه اقليت، مثل اكثريت باشد و به حكم آن محكوم مى شود، و در صورت تعذر شراء به معيّن يعنى شراء بيست تومانى مثلاً و ميسوريت شراء ده تومانى با ده تومان از بيست تومان موصىٰ به و خريدن آن با ده تومان، احوط اعطاى بقيه به مملوك قبل از عتق او است كه برّ مخصوص اقرب به موصىٰ به است</w:t>
      </w:r>
      <w:r>
        <w:rPr>
          <w:rFonts w:eastAsia="IRNazanin" w:cs="IRNazanin"/>
          <w:color w:val="111111"/>
          <w:sz w:val="28"/>
          <w:szCs w:val="28"/>
          <w:rtl w:val="true"/>
          <w:lang w:bidi="fa-IR"/>
        </w:rPr>
        <w:t xml:space="preserve">. </w:t>
      </w:r>
      <w:bookmarkStart w:id="2722" w:name="pg10256_89787"/>
    </w:p>
    <w:p>
      <w:pPr>
        <w:pStyle w:val="Heading3"/>
        <w:numPr>
          <w:ilvl w:val="2"/>
          <w:numId w:val="1"/>
        </w:numPr>
        <w:rPr/>
      </w:pPr>
      <w:bookmarkStart w:id="2723" w:name="__RefHeading___Toc3599609_1067777946"/>
      <w:bookmarkStart w:id="2724" w:name="_Toc1125"/>
      <w:bookmarkEnd w:id="2722"/>
      <w:bookmarkEnd w:id="2723"/>
      <w:r>
        <w:rPr>
          <w:rtl w:val="true"/>
        </w:rPr>
        <w:t>فصل چهارم شرايط و احكام موصىٰ له</w:t>
      </w:r>
      <w:bookmarkEnd w:id="2724"/>
    </w:p>
    <w:p>
      <w:pPr>
        <w:pStyle w:val="Heading4"/>
        <w:numPr>
          <w:ilvl w:val="3"/>
          <w:numId w:val="1"/>
        </w:numPr>
        <w:rPr/>
      </w:pPr>
      <w:bookmarkStart w:id="2725" w:name="__RefHeading___Toc3599611_1067777946"/>
      <w:bookmarkStart w:id="2726" w:name="_Toc1126"/>
      <w:bookmarkEnd w:id="2725"/>
      <w:r>
        <w:rPr>
          <w:rtl w:val="true"/>
        </w:rPr>
        <w:t>اشتراط وجود موصىٰ له</w:t>
      </w:r>
      <w:bookmarkEnd w:id="2726"/>
    </w:p>
    <w:p>
      <w:pPr>
        <w:pStyle w:val="BookText"/>
        <w:rPr/>
      </w:pPr>
      <w:r>
        <w:rPr>
          <w:rFonts w:ascii="IRNazanin" w:hAnsi="IRNazanin" w:eastAsia="IRNazanin"/>
          <w:color w:val="111111"/>
          <w:sz w:val="28"/>
          <w:sz w:val="28"/>
          <w:szCs w:val="28"/>
          <w:rtl w:val="true"/>
          <w:lang w:bidi="fa-IR"/>
        </w:rPr>
        <w:t>معتبر است در صحّت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موصىٰ له در زمان وصيت تا زمان موت موصى؛ پس وصيت براى معدوم، مثل ميّت در حال وصيت يا حمل زنى كه آن حمل معدوم باشد در زمان وصيت،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وصيت به عينْ ظاهر است و آن منحصر است به حبس و وقف، و جارى نيست در وصيت و هبه و نحو اينها</w:t>
      </w:r>
      <w:r>
        <w:rPr>
          <w:rFonts w:eastAsia="IRNazanin" w:cs="IRNazanin"/>
          <w:color w:val="111111"/>
          <w:sz w:val="28"/>
          <w:szCs w:val="28"/>
          <w:rtl w:val="true"/>
          <w:lang w:bidi="fa-IR"/>
        </w:rPr>
        <w:t>.</w:t>
      </w:r>
    </w:p>
    <w:p>
      <w:pPr>
        <w:pStyle w:val="Heading4"/>
        <w:numPr>
          <w:ilvl w:val="3"/>
          <w:numId w:val="1"/>
        </w:numPr>
        <w:rPr/>
      </w:pPr>
      <w:bookmarkStart w:id="2727" w:name="__RefHeading___Toc3599613_1067777946"/>
      <w:bookmarkStart w:id="2728" w:name="_Toc1127"/>
      <w:bookmarkEnd w:id="2727"/>
      <w:r>
        <w:rPr>
          <w:rtl w:val="true"/>
        </w:rPr>
        <w:t>مستثنيات از اشتراط وجود</w:t>
      </w:r>
      <w:bookmarkEnd w:id="2728"/>
    </w:p>
    <w:p>
      <w:pPr>
        <w:pStyle w:val="BookText"/>
        <w:rPr/>
      </w:pPr>
      <w:r>
        <w:rPr>
          <w:rFonts w:ascii="IRNazanin" w:hAnsi="IRNazanin" w:eastAsia="IRNazanin"/>
          <w:color w:val="111111"/>
          <w:sz w:val="28"/>
          <w:sz w:val="28"/>
          <w:szCs w:val="28"/>
          <w:rtl w:val="true"/>
          <w:lang w:bidi="fa-IR"/>
        </w:rPr>
        <w:t>و اما وصيت به ثمرۀ متجدّدۀ درخت براى اولاد تا پنجاه سال مثلاً، كه هركدام از بطونْ تلقّى ملك از موصى نمايند با كفايت اهليت وجود در موصىٰ به و در موصىٰ له، و هم چنين وصيت براى حمل متجدّد كه به او اعطا شود نه به نحو تمليك حمل، و هم چنين وصيت براى محتمل الوجود در حال وصيت به نحو تعليق بر وجود در حال موت موصى، پس ثبوت اجماع در آنها معلوم نيست، و مقتضاى اطلاقات وصيت، صحّت آنها است؛ اگر چه احوط، اخذ نتيجه به عنوان وصيت عهديّه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متجدّد از اولاد فلان به ترتيب، ثمرۀ فلان بستان را اعطا نمايند، تا رعايت اطلاق معقد اجماع منقول بشود</w:t>
      </w:r>
      <w:r>
        <w:rPr>
          <w:rFonts w:eastAsia="IRNazanin" w:cs="IRNazanin"/>
          <w:color w:val="111111"/>
          <w:sz w:val="28"/>
          <w:szCs w:val="28"/>
          <w:rtl w:val="true"/>
          <w:lang w:bidi="fa-IR"/>
        </w:rPr>
        <w:t>.</w:t>
      </w:r>
    </w:p>
    <w:p>
      <w:pPr>
        <w:pStyle w:val="Heading4"/>
        <w:numPr>
          <w:ilvl w:val="3"/>
          <w:numId w:val="1"/>
        </w:numPr>
        <w:rPr/>
      </w:pPr>
      <w:bookmarkStart w:id="2729" w:name="__RefHeading___Toc3599615_1067777946"/>
      <w:bookmarkStart w:id="2730" w:name="_Toc1128"/>
      <w:bookmarkEnd w:id="2729"/>
      <w:r>
        <w:rPr>
          <w:rtl w:val="true"/>
        </w:rPr>
        <w:t>وصيت براى وارث</w:t>
      </w:r>
      <w:bookmarkEnd w:id="273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براى وارث و غير وارث، نافذ است از ثلث متروكات، و گاهى اوّل افضل از </w:t>
      </w:r>
      <w:bookmarkStart w:id="2731" w:name="pg10256_89788"/>
    </w:p>
    <w:p>
      <w:pPr>
        <w:pStyle w:val="BookText"/>
        <w:rPr/>
      </w:pPr>
      <w:bookmarkEnd w:id="2731"/>
      <w:r>
        <w:rPr>
          <w:rFonts w:ascii="IRNazanin" w:hAnsi="IRNazanin" w:eastAsia="IRNazanin"/>
          <w:color w:val="111111"/>
          <w:sz w:val="28"/>
          <w:sz w:val="28"/>
          <w:szCs w:val="28"/>
          <w:rtl w:val="true"/>
          <w:lang w:bidi="fa-IR"/>
        </w:rPr>
        <w:t xml:space="preserve">دوّم است؛ و آنچه نفى آن مى نمايد،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وصيت براى وارثْ بدل از ارث يا به 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يا تقيّه</w:t>
      </w:r>
      <w:r>
        <w:rPr>
          <w:rFonts w:eastAsia="IRNazanin" w:cs="IRNazanin"/>
          <w:color w:val="111111"/>
          <w:sz w:val="28"/>
          <w:szCs w:val="28"/>
          <w:rtl w:val="true"/>
          <w:lang w:bidi="fa-IR"/>
        </w:rPr>
        <w:t>.</w:t>
      </w:r>
    </w:p>
    <w:p>
      <w:pPr>
        <w:pStyle w:val="Heading4"/>
        <w:numPr>
          <w:ilvl w:val="3"/>
          <w:numId w:val="1"/>
        </w:numPr>
        <w:rPr/>
      </w:pPr>
      <w:bookmarkStart w:id="2732" w:name="__RefHeading___Toc3599617_1067777946"/>
      <w:bookmarkStart w:id="2733" w:name="_Toc1129"/>
      <w:bookmarkEnd w:id="2732"/>
      <w:r>
        <w:rPr>
          <w:rtl w:val="true"/>
        </w:rPr>
        <w:t>وصيّت براى غير مسلم</w:t>
      </w:r>
      <w:bookmarkEnd w:id="2733"/>
    </w:p>
    <w:p>
      <w:pPr>
        <w:pStyle w:val="BookText"/>
        <w:rPr/>
      </w:pPr>
      <w:r>
        <w:rPr>
          <w:rFonts w:ascii="IRNazanin" w:hAnsi="IRNazanin" w:eastAsia="IRNazanin"/>
          <w:color w:val="111111"/>
          <w:sz w:val="28"/>
          <w:sz w:val="28"/>
          <w:szCs w:val="28"/>
          <w:rtl w:val="true"/>
          <w:lang w:bidi="fa-IR"/>
        </w:rPr>
        <w:t>وصيت براى اهل ذمّه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نفوذ وصيت براى حربى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يا خصوص قريب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عدم نفوذ، خلاف است؛ حرمت تقويت كفر و تمايل به ايشان، مشترك است بين حربى و اقسام آن و ذمّى؛ و ممكن است در مورد تحريم، نافذ نباشد؛ لكن وصيت غير معنونه به مودّت دينيه، داخل در اطلاقات است؛ پس جواز وضعى خالى از وجه نيست، و تكليفى مختلف است، و فرق آن با هبه در حال حيات، ظاهر نيست</w:t>
      </w:r>
      <w:r>
        <w:rPr>
          <w:rFonts w:eastAsia="IRNazanin" w:cs="IRNazanin"/>
          <w:color w:val="111111"/>
          <w:sz w:val="28"/>
          <w:szCs w:val="28"/>
          <w:rtl w:val="true"/>
          <w:lang w:bidi="fa-IR"/>
        </w:rPr>
        <w:t>.</w:t>
      </w:r>
    </w:p>
    <w:p>
      <w:pPr>
        <w:pStyle w:val="Heading4"/>
        <w:numPr>
          <w:ilvl w:val="3"/>
          <w:numId w:val="1"/>
        </w:numPr>
        <w:rPr/>
      </w:pPr>
      <w:bookmarkStart w:id="2734" w:name="__RefHeading___Toc3599619_1067777946"/>
      <w:bookmarkStart w:id="2735" w:name="_Toc1130"/>
      <w:bookmarkEnd w:id="2734"/>
      <w:r>
        <w:rPr>
          <w:rtl w:val="true"/>
        </w:rPr>
        <w:t>وصيّت براى مملوك غير</w:t>
      </w:r>
      <w:bookmarkEnd w:id="2735"/>
    </w:p>
    <w:p>
      <w:pPr>
        <w:pStyle w:val="BookText"/>
        <w:rPr/>
      </w:pPr>
      <w:r>
        <w:rPr>
          <w:rFonts w:ascii="IRNazanin" w:hAnsi="IRNazanin" w:eastAsia="IRNazanin"/>
          <w:color w:val="111111"/>
          <w:sz w:val="28"/>
          <w:sz w:val="28"/>
          <w:szCs w:val="28"/>
          <w:rtl w:val="true"/>
          <w:lang w:bidi="fa-IR"/>
        </w:rPr>
        <w:t>وصيت براى مملوكِ غير، نافذ نيست؛ و فرقى بين اقسام مملوك در اين حكم نيست؛ پس قِنّ و مدبَّر و امّ ولد و مكاتَب مشروط يا مطلق قبل از اداى مال الكتابه، در اين حكم مشتركند؛ و تكسب مكاتب به تكسبات مشروعۀ صحيحه، مانعى ندارد؛ لكن اين گونه تكسبِ او نافذ نيست به حسب ادلۀ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 غير مكاتبى بود كه بعض او آزاد شده باشد، يا آنكه مملوك اصلاً بعض او آزاد بود از غير جهت مكاتبه، به مقدار نصيب او از حرّيت، وصيت نافذ است؛ پس اگر نصف او آزاد است، نصف موصىٰ به مال او است</w:t>
      </w:r>
      <w:r>
        <w:rPr>
          <w:rFonts w:eastAsia="IRNazanin" w:cs="IRNazanin"/>
          <w:color w:val="111111"/>
          <w:sz w:val="28"/>
          <w:szCs w:val="28"/>
          <w:rtl w:val="true"/>
          <w:lang w:bidi="fa-IR"/>
        </w:rPr>
        <w:t>.</w:t>
      </w:r>
    </w:p>
    <w:p>
      <w:pPr>
        <w:pStyle w:val="Heading4"/>
        <w:numPr>
          <w:ilvl w:val="3"/>
          <w:numId w:val="1"/>
        </w:numPr>
        <w:rPr/>
      </w:pPr>
      <w:bookmarkStart w:id="2736" w:name="__RefHeading___Toc3599621_1067777946"/>
      <w:bookmarkStart w:id="2737" w:name="_Toc1131"/>
      <w:bookmarkEnd w:id="2736"/>
      <w:r>
        <w:rPr>
          <w:rtl w:val="true"/>
        </w:rPr>
        <w:t>وصيّت به ثلث مال براى مملوك خودش</w:t>
      </w:r>
      <w:bookmarkEnd w:id="2737"/>
    </w:p>
    <w:p>
      <w:pPr>
        <w:pStyle w:val="BookText"/>
        <w:rPr/>
      </w:pPr>
      <w:r>
        <w:rPr>
          <w:rFonts w:ascii="IRNazanin" w:hAnsi="IRNazanin" w:eastAsia="IRNazanin"/>
          <w:color w:val="111111"/>
          <w:sz w:val="28"/>
          <w:sz w:val="28"/>
          <w:szCs w:val="28"/>
          <w:rtl w:val="true"/>
          <w:lang w:bidi="fa-IR"/>
        </w:rPr>
        <w:t>اگر وصيت كرد به ثلث مال خودش براى مملوك خودش، پس اگر قيمت ثلث، اكثر از قيمت آن مملوك باشد، عتق مى شود و بقيۀ ثلثْ دفع به او مى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اقل از قيمت او باشد، پس اگر تفاوت به نصف قيمت او نرسد، سعى مى نمايد در اداى تفاوت و تمام او عتق مى شود؛ و اگر به نصف رسيده باشد، پس در </w:t>
      </w:r>
    </w:p>
    <w:p>
      <w:pPr>
        <w:pStyle w:val="BookText"/>
        <w:rPr/>
      </w:pPr>
      <w:r>
        <w:rPr>
          <w:rFonts w:ascii="Amiri" w:hAnsi="Amiri" w:eastAsia="Amiri" w:cs="Amiri"/>
          <w:color w:val="111111"/>
          <w:sz w:val="28"/>
          <w:sz w:val="28"/>
          <w:szCs w:val="28"/>
          <w:rtl w:val="true"/>
          <w:lang w:bidi="ar-SA"/>
        </w:rPr>
        <w:t>بطلان وصيت و صحّت آن با لزوم سعى در بقيۀ قيمت، خلاف است؛ و قول ثانى كه منسوب به عامۀ متأخرين بلكه به مشهور است و موافق اطلاق رضوى است، خالى از رجحان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عدم فرق در وصيت بين تعلق به ثلث مشاع در مجموع يا ثلث معيّن يا موافق ثلث مجموع از معيّن است، در حكم مذكور براى وصيت به ثلث براى مملوك خودش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 عتق كل مملوك يا بعض آن با استسعاء در بقيه، از قبيل اختيار عتق است، يا حكم به انعتاق شرعى است بدون احتياج به صيغه‌؟ محل تأمل است؛ احوط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وصيت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بود و قيمت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ملحق است به صورتى كه قيمت، دو مقابل موصىٰ به است؛ و وصيت به ازيد از قيمت نصف، كالعدم است؛ و سعى و بطلان، مبنى بر دو قول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مذكور شد در وصيت براى مملوك موصى، اختصاص به قِنّ ندارد و جارى در مدبَّر است؛ پس اجتماع تدبير با وصيت براى مدبّر، ممكن است و مجموعْ از ثلث تنفيذ مى شود و مثل وصيت واحده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ثلث وسعت به هر دو نمايد، منعتق مى شود به تدبير و اعطا مى شود موصىٰ به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ثلث ناقص بود، در بقيه سعى مى نمايد براى ورثه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حريت به مجموع دو وصيت از نصف متجاوز باشد يا مطلقاً اگر تفصيلِ متقدّم در تدبير، جارى نباشد نزد اهل 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اختلاف حكم تدبير و وصيت براى مملوك به مالى و عدم وفاى ثلث به مجموع، احتمالِ ابتداى به سابق مثل وصاياى مختلفه براى موارد مختلفه، قائم است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صورتى كه تدبير بشود و وصيت به جزء مشاع او براى او بشود و مال ديگرى نباشد براى موصى، پس وصيتها از ثلث تجاوز نمى نمايند و بنا بر جريان تفصيل در </w:t>
      </w:r>
      <w:bookmarkStart w:id="2738" w:name="pg10256_89790"/>
    </w:p>
    <w:p>
      <w:pPr>
        <w:pStyle w:val="BookText"/>
        <w:rPr/>
      </w:pPr>
      <w:bookmarkEnd w:id="2738"/>
      <w:r>
        <w:rPr>
          <w:rFonts w:ascii="Amiri" w:hAnsi="Amiri" w:eastAsia="Amiri" w:cs="Amiri"/>
          <w:color w:val="111111"/>
          <w:sz w:val="28"/>
          <w:sz w:val="28"/>
          <w:szCs w:val="28"/>
          <w:rtl w:val="true"/>
          <w:lang w:bidi="ar-SA"/>
        </w:rPr>
        <w:t>تدبير، باطل مى شود وصيتهاى مستلزم استسعاء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اجتماع وصيت براى مملوك با تدبير او، احتياجى به صيغۀ عتق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جارى است در مكاتَبِ موصى، آنچه ثابت است براى مملوك قِنّ او؛ پس لازم بقاى كتابت بعد از موت مالك، بر او است مال الكتابه و براى او است موصىٰ به در مقدار ثلث تركه كه شامل مال الكتابه است؛ پس زايد از موصىٰ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ازيد از ثلث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الكتابه، اعطا مى شود به موصىٰ له بعد از انعتاق او و در فرض نقصان بر او براى انعتاق، تمام بقيه مال الكتابه با باقى مانده از قيمت او است، و اظهر اوّل است و احوط اكثر است براى موصىٰ له</w:t>
      </w:r>
      <w:r>
        <w:rPr>
          <w:rFonts w:eastAsia="IRNazanin" w:cs="IRNazanin"/>
          <w:color w:val="111111"/>
          <w:sz w:val="28"/>
          <w:szCs w:val="28"/>
          <w:rtl w:val="true"/>
          <w:lang w:bidi="fa-IR"/>
        </w:rPr>
        <w:t>.</w:t>
      </w:r>
    </w:p>
    <w:p>
      <w:pPr>
        <w:pStyle w:val="Heading4"/>
        <w:numPr>
          <w:ilvl w:val="3"/>
          <w:numId w:val="1"/>
        </w:numPr>
        <w:rPr/>
      </w:pPr>
      <w:bookmarkStart w:id="2739" w:name="__RefHeading___Toc3599623_1067777946"/>
      <w:bookmarkStart w:id="2740" w:name="_Toc1132"/>
      <w:bookmarkEnd w:id="2739"/>
      <w:r>
        <w:rPr>
          <w:rtl w:val="true"/>
        </w:rPr>
        <w:t>عتق منجّز در مرض موت</w:t>
      </w:r>
      <w:bookmarkEnd w:id="2740"/>
    </w:p>
    <w:p>
      <w:pPr>
        <w:pStyle w:val="BookText"/>
        <w:rPr/>
      </w:pPr>
      <w:r>
        <w:rPr>
          <w:rFonts w:ascii="IRNazanin" w:hAnsi="IRNazanin" w:eastAsia="IRNazanin"/>
          <w:color w:val="111111"/>
          <w:sz w:val="28"/>
          <w:sz w:val="28"/>
          <w:szCs w:val="28"/>
          <w:rtl w:val="true"/>
          <w:lang w:bidi="fa-IR"/>
        </w:rPr>
        <w:t>اگر به صورت تنجيز عتق كرد مملوك خودش را در مرض موت و بر او دين بود و غير از مملوك مذكور مالى نداشت، پس بنابر خروج عتق منجز از ثلث اگر قيمت عبد دو مقابل دين بود به طورى كه عبد مالك سدس قيمت شود به عتقى كه از منجز ملحق به وصيت باشد، سعى مى نمايد در پنج سدس ديگر كه سه سدس مال ديان و دو سدس مال ورثه است و تماماً منعتق مى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قيمت او كمتر از ضِعف دين است، پس محل خلاف است بطلان عتق مذكور يا صحّت و استسعاء، مثل فرض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اكثر متأخرين، ثانى است و آن موافق با قواعد است و با اطلاق صحيح در وصيت كه لازم آن عدم تفصيل در منجز است، چنانچه لازم تفصيل در منجز، ثبوت آن در وصيت است با بُعد تقييد صحيح و بُعد تفكيك وصيت از منجّز در صورت قول به تفصيل در آن، پس اخذ به روايت كه موافق با قواعد و منسوب به جماعت مذكوره است،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اتحاد حكم وصيت و منجز در ثبوت تفصيل و عدم آن، منسوب به مشهور بين متأخّرين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هر دو مقام، نفى تفصيل احوط است</w:t>
      </w:r>
      <w:r>
        <w:rPr>
          <w:rFonts w:eastAsia="IRNazanin" w:cs="IRNazanin"/>
          <w:color w:val="111111"/>
          <w:sz w:val="28"/>
          <w:szCs w:val="28"/>
          <w:rtl w:val="true"/>
          <w:lang w:bidi="fa-IR"/>
        </w:rPr>
        <w:t xml:space="preserve">. </w:t>
      </w:r>
      <w:bookmarkStart w:id="2741" w:name="pg10256_89791"/>
    </w:p>
    <w:p>
      <w:pPr>
        <w:pStyle w:val="Heading4"/>
        <w:numPr>
          <w:ilvl w:val="3"/>
          <w:numId w:val="1"/>
        </w:numPr>
        <w:rPr/>
      </w:pPr>
      <w:bookmarkStart w:id="2742" w:name="__RefHeading___Toc3599625_1067777946"/>
      <w:bookmarkStart w:id="2743" w:name="_Toc1133"/>
      <w:bookmarkEnd w:id="2741"/>
      <w:bookmarkEnd w:id="2742"/>
      <w:r>
        <w:rPr>
          <w:rtl w:val="true"/>
        </w:rPr>
        <w:t>وصيت براى مكاتَب غير</w:t>
      </w:r>
      <w:bookmarkEnd w:id="2743"/>
    </w:p>
    <w:p>
      <w:pPr>
        <w:pStyle w:val="BookText"/>
        <w:rPr/>
      </w:pPr>
      <w:r>
        <w:rPr>
          <w:rFonts w:ascii="IRNazanin" w:hAnsi="IRNazanin" w:eastAsia="IRNazanin"/>
          <w:color w:val="111111"/>
          <w:sz w:val="28"/>
          <w:sz w:val="28"/>
          <w:szCs w:val="28"/>
          <w:rtl w:val="true"/>
          <w:lang w:bidi="fa-IR"/>
        </w:rPr>
        <w:t>اگر وصيت كرد براى مكاتَبِ غير كه مطلق باشد و قدرى از مال الكتابه را ادا نموده باشد، پس به قدر حريت از وصيت مالك مى شود؛ و نصف او اگر آزاد شده، نصف موصىٰ به را مالك مى شود، و احتيال به تمليك ضِعف براى تملك نصف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وصيّت براى جزء حُرّ، اظهر تملك تمام موصىٰ به است مگر قرينه اى بر مساوات با تمليك مكاتب باشد</w:t>
      </w:r>
      <w:r>
        <w:rPr>
          <w:rFonts w:eastAsia="IRNazanin" w:cs="IRNazanin"/>
          <w:color w:val="111111"/>
          <w:sz w:val="28"/>
          <w:szCs w:val="28"/>
          <w:rtl w:val="true"/>
          <w:lang w:bidi="fa-IR"/>
        </w:rPr>
        <w:t>.</w:t>
      </w:r>
    </w:p>
    <w:p>
      <w:pPr>
        <w:pStyle w:val="Heading4"/>
        <w:numPr>
          <w:ilvl w:val="3"/>
          <w:numId w:val="1"/>
        </w:numPr>
        <w:rPr/>
      </w:pPr>
      <w:bookmarkStart w:id="2744" w:name="__RefHeading___Toc3599627_1067777946"/>
      <w:bookmarkStart w:id="2745" w:name="_Toc1134"/>
      <w:bookmarkEnd w:id="2744"/>
      <w:r>
        <w:rPr>
          <w:rtl w:val="true"/>
        </w:rPr>
        <w:t>وصيّت براى ام ولد خودش</w:t>
      </w:r>
      <w:bookmarkEnd w:id="2745"/>
    </w:p>
    <w:p>
      <w:pPr>
        <w:pStyle w:val="BookText"/>
        <w:rPr/>
      </w:pPr>
      <w:r>
        <w:rPr>
          <w:rFonts w:ascii="IRNazanin" w:hAnsi="IRNazanin" w:eastAsia="IRNazanin"/>
          <w:color w:val="111111"/>
          <w:sz w:val="28"/>
          <w:sz w:val="28"/>
          <w:szCs w:val="28"/>
          <w:rtl w:val="true"/>
          <w:lang w:bidi="fa-IR"/>
        </w:rPr>
        <w:t xml:space="preserve">اگر وصيت كرد براى ام ولد خودش، موصىٰ به از ثلث تنفيذ مى شود و عتق او از نصيب ولد است يا از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كفايت يكى در عتق تمام او، از هر دو عتق مى شود؛ و اگر كافى باشد، محتمل است تخيير مجتهد در اخذ به هر كدام از دو روايت مشهوره در عمل، اگر چه رجحانِ موافق قواعد كه انعتاق از نصيب ولد است،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تخيير و رجحان در بدء به اعمال هر سبب از آن دو و وقوع زيادتى در ديگرى در صورت عدم كفايت يكى از آن دو جارى است؛ و در اين تقدير، زيادتىِ موصىٰ به، اعطا مى شود به موصى لها؛ چنانچه در اين تقدير كه ترجيح انعتاق از نصيب ولد است، اصل انعتاق به ملك عمودين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جزئى از آن به سبب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زايدْ انعتاق او به نصيب ولد از مجموع متروكات است؛ و اگر بازهم احتياج به سعى براى ورثه داشت، از موصىٰ به مأخوذ مى شود و سعى در زايد بر آن اگر باشد مى شود</w:t>
      </w:r>
      <w:r>
        <w:rPr>
          <w:rFonts w:eastAsia="IRNazanin" w:cs="IRNazanin"/>
          <w:color w:val="111111"/>
          <w:sz w:val="28"/>
          <w:szCs w:val="28"/>
          <w:rtl w:val="true"/>
          <w:lang w:bidi="fa-IR"/>
        </w:rPr>
        <w:t>.</w:t>
      </w:r>
    </w:p>
    <w:p>
      <w:pPr>
        <w:pStyle w:val="Heading4"/>
        <w:numPr>
          <w:ilvl w:val="3"/>
          <w:numId w:val="1"/>
        </w:numPr>
        <w:rPr/>
      </w:pPr>
      <w:bookmarkStart w:id="2746" w:name="__RefHeading___Toc3599629_1067777946"/>
      <w:bookmarkStart w:id="2747" w:name="_Toc1135"/>
      <w:bookmarkEnd w:id="2746"/>
      <w:r>
        <w:rPr>
          <w:rtl w:val="true"/>
        </w:rPr>
        <w:t>حمل اطلاق وصيّت بر تساوى</w:t>
      </w:r>
      <w:bookmarkEnd w:id="2747"/>
    </w:p>
    <w:p>
      <w:pPr>
        <w:pStyle w:val="BookText"/>
        <w:rPr/>
      </w:pPr>
      <w:r>
        <w:rPr>
          <w:rFonts w:ascii="IRNazanin" w:hAnsi="IRNazanin" w:eastAsia="IRNazanin"/>
          <w:color w:val="111111"/>
          <w:sz w:val="28"/>
          <w:sz w:val="28"/>
          <w:szCs w:val="28"/>
          <w:rtl w:val="true"/>
          <w:lang w:bidi="fa-IR"/>
        </w:rPr>
        <w:t>اطلاق وصيت محمول بر تساوى است و عدم فرق بين ذكر و انثىٰ و قريب و بعيد و متوافقَين در ارث و متخالفَين مثل اعمام و اخوال يا ابن 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قرينه اى بر تفضيل بود، متّبع است اگر چه دال بر تفضيلِ مفضول باشد؛ كما اينكه اگر بگويد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محمول بر تفضيل در متفاضلين در ارث به همان نحو است</w:t>
      </w:r>
      <w:r>
        <w:rPr>
          <w:rFonts w:eastAsia="Amiri" w:cs="Amiri" w:ascii="Amiri" w:hAnsi="Amiri"/>
          <w:color w:val="111111"/>
          <w:sz w:val="28"/>
          <w:szCs w:val="28"/>
          <w:rtl w:val="true"/>
          <w:lang w:bidi="ar-SA"/>
        </w:rPr>
        <w:t xml:space="preserve">. </w:t>
      </w:r>
      <w:bookmarkStart w:id="2748" w:name="pg10256_89792"/>
    </w:p>
    <w:p>
      <w:pPr>
        <w:pStyle w:val="Heading4"/>
        <w:numPr>
          <w:ilvl w:val="3"/>
          <w:numId w:val="1"/>
        </w:numPr>
        <w:rPr/>
      </w:pPr>
      <w:bookmarkStart w:id="2749" w:name="__RefHeading___Toc3599631_1067777946"/>
      <w:bookmarkStart w:id="2750" w:name="_Toc1136"/>
      <w:bookmarkEnd w:id="2748"/>
      <w:bookmarkEnd w:id="2749"/>
      <w:r>
        <w:rPr>
          <w:rtl w:val="true"/>
        </w:rPr>
        <w:t>وصيّت بر جماعت محصور و غير محصور</w:t>
      </w:r>
      <w:bookmarkEnd w:id="2750"/>
    </w:p>
    <w:p>
      <w:pPr>
        <w:pStyle w:val="BookText"/>
        <w:rPr/>
      </w:pPr>
      <w:r>
        <w:rPr>
          <w:rFonts w:ascii="IRNazanin" w:hAnsi="IRNazanin" w:eastAsia="IRNazanin"/>
          <w:color w:val="111111"/>
          <w:sz w:val="28"/>
          <w:sz w:val="28"/>
          <w:szCs w:val="28"/>
          <w:rtl w:val="true"/>
          <w:lang w:bidi="fa-IR"/>
        </w:rPr>
        <w:t>اگر وصيت كرد بر جماعتى محصور، محمول بر تسويه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محصور بودند، محمول بر مصرفيّت ايشان مى شود؛ و صرف در بعضى، اگر چه به اقل جمع نرسد، مُجزى است</w:t>
      </w:r>
      <w:r>
        <w:rPr>
          <w:rFonts w:eastAsia="IRNazanin" w:cs="IRNazanin"/>
          <w:color w:val="111111"/>
          <w:sz w:val="28"/>
          <w:szCs w:val="28"/>
          <w:rtl w:val="true"/>
          <w:lang w:bidi="fa-IR"/>
        </w:rPr>
        <w:t>.</w:t>
      </w:r>
    </w:p>
    <w:p>
      <w:pPr>
        <w:pStyle w:val="Heading4"/>
        <w:numPr>
          <w:ilvl w:val="3"/>
          <w:numId w:val="1"/>
        </w:numPr>
        <w:rPr/>
      </w:pPr>
      <w:bookmarkStart w:id="2751" w:name="__RefHeading___Toc3599633_1067777946"/>
      <w:bookmarkStart w:id="2752" w:name="_Toc1137"/>
      <w:bookmarkEnd w:id="2751"/>
      <w:r>
        <w:rPr>
          <w:rtl w:val="true"/>
        </w:rPr>
        <w:t>وصيّت براى اقربا</w:t>
      </w:r>
      <w:bookmarkEnd w:id="2752"/>
    </w:p>
    <w:p>
      <w:pPr>
        <w:pStyle w:val="BookText"/>
        <w:rPr/>
      </w:pPr>
      <w:r>
        <w:rPr>
          <w:rFonts w:ascii="IRNazanin" w:hAnsi="IRNazanin" w:eastAsia="IRNazanin"/>
          <w:color w:val="111111"/>
          <w:sz w:val="28"/>
          <w:sz w:val="28"/>
          <w:szCs w:val="28"/>
          <w:rtl w:val="true"/>
          <w:lang w:bidi="fa-IR"/>
        </w:rPr>
        <w:t xml:space="preserve">اگر وصيت كرد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آنكه عرفاً قريب او است، مصرفيت دارد؛ هم چنين خويشان و نزديكان او، بدون فرق بين وارث و غير و ذكر و انثى و مسلم و كافر، مگر قرينه اى بر تخصيص باشد، يا آنكه استفادۀ استيعاب از قرينه بشود، كه محمول بر حدّ محدود از اقربا مى شود، نه هر كه عرفاً قريب است</w:t>
      </w:r>
      <w:r>
        <w:rPr>
          <w:rFonts w:eastAsia="IRNazanin" w:cs="IRNazanin"/>
          <w:color w:val="111111"/>
          <w:sz w:val="28"/>
          <w:szCs w:val="28"/>
          <w:rtl w:val="true"/>
          <w:lang w:bidi="fa-IR"/>
        </w:rPr>
        <w:t>.</w:t>
      </w:r>
    </w:p>
    <w:p>
      <w:pPr>
        <w:pStyle w:val="Heading4"/>
        <w:numPr>
          <w:ilvl w:val="3"/>
          <w:numId w:val="1"/>
        </w:numPr>
        <w:rPr/>
      </w:pPr>
      <w:bookmarkStart w:id="2753" w:name="__RefHeading___Toc3599635_1067777946"/>
      <w:bookmarkStart w:id="2754" w:name="_Toc1138"/>
      <w:bookmarkEnd w:id="2753"/>
      <w:r>
        <w:rPr>
          <w:rtl w:val="true"/>
        </w:rPr>
        <w:t>وصيّت براى قوم و عشيرۀ خود</w:t>
      </w:r>
      <w:bookmarkEnd w:id="2754"/>
    </w:p>
    <w:p>
      <w:pPr>
        <w:pStyle w:val="BookText"/>
        <w:rPr/>
      </w:pPr>
      <w:r>
        <w:rPr>
          <w:rFonts w:ascii="IRNazanin" w:hAnsi="IRNazanin" w:eastAsia="IRNazanin"/>
          <w:color w:val="111111"/>
          <w:sz w:val="28"/>
          <w:sz w:val="28"/>
          <w:szCs w:val="28"/>
          <w:rtl w:val="true"/>
          <w:lang w:bidi="fa-IR"/>
        </w:rPr>
        <w:t xml:space="preserve">اگر وصيت كرد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منصرف است به طايفۀ خاصه كه موصى از آن گروه است، مثل ترك و كرد و عرب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يك از اينها شعب و اصناف مختلف معروفين باشد، به جامع قريب معروف عرفى محمول مى شود، مثل صحرايى و متوطن؛ و به اختلاف آرا و مذاهب و دسته بندى عقيدتى هم متعين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وصيت نمايد، به قبيله اى كه اقرب جامع است بين خويشاوندان محمول مى شود</w:t>
      </w:r>
      <w:r>
        <w:rPr>
          <w:rFonts w:eastAsia="IRNazanin" w:cs="IRNazanin"/>
          <w:color w:val="111111"/>
          <w:sz w:val="28"/>
          <w:szCs w:val="28"/>
          <w:rtl w:val="true"/>
          <w:lang w:bidi="fa-IR"/>
        </w:rPr>
        <w:t>.</w:t>
      </w:r>
    </w:p>
    <w:p>
      <w:pPr>
        <w:pStyle w:val="Heading4"/>
        <w:numPr>
          <w:ilvl w:val="3"/>
          <w:numId w:val="1"/>
        </w:numPr>
        <w:rPr/>
      </w:pPr>
      <w:bookmarkStart w:id="2755" w:name="__RefHeading___Toc3599637_1067777946"/>
      <w:bookmarkStart w:id="2756" w:name="_Toc1139"/>
      <w:bookmarkEnd w:id="2755"/>
      <w:r>
        <w:rPr>
          <w:rtl w:val="true"/>
        </w:rPr>
        <w:t>وصيّت براى همسايه ها</w:t>
      </w:r>
      <w:bookmarkEnd w:id="2756"/>
    </w:p>
    <w:p>
      <w:pPr>
        <w:pStyle w:val="BookText"/>
        <w:rPr/>
      </w:pPr>
      <w:r>
        <w:rPr>
          <w:rFonts w:ascii="IRNazanin" w:hAnsi="IRNazanin" w:eastAsia="IRNazanin"/>
          <w:color w:val="111111"/>
          <w:sz w:val="28"/>
          <w:sz w:val="28"/>
          <w:szCs w:val="28"/>
          <w:rtl w:val="true"/>
          <w:lang w:bidi="fa-IR"/>
        </w:rPr>
        <w:t xml:space="preserve">و اگر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جيران و همسايه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محمول بر متصل به حايط خانه از اطراف مى شود يا خصوص آن كسانى كه از اينها از درب منزل اشتراك در معبر دارند تا حدى كه معبرْ تغيير نمايد، اگر چه به چهل ذراع نرسد يا از آن بگذرد</w:t>
      </w:r>
      <w:r>
        <w:rPr>
          <w:rFonts w:eastAsia="IRNazanin" w:cs="IRNazanin"/>
          <w:color w:val="111111"/>
          <w:sz w:val="28"/>
          <w:szCs w:val="28"/>
          <w:rtl w:val="true"/>
          <w:lang w:bidi="fa-IR"/>
        </w:rPr>
        <w:t>.</w:t>
      </w:r>
    </w:p>
    <w:p>
      <w:pPr>
        <w:pStyle w:val="Heading4"/>
        <w:numPr>
          <w:ilvl w:val="3"/>
          <w:numId w:val="1"/>
        </w:numPr>
        <w:rPr/>
      </w:pPr>
      <w:bookmarkStart w:id="2757" w:name="__RefHeading___Toc3599639_1067777946"/>
      <w:bookmarkStart w:id="2758" w:name="_Toc1140"/>
      <w:bookmarkEnd w:id="2757"/>
      <w:r>
        <w:rPr>
          <w:rtl w:val="true"/>
        </w:rPr>
        <w:t>وصيّت براى اهل بيت خودش</w:t>
      </w:r>
      <w:bookmarkEnd w:id="275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نمايد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داخل است آنچه اصل يا فرع مضاف به </w:t>
      </w:r>
      <w:bookmarkStart w:id="2759" w:name="pg10256_89793"/>
    </w:p>
    <w:p>
      <w:pPr>
        <w:pStyle w:val="BookText"/>
        <w:rPr/>
      </w:pPr>
      <w:bookmarkEnd w:id="2759"/>
      <w:r>
        <w:rPr>
          <w:rFonts w:ascii="Amiri" w:hAnsi="Amiri" w:eastAsia="Amiri" w:cs="Amiri"/>
          <w:color w:val="111111"/>
          <w:sz w:val="28"/>
          <w:sz w:val="28"/>
          <w:szCs w:val="28"/>
          <w:rtl w:val="true"/>
          <w:lang w:bidi="ar-SA"/>
        </w:rPr>
        <w:t>صاحب خانه است از اولاد و آبا و اجداد، از ذكور و 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اوسع يا اضيق محتاج به قرينه است، مثل عرف بلد موصى</w:t>
      </w:r>
      <w:r>
        <w:rPr>
          <w:rFonts w:eastAsia="Amiri" w:cs="Amiri" w:ascii="Amiri" w:hAnsi="Amiri"/>
          <w:color w:val="111111"/>
          <w:sz w:val="28"/>
          <w:szCs w:val="28"/>
          <w:rtl w:val="true"/>
          <w:lang w:bidi="ar-SA"/>
        </w:rPr>
        <w:t>.</w:t>
      </w:r>
    </w:p>
    <w:p>
      <w:pPr>
        <w:pStyle w:val="Heading4"/>
        <w:numPr>
          <w:ilvl w:val="3"/>
          <w:numId w:val="1"/>
        </w:numPr>
        <w:rPr/>
      </w:pPr>
      <w:bookmarkStart w:id="2760" w:name="__RefHeading___Toc3599641_1067777946"/>
      <w:bookmarkStart w:id="2761" w:name="_Toc1141"/>
      <w:bookmarkEnd w:id="2760"/>
      <w:r>
        <w:rPr>
          <w:rtl w:val="true"/>
        </w:rPr>
        <w:t>وصيّت براى حمل موجود در حال وصيت</w:t>
      </w:r>
      <w:bookmarkEnd w:id="2761"/>
    </w:p>
    <w:p>
      <w:pPr>
        <w:pStyle w:val="BookText"/>
        <w:rPr/>
      </w:pPr>
      <w:r>
        <w:rPr>
          <w:rFonts w:ascii="IRNazanin" w:hAnsi="IRNazanin" w:eastAsia="IRNazanin"/>
          <w:color w:val="111111"/>
          <w:sz w:val="28"/>
          <w:sz w:val="28"/>
          <w:szCs w:val="28"/>
          <w:rtl w:val="true"/>
          <w:lang w:bidi="fa-IR"/>
        </w:rPr>
        <w:t>وصيت براى حمل موجود در حال وصيت، صحيح است و مراعىٰ به انفصال و ولادت او در حال حيات است؛ پس اگر منفصل شد بعد از موت، وصيت باطل است؛ و اگر منفصل شد با حيات، وصيتْ صحّت آن، مكشوف است، و در اين صورت نماءِ متخلّل، مال موصىٰ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ولادت با حيات، وفات نمود، وصيتْ مالِ وارث آن حمل است؛ و با قبول ولى از جانب حمل بعد از وصيت، پس اگر بعد از ولادت با حيات وفات نمود، وارثِ حمل، مالكِ موصىٰ به مى شود به ارث، نه بوصيت تا حاجت به قبول وارث داشته باشد، يا آنكه رد او مبطل باشد</w:t>
      </w:r>
      <w:r>
        <w:rPr>
          <w:rFonts w:eastAsia="IRNazanin" w:cs="IRNazanin"/>
          <w:color w:val="111111"/>
          <w:sz w:val="28"/>
          <w:szCs w:val="28"/>
          <w:rtl w:val="true"/>
          <w:lang w:bidi="fa-IR"/>
        </w:rPr>
        <w:t>.</w:t>
      </w:r>
    </w:p>
    <w:p>
      <w:pPr>
        <w:pStyle w:val="Heading4"/>
        <w:numPr>
          <w:ilvl w:val="3"/>
          <w:numId w:val="1"/>
        </w:numPr>
        <w:rPr/>
      </w:pPr>
      <w:bookmarkStart w:id="2762" w:name="__RefHeading___Toc3599643_1067777946"/>
      <w:bookmarkStart w:id="2763" w:name="_Toc1142"/>
      <w:bookmarkEnd w:id="2762"/>
      <w:r>
        <w:rPr>
          <w:rtl w:val="true"/>
        </w:rPr>
        <w:t>وصيّت براى فقرا</w:t>
      </w:r>
      <w:bookmarkEnd w:id="2763"/>
    </w:p>
    <w:p>
      <w:pPr>
        <w:pStyle w:val="BookText"/>
        <w:rPr/>
      </w:pPr>
      <w:r>
        <w:rPr>
          <w:rFonts w:ascii="IRNazanin" w:hAnsi="IRNazanin" w:eastAsia="IRNazanin"/>
          <w:color w:val="111111"/>
          <w:sz w:val="28"/>
          <w:sz w:val="28"/>
          <w:szCs w:val="28"/>
          <w:rtl w:val="true"/>
          <w:lang w:bidi="fa-IR"/>
        </w:rPr>
        <w:t xml:space="preserve">اگر وصيت كرد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قرينه اى، محمول است بر فقراى اهل دين و مذهب موصى؛ پس وصيت مسلمان براى فقراى مسلمين، و وصيت مجوس براى فقراى مجوس است؛ و هم چنين وصيت امامى براى فقراى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با قرينۀ توسعه يا تضييق</w:t>
      </w:r>
      <w:r>
        <w:rPr>
          <w:rFonts w:eastAsia="IRNazanin" w:cs="IRNazanin"/>
          <w:color w:val="111111"/>
          <w:sz w:val="28"/>
          <w:szCs w:val="28"/>
          <w:rtl w:val="true"/>
          <w:lang w:bidi="fa-IR"/>
        </w:rPr>
        <w:t>.</w:t>
      </w:r>
    </w:p>
    <w:p>
      <w:pPr>
        <w:pStyle w:val="Heading4"/>
        <w:numPr>
          <w:ilvl w:val="3"/>
          <w:numId w:val="1"/>
        </w:numPr>
        <w:rPr/>
      </w:pPr>
      <w:bookmarkStart w:id="2764" w:name="__RefHeading___Toc3599645_1067777946"/>
      <w:bookmarkStart w:id="2765" w:name="_Toc1143"/>
      <w:bookmarkEnd w:id="2764"/>
      <w:r>
        <w:rPr>
          <w:rtl w:val="true"/>
        </w:rPr>
        <w:t>اعتبار اتصاف به صفت در حال موت</w:t>
      </w:r>
      <w:bookmarkEnd w:id="2765"/>
    </w:p>
    <w:p>
      <w:pPr>
        <w:pStyle w:val="BookText"/>
        <w:rPr/>
      </w:pPr>
      <w:r>
        <w:rPr>
          <w:rFonts w:ascii="IRNazanin" w:hAnsi="IRNazanin" w:eastAsia="IRNazanin"/>
          <w:color w:val="111111"/>
          <w:sz w:val="28"/>
          <w:sz w:val="28"/>
          <w:szCs w:val="28"/>
          <w:rtl w:val="true"/>
          <w:lang w:bidi="fa-IR"/>
        </w:rPr>
        <w:t>اگر موصىٰ له موصوف به صفتى در وصيت بود، پس عبرت، به اتّصاف در حال موت است، نه حال وصيت؛ پس كافى است اولىِ فقط، نه دومىِ فقط</w:t>
      </w:r>
      <w:r>
        <w:rPr>
          <w:rFonts w:eastAsia="IRNazanin" w:cs="IRNazanin"/>
          <w:color w:val="111111"/>
          <w:sz w:val="28"/>
          <w:szCs w:val="28"/>
          <w:rtl w:val="true"/>
          <w:lang w:bidi="fa-IR"/>
        </w:rPr>
        <w:t>.</w:t>
      </w:r>
    </w:p>
    <w:p>
      <w:pPr>
        <w:pStyle w:val="Heading4"/>
        <w:numPr>
          <w:ilvl w:val="3"/>
          <w:numId w:val="1"/>
        </w:numPr>
        <w:rPr/>
      </w:pPr>
      <w:bookmarkStart w:id="2766" w:name="__RefHeading___Toc3599647_1067777946"/>
      <w:bookmarkStart w:id="2767" w:name="_Toc1144"/>
      <w:bookmarkEnd w:id="2766"/>
      <w:r>
        <w:rPr>
          <w:rtl w:val="true"/>
        </w:rPr>
        <w:t>وفات موصىٰ له قبل و بعد از قبول</w:t>
      </w:r>
      <w:bookmarkEnd w:id="276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موصىٰ له قبل از موصى وفات نمود، پس اگر قبل از قبول وفات كرد، گذشت انتقالِ حق تملك با قبول، به ورثۀ موصىٰ له؛ و هم چنين اگر وفات نمايد بعد از فوت موصى و قبل از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قبول، وفات نمود، منتقل مى شود ملك موصىٰ به، به وارث </w:t>
      </w:r>
      <w:bookmarkStart w:id="2768" w:name="pg10256_89794"/>
    </w:p>
    <w:p>
      <w:pPr>
        <w:pStyle w:val="BookText"/>
        <w:rPr/>
      </w:pPr>
      <w:bookmarkEnd w:id="2768"/>
      <w:r>
        <w:rPr>
          <w:rFonts w:ascii="IRNazanin" w:hAnsi="IRNazanin" w:eastAsia="IRNazanin"/>
          <w:color w:val="111111"/>
          <w:sz w:val="28"/>
          <w:sz w:val="28"/>
          <w:szCs w:val="28"/>
          <w:rtl w:val="true"/>
          <w:lang w:bidi="fa-IR"/>
        </w:rPr>
        <w:t>موصىٰ له، به ارث، بدون احتياج به قبول وارث، بنابر اكتفاى به قبول در حيات موصى، چنانكه گذشت اختيار آن؛ و به هر حال وصيت باطل نمى شود به موت موصىٰ له قبل از موصى مادام كه موصى رجوع ننمايد از وصيت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تماميّت ملك موصىٰ له قبل از موت او و انتقال موصىٰ به به وارث او، اگر وارثى نداشت، به وارث عام او منتقل مى شود، يا آنكه به موصى و وارث او عود مى نمايد، يا آنكه وصى تصدق مى نمايد با اذن حاكم‌؟ وجوهى است، مقتضاى احتياط، توافق بر اخير است، و اظهر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موروث، حق تملك با قبول باشد و قبول محقّق نشده باشد و وارث خاصى نباشد، تأمل است و مورد احتياط است در مذكور در سابق</w:t>
      </w:r>
      <w:r>
        <w:rPr>
          <w:rFonts w:eastAsia="IRNazanin" w:cs="IRNazanin"/>
          <w:color w:val="111111"/>
          <w:sz w:val="28"/>
          <w:szCs w:val="28"/>
          <w:rtl w:val="true"/>
          <w:lang w:bidi="fa-IR"/>
        </w:rPr>
        <w:t>.</w:t>
      </w:r>
    </w:p>
    <w:p>
      <w:pPr>
        <w:pStyle w:val="Heading4"/>
        <w:numPr>
          <w:ilvl w:val="3"/>
          <w:numId w:val="1"/>
        </w:numPr>
        <w:rPr/>
      </w:pPr>
      <w:bookmarkStart w:id="2769" w:name="__RefHeading___Toc3599649_1067777946"/>
      <w:bookmarkStart w:id="2770" w:name="_Toc1145"/>
      <w:bookmarkEnd w:id="2769"/>
      <w:r>
        <w:rPr>
          <w:rtl w:val="true"/>
        </w:rPr>
        <w:t>وصيّت بدون تعيين مصرف و با آن</w:t>
      </w:r>
      <w:bookmarkEnd w:id="2770"/>
    </w:p>
    <w:p>
      <w:pPr>
        <w:pStyle w:val="BookText"/>
        <w:rPr/>
      </w:pPr>
      <w:r>
        <w:rPr>
          <w:rFonts w:ascii="IRNazanin" w:hAnsi="IRNazanin" w:eastAsia="IRNazanin"/>
          <w:color w:val="111111"/>
          <w:sz w:val="28"/>
          <w:sz w:val="28"/>
          <w:szCs w:val="28"/>
          <w:rtl w:val="true"/>
          <w:lang w:bidi="fa-IR"/>
        </w:rPr>
        <w:t>اگر وصيت كرد مقدارى را براى شخصى و تعيين مصرف نكرد، مالك مى شود با قبولْ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تعيين جهت كرد، معيّن مى شود صرف در آن جهت؛ و با تخلف، ضامن مى شود</w:t>
      </w:r>
      <w:r>
        <w:rPr>
          <w:rFonts w:eastAsia="IRNazanin" w:cs="IRNazanin"/>
          <w:color w:val="111111"/>
          <w:sz w:val="28"/>
          <w:szCs w:val="28"/>
          <w:rtl w:val="true"/>
          <w:lang w:bidi="fa-IR"/>
        </w:rPr>
        <w:t>.</w:t>
      </w:r>
    </w:p>
    <w:p>
      <w:pPr>
        <w:pStyle w:val="Heading4"/>
        <w:numPr>
          <w:ilvl w:val="3"/>
          <w:numId w:val="1"/>
        </w:numPr>
        <w:rPr/>
      </w:pPr>
      <w:bookmarkStart w:id="2771" w:name="__RefHeading___Toc3599651_1067777946"/>
      <w:bookmarkStart w:id="2772" w:name="_Toc1146"/>
      <w:bookmarkEnd w:id="2771"/>
      <w:r>
        <w:rPr>
          <w:rtl w:val="true"/>
        </w:rPr>
        <w:t>وصيت به مالى براى سبيل اللّٰه تعالى</w:t>
      </w:r>
      <w:bookmarkEnd w:id="2772"/>
    </w:p>
    <w:p>
      <w:pPr>
        <w:pStyle w:val="BookText"/>
        <w:rPr/>
      </w:pPr>
      <w:r>
        <w:rPr>
          <w:rFonts w:ascii="IRNazanin" w:hAnsi="IRNazanin" w:eastAsia="IRNazanin"/>
          <w:color w:val="111111"/>
          <w:sz w:val="28"/>
          <w:sz w:val="28"/>
          <w:szCs w:val="28"/>
          <w:rtl w:val="true"/>
          <w:lang w:bidi="fa-IR"/>
        </w:rPr>
        <w:t xml:space="preserve">اگر وصيت كرد مالى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در موجبات ثواب اخروى مى شود، و صرف در جهادْ موافق احتياط است</w:t>
      </w:r>
      <w:r>
        <w:rPr>
          <w:rFonts w:eastAsia="IRNazanin" w:cs="IRNazanin"/>
          <w:color w:val="111111"/>
          <w:sz w:val="28"/>
          <w:szCs w:val="28"/>
          <w:rtl w:val="true"/>
          <w:lang w:bidi="fa-IR"/>
        </w:rPr>
        <w:t>.</w:t>
      </w:r>
    </w:p>
    <w:p>
      <w:pPr>
        <w:pStyle w:val="Heading4"/>
        <w:numPr>
          <w:ilvl w:val="3"/>
          <w:numId w:val="1"/>
        </w:numPr>
        <w:rPr/>
      </w:pPr>
      <w:bookmarkStart w:id="2773" w:name="__RefHeading___Toc3599653_1067777946"/>
      <w:bookmarkStart w:id="2774" w:name="_Toc1147"/>
      <w:bookmarkEnd w:id="2773"/>
      <w:r>
        <w:rPr>
          <w:rtl w:val="true"/>
        </w:rPr>
        <w:t>وصيّت به ثلث بدون تعيين مصرف</w:t>
      </w:r>
      <w:bookmarkEnd w:id="2774"/>
    </w:p>
    <w:p>
      <w:pPr>
        <w:pStyle w:val="BookText"/>
        <w:rPr/>
      </w:pPr>
      <w:r>
        <w:rPr>
          <w:rFonts w:ascii="IRNazanin" w:hAnsi="IRNazanin" w:eastAsia="IRNazanin"/>
          <w:color w:val="111111"/>
          <w:sz w:val="28"/>
          <w:sz w:val="28"/>
          <w:szCs w:val="28"/>
          <w:rtl w:val="true"/>
          <w:lang w:bidi="fa-IR"/>
        </w:rPr>
        <w:t>و اگر وصيت به ثلث كرد بدون تعيين مصرف، صرف در وجوه برّ مى شود</w:t>
      </w:r>
      <w:r>
        <w:rPr>
          <w:rFonts w:eastAsia="IRNazanin" w:cs="IRNazanin"/>
          <w:color w:val="111111"/>
          <w:sz w:val="28"/>
          <w:szCs w:val="28"/>
          <w:rtl w:val="true"/>
          <w:lang w:bidi="fa-IR"/>
        </w:rPr>
        <w:t>.</w:t>
      </w:r>
    </w:p>
    <w:p>
      <w:pPr>
        <w:pStyle w:val="Heading4"/>
        <w:numPr>
          <w:ilvl w:val="3"/>
          <w:numId w:val="1"/>
        </w:numPr>
        <w:rPr/>
      </w:pPr>
      <w:bookmarkStart w:id="2775" w:name="__RefHeading___Toc3599655_1067777946"/>
      <w:bookmarkStart w:id="2776" w:name="_Toc1148"/>
      <w:bookmarkEnd w:id="2775"/>
      <w:r>
        <w:rPr>
          <w:rtl w:val="true"/>
        </w:rPr>
        <w:t>استحباب وصيّت براى خويشان</w:t>
      </w:r>
      <w:bookmarkEnd w:id="277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وصيت براى خويشان اگر چه وارث باشند، بلكه مكروه است ترك آن براى غير وارث از ايشان</w:t>
      </w:r>
      <w:r>
        <w:rPr>
          <w:rFonts w:eastAsia="IRNazanin" w:cs="IRNazanin"/>
          <w:color w:val="111111"/>
          <w:sz w:val="28"/>
          <w:szCs w:val="28"/>
          <w:rtl w:val="true"/>
          <w:lang w:bidi="fa-IR"/>
        </w:rPr>
        <w:t xml:space="preserve">. </w:t>
      </w:r>
      <w:bookmarkStart w:id="2777" w:name="pg10256_89795"/>
    </w:p>
    <w:p>
      <w:pPr>
        <w:pStyle w:val="Heading4"/>
        <w:numPr>
          <w:ilvl w:val="3"/>
          <w:numId w:val="1"/>
        </w:numPr>
        <w:rPr/>
      </w:pPr>
      <w:bookmarkStart w:id="2778" w:name="__RefHeading___Toc3599657_1067777946"/>
      <w:bookmarkStart w:id="2779" w:name="_Toc1149"/>
      <w:bookmarkEnd w:id="2777"/>
      <w:bookmarkEnd w:id="2778"/>
      <w:r>
        <w:rPr>
          <w:rtl w:val="true"/>
        </w:rPr>
        <w:t>وصيّت براى اقرب</w:t>
      </w:r>
      <w:bookmarkEnd w:id="277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كرد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بر مراتب ارث مى شود، و اعطا نمى شود ابعد به حسب مرتبه با وجود اقرب به حسب آن، نه به معناى كيفيّت استحقاق و مساوات با مستحَق به ارث، بلكه ذكر و انثى در وصيتْ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و خال مطلقاً مقدم هستند بر ابن عمّ و خال مطلقاً، اگر چه فى الجمله در ارث معكوس است، يعنى ابن عم ابوينى مقدم است بر عمّ ابى، 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اِخوه در وصيت مساوى هستند ابوينى و امى و ابى، به خلاف ارث</w:t>
      </w:r>
      <w:r>
        <w:rPr>
          <w:rFonts w:eastAsia="IRNazanin" w:cs="IRNazanin"/>
          <w:color w:val="111111"/>
          <w:sz w:val="28"/>
          <w:szCs w:val="28"/>
          <w:rtl w:val="true"/>
          <w:lang w:bidi="fa-IR"/>
        </w:rPr>
        <w:t xml:space="preserve">. </w:t>
      </w:r>
      <w:bookmarkStart w:id="2780" w:name="pg10256_89796"/>
    </w:p>
    <w:p>
      <w:pPr>
        <w:pStyle w:val="Heading3"/>
        <w:numPr>
          <w:ilvl w:val="2"/>
          <w:numId w:val="1"/>
        </w:numPr>
        <w:rPr/>
      </w:pPr>
      <w:bookmarkStart w:id="2781" w:name="__RefHeading___Toc3599659_1067777946"/>
      <w:bookmarkStart w:id="2782" w:name="_Toc1150"/>
      <w:bookmarkEnd w:id="2780"/>
      <w:bookmarkEnd w:id="2781"/>
      <w:r>
        <w:rPr>
          <w:rtl w:val="true"/>
        </w:rPr>
        <w:t>فصل پنجم كيفيّت وصايت و شروط وصىّ‌</w:t>
      </w:r>
      <w:bookmarkEnd w:id="2782"/>
    </w:p>
    <w:p>
      <w:pPr>
        <w:pStyle w:val="Heading4"/>
        <w:numPr>
          <w:ilvl w:val="3"/>
          <w:numId w:val="1"/>
        </w:numPr>
        <w:rPr/>
      </w:pPr>
      <w:bookmarkStart w:id="2783" w:name="__RefHeading___Toc3599661_1067777946"/>
      <w:bookmarkStart w:id="2784" w:name="_Toc1151"/>
      <w:bookmarkEnd w:id="2783"/>
      <w:r>
        <w:rPr>
          <w:rtl w:val="true"/>
        </w:rPr>
        <w:t>تعريف وصايت و الفاظ آن و</w:t>
      </w:r>
      <w:r>
        <w:rPr>
          <w:rtl w:val="true"/>
        </w:rPr>
        <w:t>...</w:t>
      </w:r>
      <w:bookmarkEnd w:id="2784"/>
    </w:p>
    <w:p>
      <w:pPr>
        <w:pStyle w:val="BookText"/>
        <w:rPr/>
      </w:pPr>
      <w:r>
        <w:rPr>
          <w:rFonts w:ascii="Amiri" w:hAnsi="Amiri" w:eastAsia="Amiri" w:cs="Amiri"/>
          <w:color w:val="111111"/>
          <w:sz w:val="28"/>
          <w:sz w:val="28"/>
          <w:szCs w:val="28"/>
          <w:rtl w:val="true"/>
          <w:lang w:bidi="ar-SA"/>
        </w:rPr>
        <w:t xml:space="preserve">در وصايت است و آن جعل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تصرفات مربوطۀ به موصى يا به كسانى كه موصى ولايت بر آنها داشته، مثل صغيرها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 است در نفوذ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 وصى به نحوى كه برسد رد او به موصى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محقّق مى شود وصايت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أوصيت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فوّضت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جعلتك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أقمتك مقامى في أمر أولادى،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حفظ أموالهم و التصرف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ولّيتك هذا الامر بعد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متعلق، اقتصار بر متيقن الاراده مى شود، مثل حفظ مال و مؤونۀ يتيم و واجبات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 امر أولادى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حفظ و تصرف مى شود</w:t>
      </w:r>
      <w:r>
        <w:rPr>
          <w:rFonts w:eastAsia="IRNazanin" w:cs="IRNazanin"/>
          <w:color w:val="111111"/>
          <w:sz w:val="28"/>
          <w:szCs w:val="28"/>
          <w:rtl w:val="true"/>
          <w:lang w:bidi="fa-IR"/>
        </w:rPr>
        <w:t>.</w:t>
      </w:r>
    </w:p>
    <w:p>
      <w:pPr>
        <w:pStyle w:val="Heading4"/>
        <w:numPr>
          <w:ilvl w:val="3"/>
          <w:numId w:val="1"/>
        </w:numPr>
        <w:rPr/>
      </w:pPr>
      <w:bookmarkStart w:id="2785" w:name="__RefHeading___Toc3599663_1067777946"/>
      <w:bookmarkStart w:id="2786" w:name="_Toc1152"/>
      <w:bookmarkEnd w:id="2785"/>
      <w:r>
        <w:rPr>
          <w:rtl w:val="true"/>
        </w:rPr>
        <w:t>شروط وصىّ‌</w:t>
      </w:r>
      <w:bookmarkEnd w:id="2786"/>
    </w:p>
    <w:p>
      <w:pPr>
        <w:pStyle w:val="Heading5"/>
        <w:numPr>
          <w:ilvl w:val="4"/>
          <w:numId w:val="1"/>
        </w:numPr>
        <w:rPr/>
      </w:pPr>
      <w:bookmarkStart w:id="2787" w:name="__RefHeading___Toc3599665_1067777946"/>
      <w:bookmarkStart w:id="2788" w:name="_Toc1153"/>
      <w:bookmarkEnd w:id="2787"/>
      <w:r>
        <w:rPr>
          <w:rtl w:val="true"/>
        </w:rPr>
        <w:t>عقل</w:t>
      </w:r>
      <w:bookmarkEnd w:id="2788"/>
    </w:p>
    <w:p>
      <w:pPr>
        <w:pStyle w:val="BookText"/>
        <w:rPr/>
      </w:pPr>
      <w:r>
        <w:rPr>
          <w:rFonts w:ascii="IRNazanin" w:hAnsi="IRNazanin" w:eastAsia="IRNazanin"/>
          <w:color w:val="111111"/>
          <w:sz w:val="28"/>
          <w:sz w:val="28"/>
          <w:szCs w:val="28"/>
          <w:rtl w:val="true"/>
          <w:lang w:bidi="fa-IR"/>
        </w:rPr>
        <w:t>معتبر است در 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 وصى، پس مجنون قابل آن نيست اگر چه ادوارى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وصايت را براى مجنون ادوارى در زمان عقل و ديگرى در زمان جنون اوّل قرارداد، و هم چنين اگر وصايت را به نحو غير مقيّد به استمرار قرار داد براى عاقل به طورى كه در زمان طروّ جنونْ مسلوب الولايه، و در زمانِ عودِ عقلْ عود نمايد ولايت </w:t>
      </w:r>
      <w:bookmarkStart w:id="2789" w:name="pg10256_89797"/>
    </w:p>
    <w:p>
      <w:pPr>
        <w:pStyle w:val="BookText"/>
        <w:rPr/>
      </w:pPr>
      <w:bookmarkEnd w:id="2789"/>
      <w:r>
        <w:rPr>
          <w:rFonts w:ascii="IRNazanin" w:hAnsi="IRNazanin" w:eastAsia="IRNazanin"/>
          <w:color w:val="111111"/>
          <w:sz w:val="28"/>
          <w:sz w:val="28"/>
          <w:szCs w:val="28"/>
          <w:rtl w:val="true"/>
          <w:lang w:bidi="fa-IR"/>
        </w:rPr>
        <w:t>او، و ولايت در زمان جنون او با غير يا حاكم باشد، محتمل است صحّت وصايت در حدوث و بقاى به نحو مذكور؛ و احوط استيذان از حاكم است با عود اعتدال عقلى؛ اگر چه با التفات موصىٖ به اين جهات و تصريح به آن، ثبوت ولايت وصى در زمان اعتدال،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وصايت به مجنون ابتدايى با تعليق بر زوال جنون، تأمل است و مورد احتياط است</w:t>
      </w:r>
      <w:r>
        <w:rPr>
          <w:rFonts w:eastAsia="IRNazanin" w:cs="IRNazanin"/>
          <w:color w:val="111111"/>
          <w:sz w:val="28"/>
          <w:szCs w:val="28"/>
          <w:rtl w:val="true"/>
          <w:lang w:bidi="fa-IR"/>
        </w:rPr>
        <w:t>.</w:t>
      </w:r>
    </w:p>
    <w:p>
      <w:pPr>
        <w:pStyle w:val="Heading5"/>
        <w:numPr>
          <w:ilvl w:val="4"/>
          <w:numId w:val="1"/>
        </w:numPr>
        <w:rPr/>
      </w:pPr>
      <w:bookmarkStart w:id="2790" w:name="__RefHeading___Toc3599667_1067777946"/>
      <w:bookmarkStart w:id="2791" w:name="_Toc1154"/>
      <w:bookmarkEnd w:id="2790"/>
      <w:r>
        <w:rPr>
          <w:rtl w:val="true"/>
        </w:rPr>
        <w:t>عدم اعتبار عدالت در وصى و اعتبار اطمينان</w:t>
      </w:r>
      <w:bookmarkEnd w:id="2791"/>
    </w:p>
    <w:p>
      <w:pPr>
        <w:pStyle w:val="BookText"/>
        <w:rPr/>
      </w:pPr>
      <w:r>
        <w:rPr>
          <w:rFonts w:ascii="IRNazanin" w:hAnsi="IRNazanin" w:eastAsia="IRNazanin"/>
          <w:color w:val="111111"/>
          <w:sz w:val="28"/>
          <w:sz w:val="28"/>
          <w:szCs w:val="28"/>
          <w:rtl w:val="true"/>
          <w:lang w:bidi="fa-IR"/>
        </w:rPr>
        <w:t>و مشهور، اعتبار عدالت در وصى است؛ و اظهر عدم اعتبار است اگر چه اثبات ولايت بر طفل مثلاً باشد و تعلّق به واجبات از حقوق ماليّه و غير آنها داشته باشد، بلكه بايد تكليفاً به مورد اطمينان و محل امانت در امورى كه وصايت براى آنها است،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ايجاب حرمت تعريض به اتلاف يا تضييع مال صغير و ترك ابراء ذمّه از واجبات بوصايت امين، فساد وصايت را، نظر است خصوصاً اگر عمل خارجى محرّم نباشد؛ چنانچه مفروض است كه وجوب عمل اصلاحى و ابرايى با حرمت توليت منافات ندارد؛ و مقصود نفوذ ايصاء است در غير اعمال محرّمه بر هر 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لازم است شرعاً وصايت محل اطمينان در اخراج حقوق واجبه و در اصلاح اموال قاصرين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عدم مفسده يا وجود مصلحت در تصرفات عادل و فاسق از متصرفهاى در اموال قاصرين، مربوط به اعتبار عدالت در موصىٰ اليه در صحّت ايصاء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عُسر و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غلبۀ غير معلوم 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آن، و لزوم مفاسد و تنازع در مداخله دادن بيگانه ها در داخلۀ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عدم علم ورثه به عدالت عادلِ نزد مورِّث يا علم ايشان به فسق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است</w:t>
      </w:r>
      <w:r>
        <w:rPr>
          <w:rFonts w:eastAsia="IRNazanin" w:cs="IRNazanin"/>
          <w:color w:val="111111"/>
          <w:sz w:val="28"/>
          <w:szCs w:val="28"/>
          <w:rtl w:val="true"/>
          <w:lang w:bidi="fa-IR"/>
        </w:rPr>
        <w:t>.</w:t>
      </w:r>
    </w:p>
    <w:p>
      <w:pPr>
        <w:pStyle w:val="Heading5"/>
        <w:numPr>
          <w:ilvl w:val="4"/>
          <w:numId w:val="1"/>
        </w:numPr>
        <w:rPr/>
      </w:pPr>
      <w:bookmarkStart w:id="2792" w:name="__RefHeading___Toc3599669_1067777946"/>
      <w:bookmarkStart w:id="2793" w:name="_Toc1155"/>
      <w:bookmarkEnd w:id="2792"/>
      <w:r>
        <w:rPr>
          <w:rtl w:val="true"/>
        </w:rPr>
        <w:t>اگر وصىّ عادل، فاسق شود</w:t>
      </w:r>
      <w:bookmarkEnd w:id="279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ايصاء به عادل متعلق بود، پس بعد از موت موصى يا در حيات او با عدم اطلاع او، فاسق شد، پس اگر زوال عدالت به امورى شد كه واضح باشد دَوَران جعل وصايت </w:t>
      </w:r>
      <w:bookmarkStart w:id="2794" w:name="pg10256_89798"/>
    </w:p>
    <w:p>
      <w:pPr>
        <w:pStyle w:val="BookText"/>
        <w:rPr/>
      </w:pPr>
      <w:bookmarkEnd w:id="2794"/>
      <w:r>
        <w:rPr>
          <w:rFonts w:ascii="IRNazanin" w:hAnsi="IRNazanin" w:eastAsia="IRNazanin"/>
          <w:color w:val="111111"/>
          <w:sz w:val="28"/>
          <w:sz w:val="28"/>
          <w:szCs w:val="28"/>
          <w:rtl w:val="true"/>
          <w:lang w:bidi="fa-IR"/>
        </w:rPr>
        <w:t xml:space="preserve">مدار عدم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مفسد بودن در ماليات و واجبات و عدم موجبات دفع افسد به فاسد در ايصاى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اطمينان به قيديّت عدم موجبات فسق و منافيات وثوق حاصل شد، متّجه بطلان وصايت است در زمان تجدد فسق؛ وگرنه مستصحب است بقاى وصايت در جميع موارد شك در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قيديت يا عدم آن از ناحيۀ تصريح موصى، خارج است از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باطل شد ايصاى به موجب فسقى، پس عدم عود ايصاء به عود عدالت، خالى از وجه نيست، مگر با تصريح موصى به دوران وصايت مدار عدالت در ثبوت و عدم در مرحلۀ بقا</w:t>
      </w:r>
      <w:r>
        <w:rPr>
          <w:rFonts w:eastAsia="IRNazanin" w:cs="IRNazanin"/>
          <w:color w:val="111111"/>
          <w:sz w:val="28"/>
          <w:szCs w:val="28"/>
          <w:rtl w:val="true"/>
          <w:lang w:bidi="fa-IR"/>
        </w:rPr>
        <w:t>.</w:t>
      </w:r>
    </w:p>
    <w:p>
      <w:pPr>
        <w:pStyle w:val="Heading5"/>
        <w:numPr>
          <w:ilvl w:val="4"/>
          <w:numId w:val="1"/>
        </w:numPr>
        <w:rPr/>
      </w:pPr>
      <w:bookmarkStart w:id="2795" w:name="__RefHeading___Toc3599671_1067777946"/>
      <w:bookmarkStart w:id="2796" w:name="_Toc1156"/>
      <w:bookmarkEnd w:id="2795"/>
      <w:r>
        <w:rPr>
          <w:rtl w:val="true"/>
        </w:rPr>
        <w:t>وصايت مملوك</w:t>
      </w:r>
      <w:bookmarkEnd w:id="2796"/>
    </w:p>
    <w:p>
      <w:pPr>
        <w:pStyle w:val="BookText"/>
        <w:rPr/>
      </w:pPr>
      <w:r>
        <w:rPr>
          <w:rFonts w:ascii="IRNazanin" w:hAnsi="IRNazanin" w:eastAsia="IRNazanin"/>
          <w:color w:val="111111"/>
          <w:sz w:val="28"/>
          <w:sz w:val="28"/>
          <w:szCs w:val="28"/>
          <w:rtl w:val="true"/>
          <w:lang w:bidi="fa-IR"/>
        </w:rPr>
        <w:t>جايز نيست وصايت به مملوك قنّ مگر با اذن مالك غير موصى؛ و هم چنين مدبَّر غير موصىٖ‌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مدبَّر موصى كه حرّ است بعد از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زمان فعليّت وصايت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مكاتب غير محرّر، مثل قِنّ است علىٰ الاحوط؛ و بعد از ادا و تحرير بعض، پس محتمل است جواز وصايت، و احوط عدم است مگر در مكاتبِ غير با اذن مالكِ جزء مملوك</w:t>
      </w:r>
      <w:r>
        <w:rPr>
          <w:rFonts w:eastAsia="IRNazanin" w:cs="IRNazanin"/>
          <w:color w:val="111111"/>
          <w:sz w:val="28"/>
          <w:szCs w:val="28"/>
          <w:rtl w:val="true"/>
          <w:lang w:bidi="fa-IR"/>
        </w:rPr>
        <w:t>.</w:t>
      </w:r>
    </w:p>
    <w:p>
      <w:pPr>
        <w:pStyle w:val="Heading5"/>
        <w:numPr>
          <w:ilvl w:val="4"/>
          <w:numId w:val="1"/>
        </w:numPr>
        <w:rPr/>
      </w:pPr>
      <w:bookmarkStart w:id="2797" w:name="__RefHeading___Toc3599673_1067777946"/>
      <w:bookmarkStart w:id="2798" w:name="_Toc1157"/>
      <w:bookmarkEnd w:id="2797"/>
      <w:r>
        <w:rPr>
          <w:rtl w:val="true"/>
        </w:rPr>
        <w:t>اشتراط بلوغ وصىّ‌</w:t>
      </w:r>
      <w:bookmarkEnd w:id="2798"/>
    </w:p>
    <w:p>
      <w:pPr>
        <w:pStyle w:val="BookText"/>
        <w:rPr/>
      </w:pPr>
      <w:r>
        <w:rPr>
          <w:rFonts w:ascii="IRNazanin" w:hAnsi="IRNazanin" w:eastAsia="IRNazanin"/>
          <w:color w:val="111111"/>
          <w:sz w:val="28"/>
          <w:sz w:val="28"/>
          <w:szCs w:val="28"/>
          <w:rtl w:val="true"/>
          <w:lang w:bidi="fa-IR"/>
        </w:rPr>
        <w:t>معتبر است در وصايت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وصايت به غير بالغ بالفعل به نحوى كه در حال صباوت، وصى متصرف باشد، نافذ نيست اگر چه مميّز باشد اگر چه بر غير مميّز باشد</w:t>
      </w:r>
      <w:r>
        <w:rPr>
          <w:rFonts w:eastAsia="IRNazanin" w:cs="IRNazanin"/>
          <w:color w:val="111111"/>
          <w:sz w:val="28"/>
          <w:szCs w:val="28"/>
          <w:rtl w:val="true"/>
          <w:lang w:bidi="fa-IR"/>
        </w:rPr>
        <w:t>.</w:t>
      </w:r>
    </w:p>
    <w:p>
      <w:pPr>
        <w:pStyle w:val="Heading5"/>
        <w:numPr>
          <w:ilvl w:val="4"/>
          <w:numId w:val="1"/>
        </w:numPr>
        <w:rPr/>
      </w:pPr>
      <w:bookmarkStart w:id="2799" w:name="__RefHeading___Toc3599675_1067777946"/>
      <w:bookmarkStart w:id="2800" w:name="_Toc1158"/>
      <w:bookmarkEnd w:id="2799"/>
      <w:r>
        <w:rPr>
          <w:rtl w:val="true"/>
        </w:rPr>
        <w:t>انضمام صغير به كبير و احكام آن</w:t>
      </w:r>
      <w:bookmarkEnd w:id="280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است وصايت صبىّ با ضميمۀ بالغ به حيث كه تصرف صبىّ بعد از بلوغ باشد و شريك بالغ باشد به طورى كه اگر در ابتدا، دو بالغْ شريك در وصايت بودند؛ و نافذ است در اين صورت، تصرف بالغ به نحو انفراد تا بلوغ ديگرى، و بعد از آن حكم </w:t>
      </w:r>
    </w:p>
    <w:p>
      <w:pPr>
        <w:pStyle w:val="BookText"/>
        <w:rPr/>
      </w:pPr>
      <w:r>
        <w:rPr>
          <w:rFonts w:ascii="Amiri" w:hAnsi="Amiri" w:eastAsia="Amiri" w:cs="Amiri"/>
          <w:color w:val="111111"/>
          <w:sz w:val="28"/>
          <w:sz w:val="28"/>
          <w:szCs w:val="28"/>
          <w:rtl w:val="true"/>
          <w:lang w:bidi="ar-SA"/>
        </w:rPr>
        <w:t>شركت در وصايتْ فعليّت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وصايت به صبىّ بر تقدير بلوغ بدون ضميمۀ كبير،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انضمام كبير به صغير، مانعى از انفراد كبير به تصرف تا زمان بلوغ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تصريح كرد به عدم تصرف كبير تا زمان بلوغ ديگرى، متّبع است؛ و هم چنين اگر كبير را وصى كرد تا زمان بلوغ صغير منضم و منعزل نمود او را از وصايت در زمان بلوغ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وصى كرد كبير را و منعزل نمود او را در زمان بلوغ صغير و از آن زمان وصايت را براى صغيرِ در حال وصايت، قرار داد، مثل اينكه اين ترتيب در وصايت را بين دو كبير قرار بدهد،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صغيرِ منضم به كبير وفات نمود، يا آنكه بالغ شد در حال فساد عقل، كبير منفرد به وصيت مى شود، و محل مداخلۀ حاكم نيست، مگر آنكه وصايت بعد از بلوغ براى مجموع بوده باشد، نه براى دو نفر؛ مثل صورتى كه وصى، دو كبير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صغير بعد از بلوغ و رشد، وفات نموده، وصيت براى كبير به نحو انفراد است مگر در صورت متقدمه؛ پس امر داير بين اخذ به ظهور ايصاء در استقلال هر يك از اوصيا، يا قيام قرينه بر انضمام و وصايت مجموع است در جميع صور متصوره، از حيث حاجت به مداخلۀ حاكم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ضم صغير به كبير، اگر كبير تصرف كرد قبل از بلوغ صغير پس بالغ شد صغير، حق نقض تصرفات كبير را ندارد، زيرا قبل از بلوغ، كبير مستقل است در جميع صور متقدمه؛ و اگر مخالفِ وصيت عمل كرده است، فى نفسه منتقض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كبير وفات نمايد قبل از بلوغ صغير، وصايت بعد از بلوغ، فعليّت مى نمايد به نحو استقلال براى بالغ، و قبل از بلوغْ محل مداخلۀ حاكم است در آنچه فوت مى شود به سبب انتظار بلوغ، از مصالح موصى، بلكه در هر چه كه وصى اگر بود مى توانست انجام دهد</w:t>
      </w:r>
      <w:r>
        <w:rPr>
          <w:rFonts w:eastAsia="IRNazanin" w:cs="IRNazanin"/>
          <w:color w:val="111111"/>
          <w:sz w:val="28"/>
          <w:szCs w:val="28"/>
          <w:rtl w:val="true"/>
          <w:lang w:bidi="fa-IR"/>
        </w:rPr>
        <w:t xml:space="preserve">. </w:t>
      </w:r>
      <w:bookmarkStart w:id="2801" w:name="pg10256_89800"/>
    </w:p>
    <w:p>
      <w:pPr>
        <w:pStyle w:val="Heading5"/>
        <w:numPr>
          <w:ilvl w:val="4"/>
          <w:numId w:val="1"/>
        </w:numPr>
        <w:rPr/>
      </w:pPr>
      <w:bookmarkStart w:id="2802" w:name="__RefHeading___Toc3599677_1067777946"/>
      <w:bookmarkStart w:id="2803" w:name="_Toc1159"/>
      <w:bookmarkEnd w:id="2801"/>
      <w:bookmarkEnd w:id="2802"/>
      <w:r>
        <w:rPr>
          <w:rtl w:val="true"/>
        </w:rPr>
        <w:t>اعتبار اسلام در وصىّ از جانب مسلم</w:t>
      </w:r>
      <w:bookmarkEnd w:id="2803"/>
    </w:p>
    <w:p>
      <w:pPr>
        <w:pStyle w:val="BookText"/>
        <w:rPr/>
      </w:pPr>
      <w:r>
        <w:rPr>
          <w:rFonts w:ascii="IRNazanin" w:hAnsi="IRNazanin" w:eastAsia="IRNazanin"/>
          <w:color w:val="111111"/>
          <w:sz w:val="28"/>
          <w:sz w:val="28"/>
          <w:szCs w:val="28"/>
          <w:rtl w:val="true"/>
          <w:lang w:bidi="fa-IR"/>
        </w:rPr>
        <w:t>معتبر است در وصى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وصايت كافر از مسلم جايز نيست حتى در امور متعلقۀ به كافر، بنابر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تواند كافر وصى نمايد مثل خود را با عدالت در دين موصى يا وثوق و امين بودن يا مطلق وصايت مشروعه در دين موصى‌؟ اظهر اخير است در حكم به صحّت وصايت نزد ايشان، مثل صحّت نكاح نزد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مانعى از وصايت مسلم از جانب كافر نيست در صورت اقتصار عملى بر محلّلات در دين وصى و عدم استلزام تقويت كفر يا اعانت محرّمه بر محرّمات در دين وصى</w:t>
      </w:r>
      <w:r>
        <w:rPr>
          <w:rFonts w:eastAsia="Amiri" w:cs="Amiri" w:ascii="Amiri" w:hAnsi="Amiri"/>
          <w:color w:val="111111"/>
          <w:sz w:val="28"/>
          <w:szCs w:val="28"/>
          <w:rtl w:val="true"/>
          <w:lang w:bidi="ar-SA"/>
        </w:rPr>
        <w:t>.</w:t>
      </w:r>
    </w:p>
    <w:p>
      <w:pPr>
        <w:pStyle w:val="Heading5"/>
        <w:numPr>
          <w:ilvl w:val="4"/>
          <w:numId w:val="1"/>
        </w:numPr>
        <w:rPr/>
      </w:pPr>
      <w:bookmarkStart w:id="2804" w:name="__RefHeading___Toc3599679_1067777946"/>
      <w:bookmarkStart w:id="2805" w:name="_Toc1160"/>
      <w:bookmarkEnd w:id="2804"/>
      <w:r>
        <w:rPr>
          <w:rtl w:val="true"/>
        </w:rPr>
        <w:t>عدم اشتراط ذكورت و بصر و وارث نبودن</w:t>
      </w:r>
      <w:bookmarkEnd w:id="2805"/>
    </w:p>
    <w:p>
      <w:pPr>
        <w:pStyle w:val="BookText"/>
        <w:rPr/>
      </w:pPr>
      <w:r>
        <w:rPr>
          <w:rFonts w:ascii="IRNazanin" w:hAnsi="IRNazanin" w:eastAsia="IRNazanin"/>
          <w:color w:val="111111"/>
          <w:sz w:val="28"/>
          <w:sz w:val="28"/>
          <w:szCs w:val="28"/>
          <w:rtl w:val="true"/>
          <w:lang w:bidi="fa-IR"/>
        </w:rPr>
        <w:t>معتبر نيست در وصى، ذكورت و بصر و عدم وارثيت؛ پس جايز است ايصاى به زن و نابينا و وارث با اجتماع شروط سابقه</w:t>
      </w:r>
      <w:r>
        <w:rPr>
          <w:rFonts w:eastAsia="IRNazanin" w:cs="IRNazanin"/>
          <w:color w:val="111111"/>
          <w:sz w:val="28"/>
          <w:szCs w:val="28"/>
          <w:rtl w:val="true"/>
          <w:lang w:bidi="fa-IR"/>
        </w:rPr>
        <w:t>.</w:t>
      </w:r>
    </w:p>
    <w:p>
      <w:pPr>
        <w:pStyle w:val="Heading4"/>
        <w:numPr>
          <w:ilvl w:val="3"/>
          <w:numId w:val="1"/>
        </w:numPr>
        <w:rPr/>
      </w:pPr>
      <w:bookmarkStart w:id="2806" w:name="__RefHeading___Toc3599681_1067777946"/>
      <w:bookmarkStart w:id="2807" w:name="_Toc1161"/>
      <w:bookmarkEnd w:id="2806"/>
      <w:r>
        <w:rPr>
          <w:rtl w:val="true"/>
        </w:rPr>
        <w:t>مسائل مربوط به وصايت</w:t>
      </w:r>
      <w:bookmarkEnd w:id="2807"/>
    </w:p>
    <w:p>
      <w:pPr>
        <w:pStyle w:val="Heading5"/>
        <w:numPr>
          <w:ilvl w:val="4"/>
          <w:numId w:val="1"/>
        </w:numPr>
        <w:rPr/>
      </w:pPr>
      <w:bookmarkStart w:id="2808" w:name="__RefHeading___Toc3599683_1067777946"/>
      <w:bookmarkStart w:id="2809" w:name="_Toc1162"/>
      <w:bookmarkEnd w:id="2808"/>
      <w:r>
        <w:rPr>
          <w:rtl w:val="true"/>
        </w:rPr>
        <w:t>وصيّت به دو نفر و مسألۀ استقلال و معيّت در تصرّف</w:t>
      </w:r>
      <w:bookmarkEnd w:id="2809"/>
    </w:p>
    <w:p>
      <w:pPr>
        <w:pStyle w:val="BookText"/>
        <w:rPr/>
      </w:pPr>
      <w:r>
        <w:rPr>
          <w:rFonts w:ascii="IRNazanin" w:hAnsi="IRNazanin" w:eastAsia="IRNazanin"/>
          <w:color w:val="111111"/>
          <w:sz w:val="28"/>
          <w:sz w:val="28"/>
          <w:szCs w:val="28"/>
          <w:rtl w:val="true"/>
          <w:lang w:bidi="fa-IR"/>
        </w:rPr>
        <w:t>اگر ايصاء كرد به دو نفر مثلاً و قرينه اى بر اعتبار اجتماع يا عدم آن نبود، اظهر به حسب عبارت، استقلال هر دو است در تصرفات و عدم اعتبار معيت و اجتماع، چنانچه مستفاد از قيام معطوفْ مقام معطوف عليه است در صورت اشتمال عبارت بر عطف يكى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اجتماع كرد پس يكى قبول نكرد يا وفات كرد، حاكم ضميمه مى نمايد امينى را در تصرفات</w:t>
      </w:r>
      <w:r>
        <w:rPr>
          <w:rFonts w:eastAsia="IRNazanin" w:cs="IRNazanin"/>
          <w:color w:val="111111"/>
          <w:sz w:val="28"/>
          <w:szCs w:val="28"/>
          <w:rtl w:val="true"/>
          <w:lang w:bidi="fa-IR"/>
        </w:rPr>
        <w:t>.</w:t>
      </w:r>
    </w:p>
    <w:p>
      <w:pPr>
        <w:pStyle w:val="Heading5"/>
        <w:numPr>
          <w:ilvl w:val="4"/>
          <w:numId w:val="1"/>
        </w:numPr>
        <w:rPr/>
      </w:pPr>
      <w:bookmarkStart w:id="2810" w:name="__RefHeading___Toc3599685_1067777946"/>
      <w:bookmarkStart w:id="2811" w:name="_Toc1163"/>
      <w:bookmarkEnd w:id="2810"/>
      <w:r>
        <w:rPr>
          <w:rtl w:val="true"/>
        </w:rPr>
        <w:t>جعل وصىّ و ناظر</w:t>
      </w:r>
      <w:bookmarkEnd w:id="281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يكى را وصى و ديگرى را ناظر قرار داد، پس اظهر اناطۀ تصرف وصى به رأى موافق ناظر است، و جايز نيست تصرف ناظر به نحو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ناظر وفات كرد، </w:t>
      </w:r>
      <w:bookmarkStart w:id="2812" w:name="pg10256_89801"/>
    </w:p>
    <w:p>
      <w:pPr>
        <w:pStyle w:val="BookText"/>
        <w:rPr/>
      </w:pPr>
      <w:bookmarkEnd w:id="2812"/>
      <w:r>
        <w:rPr>
          <w:rFonts w:ascii="IRNazanin" w:hAnsi="IRNazanin" w:eastAsia="IRNazanin"/>
          <w:color w:val="111111"/>
          <w:sz w:val="28"/>
          <w:sz w:val="28"/>
          <w:szCs w:val="28"/>
          <w:rtl w:val="true"/>
          <w:lang w:bidi="fa-IR"/>
        </w:rPr>
        <w:t xml:space="preserve">اناطۀ تصرف وصى به نظر حاكم، احوط است؛ و هم چنين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مداخله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وصى وفات نمود، حاكم مداخله مى نمايد، چه مطلق باشد وصايت، يا مشروط بنظر ناظر خاص</w:t>
      </w:r>
      <w:r>
        <w:rPr>
          <w:rFonts w:eastAsia="IRNazanin" w:cs="IRNazanin"/>
          <w:color w:val="111111"/>
          <w:sz w:val="28"/>
          <w:szCs w:val="28"/>
          <w:rtl w:val="true"/>
          <w:lang w:bidi="fa-IR"/>
        </w:rPr>
        <w:t>.</w:t>
      </w:r>
    </w:p>
    <w:p>
      <w:pPr>
        <w:pStyle w:val="Heading5"/>
        <w:numPr>
          <w:ilvl w:val="4"/>
          <w:numId w:val="1"/>
        </w:numPr>
        <w:rPr/>
      </w:pPr>
      <w:bookmarkStart w:id="2813" w:name="__RefHeading___Toc3599687_1067777946"/>
      <w:bookmarkStart w:id="2814" w:name="_Toc1164"/>
      <w:bookmarkEnd w:id="2813"/>
      <w:r>
        <w:rPr>
          <w:rtl w:val="true"/>
        </w:rPr>
        <w:t>نزاع دو وصى</w:t>
      </w:r>
      <w:bookmarkEnd w:id="2814"/>
    </w:p>
    <w:p>
      <w:pPr>
        <w:pStyle w:val="BookText"/>
        <w:rPr/>
      </w:pPr>
      <w:r>
        <w:rPr>
          <w:rFonts w:ascii="IRNazanin" w:hAnsi="IRNazanin" w:eastAsia="IRNazanin"/>
          <w:color w:val="111111"/>
          <w:sz w:val="28"/>
          <w:sz w:val="28"/>
          <w:szCs w:val="28"/>
          <w:rtl w:val="true"/>
          <w:lang w:bidi="fa-IR"/>
        </w:rPr>
        <w:t>اگر دو وصى منازعت كردند در صورت وصايت مجموع، تصرف يكى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ضروريات كه فوت مى شود تا زمان اصلاح امر دو وصى، حاكم يا عدول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عدم تمكّن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مى نمايند، از قبيل مأكول يتيم و كسوۀ او؛ و حاكم اجبار مى نمايد بر اجتماع بر صواب بنظر خودش، و اگر ممكن نباشد تبديل مى نمايد هر دو يا يكى از آنها را به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ممكن شد ضمّ صالح به يكى از آنها كه صالح و اصلح از منازع مى دانست، چنان مى نمايد؛ وگرنه مى تواند اكتفا نمايد به بدليّت همان واحد كه صالح است، يا ديگرى اگر اصلح و احوط بر وصاياى ميّت از آن دو نفر باشد و مورد تعيين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تنازع دو شريك با عدم وجوب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استقلال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تنازع اب و جد در مال صغير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صورت اجتماع خواستند تنصيف نمايند مورد وصايت را، جايز نيست، بلكه قسمت در صورت اجتماع و استقلال، بى اثر است</w:t>
      </w:r>
      <w:r>
        <w:rPr>
          <w:rFonts w:eastAsia="IRNazanin" w:cs="IRNazanin"/>
          <w:color w:val="111111"/>
          <w:sz w:val="28"/>
          <w:szCs w:val="28"/>
          <w:rtl w:val="true"/>
          <w:lang w:bidi="fa-IR"/>
        </w:rPr>
        <w:t>.</w:t>
      </w:r>
    </w:p>
    <w:p>
      <w:pPr>
        <w:pStyle w:val="Heading5"/>
        <w:numPr>
          <w:ilvl w:val="4"/>
          <w:numId w:val="1"/>
        </w:numPr>
        <w:rPr/>
      </w:pPr>
      <w:bookmarkStart w:id="2815" w:name="__RefHeading___Toc3599689_1067777946"/>
      <w:bookmarkStart w:id="2816" w:name="_Toc1165"/>
      <w:bookmarkEnd w:id="2815"/>
      <w:r>
        <w:rPr>
          <w:rtl w:val="true"/>
        </w:rPr>
        <w:t>عجز يا انعزال يكى از چند وصىّ‌</w:t>
      </w:r>
      <w:bookmarkEnd w:id="2816"/>
    </w:p>
    <w:p>
      <w:pPr>
        <w:pStyle w:val="BookText"/>
        <w:rPr/>
      </w:pPr>
      <w:r>
        <w:rPr>
          <w:rFonts w:ascii="IRNazanin" w:hAnsi="IRNazanin" w:eastAsia="IRNazanin"/>
          <w:color w:val="111111"/>
          <w:sz w:val="28"/>
          <w:sz w:val="28"/>
          <w:szCs w:val="28"/>
          <w:rtl w:val="true"/>
          <w:lang w:bidi="fa-IR"/>
        </w:rPr>
        <w:t>و اگر يكى از دو وصى، در مرحلۀ استدامه عاجز شد، پس با عجز بالكليه، حاكم ضميمه مى نمايد با غير عاجز، امين قوى را؛ و با عجز فى الجمله، ضميمه مى نمايد امين معين را؛ و متصرف در صورت اخيره سه نفر مى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از دو وصى منعزل شد به واسطۀ فوت يا عجز كامل يا فسخ مؤثر، حاكم ضميمه مى نمايد به ديگرى امينى را كه به منزلۀ يك جزء از وصى است در صورت </w:t>
      </w:r>
      <w:bookmarkStart w:id="2817" w:name="pg10256_89802"/>
    </w:p>
    <w:p>
      <w:pPr>
        <w:pStyle w:val="BookText"/>
        <w:rPr/>
      </w:pPr>
      <w:bookmarkEnd w:id="2817"/>
      <w:r>
        <w:rPr>
          <w:rFonts w:ascii="IRNazanin" w:hAnsi="IRNazanin" w:eastAsia="IRNazanin"/>
          <w:color w:val="111111"/>
          <w:sz w:val="28"/>
          <w:sz w:val="28"/>
          <w:szCs w:val="28"/>
          <w:rtl w:val="true"/>
          <w:lang w:bidi="fa-IR"/>
        </w:rPr>
        <w:t>شرطيت اجتماع؛ به خلاف صورت استقلال هر يك كه ديگرى متصرف مى شود و حاجتى به نصب حاكمْ امينى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صورت اشتراط اجتماع، هر دو منعزل شدند، حاكم نصب مى نمايد امين را اگر چه يك نفر باشد</w:t>
      </w:r>
      <w:r>
        <w:rPr>
          <w:rFonts w:eastAsia="IRNazanin" w:cs="IRNazanin"/>
          <w:color w:val="111111"/>
          <w:sz w:val="28"/>
          <w:szCs w:val="28"/>
          <w:rtl w:val="true"/>
          <w:lang w:bidi="fa-IR"/>
        </w:rPr>
        <w:t>.</w:t>
      </w:r>
    </w:p>
    <w:p>
      <w:pPr>
        <w:pStyle w:val="Heading5"/>
        <w:numPr>
          <w:ilvl w:val="4"/>
          <w:numId w:val="1"/>
        </w:numPr>
        <w:rPr/>
      </w:pPr>
      <w:bookmarkStart w:id="2818" w:name="__RefHeading___Toc3599691_1067777946"/>
      <w:bookmarkStart w:id="2819" w:name="_Toc1166"/>
      <w:bookmarkEnd w:id="2818"/>
      <w:r>
        <w:rPr>
          <w:rtl w:val="true"/>
        </w:rPr>
        <w:t>شرط انفراد وصىّ‌</w:t>
      </w:r>
      <w:bookmarkEnd w:id="2819"/>
    </w:p>
    <w:p>
      <w:pPr>
        <w:pStyle w:val="BookText"/>
        <w:rPr/>
      </w:pPr>
      <w:r>
        <w:rPr>
          <w:rFonts w:ascii="IRNazanin" w:hAnsi="IRNazanin" w:eastAsia="IRNazanin"/>
          <w:color w:val="111111"/>
          <w:sz w:val="28"/>
          <w:sz w:val="28"/>
          <w:szCs w:val="28"/>
          <w:rtl w:val="true"/>
          <w:lang w:bidi="fa-IR"/>
        </w:rPr>
        <w:t xml:space="preserve">و اگر موصى شرط انفراد كرد و محمول بر رخصت نبود، پس در موارد احتمال اختلاف رأى در حال اجتماع، با آن در حال انفراد، نافذ نيست تصرف مُجْتمَع؛ به خلاف غير اين صورت كه اجتماع در رأى، واجد نتيجۀ انفراد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مؤيّده</w:t>
      </w:r>
      <w:r>
        <w:rPr>
          <w:rFonts w:eastAsia="IRNazanin" w:cs="IRNazanin"/>
          <w:color w:val="111111"/>
          <w:sz w:val="28"/>
          <w:szCs w:val="28"/>
          <w:rtl w:val="true"/>
          <w:lang w:bidi="fa-IR"/>
        </w:rPr>
        <w:t>.</w:t>
      </w:r>
    </w:p>
    <w:p>
      <w:pPr>
        <w:pStyle w:val="Heading5"/>
        <w:numPr>
          <w:ilvl w:val="4"/>
          <w:numId w:val="1"/>
        </w:numPr>
        <w:rPr/>
      </w:pPr>
      <w:bookmarkStart w:id="2820" w:name="__RefHeading___Toc3599693_1067777946"/>
      <w:bookmarkStart w:id="2821" w:name="_Toc1167"/>
      <w:bookmarkEnd w:id="2820"/>
      <w:r>
        <w:rPr>
          <w:rtl w:val="true"/>
        </w:rPr>
        <w:t>عزل وصى و رد وصيّت</w:t>
      </w:r>
      <w:bookmarkEnd w:id="2821"/>
    </w:p>
    <w:p>
      <w:pPr>
        <w:pStyle w:val="BookText"/>
        <w:rPr/>
      </w:pPr>
      <w:r>
        <w:rPr>
          <w:rFonts w:ascii="IRNazanin" w:hAnsi="IRNazanin" w:eastAsia="IRNazanin"/>
          <w:color w:val="111111"/>
          <w:sz w:val="28"/>
          <w:sz w:val="28"/>
          <w:szCs w:val="28"/>
          <w:rtl w:val="true"/>
          <w:lang w:bidi="fa-IR"/>
        </w:rPr>
        <w:t>موصى مى تواند عزل نمايد وصى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موصىٰ اليه مى تواند رد وصيت نمايد مادام كه موصى در حيات باشد، به شرط اينكه رد او به موصى برسد، بدون فرق بين غايب و حاضر و ولد موصى و غير او؛ اگر چه با تحقّق ايذا، بر ولد حرام باشد رد وصيت با امر والد به قبول آن و عدم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تحقق حرام، وصيت كالعدم است به رد بالغ آن</w:t>
      </w:r>
      <w:r>
        <w:rPr>
          <w:rFonts w:eastAsia="IRNazanin" w:cs="IRNazanin"/>
          <w:color w:val="111111"/>
          <w:sz w:val="28"/>
          <w:szCs w:val="28"/>
          <w:rtl w:val="true"/>
          <w:lang w:bidi="fa-IR"/>
        </w:rPr>
        <w:t>.</w:t>
      </w:r>
    </w:p>
    <w:p>
      <w:pPr>
        <w:pStyle w:val="Heading5"/>
        <w:numPr>
          <w:ilvl w:val="4"/>
          <w:numId w:val="1"/>
        </w:numPr>
        <w:rPr/>
      </w:pPr>
      <w:bookmarkStart w:id="2822" w:name="__RefHeading___Toc3599695_1067777946"/>
      <w:bookmarkStart w:id="2823" w:name="_Toc1168"/>
      <w:bookmarkEnd w:id="2822"/>
      <w:r>
        <w:rPr>
          <w:rtl w:val="true"/>
        </w:rPr>
        <w:t>وصيّت به غير حاضر و لزوم اعلام به موصى در تحقق رد</w:t>
      </w:r>
      <w:bookmarkEnd w:id="282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وصيت كرد به غير حاضر، پس رد كرد و اعلام رد به موصى نكرد يا نرسيد به او، پس مشهور و اظهر عدم تاثير رد است، و وصيت لازم است بر موصىٰ اليه اگر چه قبول، سابق بر رد نبوده باشد، و مكلف است به عمل به وصايا آنچه عمل او به آنها مستلزم حرج منفى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تاثير ردّ، در لزوم انشاى رد يا كفايت عدم قبول در عدم تاثير وصايت، تأمل است و ثانى خالى از رجحان نيست</w:t>
      </w:r>
      <w:r>
        <w:rPr>
          <w:rFonts w:eastAsia="IRNazanin" w:cs="IRNazanin"/>
          <w:color w:val="111111"/>
          <w:sz w:val="28"/>
          <w:szCs w:val="28"/>
          <w:rtl w:val="true"/>
          <w:lang w:bidi="fa-IR"/>
        </w:rPr>
        <w:t xml:space="preserve">. </w:t>
      </w:r>
      <w:bookmarkStart w:id="2824" w:name="pg10256_89803"/>
    </w:p>
    <w:p>
      <w:pPr>
        <w:pStyle w:val="Heading5"/>
        <w:numPr>
          <w:ilvl w:val="4"/>
          <w:numId w:val="1"/>
        </w:numPr>
        <w:rPr/>
      </w:pPr>
      <w:bookmarkStart w:id="2825" w:name="__RefHeading___Toc3599697_1067777946"/>
      <w:bookmarkStart w:id="2826" w:name="_Toc1169"/>
      <w:bookmarkEnd w:id="2824"/>
      <w:bookmarkEnd w:id="2825"/>
      <w:r>
        <w:rPr>
          <w:rtl w:val="true"/>
        </w:rPr>
        <w:t>رد وصيّت و تجديد آن</w:t>
      </w:r>
      <w:bookmarkEnd w:id="2826"/>
    </w:p>
    <w:p>
      <w:pPr>
        <w:pStyle w:val="BookText"/>
        <w:rPr/>
      </w:pPr>
      <w:r>
        <w:rPr>
          <w:rFonts w:ascii="IRNazanin" w:hAnsi="IRNazanin" w:eastAsia="IRNazanin"/>
          <w:color w:val="111111"/>
          <w:sz w:val="28"/>
          <w:sz w:val="28"/>
          <w:szCs w:val="28"/>
          <w:rtl w:val="true"/>
          <w:lang w:bidi="fa-IR"/>
        </w:rPr>
        <w:t>و اگر رد وصيت شد پس از آن تجديدِ ايجاب و اخفاى آن شد تا زمان موت، پس در بقاى رد سابق و تاثير آن در رد وصيّت مجدّده تأمل است، و عدم تاثير بقاى نفسانى بى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علم به ايجاب، منافى قبول از او صادر شد، حكم رد مؤثر را ندارد</w:t>
      </w:r>
      <w:r>
        <w:rPr>
          <w:rFonts w:eastAsia="IRNazanin" w:cs="IRNazanin"/>
          <w:color w:val="111111"/>
          <w:sz w:val="28"/>
          <w:szCs w:val="28"/>
          <w:rtl w:val="true"/>
          <w:lang w:bidi="fa-IR"/>
        </w:rPr>
        <w:t>.</w:t>
      </w:r>
    </w:p>
    <w:p>
      <w:pPr>
        <w:pStyle w:val="Heading5"/>
        <w:numPr>
          <w:ilvl w:val="4"/>
          <w:numId w:val="1"/>
        </w:numPr>
        <w:rPr/>
      </w:pPr>
      <w:bookmarkStart w:id="2827" w:name="__RefHeading___Toc3599699_1067777946"/>
      <w:bookmarkStart w:id="2828" w:name="_Toc1170"/>
      <w:bookmarkEnd w:id="2827"/>
      <w:r>
        <w:rPr>
          <w:rtl w:val="true"/>
        </w:rPr>
        <w:t>صورت عجز وصىّ از عمل به وصايت</w:t>
      </w:r>
      <w:bookmarkEnd w:id="2828"/>
    </w:p>
    <w:p>
      <w:pPr>
        <w:pStyle w:val="BookText"/>
        <w:rPr/>
      </w:pPr>
      <w:r>
        <w:rPr>
          <w:rFonts w:ascii="IRNazanin" w:hAnsi="IRNazanin" w:eastAsia="IRNazanin"/>
          <w:color w:val="111111"/>
          <w:sz w:val="28"/>
          <w:sz w:val="28"/>
          <w:szCs w:val="28"/>
          <w:rtl w:val="true"/>
          <w:lang w:bidi="fa-IR"/>
        </w:rPr>
        <w:t>اگر وصىْ عاجز شد از عمل به وصايت فى الجمله، حاكم ضميمه مى نمايد مساعد امينى را به او، و منعزل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جايز است وصايت به عاجزِ فى الجمله؛ و اگر موصى تعيين مساعد نكرد، حاكم تعيين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عجز مطلق پس اظهر بطلان وصايت است به عروض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در حدوث وصايت عجز مطلق واقعيت داشته، وصايت واقعاً باطل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مستقل است در اين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عجز فى الجمله اگر موجب تبعيض در عمل به وصايت بود، پس آنچه مقدور وصى است، او مستقل است در آن؛ و آنچه مقدور او نيست، حاكم و امينِ منصوب او، مستقل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از مباشرت و توكيل و استيجار عاجز است، نه از اظهار رأى و نظر، پس نظر در همۀ امور با او است به طور استقلال، و عمل با منصوب حاكم است؛ و اين فرض تقريباً عكس صورت عجز وصى و بقاى ناظر است كه حاكم به جاى وصى، امينى را نصب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فى الجمله اگر حادث و زايل شد، وصى در فرع متقدّم بر مثال، به استقلال عود مى نمايد و مساعدْ منعزل مى شود</w:t>
      </w:r>
      <w:r>
        <w:rPr>
          <w:rFonts w:eastAsia="IRNazanin" w:cs="IRNazanin"/>
          <w:color w:val="111111"/>
          <w:sz w:val="28"/>
          <w:szCs w:val="28"/>
          <w:rtl w:val="true"/>
          <w:lang w:bidi="fa-IR"/>
        </w:rPr>
        <w:t>.</w:t>
      </w:r>
    </w:p>
    <w:p>
      <w:pPr>
        <w:pStyle w:val="Heading5"/>
        <w:numPr>
          <w:ilvl w:val="4"/>
          <w:numId w:val="1"/>
        </w:numPr>
        <w:rPr/>
      </w:pPr>
      <w:bookmarkStart w:id="2829" w:name="__RefHeading___Toc3599701_1067777946"/>
      <w:bookmarkStart w:id="2830" w:name="_Toc1171"/>
      <w:bookmarkEnd w:id="2829"/>
      <w:r>
        <w:rPr>
          <w:rtl w:val="true"/>
        </w:rPr>
        <w:t>ظهور خيانت از وصى</w:t>
      </w:r>
      <w:bookmarkEnd w:id="283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ظاهر شد از وصىّ خيانتى كه جايز نيست ابتداى وصايت با مثل آن، در واقع به مجرّد خيانت باطل مى شود وصايت و تصرفات بعد از آن؛ و در ظاهر با اختلاف در آن </w:t>
      </w:r>
      <w:bookmarkStart w:id="2831" w:name="pg10256_89804"/>
    </w:p>
    <w:p>
      <w:pPr>
        <w:pStyle w:val="BookText"/>
        <w:rPr/>
      </w:pPr>
      <w:bookmarkEnd w:id="2831"/>
      <w:r>
        <w:rPr>
          <w:rFonts w:ascii="Amiri" w:hAnsi="Amiri" w:eastAsia="Amiri" w:cs="Amiri"/>
          <w:color w:val="111111"/>
          <w:sz w:val="28"/>
          <w:sz w:val="28"/>
          <w:szCs w:val="28"/>
          <w:rtl w:val="true"/>
          <w:lang w:bidi="ar-SA"/>
        </w:rPr>
        <w:t>محتاج به حكم حاكم به انعزال يا عزل او است، و در اين صورت بدل او امينى را تعيين مى نمايد به جاى او در نحوۀ وصايت از استقلال با وحدت يا اشتراك با تعدد اوصيا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معلوم بشود كه مقصود موصى، مقيّد به عدم خيانت است، اگر چه جايز باشد ايصاى به معلوم الخيانه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خيانت ظاهرۀ حادثه، اشدّ و افضح از خيانت معلومۀ موصى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معلوم الخيانه، پس ايصاى به او در صورت مشروعيّت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فرض عدم ولايت بر صغار و عدم تفاوت به واسطۀ عدم زيادتى آن بر ثلث و آن هم به نحوى كه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نيست جواز آن، به خلاف غير اين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در بقاى ايصاى مقصود باشد با مرتبه اى از خيانت ظاهره، پس احوط توافق بين نظر وصىّ و امين حاكم است</w:t>
      </w:r>
      <w:r>
        <w:rPr>
          <w:rFonts w:eastAsia="IRNazanin" w:cs="IRNazanin"/>
          <w:color w:val="111111"/>
          <w:sz w:val="28"/>
          <w:szCs w:val="28"/>
          <w:rtl w:val="true"/>
          <w:lang w:bidi="fa-IR"/>
        </w:rPr>
        <w:t>.</w:t>
      </w:r>
    </w:p>
    <w:p>
      <w:pPr>
        <w:pStyle w:val="Heading5"/>
        <w:numPr>
          <w:ilvl w:val="4"/>
          <w:numId w:val="1"/>
        </w:numPr>
        <w:rPr/>
      </w:pPr>
      <w:bookmarkStart w:id="2832" w:name="__RefHeading___Toc3599703_1067777946"/>
      <w:bookmarkStart w:id="2833" w:name="_Toc1172"/>
      <w:bookmarkEnd w:id="2832"/>
      <w:r>
        <w:rPr>
          <w:rtl w:val="true"/>
        </w:rPr>
        <w:t>ظهور فسق از وصىّ بنابر اعتبار عدالت</w:t>
      </w:r>
      <w:bookmarkEnd w:id="2833"/>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فسقى غير خيانت ظاهر شد از وصىّ‌، بنا بر اعتبار عدالت در وصىّ‌، چنانچه منسوب به مشهور است؛ بلكه در فسق متجدد بعد از وصيت، نقل اجماع بر بطلان وصايت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محكى كتب ديگر مى فرمايد، اگر چه ممكن است مناقشه در استدلال به اجماع براى تعيين قصد و ابتناى آن بر منع اطلاق احوالى، پس متيقنْ وصايت به ثابت العداله است، قابل منع است، يعنى ثبوت اطلاق نسبت به موارد امانت، تمام است؛ و بر تقدير منع، مستصحَب است وصايت</w:t>
      </w:r>
      <w:r>
        <w:rPr>
          <w:rFonts w:eastAsia="IRNazanin" w:cs="IRNazanin"/>
          <w:color w:val="111111"/>
          <w:sz w:val="28"/>
          <w:szCs w:val="28"/>
          <w:rtl w:val="true"/>
          <w:lang w:bidi="fa-IR"/>
        </w:rPr>
        <w:t>.</w:t>
      </w:r>
    </w:p>
    <w:p>
      <w:pPr>
        <w:pStyle w:val="Heading5"/>
        <w:numPr>
          <w:ilvl w:val="4"/>
          <w:numId w:val="1"/>
        </w:numPr>
        <w:rPr/>
      </w:pPr>
      <w:bookmarkStart w:id="2834" w:name="__RefHeading___Toc3599705_1067777946"/>
      <w:bookmarkStart w:id="2835" w:name="_Toc1173"/>
      <w:bookmarkEnd w:id="2834"/>
      <w:r>
        <w:rPr>
          <w:rtl w:val="true"/>
        </w:rPr>
        <w:t>عزل يا انعزال وصىّ‌</w:t>
      </w:r>
      <w:bookmarkEnd w:id="2835"/>
    </w:p>
    <w:p>
      <w:pPr>
        <w:pStyle w:val="BookText"/>
        <w:rPr/>
      </w:pPr>
      <w:r>
        <w:rPr>
          <w:rFonts w:ascii="IRNazanin" w:hAnsi="IRNazanin" w:eastAsia="IRNazanin"/>
          <w:color w:val="111111"/>
          <w:sz w:val="28"/>
          <w:sz w:val="28"/>
          <w:szCs w:val="28"/>
          <w:rtl w:val="true"/>
          <w:lang w:bidi="fa-IR"/>
        </w:rPr>
        <w:t>و اگر وصى منعزل يا معزول شد، اظهر عدم نفوذ تصرفات بعديّۀ او است حتى اگر خالى از خيانت باشند</w:t>
      </w:r>
      <w:r>
        <w:rPr>
          <w:rFonts w:eastAsia="IRNazanin" w:cs="IRNazanin"/>
          <w:color w:val="111111"/>
          <w:sz w:val="28"/>
          <w:szCs w:val="28"/>
          <w:rtl w:val="true"/>
          <w:lang w:bidi="fa-IR"/>
        </w:rPr>
        <w:t>.</w:t>
      </w:r>
    </w:p>
    <w:p>
      <w:pPr>
        <w:pStyle w:val="Heading5"/>
        <w:numPr>
          <w:ilvl w:val="4"/>
          <w:numId w:val="1"/>
        </w:numPr>
        <w:rPr/>
      </w:pPr>
      <w:bookmarkStart w:id="2836" w:name="__RefHeading___Toc3599707_1067777946"/>
      <w:bookmarkStart w:id="2837" w:name="_Toc1174"/>
      <w:bookmarkEnd w:id="2836"/>
      <w:r>
        <w:rPr>
          <w:rtl w:val="true"/>
        </w:rPr>
        <w:t>امين بودن وصىّ‌</w:t>
      </w:r>
      <w:bookmarkEnd w:id="283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وصى امين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نيست به سبب تلف غير اختيارى او؛ و ضامن است با </w:t>
      </w:r>
      <w:bookmarkStart w:id="2838" w:name="pg10256_89805"/>
    </w:p>
    <w:p>
      <w:pPr>
        <w:pStyle w:val="BookText"/>
        <w:rPr/>
      </w:pPr>
      <w:bookmarkEnd w:id="2838"/>
      <w:r>
        <w:rPr>
          <w:rFonts w:ascii="IRNazanin" w:hAnsi="IRNazanin" w:eastAsia="IRNazanin"/>
          <w:color w:val="111111"/>
          <w:sz w:val="28"/>
          <w:sz w:val="28"/>
          <w:szCs w:val="28"/>
          <w:rtl w:val="true"/>
          <w:lang w:bidi="fa-IR"/>
        </w:rPr>
        <w:t>تعدّى و تفريط در آنچه در يد او است از مورد وصيت اگر چه به سبب مخالفت وصيت باشد؛ پس ضامن مى شود با تلف فضلاً از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مدعىِ تفريطِ او، بر او است اقامۀ بيّنه بر آن؛ و بر وصى جز يمين نيست</w:t>
      </w:r>
      <w:r>
        <w:rPr>
          <w:rFonts w:eastAsia="IRNazanin" w:cs="IRNazanin"/>
          <w:color w:val="111111"/>
          <w:sz w:val="28"/>
          <w:szCs w:val="28"/>
          <w:rtl w:val="true"/>
          <w:lang w:bidi="fa-IR"/>
        </w:rPr>
        <w:t>.</w:t>
      </w:r>
    </w:p>
    <w:p>
      <w:pPr>
        <w:pStyle w:val="Heading5"/>
        <w:numPr>
          <w:ilvl w:val="4"/>
          <w:numId w:val="1"/>
        </w:numPr>
        <w:rPr/>
      </w:pPr>
      <w:bookmarkStart w:id="2839" w:name="__RefHeading___Toc3599709_1067777946"/>
      <w:bookmarkStart w:id="2840" w:name="_Toc1175"/>
      <w:bookmarkEnd w:id="2839"/>
      <w:r>
        <w:rPr>
          <w:rtl w:val="true"/>
        </w:rPr>
        <w:t>استيفاى وصى دين خود را از مال موصىٖ‌</w:t>
      </w:r>
      <w:bookmarkEnd w:id="2840"/>
    </w:p>
    <w:p>
      <w:pPr>
        <w:pStyle w:val="BookText"/>
        <w:rPr/>
      </w:pPr>
      <w:r>
        <w:rPr>
          <w:rFonts w:ascii="IRNazanin" w:hAnsi="IRNazanin" w:eastAsia="IRNazanin"/>
          <w:color w:val="111111"/>
          <w:sz w:val="28"/>
          <w:sz w:val="28"/>
          <w:szCs w:val="28"/>
          <w:rtl w:val="true"/>
          <w:lang w:bidi="fa-IR"/>
        </w:rPr>
        <w:t>وصىّ مطلق متّحد، مى تواند استيفاى دين خودش از موصى از مالى كه از او در دست وصىّ است بنمايد بدون اثبات دين با بيّنه، مثل دين اجنبى از موصى در صورت علم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دعواى وارث، عدم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مسموعيّت دعواى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به ميزان شرعى، فصل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متعدد باشد و مستقل باشند، حكم چنين است؛ و اگر مشروط باشد تصرف دائن به اذن شريك او در وصايت، احوط استيذان از شريك يا اثبات دين با بيّنه با امكان آن است؛ و با عدم امكان، موقوف به فصل حاكم است از روى ميزان شرعى بين دو شريك</w:t>
      </w:r>
      <w:r>
        <w:rPr>
          <w:rFonts w:eastAsia="IRNazanin" w:cs="IRNazanin"/>
          <w:color w:val="111111"/>
          <w:sz w:val="28"/>
          <w:szCs w:val="28"/>
          <w:rtl w:val="true"/>
          <w:lang w:bidi="fa-IR"/>
        </w:rPr>
        <w:t>.</w:t>
      </w:r>
    </w:p>
    <w:p>
      <w:pPr>
        <w:pStyle w:val="Heading5"/>
        <w:numPr>
          <w:ilvl w:val="4"/>
          <w:numId w:val="1"/>
        </w:numPr>
        <w:rPr/>
      </w:pPr>
      <w:bookmarkStart w:id="2841" w:name="__RefHeading___Toc3599711_1067777946"/>
      <w:bookmarkStart w:id="2842" w:name="_Toc1176"/>
      <w:bookmarkEnd w:id="2841"/>
      <w:r>
        <w:rPr>
          <w:rtl w:val="true"/>
        </w:rPr>
        <w:t>تقويم مال يتيم بر خود توسط وصىّ‌</w:t>
      </w:r>
      <w:bookmarkEnd w:id="2842"/>
    </w:p>
    <w:p>
      <w:pPr>
        <w:pStyle w:val="BookText"/>
        <w:rPr/>
      </w:pPr>
      <w:r>
        <w:rPr>
          <w:rFonts w:ascii="Amiri" w:hAnsi="Amiri" w:eastAsia="Amiri" w:cs="Amiri"/>
          <w:color w:val="111111"/>
          <w:sz w:val="28"/>
          <w:sz w:val="28"/>
          <w:szCs w:val="28"/>
          <w:rtl w:val="true"/>
          <w:lang w:bidi="ar-SA"/>
        </w:rPr>
        <w:t>جايز است براى وصىِّ مطلق، تقويم مال يتيم كه در تحت استيلاء و وصايت او است، بر نفس خود، در صورت جواز بيع به غير به همان ثمن كه براى غيرْ جايز است و با وجود مصلحت براى يتيم در بيع به آن ثمن؛ و تغاير اعتبارى بين موجب و قابل، كافى است</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3599713_1067777946"/>
      <w:bookmarkStart w:id="2844" w:name="_Toc1177"/>
      <w:bookmarkEnd w:id="2843"/>
      <w:r>
        <w:rPr>
          <w:rtl w:val="true"/>
        </w:rPr>
        <w:t>اقتراض وصىّ از مال يتيم</w:t>
      </w:r>
      <w:bookmarkEnd w:id="2844"/>
    </w:p>
    <w:p>
      <w:pPr>
        <w:pStyle w:val="BookText"/>
        <w:rPr/>
      </w:pPr>
      <w:r>
        <w:rPr>
          <w:rFonts w:ascii="Amiri" w:hAnsi="Amiri" w:eastAsia="Amiri" w:cs="Amiri"/>
          <w:color w:val="111111"/>
          <w:sz w:val="28"/>
          <w:sz w:val="28"/>
          <w:szCs w:val="28"/>
          <w:rtl w:val="true"/>
          <w:lang w:bidi="ar-SA"/>
        </w:rPr>
        <w:t>و جايز است براى او اقتراض از مال يتيم در صورت عدم وجوب عملى كه منافى اقتراض است، در صورت ملائت وصىّ و تمكّن او از اداى مثل يا قيمت در صورت تلف، به اداى مشروع از مال خودش، با رهن</w:t>
      </w:r>
      <w:r>
        <w:rPr>
          <w:rFonts w:eastAsia="Amiri" w:cs="Amiri" w:ascii="Amiri" w:hAnsi="Amiri"/>
          <w:color w:val="111111"/>
          <w:sz w:val="28"/>
          <w:szCs w:val="28"/>
          <w:rtl w:val="true"/>
          <w:lang w:bidi="ar-SA"/>
        </w:rPr>
        <w:t>.</w:t>
      </w:r>
    </w:p>
    <w:p>
      <w:pPr>
        <w:pStyle w:val="Heading5"/>
        <w:numPr>
          <w:ilvl w:val="4"/>
          <w:numId w:val="1"/>
        </w:numPr>
        <w:rPr/>
      </w:pPr>
      <w:bookmarkStart w:id="2845" w:name="__RefHeading___Toc3599715_1067777946"/>
      <w:bookmarkStart w:id="2846" w:name="_Toc1178"/>
      <w:bookmarkEnd w:id="2845"/>
      <w:r>
        <w:rPr>
          <w:rtl w:val="true"/>
        </w:rPr>
        <w:t>استيفاى دين از مال موصى توسط وصى</w:t>
      </w:r>
      <w:bookmarkEnd w:id="284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است با اطلاق وصايت و استقلال در آن، كه وصى استيفاى دَين واقعى خودش </w:t>
      </w:r>
      <w:bookmarkStart w:id="2847" w:name="pg10256_89806"/>
    </w:p>
    <w:p>
      <w:pPr>
        <w:pStyle w:val="BookText"/>
        <w:rPr/>
      </w:pPr>
      <w:bookmarkEnd w:id="2847"/>
      <w:r>
        <w:rPr>
          <w:rFonts w:ascii="IRNazanin" w:hAnsi="IRNazanin" w:eastAsia="IRNazanin"/>
          <w:color w:val="111111"/>
          <w:sz w:val="28"/>
          <w:sz w:val="28"/>
          <w:szCs w:val="28"/>
          <w:rtl w:val="true"/>
          <w:lang w:bidi="fa-IR"/>
        </w:rPr>
        <w:t>را بر ميّت موصى از مال او نمايد بدون مراجعه به حاكم، با حجت و عدم آن، چنانكه مى تواند استيفاى دين اجنبى نمايد بر موصى با علم وصى</w:t>
      </w:r>
      <w:r>
        <w:rPr>
          <w:rFonts w:eastAsia="IRNazanin" w:cs="IRNazanin"/>
          <w:color w:val="111111"/>
          <w:sz w:val="28"/>
          <w:szCs w:val="28"/>
          <w:rtl w:val="true"/>
          <w:lang w:bidi="fa-IR"/>
        </w:rPr>
        <w:t>.</w:t>
      </w:r>
    </w:p>
    <w:p>
      <w:pPr>
        <w:pStyle w:val="Heading5"/>
        <w:numPr>
          <w:ilvl w:val="4"/>
          <w:numId w:val="1"/>
        </w:numPr>
        <w:rPr/>
      </w:pPr>
      <w:bookmarkStart w:id="2848" w:name="__RefHeading___Toc3599717_1067777946"/>
      <w:bookmarkStart w:id="2849" w:name="_Toc1179"/>
      <w:bookmarkEnd w:id="2848"/>
      <w:r>
        <w:rPr>
          <w:rtl w:val="true"/>
        </w:rPr>
        <w:t>اختصاص ولايت وصى به مورد وصايت</w:t>
      </w:r>
      <w:bookmarkEnd w:id="2849"/>
    </w:p>
    <w:p>
      <w:pPr>
        <w:pStyle w:val="BookText"/>
        <w:rPr/>
      </w:pPr>
      <w:r>
        <w:rPr>
          <w:rFonts w:ascii="Amiri" w:hAnsi="Amiri" w:eastAsia="Amiri" w:cs="Amiri"/>
          <w:color w:val="111111"/>
          <w:sz w:val="28"/>
          <w:sz w:val="28"/>
          <w:szCs w:val="28"/>
          <w:rtl w:val="true"/>
          <w:lang w:bidi="ar-SA"/>
        </w:rPr>
        <w:t>و مختص است ولايت وصى، به مورد تعيين موصى به حسب عموم و خصوص، و از مورد تعيين او تعدّى نمى نمايد در عموم و خصوص موصىٰ اليه از حيث زمان و مشروطيت و غير آن، و موصىٰ به از خصوصيات نوعيّه و فرديه</w:t>
      </w:r>
      <w:r>
        <w:rPr>
          <w:rFonts w:eastAsia="Amiri" w:cs="Amiri" w:ascii="Amiri" w:hAnsi="Amiri"/>
          <w:color w:val="111111"/>
          <w:sz w:val="28"/>
          <w:szCs w:val="28"/>
          <w:rtl w:val="true"/>
          <w:lang w:bidi="ar-SA"/>
        </w:rPr>
        <w:t>.</w:t>
      </w:r>
    </w:p>
    <w:p>
      <w:pPr>
        <w:pStyle w:val="Heading5"/>
        <w:numPr>
          <w:ilvl w:val="4"/>
          <w:numId w:val="1"/>
        </w:numPr>
        <w:rPr/>
      </w:pPr>
      <w:bookmarkStart w:id="2850" w:name="__RefHeading___Toc3599719_1067777946"/>
      <w:bookmarkStart w:id="2851" w:name="_Toc1180"/>
      <w:bookmarkEnd w:id="2850"/>
      <w:r>
        <w:rPr>
          <w:rtl w:val="true"/>
        </w:rPr>
        <w:t>فرض اطلاق وصايت</w:t>
      </w:r>
      <w:bookmarkEnd w:id="2851"/>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بگذارد، اقرب عموم از حيث خصوصيات موصىٰ اليه است و به حسب ولايات مربوطه به موصىٰ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اقتصار بر ضروريات از تصديات صاحب ولايت است، و استيذان از حاكم در غير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حيث موصىٰ به چيزى استفاده نمى شود مگر با قراين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استفادۀ وصيت و وصايت، الغاى كلام است، بلى اخذ به متيقن از ولايت كه تصدى ضرورى باشد، موافق احتياط است</w:t>
      </w:r>
      <w:r>
        <w:rPr>
          <w:rFonts w:eastAsia="IRNazanin" w:cs="IRNazanin"/>
          <w:color w:val="111111"/>
          <w:sz w:val="28"/>
          <w:szCs w:val="28"/>
          <w:rtl w:val="true"/>
          <w:lang w:bidi="fa-IR"/>
        </w:rPr>
        <w:t>.</w:t>
      </w:r>
    </w:p>
    <w:p>
      <w:pPr>
        <w:pStyle w:val="Heading5"/>
        <w:numPr>
          <w:ilvl w:val="4"/>
          <w:numId w:val="1"/>
        </w:numPr>
        <w:rPr/>
      </w:pPr>
      <w:bookmarkStart w:id="2852" w:name="__RefHeading___Toc3599721_1067777946"/>
      <w:bookmarkStart w:id="2853" w:name="_Toc1181"/>
      <w:bookmarkEnd w:id="2852"/>
      <w:r>
        <w:rPr>
          <w:rtl w:val="true"/>
        </w:rPr>
        <w:t>تقييد يا اطلاق ولايت وصىّ در قيموميّت صغار</w:t>
      </w:r>
      <w:bookmarkEnd w:id="2853"/>
    </w:p>
    <w:p>
      <w:pPr>
        <w:pStyle w:val="BookText"/>
        <w:rPr/>
      </w:pPr>
      <w:r>
        <w:rPr>
          <w:rFonts w:ascii="IRNazanin" w:hAnsi="IRNazanin" w:eastAsia="IRNazanin"/>
          <w:color w:val="111111"/>
          <w:sz w:val="28"/>
          <w:sz w:val="28"/>
          <w:szCs w:val="28"/>
          <w:rtl w:val="true"/>
          <w:lang w:bidi="fa-IR"/>
        </w:rPr>
        <w:t>و اگر موصى، براى قيم اطفال، جهت خاصه اى ذكر كرد، در ساير جهات مثل اجنبى است، و امر آنها با حاكم است؛ پس اگر ولايت او را در حفظ مال صغار قرار داد، نمى تواند بيع يا اجاره نمايد، و امر بيع يا اجاره با حاكم و منصوب او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مطلق گذاشت قيمومت را، عام است به تمام شئون و تصرفات قيم نسبت به اموال صغار، چنانچه در اطلاق وصايت گذشت؛ پس مى تواند انفاق نمايد از مال ايشان بر ايشان و بر واجب النفقۀ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معروف؛ و هم چنين است استنماى اموال ايشان به نحو مشروع و ايفا و استيفاى ديون ايشان به طرق مشروعه كه خود موصى مى توانست انجام دهد؛ و هم چنين است اداى ارش ثابت بر </w:t>
      </w:r>
      <w:bookmarkStart w:id="2854" w:name="pg10256_89807"/>
    </w:p>
    <w:p>
      <w:pPr>
        <w:pStyle w:val="BookText"/>
        <w:rPr/>
      </w:pPr>
      <w:bookmarkEnd w:id="2854"/>
      <w:r>
        <w:rPr>
          <w:rFonts w:ascii="IRNazanin" w:hAnsi="IRNazanin" w:eastAsia="IRNazanin"/>
          <w:color w:val="111111"/>
          <w:sz w:val="28"/>
          <w:sz w:val="28"/>
          <w:szCs w:val="28"/>
          <w:rtl w:val="true"/>
          <w:lang w:bidi="fa-IR"/>
        </w:rPr>
        <w:t>آنها به سبب اتلافات آنها؛ و نيز اداى كفارۀ قتل نه اداى ديه كه بر عاقله است در عمد و خطا؛ و هم چنين اخراج حق متعلق به اموال ايشان مثل خمس در تقدير تعلق به اموال ايشان</w:t>
      </w:r>
      <w:r>
        <w:rPr>
          <w:rFonts w:eastAsia="IRNazanin" w:cs="IRNazanin"/>
          <w:color w:val="111111"/>
          <w:sz w:val="28"/>
          <w:szCs w:val="28"/>
          <w:rtl w:val="true"/>
          <w:lang w:bidi="fa-IR"/>
        </w:rPr>
        <w:t>.</w:t>
      </w:r>
    </w:p>
    <w:p>
      <w:pPr>
        <w:pStyle w:val="Heading5"/>
        <w:numPr>
          <w:ilvl w:val="4"/>
          <w:numId w:val="1"/>
        </w:numPr>
        <w:rPr/>
      </w:pPr>
      <w:bookmarkStart w:id="2855" w:name="__RefHeading___Toc3599723_1067777946"/>
      <w:bookmarkStart w:id="2856" w:name="_Toc1182"/>
      <w:bookmarkEnd w:id="2855"/>
      <w:r>
        <w:rPr>
          <w:rtl w:val="true"/>
        </w:rPr>
        <w:t>ولايت هر كدام از اب و جدّ ابى در نصب قيّم با فقد ديگرى</w:t>
      </w:r>
      <w:bookmarkEnd w:id="2856"/>
    </w:p>
    <w:p>
      <w:pPr>
        <w:pStyle w:val="BookText"/>
        <w:rPr/>
      </w:pPr>
      <w:r>
        <w:rPr>
          <w:rFonts w:ascii="IRNazanin" w:hAnsi="IRNazanin" w:eastAsia="IRNazanin"/>
          <w:color w:val="111111"/>
          <w:sz w:val="28"/>
          <w:sz w:val="28"/>
          <w:szCs w:val="28"/>
          <w:rtl w:val="true"/>
          <w:lang w:bidi="fa-IR"/>
        </w:rPr>
        <w:t>اب و جدّ ابى، هر كدام از آنها با فقد ديگرى مى تواند قيم براى اطفال خودشان قرار بدهند، و غير آنها نمى تواند قيم قرار دهد؛ و مى تواند قيمومت را براى دو نفر قرار بدهد به نحو استقلال يا اجتماع؛ و مى تواند ناظر براى قيم قرار بدهد</w:t>
      </w:r>
      <w:r>
        <w:rPr>
          <w:rFonts w:eastAsia="IRNazanin" w:cs="IRNazanin"/>
          <w:color w:val="111111"/>
          <w:sz w:val="28"/>
          <w:szCs w:val="28"/>
          <w:rtl w:val="true"/>
          <w:lang w:bidi="fa-IR"/>
        </w:rPr>
        <w:t>.</w:t>
      </w:r>
    </w:p>
    <w:p>
      <w:pPr>
        <w:pStyle w:val="Heading5"/>
        <w:numPr>
          <w:ilvl w:val="4"/>
          <w:numId w:val="1"/>
        </w:numPr>
        <w:rPr/>
      </w:pPr>
      <w:bookmarkStart w:id="2857" w:name="__RefHeading___Toc3599725_1067777946"/>
      <w:bookmarkStart w:id="2858" w:name="_Toc1183"/>
      <w:bookmarkEnd w:id="2857"/>
      <w:r>
        <w:rPr>
          <w:rtl w:val="true"/>
        </w:rPr>
        <w:t>لزوم رعايت اعتدال در انفاق بر صغير توسط وصىّ‌</w:t>
      </w:r>
      <w:bookmarkEnd w:id="2858"/>
    </w:p>
    <w:p>
      <w:pPr>
        <w:pStyle w:val="BookText"/>
        <w:rPr/>
      </w:pPr>
      <w:r>
        <w:rPr>
          <w:rFonts w:ascii="IRNazanin" w:hAnsi="IRNazanin" w:eastAsia="IRNazanin"/>
          <w:color w:val="111111"/>
          <w:sz w:val="28"/>
          <w:sz w:val="28"/>
          <w:szCs w:val="28"/>
          <w:rtl w:val="true"/>
          <w:lang w:bidi="fa-IR"/>
        </w:rPr>
        <w:t>وصى در انفاق بر صغير از مال او، توسط بين اسراف و تقتير، و معتاد امثال او را رعايت مى نمايد؛ و در صورت اسراف، ضامن است در مطعومات و ملبوسات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بلوغ اگر انكار انفاق يا ادّعاى اسراف كرد، قول وصىْ مقدّم است، و هم چنين است اگر ادّعاى آنكه بيع مال او بدون حاجت و غبطه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ادّعاى عدم اداى مال او به او بعد از بلوغ، بر وصى اقامۀ بيّنه است</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3599727_1067777946"/>
      <w:bookmarkStart w:id="2860" w:name="_Toc1184"/>
      <w:bookmarkEnd w:id="2859"/>
      <w:r>
        <w:rPr>
          <w:rtl w:val="true"/>
        </w:rPr>
        <w:t>موارد جواز اخذ اجرت المثل عمل در اموال صغار</w:t>
      </w:r>
      <w:bookmarkEnd w:id="2860"/>
    </w:p>
    <w:p>
      <w:pPr>
        <w:pStyle w:val="BookText"/>
        <w:rPr/>
      </w:pPr>
      <w:r>
        <w:rPr>
          <w:rFonts w:ascii="IRNazanin" w:hAnsi="IRNazanin" w:eastAsia="IRNazanin"/>
          <w:color w:val="111111"/>
          <w:sz w:val="28"/>
          <w:sz w:val="28"/>
          <w:szCs w:val="28"/>
          <w:rtl w:val="true"/>
          <w:lang w:bidi="fa-IR"/>
        </w:rPr>
        <w:t>اظهر جواز اخذ وصى، اجرت المثل عمل را است در اموال صغار، به نحوى كه اگر به مباشرتِ غير انجام بشود، همان اجرت را مستحق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حاكم و امين او و عدول مؤمنين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متبرع به عمل نباشد يا آنكه مصلحت مال يتيم در غيرِ عملِ متبرع باشد، چه آنكه عمل بر ولىْ واجب باشد يا آنكه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 بواسطۀ قلّت يا به واسطۀ آنكه امانت دارىِ مثل درهم و دينار است كه غالباً اجرت ندارد، نمى تواند چيزى اخذ نمايد از مال يتيم؛ و هم چنين اگر خودش قصد تبرّع به عمل نمايد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اقتصار وصى بر اقل از كفايت در صورت فقر و حاجت، و اجرت المثل </w:t>
      </w:r>
      <w:bookmarkStart w:id="2861" w:name="pg10256_89808"/>
    </w:p>
    <w:p>
      <w:pPr>
        <w:pStyle w:val="BookText"/>
        <w:rPr/>
      </w:pPr>
      <w:bookmarkEnd w:id="2861"/>
      <w:r>
        <w:rPr>
          <w:rFonts w:ascii="IRNazanin" w:hAnsi="IRNazanin" w:eastAsia="IRNazanin"/>
          <w:color w:val="111111"/>
          <w:sz w:val="28"/>
          <w:sz w:val="28"/>
          <w:szCs w:val="28"/>
          <w:rtl w:val="true"/>
          <w:lang w:bidi="fa-IR"/>
        </w:rPr>
        <w:t>است؛ چنانچه اولىٰ تنزّه در صورت عدم حاجت است، خصوصاً اگر مال صغيرْ قليل باشد</w:t>
      </w:r>
      <w:r>
        <w:rPr>
          <w:rFonts w:eastAsia="IRNazanin" w:cs="IRNazanin"/>
          <w:color w:val="111111"/>
          <w:sz w:val="28"/>
          <w:szCs w:val="28"/>
          <w:rtl w:val="true"/>
          <w:lang w:bidi="fa-IR"/>
        </w:rPr>
        <w:t>.</w:t>
      </w:r>
    </w:p>
    <w:p>
      <w:pPr>
        <w:pStyle w:val="Heading5"/>
        <w:numPr>
          <w:ilvl w:val="4"/>
          <w:numId w:val="1"/>
        </w:numPr>
        <w:rPr/>
      </w:pPr>
      <w:bookmarkStart w:id="2862" w:name="__RefHeading___Toc3599729_1067777946"/>
      <w:bookmarkStart w:id="2863" w:name="_Toc1185"/>
      <w:bookmarkEnd w:id="2862"/>
      <w:r>
        <w:rPr>
          <w:rtl w:val="true"/>
        </w:rPr>
        <w:t>تعيين اجرت توسط موصى و ازيديّت از اجرت المثل</w:t>
      </w:r>
      <w:bookmarkEnd w:id="2863"/>
    </w:p>
    <w:p>
      <w:pPr>
        <w:pStyle w:val="BookText"/>
        <w:rPr/>
      </w:pPr>
      <w:r>
        <w:rPr>
          <w:rFonts w:ascii="IRNazanin" w:hAnsi="IRNazanin" w:eastAsia="IRNazanin"/>
          <w:color w:val="111111"/>
          <w:sz w:val="28"/>
          <w:sz w:val="28"/>
          <w:szCs w:val="28"/>
          <w:rtl w:val="true"/>
          <w:lang w:bidi="fa-IR"/>
        </w:rPr>
        <w:t>و اگر موصى تعيين اجرت كرد و معيَّنْ زايد بر اجرت المثل و ثلث اموال موصى بود، موقوف در زيادتى بر ثلث، بر اذن ورثه است، مگر با عدم زيادتى از اجرت المثل عملى كه واجب است لو لا الوصايه</w:t>
      </w:r>
      <w:r>
        <w:rPr>
          <w:rFonts w:eastAsia="IRNazanin" w:cs="IRNazanin"/>
          <w:color w:val="111111"/>
          <w:sz w:val="28"/>
          <w:szCs w:val="28"/>
          <w:rtl w:val="true"/>
          <w:lang w:bidi="fa-IR"/>
        </w:rPr>
        <w:t>.</w:t>
      </w:r>
    </w:p>
    <w:p>
      <w:pPr>
        <w:pStyle w:val="Heading5"/>
        <w:numPr>
          <w:ilvl w:val="4"/>
          <w:numId w:val="1"/>
        </w:numPr>
        <w:rPr/>
      </w:pPr>
      <w:bookmarkStart w:id="2864" w:name="__RefHeading___Toc3599731_1067777946"/>
      <w:bookmarkStart w:id="2865" w:name="_Toc1186"/>
      <w:bookmarkEnd w:id="2864"/>
      <w:r>
        <w:rPr>
          <w:rtl w:val="true"/>
        </w:rPr>
        <w:t>اجرت المثل در صرف ثلث</w:t>
      </w:r>
      <w:bookmarkEnd w:id="2865"/>
    </w:p>
    <w:p>
      <w:pPr>
        <w:pStyle w:val="BookText"/>
        <w:rPr/>
      </w:pPr>
      <w:r>
        <w:rPr>
          <w:rFonts w:ascii="IRNazanin" w:hAnsi="IRNazanin" w:eastAsia="IRNazanin"/>
          <w:color w:val="111111"/>
          <w:sz w:val="28"/>
          <w:sz w:val="28"/>
          <w:szCs w:val="28"/>
          <w:rtl w:val="true"/>
          <w:lang w:bidi="fa-IR"/>
        </w:rPr>
        <w:t>اما در وصيت به مالى براى شخصى يا جهتى، پس اگر تطبيق ثلث بر مصرف نكرده بلكه گفته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معيّن را، صرف در تعمير مسجد بنماييد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اجرت عمل را زايد بر آن مقدار از ثلث اخذ نمايد؛ و اگر از ثلث زايد بشود، از مصروف در تعمير كم نمايد، مگر با اجازۀ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تطبيق ثلث بر مصرف نمايد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ثلث مرا بين دو نفر بالسويه تقسيم نماييد بدون زيادتى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واضح باشد كه در قوۀ اشتراط عدم اجرت المثل عمل وصى است و مبنى بر اعتقاد اجازۀ ورثه در زايد بر ثلث از لوازم وصيت به ثلث نباشد، پس با قبول وصيت به نحو مذكور، نمى تواند اجرت المثل اخذ نمايد، مگر با اذن ورثه در زايد بر ثلث چنانچه مذكور شد</w:t>
      </w:r>
      <w:r>
        <w:rPr>
          <w:rFonts w:eastAsia="IRNazanin" w:cs="IRNazanin"/>
          <w:color w:val="111111"/>
          <w:sz w:val="28"/>
          <w:szCs w:val="28"/>
          <w:rtl w:val="true"/>
          <w:lang w:bidi="fa-IR"/>
        </w:rPr>
        <w:t>.</w:t>
      </w:r>
    </w:p>
    <w:p>
      <w:pPr>
        <w:pStyle w:val="Heading5"/>
        <w:numPr>
          <w:ilvl w:val="4"/>
          <w:numId w:val="1"/>
        </w:numPr>
        <w:rPr/>
      </w:pPr>
      <w:bookmarkStart w:id="2866" w:name="__RefHeading___Toc3599733_1067777946"/>
      <w:bookmarkStart w:id="2867" w:name="_Toc1187"/>
      <w:bookmarkEnd w:id="2866"/>
      <w:r>
        <w:rPr>
          <w:rtl w:val="true"/>
        </w:rPr>
        <w:t>ايصاى وصى به غير</w:t>
      </w:r>
      <w:bookmarkEnd w:id="286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موصى در وصيت خود، به شخصى اذن داد به ايصاى به غير، جايز است براى وصى ايصاى به همان امرى كه در آن وصى بوده است؛ پس با اذن موصى، مى تواند وصى، از خود، وصى را تعيين نمايد؛ پس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اوّل در حيات است، مى تواند رجوع نمايد؛ و با اذن مى تواند وصى از موصى قرار بدهد؛ پس وصىِ اوّل نمى تواند 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اوّل، فعليتِ وصايتِ دوّمى، منوط به موت وصى اوّل است</w:t>
      </w:r>
      <w:r>
        <w:rPr>
          <w:rFonts w:eastAsia="IRNazanin" w:cs="IRNazanin"/>
          <w:color w:val="111111"/>
          <w:sz w:val="28"/>
          <w:szCs w:val="28"/>
          <w:rtl w:val="true"/>
          <w:lang w:bidi="fa-IR"/>
        </w:rPr>
        <w:t xml:space="preserve">. </w:t>
      </w:r>
      <w:bookmarkStart w:id="2868" w:name="pg10256_89809"/>
    </w:p>
    <w:p>
      <w:pPr>
        <w:pStyle w:val="BookText"/>
        <w:rPr/>
      </w:pPr>
      <w:bookmarkEnd w:id="2868"/>
      <w:r>
        <w:rPr>
          <w:rFonts w:ascii="IRNazanin" w:hAnsi="IRNazanin" w:eastAsia="IRNazanin"/>
          <w:color w:val="111111"/>
          <w:sz w:val="28"/>
          <w:sz w:val="28"/>
          <w:szCs w:val="28"/>
          <w:rtl w:val="true"/>
          <w:lang w:bidi="fa-IR"/>
        </w:rPr>
        <w:t xml:space="preserve">و اگر اذن نداد، جايز و نافذ نيست ايصاى وصى اوّل به وصى دوّم، لكن احتياط غير متروك در موافقت وصى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وقوع ايصاء بدون اذن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احتياط، جارى است در صورت شك وصى دوّم در صحّت وصايت، با احتمال اختلاف در نظر بين دو وصى؛ و اما با عدم احتمال، پس وصايتْ محكوم به صحّت است</w:t>
      </w:r>
      <w:r>
        <w:rPr>
          <w:rFonts w:eastAsia="IRNazanin" w:cs="IRNazanin"/>
          <w:color w:val="111111"/>
          <w:sz w:val="28"/>
          <w:szCs w:val="28"/>
          <w:rtl w:val="true"/>
          <w:lang w:bidi="fa-IR"/>
        </w:rPr>
        <w:t>.</w:t>
      </w:r>
    </w:p>
    <w:p>
      <w:pPr>
        <w:pStyle w:val="Heading5"/>
        <w:numPr>
          <w:ilvl w:val="4"/>
          <w:numId w:val="1"/>
        </w:numPr>
        <w:rPr/>
      </w:pPr>
      <w:bookmarkStart w:id="2869" w:name="__RefHeading___Toc3599735_1067777946"/>
      <w:bookmarkStart w:id="2870" w:name="_Toc1188"/>
      <w:bookmarkEnd w:id="2869"/>
      <w:r>
        <w:rPr>
          <w:rtl w:val="true"/>
        </w:rPr>
        <w:t>اختيار حاكم و عدول مؤمنين در ميّت بدون وصى</w:t>
      </w:r>
      <w:bookmarkEnd w:id="2870"/>
    </w:p>
    <w:p>
      <w:pPr>
        <w:pStyle w:val="BookText"/>
        <w:rPr/>
      </w:pPr>
      <w:r>
        <w:rPr>
          <w:rFonts w:ascii="IRNazanin" w:hAnsi="IRNazanin" w:eastAsia="IRNazanin"/>
          <w:color w:val="111111"/>
          <w:sz w:val="28"/>
          <w:sz w:val="28"/>
          <w:szCs w:val="28"/>
          <w:rtl w:val="true"/>
          <w:lang w:bidi="fa-IR"/>
        </w:rPr>
        <w:t xml:space="preserve">كسى كه وصى ندارد، ولىّ تركۀ او، حاكم شرع است در آنچه محتاج به ولى است از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فقيه جامع شروط فتوىٰ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حاكم نبود، براى عدول مؤمنين ثابت است ولايتى كه براى حاكم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ضروريات از اطعام اطفال و دوابّ و تصرف در اموال مصروفه در آنها و حفظ مال مشرف بر تلف از آن، پس بر همه واجب است به نحو واجب كفايى، در صورتى كه بدانند مال صغيرى بدون ولى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حاكم بعيد باشد، تصرف مى كنند عدول مؤمنين اگر حاضر باشند يا ساير مؤمنين اگر حاضر نباشند، در آنچه قابل تأخير نيست؛ و صبر مى نمايند در آنچه قابل تأخير است از مصالح اموال صغار، تا وصول به حاكم شرع يا منصوب از جانب او يا قائم مقام او</w:t>
      </w:r>
      <w:r>
        <w:rPr>
          <w:rFonts w:eastAsia="IRNazanin" w:cs="IRNazanin"/>
          <w:color w:val="111111"/>
          <w:sz w:val="28"/>
          <w:szCs w:val="28"/>
          <w:rtl w:val="true"/>
          <w:lang w:bidi="fa-IR"/>
        </w:rPr>
        <w:t>.</w:t>
      </w:r>
    </w:p>
    <w:p>
      <w:pPr>
        <w:pStyle w:val="Heading5"/>
        <w:numPr>
          <w:ilvl w:val="4"/>
          <w:numId w:val="1"/>
        </w:numPr>
        <w:rPr/>
      </w:pPr>
      <w:bookmarkStart w:id="2871" w:name="__RefHeading___Toc3599737_1067777946"/>
      <w:bookmarkStart w:id="2872" w:name="_Toc1189"/>
      <w:bookmarkEnd w:id="2871"/>
      <w:r>
        <w:rPr>
          <w:rtl w:val="true"/>
        </w:rPr>
        <w:t>نفوذ وصايت پدر و جدّ پدرى</w:t>
      </w:r>
      <w:bookmarkEnd w:id="2872"/>
    </w:p>
    <w:p>
      <w:pPr>
        <w:pStyle w:val="BookText"/>
        <w:rPr/>
      </w:pPr>
      <w:r>
        <w:rPr>
          <w:rFonts w:ascii="IRNazanin" w:hAnsi="IRNazanin" w:eastAsia="IRNazanin"/>
          <w:color w:val="111111"/>
          <w:sz w:val="28"/>
          <w:sz w:val="28"/>
          <w:szCs w:val="28"/>
          <w:rtl w:val="true"/>
          <w:lang w:bidi="fa-IR"/>
        </w:rPr>
        <w:t>اگر يكى از پدر و جد پدرىِ طفل، زنده است، براى ديگرى تعيين وصى در اموال طفل نيست، و وصايت او نافذ است با وجود ولىِّ اجبارىِ شرعى، حتى اينكه اگر معلّق نمايد وصايت را به وفات ديگرى، صحيح نيست؛ بلى نسبت به اموال طفل كه موروث از موصى مى شود، مى تواند در مقدار ثلث آنها تعيين وصى نمايد در صورت اخراج ثلث از ملك طفل، يا آنكه وصيتى نمايد كه مستلزم اخراج ثلث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در تعيين ديون خودش از مال خود كه به وراثت به طفل مى رسيد، </w:t>
      </w:r>
      <w:bookmarkStart w:id="2873" w:name="pg10256_89810"/>
    </w:p>
    <w:p>
      <w:pPr>
        <w:pStyle w:val="BookText"/>
        <w:rPr/>
      </w:pPr>
      <w:bookmarkEnd w:id="2873"/>
      <w:r>
        <w:rPr>
          <w:rFonts w:ascii="IRNazanin" w:hAnsi="IRNazanin" w:eastAsia="IRNazanin"/>
          <w:color w:val="111111"/>
          <w:sz w:val="28"/>
          <w:sz w:val="28"/>
          <w:szCs w:val="28"/>
          <w:rtl w:val="true"/>
          <w:lang w:bidi="fa-IR"/>
        </w:rPr>
        <w:t xml:space="preserve">مى تواند تعيين وصى نمايد در صورت عدم ضرر 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تعيين كلى در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طفل، يا آنكه زايد ازيد از ثلث اموال موصى نباشد، وگرنه ولايت تعيين براى ولىّ اجبارى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اموال طفل از غير وراثت از موصى، پس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تصرفى كه از خود موصى در حيات او جايز نيست، وصايت او هم نافذ نيست</w:t>
      </w:r>
      <w:r>
        <w:rPr>
          <w:rFonts w:eastAsia="IRNazanin" w:cs="IRNazanin"/>
          <w:color w:val="111111"/>
          <w:sz w:val="28"/>
          <w:szCs w:val="28"/>
          <w:rtl w:val="true"/>
          <w:lang w:bidi="fa-IR"/>
        </w:rPr>
        <w:t>.</w:t>
      </w:r>
    </w:p>
    <w:p>
      <w:pPr>
        <w:pStyle w:val="Heading4"/>
        <w:numPr>
          <w:ilvl w:val="3"/>
          <w:numId w:val="1"/>
        </w:numPr>
        <w:rPr/>
      </w:pPr>
      <w:bookmarkStart w:id="2874" w:name="__RefHeading___Toc3599739_1067777946"/>
      <w:bookmarkStart w:id="2875" w:name="_Toc1190"/>
      <w:bookmarkEnd w:id="2874"/>
      <w:r>
        <w:rPr>
          <w:rtl w:val="true"/>
        </w:rPr>
        <w:t>چند فرع</w:t>
      </w:r>
      <w:bookmarkEnd w:id="2875"/>
    </w:p>
    <w:p>
      <w:pPr>
        <w:pStyle w:val="Heading5"/>
        <w:numPr>
          <w:ilvl w:val="4"/>
          <w:numId w:val="1"/>
        </w:numPr>
        <w:rPr/>
      </w:pPr>
      <w:bookmarkStart w:id="2876" w:name="__RefHeading___Toc3599741_1067777946"/>
      <w:bookmarkStart w:id="2877" w:name="_Toc1191"/>
      <w:bookmarkEnd w:id="2876"/>
      <w:r>
        <w:rPr>
          <w:rtl w:val="true"/>
        </w:rPr>
        <w:t>كفايت تحقق شروط وصى در حال موت</w:t>
      </w:r>
      <w:bookmarkEnd w:id="2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موصىٰ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تكليف و حريت و اسلام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با عقلايى بودن ايصاء در حال حدوث انشا، تحقق آنها در حال وفات، پس ضرر ندارد انتفاى آنها در حال انشاى وصايت؛ و با تحقق در حال وفات، ولايت وصى محقّق مى شود</w:t>
      </w:r>
      <w:r>
        <w:rPr>
          <w:rFonts w:eastAsia="IRNazanin" w:cs="IRNazanin"/>
          <w:color w:val="111111"/>
          <w:sz w:val="28"/>
          <w:szCs w:val="28"/>
          <w:rtl w:val="true"/>
          <w:lang w:bidi="fa-IR"/>
        </w:rPr>
        <w:t>.</w:t>
      </w:r>
    </w:p>
    <w:p>
      <w:pPr>
        <w:pStyle w:val="Heading5"/>
        <w:numPr>
          <w:ilvl w:val="4"/>
          <w:numId w:val="1"/>
        </w:numPr>
        <w:rPr/>
      </w:pPr>
      <w:bookmarkStart w:id="2878" w:name="__RefHeading___Toc3599743_1067777946"/>
      <w:bookmarkStart w:id="2879" w:name="_Toc1192"/>
      <w:bookmarkEnd w:id="2878"/>
      <w:r>
        <w:rPr>
          <w:rtl w:val="true"/>
        </w:rPr>
        <w:t>فقدان بعض شروط وصى بعد از فوت موصى</w:t>
      </w:r>
      <w:bookmarkEnd w:id="2879"/>
    </w:p>
    <w:p>
      <w:pPr>
        <w:pStyle w:val="BookText"/>
        <w:rPr/>
      </w:pPr>
      <w:r>
        <w:rPr>
          <w:rFonts w:ascii="IRNazanin" w:hAnsi="IRNazanin" w:eastAsia="IRNazanin"/>
          <w:color w:val="111111"/>
          <w:sz w:val="28"/>
          <w:sz w:val="28"/>
          <w:szCs w:val="28"/>
          <w:rtl w:val="true"/>
          <w:lang w:bidi="fa-IR"/>
        </w:rPr>
        <w:t>و اگر بعد از آن عارض شد فقدان يكى از آن شروط، ولايت استمرار نمى نمايد؛ بلكه در زمان فقدان، ولايت با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بعد از عود صفات در وصى، وصايت او عود مى نمايد يا نه‌؟ خلاف است، و عود خالى از وجه نيست، لكن خالى از مناقشه نيست، و منشأ آن، دخالت قصد موصى و ضعف اطلاق احوالىِ كاشف از قصد موصى در مثل جنون ادوارى طارى بعد از تحقق ولايت بعد از وفات است؛ پس احتياط در توافق با نظر حاكم، ترك نشود</w:t>
      </w:r>
      <w:r>
        <w:rPr>
          <w:rFonts w:eastAsia="IRNazanin" w:cs="IRNazanin"/>
          <w:color w:val="111111"/>
          <w:sz w:val="28"/>
          <w:szCs w:val="28"/>
          <w:rtl w:val="true"/>
          <w:lang w:bidi="fa-IR"/>
        </w:rPr>
        <w:t>.</w:t>
      </w:r>
    </w:p>
    <w:p>
      <w:pPr>
        <w:pStyle w:val="Heading5"/>
        <w:numPr>
          <w:ilvl w:val="4"/>
          <w:numId w:val="1"/>
        </w:numPr>
        <w:rPr/>
      </w:pPr>
      <w:bookmarkStart w:id="2880" w:name="__RefHeading___Toc3599745_1067777946"/>
      <w:bookmarkStart w:id="2881" w:name="_Toc1193"/>
      <w:bookmarkEnd w:id="2880"/>
      <w:r>
        <w:rPr>
          <w:rtl w:val="true"/>
        </w:rPr>
        <w:t>وصايت به ولايت</w:t>
      </w:r>
      <w:bookmarkEnd w:id="28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مى تواند وصايت به ولايت نمايد در صورت تحقق ولايت او، مثل ولايتش بر اولاد صغار يا بالغين با عدم كمال، در صورت صحّت ايصاى او به ولايت، به خلاف مثل حاكم و وصى غير مأذون در ايصاء يا ممنوع از آن به نحو متقدّم</w:t>
      </w:r>
      <w:r>
        <w:rPr>
          <w:rFonts w:eastAsia="Amiri" w:cs="Amiri" w:ascii="Amiri" w:hAnsi="Amiri"/>
          <w:color w:val="111111"/>
          <w:sz w:val="28"/>
          <w:szCs w:val="28"/>
          <w:rtl w:val="true"/>
          <w:lang w:bidi="ar-SA"/>
        </w:rPr>
        <w:t>.</w:t>
      </w:r>
      <w:bookmarkStart w:id="2882" w:name="pg10256_89811"/>
    </w:p>
    <w:p>
      <w:pPr>
        <w:pStyle w:val="BookText"/>
        <w:rPr/>
      </w:pPr>
      <w:bookmarkEnd w:id="2882"/>
      <w:r>
        <w:rPr>
          <w:rFonts w:ascii="IRNazanin" w:hAnsi="IRNazanin" w:eastAsia="IRNazanin"/>
          <w:color w:val="111111"/>
          <w:sz w:val="28"/>
          <w:sz w:val="28"/>
          <w:szCs w:val="28"/>
          <w:rtl w:val="true"/>
          <w:lang w:bidi="fa-IR"/>
        </w:rPr>
        <w:t xml:space="preserve">و وصايت بر كبار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وراث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به واسطۀ عدم ثبوت ولايت بر آنها، و ترتيب اثر بر آن وصايت داده نمى شود حتى در ثلث مال متروك براى وراث، مگر آنكه ثلث را اخراج از ملك ايشان نمايد و به آن وصيت نمايد و بر آن ثلث، وصى قرار بدهد كه ولايت بر آن ثلث داده و ولايت بر تمييز ثلث از ساير تركه در صورت اطلاق ولايت مستفادۀ از وصايت</w:t>
      </w:r>
      <w:r>
        <w:rPr>
          <w:rFonts w:eastAsia="IRNazanin" w:cs="IRNazanin"/>
          <w:color w:val="111111"/>
          <w:sz w:val="28"/>
          <w:szCs w:val="28"/>
          <w:rtl w:val="true"/>
          <w:lang w:bidi="fa-IR"/>
        </w:rPr>
        <w:t>.</w:t>
      </w:r>
    </w:p>
    <w:p>
      <w:pPr>
        <w:pStyle w:val="Heading5"/>
        <w:numPr>
          <w:ilvl w:val="4"/>
          <w:numId w:val="1"/>
        </w:numPr>
        <w:rPr/>
      </w:pPr>
      <w:bookmarkStart w:id="2883" w:name="__RefHeading___Toc3599747_1067777946"/>
      <w:bookmarkStart w:id="2884" w:name="_Toc1194"/>
      <w:bookmarkEnd w:id="2883"/>
      <w:r>
        <w:rPr>
          <w:rtl w:val="true"/>
        </w:rPr>
        <w:t>وصايت به اخراج ديون و حقوق و</w:t>
      </w:r>
      <w:r>
        <w:rPr>
          <w:rtl w:val="true"/>
        </w:rPr>
        <w:t>...</w:t>
      </w:r>
      <w:bookmarkEnd w:id="28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صحيح است وصايت به اخراج ديون و حقوق و صدقات لازمه از مال موصى؛ و ولايت در آنها با خصوص وصى مى شود در صورت استفادۀ اين اختيار از عبارت موصى؛ و وارث معارضه نمى تواند بنمايد و لكن مى تواند بذل مقدار دين را مثلاً نمايد و اعيان متروكه را اخذ نمايد با رضايت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وصايت به وفاى دين از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مطلقا در صورت وصايت به وفاى دين بدون تخصيص به خصوص اعيان متروكه، كه در اين صورت براى وارث است اخذ اعيان متروكات و بذل ماليّت آنها از مال خودش براى وفاى دين مثلاً؛ و اگر وارث از اداى دين مثلاً امتناع نمايد، حاكم او را اجبار مى نمايد بر وفا، با ثابت بودن حق مقدم بر ارث؛ و اگر وفا نكرد، اذن مى دهد به وصى در بيع متروكات براى وفا يا اداى اعيان آنها در وفاى دين</w:t>
      </w:r>
      <w:r>
        <w:rPr>
          <w:rFonts w:eastAsia="IRNazanin" w:cs="IRNazanin"/>
          <w:color w:val="111111"/>
          <w:sz w:val="28"/>
          <w:szCs w:val="28"/>
          <w:rtl w:val="true"/>
          <w:lang w:bidi="fa-IR"/>
        </w:rPr>
        <w:t>.</w:t>
      </w:r>
    </w:p>
    <w:p>
      <w:pPr>
        <w:pStyle w:val="Heading5"/>
        <w:numPr>
          <w:ilvl w:val="4"/>
          <w:numId w:val="1"/>
        </w:numPr>
        <w:rPr/>
      </w:pPr>
      <w:bookmarkStart w:id="2885" w:name="__RefHeading___Toc3599749_1067777946"/>
      <w:bookmarkStart w:id="2886" w:name="_Toc1195"/>
      <w:bookmarkEnd w:id="2885"/>
      <w:r>
        <w:rPr>
          <w:rtl w:val="true"/>
        </w:rPr>
        <w:t>وصيّت براى اجنبى به مثل نصيب وارث</w:t>
      </w:r>
      <w:bookmarkEnd w:id="28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كرد براى اجنبى به مثل نصيب وارث، او شريكِ وارث مى شود، چه يكى باشد يا دو نفر يا سه نفر؛ پس با اين تشريك اگر نصيب اجنبى از ثلث متروكات، زايد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صورتى كه وارث يكى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در زايد بر ثلث، بر اجازۀ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بقيۀ صور كه ثلث يا كمتر از آن مى شود، احتياجى به اجازۀ ورّاث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ورثه مختلف باشد سهام آنها، موصىٰ له براى او مثل نصيب اقل آنها است از ارث، مگر با تصريح يا افادۀ به قرينه بر ارادۀ مثل اكثر آنها در نصيب</w:t>
      </w:r>
      <w:r>
        <w:rPr>
          <w:rFonts w:eastAsia="IRNazanin" w:cs="IRNazanin"/>
          <w:color w:val="111111"/>
          <w:sz w:val="28"/>
          <w:szCs w:val="28"/>
          <w:rtl w:val="true"/>
          <w:lang w:bidi="fa-IR"/>
        </w:rPr>
        <w:t>.</w:t>
      </w:r>
      <w:bookmarkStart w:id="2887" w:name="pg10256_89812"/>
    </w:p>
    <w:p>
      <w:pPr>
        <w:pStyle w:val="Heading3"/>
        <w:numPr>
          <w:ilvl w:val="2"/>
          <w:numId w:val="1"/>
        </w:numPr>
        <w:rPr/>
      </w:pPr>
      <w:bookmarkStart w:id="2888" w:name="__RefHeading___Toc3599751_1067777946"/>
      <w:bookmarkStart w:id="2889" w:name="_Toc1196"/>
      <w:bookmarkEnd w:id="2887"/>
      <w:bookmarkEnd w:id="2888"/>
      <w:r>
        <w:rPr>
          <w:rtl w:val="true"/>
        </w:rPr>
        <w:t>فصل ششم منجّزات مريض</w:t>
      </w:r>
      <w:bookmarkEnd w:id="2889"/>
    </w:p>
    <w:p>
      <w:pPr>
        <w:pStyle w:val="Heading4"/>
        <w:numPr>
          <w:ilvl w:val="3"/>
          <w:numId w:val="1"/>
        </w:numPr>
        <w:rPr/>
      </w:pPr>
      <w:bookmarkStart w:id="2890" w:name="__RefHeading___Toc3599753_1067777946"/>
      <w:bookmarkStart w:id="2891" w:name="_Toc1197"/>
      <w:bookmarkEnd w:id="2890"/>
      <w:r>
        <w:rPr>
          <w:rtl w:val="true"/>
        </w:rPr>
        <w:t>خروج منجّزات از اصل تركه</w:t>
      </w:r>
      <w:bookmarkEnd w:id="2891"/>
    </w:p>
    <w:p>
      <w:pPr>
        <w:pStyle w:val="BookText"/>
        <w:rPr/>
      </w:pPr>
      <w:r>
        <w:rPr>
          <w:rFonts w:ascii="IRNazanin" w:hAnsi="IRNazanin" w:eastAsia="IRNazanin"/>
          <w:color w:val="111111"/>
          <w:sz w:val="28"/>
          <w:sz w:val="28"/>
          <w:szCs w:val="28"/>
          <w:rtl w:val="true"/>
          <w:lang w:bidi="fa-IR"/>
        </w:rPr>
        <w:t>اظهر در منجّزات مريض در مرض موت، خروج آنها از اصل است اگر چه متصل به موت واقع به سبب آن مرض باشد و مخوف باشد نه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تصرف غير مقابل به عوضِ مماثل مُعَوَّض و موجب تضرّر ورثه است، مثل هبه و عتق و صدقه و اِبراء و صلح بدون عوض و بيع به اقل از ثمن المثل و اجاره به اقل از اجرت المثل به خلاف انفاقات ماليۀ عاديه بر نفس و عيال و اضياف به نحو مناسب شأن، و تصدّقات استشفاييّه، و هم چنين واجبات ماليّه كه در مرض موت ادا نمايد، كه همۀ اينها نافذ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آنچه در حال مرض واقع شد لكن برء حاصل شد و مرض متصل به موت نبود، كه خارج از اصل و از محل خلاف است</w:t>
      </w:r>
      <w:r>
        <w:rPr>
          <w:rFonts w:eastAsia="IRNazanin" w:cs="IRNazanin"/>
          <w:color w:val="111111"/>
          <w:sz w:val="28"/>
          <w:szCs w:val="28"/>
          <w:rtl w:val="true"/>
          <w:lang w:bidi="fa-IR"/>
        </w:rPr>
        <w:t>.</w:t>
      </w:r>
    </w:p>
    <w:p>
      <w:pPr>
        <w:pStyle w:val="Heading4"/>
        <w:numPr>
          <w:ilvl w:val="3"/>
          <w:numId w:val="1"/>
        </w:numPr>
        <w:rPr/>
      </w:pPr>
      <w:bookmarkStart w:id="2892" w:name="__RefHeading___Toc3599755_1067777946"/>
      <w:bookmarkStart w:id="2893" w:name="_Toc1198"/>
      <w:bookmarkEnd w:id="2892"/>
      <w:r>
        <w:rPr>
          <w:rtl w:val="true"/>
        </w:rPr>
        <w:t>اقرار مريض غير متهم و متهم</w:t>
      </w:r>
      <w:bookmarkEnd w:id="289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اقرار مريض غير متّهَم، مثل صحيح، از اصل است، چه براى وارث باشد يا اجنبى، به دين باشد يا به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متّهَم، پس احوط مصالحۀ مُقَرّ له و ورثه است در زايد بر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خصوصيات مرض موت كه مذكور شد در ساير منجزات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آنكه بيّنه اقامه نمايد بر ثبوت مقرٌّ به براى مقرٌّ له در ذمّه يا در نزد مقِر در حين اقرار، يا آنكه بُرء از مرض حاصل شود، يا آنكه تصديق نمايند ورثه مُقَرّ له را</w:t>
      </w:r>
      <w:r>
        <w:rPr>
          <w:rFonts w:eastAsia="IRNazanin" w:cs="IRNazanin"/>
          <w:color w:val="111111"/>
          <w:sz w:val="28"/>
          <w:szCs w:val="28"/>
          <w:rtl w:val="true"/>
          <w:lang w:bidi="fa-IR"/>
        </w:rPr>
        <w:t xml:space="preserve">. </w:t>
      </w:r>
      <w:bookmarkStart w:id="2894" w:name="pg10256_89813"/>
    </w:p>
    <w:p>
      <w:pPr>
        <w:pStyle w:val="BookText"/>
        <w:rPr/>
      </w:pPr>
      <w:bookmarkEnd w:id="2894"/>
      <w:r>
        <w:rPr>
          <w:rFonts w:ascii="Amiri" w:hAnsi="Amiri" w:eastAsia="Amiri" w:cs="Amiri"/>
          <w:color w:val="111111"/>
          <w:sz w:val="28"/>
          <w:sz w:val="28"/>
          <w:szCs w:val="28"/>
          <w:rtl w:val="true"/>
          <w:lang w:bidi="ar-SA"/>
        </w:rPr>
        <w:t>و مراد از متّهَم، قاصد اضرار به ورثه است به سبب اقرار و لوازم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اضرار، به اماريت عداوت با ورثه و شدت محبت با مُقَرّ له مكشوف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 عدم بيّنه براى مُقَرّ له بر دَين او و عدم اثبات ورثه تهمت را و وصول نوبت به حلف، مُقَرّ له حلف را ايقاع مى نمايد بر نفى علم به تهمت</w:t>
      </w:r>
      <w:r>
        <w:rPr>
          <w:rFonts w:eastAsia="Amiri" w:cs="Amiri" w:ascii="Amiri" w:hAnsi="Amiri"/>
          <w:color w:val="111111"/>
          <w:sz w:val="28"/>
          <w:szCs w:val="28"/>
          <w:rtl w:val="true"/>
          <w:lang w:bidi="ar-SA"/>
        </w:rPr>
        <w:t>.</w:t>
      </w:r>
    </w:p>
    <w:p>
      <w:pPr>
        <w:pStyle w:val="Heading4"/>
        <w:numPr>
          <w:ilvl w:val="3"/>
          <w:numId w:val="1"/>
        </w:numPr>
        <w:rPr/>
      </w:pPr>
      <w:bookmarkStart w:id="2895" w:name="__RefHeading___Toc3599757_1067777946"/>
      <w:bookmarkStart w:id="2896" w:name="_Toc1199"/>
      <w:bookmarkEnd w:id="2895"/>
      <w:r>
        <w:rPr>
          <w:rtl w:val="true"/>
        </w:rPr>
        <w:t>چند مسأله</w:t>
      </w:r>
      <w:bookmarkEnd w:id="2896"/>
    </w:p>
    <w:p>
      <w:pPr>
        <w:pStyle w:val="Heading5"/>
        <w:numPr>
          <w:ilvl w:val="4"/>
          <w:numId w:val="1"/>
        </w:numPr>
        <w:rPr/>
      </w:pPr>
      <w:bookmarkStart w:id="2897" w:name="__RefHeading___Toc3599759_1067777946"/>
      <w:bookmarkStart w:id="2898" w:name="_Toc1200"/>
      <w:bookmarkEnd w:id="2897"/>
      <w:r>
        <w:rPr>
          <w:rtl w:val="true"/>
        </w:rPr>
        <w:t>تعدّد وصايا و منجّزات و عدم كفايت ثلث به آن</w:t>
      </w:r>
      <w:bookmarkEnd w:id="2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متعدد بود وصايا كه از ثلث خارج مى شوند و ثلث كافى نبود به همۀ آنها، ابتدا مى شود به آنچه اوّل ذكر شده و قرينه بر عدول نبوده و قرينه اى بر عكس ترتيب نبوده، و نقص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بعد از 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متعدد بود منجزات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خروج آنها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ترتيبِ در تحقق، مؤثر است در تقديم اخراج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جمع كرد بين منجز و معلّق به موت، و ثلث وافى به مجموع آنها نبود، منجز اخراج مى شود اوّل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ذكرْ مقدم بر وصيت باشد يا 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مؤجَّل از باقيماندۀ ثلث، و نقص بر مؤجل واقع مى شود، چنانچه در ابتداءِ در ذكر،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تنجّز نسبت به وصيت، به منزلۀ ابتداى در ذكر و اقوى است، كه مقتضاى آن تمليك فعلى است؛ و مقتضاى معلّق، تمليك بعد از موت است، اگر چه هر دو از ثلث اخراج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خروج منجّز از اصل، حكمْ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منجز مطلقاً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معطىٖ و معطىٰ‌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لازم؛ و مؤجل، در آن حق رجوع موصى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شروط معامله در حين انشاى منجّزْ معتبر است، مثل تنجيز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فورى است در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مؤجّل، نسبت به قبول ذكر شد در محل آن، و نسبت به ساير </w:t>
      </w:r>
      <w:bookmarkStart w:id="2899" w:name="pg10256_89814"/>
    </w:p>
    <w:p>
      <w:pPr>
        <w:pStyle w:val="BookText"/>
        <w:rPr/>
      </w:pPr>
      <w:bookmarkEnd w:id="2899"/>
      <w:r>
        <w:rPr>
          <w:rFonts w:ascii="IRNazanin" w:hAnsi="IRNazanin" w:eastAsia="IRNazanin"/>
          <w:color w:val="111111"/>
          <w:sz w:val="28"/>
          <w:sz w:val="28"/>
          <w:szCs w:val="28"/>
          <w:rtl w:val="true"/>
          <w:lang w:bidi="fa-IR"/>
        </w:rPr>
        <w:t>شروط در حين موت كه وقت فعليّت ملكيت است، معتبر است شروط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اجازۀ وارث در منجز بنابر خروج از ثلث و در مؤجل، در حكم عدم زيادتى از ثلث است، و هيچ كدام اختصاص به وارث يا غير وارث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اعتبار در منجّز و معلّق به موت، به ثلث در حال موت و عدم زيادتى از آن است، نه در حال انشاى منجّز يا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عدم فرق بين عتق و ساير منجزات است در آنچه ذكر شد بنابر خروج منجز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برء از مرض حاصل بشود، منجزْ لازم و خارج از اصل است، و وصيت خارج از ثلث است و لازم نيست مطلقاً</w:t>
      </w:r>
      <w:r>
        <w:rPr>
          <w:rFonts w:eastAsia="IRNazanin" w:cs="IRNazanin"/>
          <w:color w:val="111111"/>
          <w:sz w:val="28"/>
          <w:szCs w:val="28"/>
          <w:rtl w:val="true"/>
          <w:lang w:bidi="fa-IR"/>
        </w:rPr>
        <w:t>.</w:t>
      </w:r>
    </w:p>
    <w:p>
      <w:pPr>
        <w:pStyle w:val="Heading5"/>
        <w:numPr>
          <w:ilvl w:val="4"/>
          <w:numId w:val="1"/>
        </w:numPr>
        <w:rPr/>
      </w:pPr>
      <w:bookmarkStart w:id="2900" w:name="__RefHeading___Toc3599761_1067777946"/>
      <w:bookmarkStart w:id="2901" w:name="_Toc1201"/>
      <w:bookmarkEnd w:id="2900"/>
      <w:r>
        <w:rPr>
          <w:rtl w:val="true"/>
        </w:rPr>
        <w:t>بيع مريض و عدم اجازۀ محابات ازيد از ثلث بنابر خروج منجّز از ثلث</w:t>
      </w:r>
      <w:bookmarkEnd w:id="29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مريض بيع نمود كُرّى از طعام جيّد را كه قيمت آن شش دينار است، به كرّى از طعام ردىء كه قيمت آن سه دينار است، و ورثه اجازه نكردند محابات ازيد از ثلث را، و غير آن طعام را نداشت، و قايل بخروج منجز از ثلث بشويم، پس محابات در مثال، در نصف تركه است؛ پس اگر سدس تركه را كه زيادتى بر ثلث است رد به ورثه بنماييم، ربا لازم مى آيد و مغايرت با معاملۀ مقصودۀ طرفين لازم مى آيد؛ بلكه تصحيح معامله بدون مغايرت و بدون لزوم ربا، به اين مى شود كه ثلث كُرّ ورثه به ايشان رد شود و ثلث كُرّ مشترى به او رد شود و معامله در دو ثلث عوضين، ابقا شود؛ پس مجتمع مى شود نزد ورثه، ثلث طعام از مشترى كه قيمت آن دو دينار، و دو ثلث طعام خودش كه قيمت آنها دو دينار است، و مجتمع مى شود نزد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طعام از ورثه كه قيمت آن يك دينار است و دو ثلث طعام خودشان كه قيمت آن چهار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دينار كه مجتمع نزد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دينار آن كه ثلث تركه است به محابات در اين معاوضه به او مى رسد و دو دينار به اصل معاوضه و يك دينار قيمت يك ثلث كُرّ سابق خود او است، و چهار دينار ورثه دو دينار آن قيمت يك ثلث كُرّ مردود به ايشان است و دو دينار قيمت دو طعام ردىء ايشان؛ پس معاملۀ اصليه در دو</w:t>
      </w:r>
      <w:bookmarkStart w:id="2902" w:name="pg10256_89815"/>
    </w:p>
    <w:p>
      <w:pPr>
        <w:pStyle w:val="BookText"/>
        <w:rPr/>
      </w:pPr>
      <w:bookmarkEnd w:id="2902"/>
      <w:r>
        <w:rPr>
          <w:rFonts w:ascii="Amiri" w:hAnsi="Amiri" w:eastAsia="Amiri" w:cs="Amiri"/>
          <w:color w:val="111111"/>
          <w:sz w:val="28"/>
          <w:sz w:val="28"/>
          <w:szCs w:val="28"/>
          <w:rtl w:val="true"/>
          <w:lang w:bidi="ar-SA"/>
        </w:rPr>
        <w:t>ثلث ابقا مى شود بدون مغايرت و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در مثال فرض شود كه قيمت كُرّ مريض، نُه دينار است، محابات در دو ثلث تركه است، ترادّ در نصف مى شود و معامله در نصف ابقا مى شود؛ پس جمع مى شود نزد ورثه، نصف طعام جيّد كه قيمت آن چهار دينار و نصف است، و نصف طعام ردىء كه قيمت آن يك دينار و نصف است، و مجموع شش دينار مى شود، و نزد مشترى باقى مى ماند نصف طعام جيّد كه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دينار و نصف است و نصف ردى كه قيمت يك دينار و نصف است؛ پس يك دينار و نصف نزد مشترى به اصل مقابله با طعام او است، و سه دينار به محابات در اين معامله است كه ثلث اصل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ساير امثله در تصحيح معامله در مقدارى از معاملۀ اصليه به نحوى كه ربا لازم نيايد و محابات در زايد بر ثلث نافذ نباشد</w:t>
      </w:r>
      <w:r>
        <w:rPr>
          <w:rFonts w:eastAsia="IRNazanin" w:cs="IRNazanin"/>
          <w:color w:val="111111"/>
          <w:sz w:val="28"/>
          <w:szCs w:val="28"/>
          <w:rtl w:val="true"/>
          <w:lang w:bidi="fa-IR"/>
        </w:rPr>
        <w:t>.</w:t>
      </w:r>
    </w:p>
    <w:p>
      <w:pPr>
        <w:pStyle w:val="Heading5"/>
        <w:numPr>
          <w:ilvl w:val="4"/>
          <w:numId w:val="1"/>
        </w:numPr>
        <w:rPr/>
      </w:pPr>
      <w:bookmarkStart w:id="2903" w:name="__RefHeading___Toc3599763_1067777946"/>
      <w:bookmarkStart w:id="2904" w:name="_Toc1202"/>
      <w:bookmarkEnd w:id="2903"/>
      <w:r>
        <w:rPr>
          <w:rtl w:val="true"/>
        </w:rPr>
        <w:t>بيع عبد به اقل قيمت و عدم اجازۀ محابات ازيد از ثلث بنابر خروج منجّز از ثلث</w:t>
      </w:r>
      <w:bookmarkEnd w:id="29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عبدى را كه قيمت آن سى تومان است فروخت در مرض موت به ده تومان، و غير آن را مالك نبود، و ورثه اجازه نكردند محاباتِ ازيد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دو ثلث عبد را به تمام ثمن به مشترى بدهند يك ثلث را به اصل معاوضه و يك ثلث را به سبب محابات در آن كه محابات در دو ثلث بوده است، از محذور ربا خارج است، چون ربويّين نيستند، لكن از محذور مغايرت، خارج نيست؛ بلكه بايد باقى با حادثْ متحد باشد اگر چه در بعضى با قسط آن از ثمن باشد، بلكه بايد تصحيح شود معامله در نصف عبد با نصف ثمن، يعنى معادل پانزده تومان كه قيمت نصف عبد است با پنج تومان كه نصف ثمن است، ابقا شود در پنج تومان به اصل معاوضه و در ده تومان به محابات در آن، و منفسِخ مى شود در نصف عوضين، چنانچه منسوب به اختيار فاضل است و موافقت كرده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متقدّم اگر عبد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بفروشد، محابات در نصف تركه است و در دو ثلث عبد با دو ثلث ثمن، تصحيح مى شود يك ثلث عبد به اصل معاوضه و ثلث </w:t>
      </w:r>
      <w:bookmarkStart w:id="2905" w:name="pg10256_89816"/>
    </w:p>
    <w:p>
      <w:pPr>
        <w:pStyle w:val="BookText"/>
        <w:rPr/>
      </w:pPr>
      <w:bookmarkEnd w:id="2905"/>
      <w:r>
        <w:rPr>
          <w:rFonts w:ascii="IRNazanin" w:hAnsi="IRNazanin" w:eastAsia="IRNazanin"/>
          <w:color w:val="111111"/>
          <w:sz w:val="28"/>
          <w:sz w:val="28"/>
          <w:szCs w:val="28"/>
          <w:rtl w:val="true"/>
          <w:lang w:bidi="fa-IR"/>
        </w:rPr>
        <w:t>ديگر به سبب محابات در آن، و يك ثلث به ورثه برمى گردد، مثل آنكه يك ثلث از ثمن به مشترى ارجاع مى شود، پس حكم در ربويَّين و غير آن متحد است</w:t>
      </w:r>
      <w:r>
        <w:rPr>
          <w:rFonts w:eastAsia="IRNazanin" w:cs="IRNazanin"/>
          <w:color w:val="111111"/>
          <w:sz w:val="28"/>
          <w:szCs w:val="28"/>
          <w:rtl w:val="true"/>
          <w:lang w:bidi="fa-IR"/>
        </w:rPr>
        <w:t>.</w:t>
      </w:r>
    </w:p>
    <w:p>
      <w:pPr>
        <w:pStyle w:val="Heading5"/>
        <w:numPr>
          <w:ilvl w:val="4"/>
          <w:numId w:val="1"/>
        </w:numPr>
        <w:rPr/>
      </w:pPr>
      <w:bookmarkStart w:id="2906" w:name="__RefHeading___Toc3599765_1067777946"/>
      <w:bookmarkStart w:id="2907" w:name="_Toc1203"/>
      <w:bookmarkEnd w:id="2906"/>
      <w:r>
        <w:rPr>
          <w:rtl w:val="true"/>
        </w:rPr>
        <w:t>بيع چيزى با چيز نصف قيمت آن</w:t>
      </w:r>
      <w:bookmarkEnd w:id="2907"/>
    </w:p>
    <w:p>
      <w:pPr>
        <w:pStyle w:val="BookText"/>
        <w:rPr/>
      </w:pPr>
      <w:r>
        <w:rPr>
          <w:rFonts w:ascii="IRNazanin" w:hAnsi="IRNazanin" w:eastAsia="IRNazanin"/>
          <w:color w:val="111111"/>
          <w:sz w:val="28"/>
          <w:sz w:val="28"/>
          <w:szCs w:val="28"/>
          <w:rtl w:val="true"/>
          <w:lang w:bidi="fa-IR"/>
        </w:rPr>
        <w:t>و هم چنين اگر بيع نمايد چيزى را كه مساوى با شش تومان است با چيزى كه مساوى با سه تومان است، كه محابات در نصف است، و تصحيح در دو ثلث مى شود، و مشترى مستحق قيمت يك ثلث كه دو است به معاوضه و قيمت يك ثلث به محابات مى شود، و برمى گردد به ورثه يك ثلث و به مشترى ثلث ثمن</w:t>
      </w:r>
      <w:r>
        <w:rPr>
          <w:rFonts w:eastAsia="IRNazanin" w:cs="IRNazanin"/>
          <w:color w:val="111111"/>
          <w:sz w:val="28"/>
          <w:szCs w:val="28"/>
          <w:rtl w:val="true"/>
          <w:lang w:bidi="fa-IR"/>
        </w:rPr>
        <w:t>.</w:t>
      </w:r>
    </w:p>
    <w:p>
      <w:pPr>
        <w:pStyle w:val="Heading5"/>
        <w:numPr>
          <w:ilvl w:val="4"/>
          <w:numId w:val="1"/>
        </w:numPr>
        <w:rPr/>
      </w:pPr>
      <w:bookmarkStart w:id="2908" w:name="__RefHeading___Toc3599767_1067777946"/>
      <w:bookmarkStart w:id="2909" w:name="_Toc1204"/>
      <w:bookmarkEnd w:id="2908"/>
      <w:r>
        <w:rPr>
          <w:rtl w:val="true"/>
        </w:rPr>
        <w:t>معاملۀ قفيز با قفيزِ ثلث قيمت آن</w:t>
      </w:r>
      <w:bookmarkEnd w:id="2909"/>
    </w:p>
    <w:p>
      <w:pPr>
        <w:pStyle w:val="BookText"/>
        <w:rPr/>
      </w:pPr>
      <w:r>
        <w:rPr>
          <w:rFonts w:ascii="IRNazanin" w:hAnsi="IRNazanin" w:eastAsia="IRNazanin"/>
          <w:color w:val="111111"/>
          <w:sz w:val="28"/>
          <w:sz w:val="28"/>
          <w:szCs w:val="28"/>
          <w:rtl w:val="true"/>
          <w:lang w:bidi="fa-IR"/>
        </w:rPr>
        <w:t xml:space="preserve">و اگر بيع نمايد قفيز مساوى با نه تومان را به قفيز مساوى با سه تومان، معامله در نصف تصحيح مى شود، و در مقابل نصف مشترى كه چهار و نصف است واقع مى شود نصف قفيز و يك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معاوضه و سه تومان به محابات، كه زايد بر ثلث اصل تركه نيست و در نزد ورثه مساوى شش تومان مجتمع مى شود، و در نزد مشترى مساوى شش تومان مجتمع مى شود</w:t>
      </w:r>
      <w:r>
        <w:rPr>
          <w:rFonts w:eastAsia="IRNazanin" w:cs="IRNazanin"/>
          <w:color w:val="111111"/>
          <w:sz w:val="28"/>
          <w:szCs w:val="28"/>
          <w:rtl w:val="true"/>
          <w:lang w:bidi="fa-IR"/>
        </w:rPr>
        <w:t>.</w:t>
      </w:r>
    </w:p>
    <w:p>
      <w:pPr>
        <w:pStyle w:val="Heading5"/>
        <w:numPr>
          <w:ilvl w:val="4"/>
          <w:numId w:val="1"/>
        </w:numPr>
        <w:rPr/>
      </w:pPr>
      <w:bookmarkStart w:id="2910" w:name="__RefHeading___Toc3599769_1067777946"/>
      <w:bookmarkStart w:id="2911" w:name="_Toc1205"/>
      <w:bookmarkEnd w:id="2910"/>
      <w:r>
        <w:rPr>
          <w:rtl w:val="true"/>
        </w:rPr>
        <w:t>ضابطۀ كلّى مسأله</w:t>
      </w:r>
      <w:bookmarkEnd w:id="2911"/>
    </w:p>
    <w:p>
      <w:pPr>
        <w:pStyle w:val="BookText"/>
        <w:rPr/>
      </w:pPr>
      <w:r>
        <w:rPr>
          <w:rFonts w:ascii="Amiri" w:hAnsi="Amiri" w:eastAsia="Amiri" w:cs="Amiri"/>
          <w:color w:val="111111"/>
          <w:sz w:val="28"/>
          <w:sz w:val="28"/>
          <w:szCs w:val="28"/>
          <w:rtl w:val="true"/>
          <w:lang w:bidi="ar-SA"/>
        </w:rPr>
        <w:t>و ضابط در تحصيل طريقۀ علاميّت كه مختار است در ربويَّين و غير ربويين، اسقاط ثمن از قيمت مبيع و نسبت ثلث تركه به باقى و تصحيح معامله در آن نسبت است، و اين نسبت مطابق نسبت ثلث با محابات است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فرضِ بيع عبد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تومانى به پانزده تومان، ده تومان در متروكات با عبد بود، معامله در هشت تُسع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ثلث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تُسع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سيزده و ثلث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مى شود به قاعدۀ متقدمه، چون محابات در ثلث تركه و ثُمن ثلث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مساوى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اسقاط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ثلث تركه كه سيزده و ثلث است به باقى كه پانزده است هشت تُسع است، و به </w:t>
      </w:r>
      <w:bookmarkStart w:id="2912" w:name="pg10256_89817"/>
    </w:p>
    <w:p>
      <w:pPr>
        <w:pStyle w:val="BookText"/>
        <w:rPr/>
      </w:pPr>
      <w:bookmarkEnd w:id="2912"/>
      <w:r>
        <w:rPr>
          <w:rFonts w:ascii="IRNazanin" w:hAnsi="IRNazanin" w:eastAsia="IRNazanin"/>
          <w:color w:val="111111"/>
          <w:sz w:val="28"/>
          <w:sz w:val="28"/>
          <w:szCs w:val="28"/>
          <w:rtl w:val="true"/>
          <w:lang w:bidi="fa-IR"/>
        </w:rPr>
        <w:t xml:space="preserve">همين نسبت معامله در عبد تصحيح مى شود، و باقى مى ماند از عبد سه 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تُسع آن است به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اين قدر با ده تومان باقيمانده از تركه و پانزده تومان كه ثَمَن است دو مقابل محابات نافذه كه سيزده و ثلث است مى شود، و بعد از تصحيح در ثلث تركه، باقيمانده دو مقابل محابات نافذه است و محابات نافذه، از ثلث متروكات زيادتى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بطريقه منسوبه 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خلاف مختار است، و به آن اشاره شد در اوّل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لوازم آن در فروع متقدمه، محل حاجت نيست</w:t>
      </w:r>
      <w:r>
        <w:rPr>
          <w:rFonts w:eastAsia="IRNazanin" w:cs="IRNazanin"/>
          <w:color w:val="111111"/>
          <w:sz w:val="28"/>
          <w:szCs w:val="28"/>
          <w:rtl w:val="true"/>
          <w:lang w:bidi="fa-IR"/>
        </w:rPr>
        <w:t>.</w:t>
      </w:r>
    </w:p>
    <w:p>
      <w:pPr>
        <w:pStyle w:val="Heading5"/>
        <w:numPr>
          <w:ilvl w:val="4"/>
          <w:numId w:val="1"/>
        </w:numPr>
        <w:rPr/>
      </w:pPr>
      <w:bookmarkStart w:id="2913" w:name="__RefHeading___Toc3599771_1067777946"/>
      <w:bookmarkStart w:id="2914" w:name="_Toc1206"/>
      <w:bookmarkEnd w:id="2913"/>
      <w:r>
        <w:rPr>
          <w:rtl w:val="true"/>
        </w:rPr>
        <w:t>عتق و ازدواج با كنيز در مرض موت و حكم امهار او</w:t>
      </w:r>
      <w:bookmarkEnd w:id="29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مرض موت عتق كرد كنيز خود را و ازدواج نمود با او و مهر او را عتق او قرارداد و دخول كرد به او، پس عتق و تزويج صحيح است در صورت خروج منجز از اصل يا وفاى ثلث به قيمت كنيز، و در صحّت اِمهار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تقدير صحّت و خروج از ثلث و عدم وفاى ثلث به قيمت او، پس به قدر ثلث، منعتق مى شود و لكن ارث نمى برد از زوج به واسطۀ عدم تبعض بُضع كه موجب بطلان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مهر المثل به سبب اين دخول به نسبت به قدر انعتاق،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خروج منجز از اصل، تمام او عتق مى شود و نكاح صحيح است، و مهر المثل را مستحق است در تقدير عدم صحّت امهارِ تسميه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عتق كرد در مرض موت كنيز خود را و ازدواج نمود با او و براى او مهرى قرارداد و دخول نمود به او، پس حكم آن معلوم است با خروج منجز از اصل، يا عدم خروج و وفاى ثلث به قيمت او و به مهر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وفاى به قيمت نه مهر، عتق و نكاح صحيح است و مسمّى باطل است و مهر المثل به دخولْ مستحَق است و اخراج از اصل مى شود، نه از ثلث، مثل ارش جنايت، لكن بايد وفاى به ثلث بعد از اخراج مهر المثل، محفوظ باشد وگرنه عتق مبعَّض، نكاح با او صحيح نيست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مهر المثل كه خارج از اصل است به نسبت عتق نافذ كه خارج از ثلث است بنا بر مفروض، محتمل است خروج مقدارى كه با عتق بعض و مهر المثل همان بعض </w:t>
      </w:r>
    </w:p>
    <w:p>
      <w:pPr>
        <w:pStyle w:val="BookText"/>
        <w:rPr/>
      </w:pPr>
      <w:r>
        <w:rPr>
          <w:rFonts w:ascii="IRNazanin" w:hAnsi="IRNazanin" w:eastAsia="IRNazanin"/>
          <w:color w:val="111111"/>
          <w:sz w:val="28"/>
          <w:sz w:val="28"/>
          <w:szCs w:val="28"/>
          <w:rtl w:val="true"/>
          <w:lang w:bidi="fa-IR"/>
        </w:rPr>
        <w:t xml:space="preserve">معتَق، ثلث تمام بشود و بقيه مال ورثه باشد؛ و محتمل است نصفْ توزيع بر عتق و مهر بشود به تنصيف و نصف ديگر مال ورثه باشد؛ پس اگر قيمت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مهر المثل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بقيۀ تركه دويست، پس عتق كرد و ثلث را مهر قرارداد و به واسطۀ بطلان تسميه به مهر المثل رجوع شد، يك صد و پنجاه توزيع بر عتق و مهر المثل بشود، يعنى سه ربع عتق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ربع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المثل همان معتق، و همۀ او عتق مى شود و پنجاه از ساير تركه مى گيرد،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ورثه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موافق با محاسبه و قرار شىء براى عتق و شىء براى مهر المثل و دو شىء كه دو مقابل عتق از ثلث است براى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اولى است، زيرا مهر المثل اناطه به ثلث نمى شود، و مثل ارش جنايت، از اصل است، اگر چه تقدير آن با عتق از ثلث مى شود و نسبت به مقدار عتق، مهر المثل مأخوذ مى شود، نه مقدار غير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 مساوات قيمت مهر المثل با قيمت كنيز مدخول بها است كه مساوى مى شود در اثبات و نفى و حدّ آنها با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قيمت كنيز ازيد از مهر المثل بود و مهر المثل، نصف قيمت كنيز مدخول بها بود، پس تجزيه مى شود كنيز به حسب قيمت بر هفت جزء، سه جزء منعتق مى شود، دو جزء به سبب اعتاق او كه مقدار نصف حق ورثه است و يك جزء به سبب مهر مستحق به دخول كه نصف معتق از ثلث است؛ و چهار سُبع مستحق ورثه است كه دو مقابل معتق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محاسبۀ جبريّه كه عتق شده است از او يك شىء، و بابت مهر المثل مستحق به دخول، نصف شىء، و براى ورثه مى ماند دو شىء دو مقابل معتق از ثلث، و مجموع سه و نصف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بسط هفت سهم به ترتيب مذكور، سه سهم از آن معتق، و چهار سهم مملوك ورثه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مهر المثل، دو مقابل قيمت كنيز بود، پس محتمل است كه يك خمس از آن به اعتاق منعتق باشد و دو خمس بابت مهر المثل و دو خمس مال ورثه باشد، به حساب تعيين شىء براى عتق و شيئين براى مهر المثل و شيئين براى ورثه؛ و به همين حساب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انعتاق همه را ذكر فرموده اند و كانّه مبنىّ بر مأخوذيّت همۀ مهر المثل است، نه خصوص آنچه دو مقابل جزء منعتِق است؛ چنانچه حق ورثه، دو مقابل معتَق است؛ پس با اين ترتيب مزاحمت بين حق ورثه و تمام مهر است، و مهر از اصل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طريق اوّل در صورت انحصار تركه به كنيز، اشبه باشد، و تعيين آن محتاج به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شب دوشنبه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مقام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تحرير اقل محمد تقى بن محمود عفى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علىٰ سيد انبيائه و آله سادة الاوصياء</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5" w:name="pg10256_89821"/>
      <w:bookmarkStart w:id="2916" w:name="pg10256_89821"/>
      <w:bookmarkEnd w:id="2916"/>
    </w:p>
    <w:p>
      <w:pPr>
        <w:pStyle w:val="Heading2"/>
        <w:numPr>
          <w:ilvl w:val="1"/>
          <w:numId w:val="1"/>
        </w:numPr>
        <w:rPr/>
      </w:pPr>
      <w:bookmarkStart w:id="2917" w:name="pg10256_89821"/>
      <w:bookmarkStart w:id="2918" w:name="__RefHeading___Toc3599773_1067777946"/>
      <w:bookmarkStart w:id="2919" w:name="_Toc1207"/>
      <w:bookmarkEnd w:id="2917"/>
      <w:bookmarkEnd w:id="2918"/>
      <w:r>
        <w:rPr>
          <w:rtl w:val="true"/>
        </w:rPr>
        <w:t>كتاب نكاح</w:t>
      </w:r>
      <w:bookmarkEnd w:id="2919"/>
    </w:p>
    <w:p>
      <w:pPr>
        <w:pStyle w:val="Heading3"/>
        <w:numPr>
          <w:ilvl w:val="2"/>
          <w:numId w:val="1"/>
        </w:numPr>
        <w:rPr/>
      </w:pPr>
      <w:bookmarkStart w:id="2920" w:name="__RefHeading___Toc3599775_1067777946"/>
      <w:bookmarkStart w:id="2921" w:name="_Toc1208"/>
      <w:bookmarkEnd w:id="2920"/>
      <w:r>
        <w:rPr>
          <w:rtl w:val="true"/>
        </w:rPr>
        <w:t>اشاره</w:t>
      </w:r>
      <w:bookmarkEnd w:id="2921"/>
    </w:p>
    <w:p>
      <w:pPr>
        <w:pStyle w:val="BookText"/>
        <w:rPr/>
      </w:pPr>
      <w:r>
        <w:rPr>
          <w:rFonts w:ascii="Amiri" w:hAnsi="Amiri" w:eastAsia="Amiri" w:cs="Amiri"/>
          <w:color w:val="111111"/>
          <w:sz w:val="28"/>
          <w:sz w:val="28"/>
          <w:szCs w:val="28"/>
          <w:rtl w:val="true"/>
          <w:lang w:bidi="ar-SA"/>
        </w:rPr>
        <w:t>النكاح الدائم امورى كه با آنها رد نكاح مى شود</w:t>
      </w:r>
    </w:p>
    <w:p>
      <w:pPr>
        <w:pStyle w:val="BookText"/>
        <w:rPr/>
      </w:pPr>
      <w:r>
        <w:rPr>
          <w:rFonts w:ascii="Amiri" w:hAnsi="Amiri" w:eastAsia="Amiri" w:cs="Amiri"/>
          <w:color w:val="111111"/>
          <w:sz w:val="28"/>
          <w:sz w:val="28"/>
          <w:szCs w:val="28"/>
          <w:rtl w:val="true"/>
          <w:lang w:bidi="ar-SA"/>
        </w:rPr>
        <w:t>در اولياى عقد نكاح مَهر</w:t>
      </w:r>
    </w:p>
    <w:p>
      <w:pPr>
        <w:pStyle w:val="BookText"/>
        <w:rPr/>
      </w:pPr>
      <w:r>
        <w:rPr>
          <w:rFonts w:ascii="Amiri" w:hAnsi="Amiri" w:eastAsia="Amiri" w:cs="Amiri"/>
          <w:color w:val="111111"/>
          <w:sz w:val="28"/>
          <w:sz w:val="28"/>
          <w:szCs w:val="28"/>
          <w:rtl w:val="true"/>
          <w:lang w:bidi="ar-SA"/>
        </w:rPr>
        <w:t>در اسباب تحريم حق قَسم و سائر حقوق زوجين</w:t>
      </w:r>
    </w:p>
    <w:p>
      <w:pPr>
        <w:pStyle w:val="BookText"/>
        <w:rPr/>
      </w:pPr>
      <w:r>
        <w:rPr>
          <w:rFonts w:ascii="IRNazanin" w:hAnsi="IRNazanin" w:eastAsia="IRNazanin"/>
          <w:color w:val="111111"/>
          <w:sz w:val="28"/>
          <w:sz w:val="28"/>
          <w:szCs w:val="28"/>
          <w:rtl w:val="true"/>
          <w:lang w:bidi="fa-IR"/>
        </w:rPr>
        <w:t>لواحق عقد نشوز و شقاق</w:t>
      </w:r>
    </w:p>
    <w:p>
      <w:pPr>
        <w:pStyle w:val="BookText"/>
        <w:rPr/>
      </w:pPr>
      <w:r>
        <w:rPr>
          <w:rFonts w:ascii="Amiri" w:hAnsi="Amiri" w:eastAsia="Amiri" w:cs="Amiri"/>
          <w:color w:val="111111"/>
          <w:sz w:val="28"/>
          <w:sz w:val="28"/>
          <w:szCs w:val="28"/>
          <w:rtl w:val="true"/>
          <w:lang w:bidi="ar-SA"/>
        </w:rPr>
        <w:t>نكاح منقطع احكام اولاد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نكاح عبيد و اماء نفقات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2" w:name="pg10256_89823"/>
      <w:bookmarkStart w:id="2923" w:name="pg10256_89823"/>
      <w:bookmarkEnd w:id="2923"/>
    </w:p>
    <w:p>
      <w:pPr>
        <w:pStyle w:val="Heading3"/>
        <w:numPr>
          <w:ilvl w:val="2"/>
          <w:numId w:val="1"/>
        </w:numPr>
        <w:rPr/>
      </w:pPr>
      <w:bookmarkStart w:id="2924" w:name="pg10256_89823"/>
      <w:bookmarkStart w:id="2925" w:name="__RefHeading___Toc3599777_1067777946"/>
      <w:bookmarkStart w:id="2926" w:name="_Toc1209"/>
      <w:bookmarkEnd w:id="2924"/>
      <w:bookmarkEnd w:id="2925"/>
      <w:r>
        <w:rPr>
          <w:rtl w:val="true"/>
        </w:rPr>
        <w:t>فصل اوّل النكاح الدائم</w:t>
      </w:r>
      <w:bookmarkEnd w:id="2926"/>
    </w:p>
    <w:p>
      <w:pPr>
        <w:pStyle w:val="Heading4"/>
        <w:numPr>
          <w:ilvl w:val="3"/>
          <w:numId w:val="1"/>
        </w:numPr>
        <w:rPr/>
      </w:pPr>
      <w:bookmarkStart w:id="2927" w:name="__RefHeading___Toc3599779_1067777946"/>
      <w:bookmarkStart w:id="2928" w:name="_Toc1210"/>
      <w:bookmarkEnd w:id="2927"/>
      <w:r>
        <w:rPr>
          <w:rtl w:val="true"/>
        </w:rPr>
        <w:t>اشاره</w:t>
      </w:r>
      <w:bookmarkEnd w:id="2928"/>
    </w:p>
    <w:p>
      <w:pPr>
        <w:pStyle w:val="BookText"/>
        <w:rPr/>
      </w:pPr>
      <w:r>
        <w:rPr>
          <w:rFonts w:ascii="Amiri" w:hAnsi="Amiri" w:eastAsia="Amiri" w:cs="Amiri"/>
          <w:color w:val="111111"/>
          <w:sz w:val="28"/>
          <w:sz w:val="28"/>
          <w:szCs w:val="28"/>
          <w:rtl w:val="true"/>
          <w:lang w:bidi="ar-SA"/>
        </w:rPr>
        <w:t>الكلام في النكاح الدائم و 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4"/>
        <w:numPr>
          <w:ilvl w:val="3"/>
          <w:numId w:val="1"/>
        </w:numPr>
        <w:rPr/>
      </w:pPr>
      <w:bookmarkStart w:id="2929" w:name="__RefHeading___Toc3599781_1067777946"/>
      <w:bookmarkStart w:id="2930" w:name="_Toc1211"/>
      <w:bookmarkEnd w:id="2929"/>
      <w:r>
        <w:rPr>
          <w:rtl w:val="true"/>
        </w:rPr>
        <w:t>في صيغة العقد و أحكامه و آدابه</w:t>
      </w:r>
      <w:bookmarkEnd w:id="2930"/>
    </w:p>
    <w:p>
      <w:pPr>
        <w:pStyle w:val="BookText"/>
        <w:rPr/>
      </w:pPr>
      <w:r>
        <w:rPr>
          <w:rFonts w:ascii="Amiri" w:hAnsi="Amiri" w:eastAsia="Amiri" w:cs="Amiri"/>
          <w:color w:val="111111"/>
          <w:sz w:val="28"/>
          <w:sz w:val="28"/>
          <w:szCs w:val="28"/>
          <w:rtl w:val="true"/>
          <w:lang w:bidi="ar-SA"/>
        </w:rPr>
        <w:t>أمّا الصيغة، فهي مجموع الإيجاب و القبول اللفظيّين اللازمين في مطلق عقد النكاح اختياراً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يكفى في الإيجاب من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الاكتفاء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الدائم، غير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القبول، اللفظ الدّال على الرضا بحصول مضمون الإيجاب</w:t>
      </w:r>
      <w:r>
        <w:rPr>
          <w:rFonts w:eastAsia="Amiri" w:cs="Amiri" w:ascii="Amiri" w:hAnsi="Amiri"/>
          <w:color w:val="111111"/>
          <w:sz w:val="28"/>
          <w:szCs w:val="28"/>
          <w:rtl w:val="true"/>
          <w:lang w:bidi="ar-SA"/>
        </w:rPr>
        <w:t>.</w:t>
      </w:r>
    </w:p>
    <w:p>
      <w:pPr>
        <w:pStyle w:val="Heading4"/>
        <w:numPr>
          <w:ilvl w:val="3"/>
          <w:numId w:val="1"/>
        </w:numPr>
        <w:rPr/>
      </w:pPr>
      <w:bookmarkStart w:id="2931" w:name="__RefHeading___Toc3599783_1067777946"/>
      <w:bookmarkStart w:id="2932" w:name="_Toc1212"/>
      <w:bookmarkEnd w:id="2931"/>
      <w:r>
        <w:rPr>
          <w:rtl w:val="true"/>
        </w:rPr>
        <w:t>التعبير في الإيجاب و القبول بالماضى و الأمر و المستقبل</w:t>
      </w:r>
      <w:bookmarkEnd w:id="2932"/>
    </w:p>
    <w:p>
      <w:pPr>
        <w:pStyle w:val="BookText"/>
        <w:rPr/>
      </w:pPr>
      <w:r>
        <w:rPr>
          <w:rFonts w:ascii="Amiri" w:hAnsi="Amiri" w:eastAsia="Amiri" w:cs="Amiri"/>
          <w:color w:val="111111"/>
          <w:sz w:val="28"/>
          <w:sz w:val="28"/>
          <w:szCs w:val="28"/>
          <w:rtl w:val="true"/>
          <w:lang w:bidi="ar-SA"/>
        </w:rPr>
        <w:t>و التعبير في الإيجاب و القبول بالماضي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الاكتفاء بالأمر و المستقبل مع القرينة على الفعليّة بنفسهما، لا يخلو عن وجه؛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التزويج مع التعقّب بالقبول</w:t>
      </w:r>
      <w:r>
        <w:rPr>
          <w:rFonts w:eastAsia="Amiri" w:cs="Amiri" w:ascii="Amiri" w:hAnsi="Amiri"/>
          <w:color w:val="111111"/>
          <w:sz w:val="28"/>
          <w:szCs w:val="28"/>
          <w:rtl w:val="true"/>
          <w:lang w:bidi="ar-SA"/>
        </w:rPr>
        <w:t>.</w:t>
      </w:r>
    </w:p>
    <w:p>
      <w:pPr>
        <w:pStyle w:val="Heading4"/>
        <w:numPr>
          <w:ilvl w:val="3"/>
          <w:numId w:val="1"/>
        </w:numPr>
        <w:rPr/>
      </w:pPr>
      <w:bookmarkStart w:id="2933" w:name="__RefHeading___Toc3599785_1067777946"/>
      <w:bookmarkStart w:id="2934" w:name="_Toc1213"/>
      <w:bookmarkEnd w:id="2933"/>
      <w:r>
        <w:rPr>
          <w:rtl w:val="true"/>
        </w:rPr>
        <w:t>عدم اعتبار تقديم القبول</w:t>
      </w:r>
      <w:bookmarkEnd w:id="2934"/>
    </w:p>
    <w:p>
      <w:pPr>
        <w:pStyle w:val="BookText"/>
        <w:rPr/>
      </w:pPr>
      <w:r>
        <w:rPr>
          <w:rFonts w:ascii="Amiri" w:hAnsi="Amiri" w:eastAsia="Amiri" w:cs="Amiri"/>
          <w:color w:val="111111"/>
          <w:sz w:val="28"/>
          <w:sz w:val="28"/>
          <w:szCs w:val="28"/>
          <w:rtl w:val="true"/>
          <w:lang w:bidi="ar-SA"/>
        </w:rPr>
        <w:t>و لا يعتبر تقديم القبول بما يناسب على الأظهر</w:t>
      </w:r>
      <w:r>
        <w:rPr>
          <w:rFonts w:eastAsia="Amiri" w:cs="Amiri" w:ascii="Amiri" w:hAnsi="Amiri"/>
          <w:color w:val="111111"/>
          <w:sz w:val="28"/>
          <w:szCs w:val="28"/>
          <w:rtl w:val="true"/>
          <w:lang w:bidi="ar-SA"/>
        </w:rPr>
        <w:t>.</w:t>
      </w:r>
    </w:p>
    <w:p>
      <w:pPr>
        <w:pStyle w:val="Heading4"/>
        <w:numPr>
          <w:ilvl w:val="3"/>
          <w:numId w:val="1"/>
        </w:numPr>
        <w:rPr/>
      </w:pPr>
      <w:bookmarkStart w:id="2935" w:name="__RefHeading___Toc3599787_1067777946"/>
      <w:bookmarkStart w:id="2936" w:name="_Toc1214"/>
      <w:bookmarkEnd w:id="2935"/>
      <w:r>
        <w:rPr>
          <w:rtl w:val="true"/>
        </w:rPr>
        <w:t>العقد العربى و الفارسى و غيرهما</w:t>
      </w:r>
      <w:bookmarkEnd w:id="293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تكفي الترجمة مع القدرة على النطق بالفارسية مثلاً؟ الأحوط العدم و إن كان الأظهر الكفاية، و أحوط من الإتيان بالعربي، الجمع لغير العارف بالعربية الذي لا </w:t>
      </w:r>
      <w:bookmarkStart w:id="2937" w:name="pg10256_89824"/>
    </w:p>
    <w:p>
      <w:pPr>
        <w:pStyle w:val="BookText"/>
        <w:rPr/>
      </w:pPr>
      <w:bookmarkEnd w:id="2937"/>
      <w:r>
        <w:rPr>
          <w:rFonts w:ascii="Amiri" w:hAnsi="Amiri" w:eastAsia="Amiri" w:cs="Amiri"/>
          <w:color w:val="111111"/>
          <w:sz w:val="28"/>
          <w:sz w:val="28"/>
          <w:szCs w:val="28"/>
          <w:rtl w:val="true"/>
          <w:lang w:bidi="ar-SA"/>
        </w:rPr>
        <w:t>يعرف المبدأ، بل النتيجة فقط؛ بل لا يخلو الاكتفاء بالعربي حينئذ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قطعاً مع العذر و العجز حتى عن التوكيل، و لا يجب التوكيل على الأظهر و إن كان أحوط</w:t>
      </w:r>
      <w:r>
        <w:rPr>
          <w:rFonts w:eastAsia="Amiri" w:cs="Amiri" w:ascii="Amiri" w:hAnsi="Amiri"/>
          <w:color w:val="111111"/>
          <w:sz w:val="28"/>
          <w:szCs w:val="28"/>
          <w:rtl w:val="true"/>
          <w:lang w:bidi="ar-SA"/>
        </w:rPr>
        <w:t>.</w:t>
      </w:r>
    </w:p>
    <w:p>
      <w:pPr>
        <w:pStyle w:val="Heading4"/>
        <w:numPr>
          <w:ilvl w:val="3"/>
          <w:numId w:val="1"/>
        </w:numPr>
        <w:rPr/>
      </w:pPr>
      <w:bookmarkStart w:id="2938" w:name="__RefHeading___Toc3599789_1067777946"/>
      <w:bookmarkStart w:id="2939" w:name="_Toc1215"/>
      <w:bookmarkEnd w:id="2938"/>
      <w:r>
        <w:rPr>
          <w:rtl w:val="true"/>
        </w:rPr>
        <w:t>عدم لزوم التوكيل في الأخرس</w:t>
      </w:r>
      <w:bookmarkEnd w:id="2939"/>
    </w:p>
    <w:p>
      <w:pPr>
        <w:pStyle w:val="BookText"/>
        <w:rPr/>
      </w:pPr>
      <w:r>
        <w:rPr>
          <w:rFonts w:ascii="Amiri" w:hAnsi="Amiri" w:eastAsia="Amiri" w:cs="Amiri"/>
          <w:color w:val="111111"/>
          <w:sz w:val="28"/>
          <w:sz w:val="28"/>
          <w:szCs w:val="28"/>
          <w:rtl w:val="true"/>
          <w:lang w:bidi="ar-SA"/>
        </w:rPr>
        <w:t>و تكفي الإشارة من خصوص الأخرس، و لا يلزم التوكيل على الأظهر و إن كان احوط</w:t>
      </w:r>
      <w:r>
        <w:rPr>
          <w:rFonts w:eastAsia="Amiri" w:cs="Amiri" w:ascii="Amiri" w:hAnsi="Amiri"/>
          <w:color w:val="111111"/>
          <w:sz w:val="28"/>
          <w:szCs w:val="28"/>
          <w:rtl w:val="true"/>
          <w:lang w:bidi="ar-SA"/>
        </w:rPr>
        <w:t>.</w:t>
      </w:r>
    </w:p>
    <w:p>
      <w:pPr>
        <w:pStyle w:val="Heading4"/>
        <w:numPr>
          <w:ilvl w:val="3"/>
          <w:numId w:val="1"/>
        </w:numPr>
        <w:rPr/>
      </w:pPr>
      <w:bookmarkStart w:id="2940" w:name="__RefHeading___Toc3599791_1067777946"/>
      <w:bookmarkStart w:id="2941" w:name="_Toc1216"/>
      <w:bookmarkEnd w:id="2940"/>
      <w:r>
        <w:rPr>
          <w:rtl w:val="true"/>
        </w:rPr>
        <w:t>عدم الاعتبار بعبارة الصبى و المجنون</w:t>
      </w:r>
      <w:bookmarkEnd w:id="2941"/>
    </w:p>
    <w:p>
      <w:pPr>
        <w:pStyle w:val="BookText"/>
        <w:rPr/>
      </w:pPr>
      <w:r>
        <w:rPr>
          <w:rFonts w:ascii="Amiri" w:hAnsi="Amiri" w:eastAsia="Amiri" w:cs="Amiri"/>
          <w:color w:val="111111"/>
          <w:sz w:val="28"/>
          <w:sz w:val="28"/>
          <w:szCs w:val="28"/>
          <w:rtl w:val="true"/>
          <w:lang w:bidi="ar-SA"/>
        </w:rPr>
        <w:t>لا عبرة بعبارة الصبي في ركن العقد مع عدم التمييز و القصد؛ و كذا المجنون في غير زمن الإفاقة؛ و السكران قبل الرجوع إلى حالته العادية له لو لا السكر؛ و الأحوط في الصبي المميّز القاصد ذلك أيضا</w:t>
      </w:r>
      <w:r>
        <w:rPr>
          <w:rFonts w:eastAsia="Amiri" w:cs="Amiri" w:ascii="Amiri" w:hAnsi="Amiri"/>
          <w:color w:val="111111"/>
          <w:sz w:val="28"/>
          <w:szCs w:val="28"/>
          <w:rtl w:val="true"/>
          <w:lang w:bidi="ar-SA"/>
        </w:rPr>
        <w:t>.</w:t>
      </w:r>
    </w:p>
    <w:p>
      <w:pPr>
        <w:pStyle w:val="Heading4"/>
        <w:numPr>
          <w:ilvl w:val="3"/>
          <w:numId w:val="1"/>
        </w:numPr>
        <w:rPr/>
      </w:pPr>
      <w:bookmarkStart w:id="2942" w:name="__RefHeading___Toc3599793_1067777946"/>
      <w:bookmarkStart w:id="2943" w:name="_Toc1217"/>
      <w:bookmarkEnd w:id="2942"/>
      <w:r>
        <w:rPr>
          <w:rtl w:val="true"/>
        </w:rPr>
        <w:t>عدم اعتبار حضور العدلين</w:t>
      </w:r>
      <w:bookmarkEnd w:id="2943"/>
    </w:p>
    <w:p>
      <w:pPr>
        <w:pStyle w:val="BookText"/>
        <w:rPr/>
      </w:pPr>
      <w:r>
        <w:rPr>
          <w:rFonts w:ascii="Amiri" w:hAnsi="Amiri" w:eastAsia="Amiri" w:cs="Amiri"/>
          <w:color w:val="111111"/>
          <w:sz w:val="28"/>
          <w:sz w:val="28"/>
          <w:szCs w:val="28"/>
          <w:rtl w:val="true"/>
          <w:lang w:bidi="ar-SA"/>
        </w:rPr>
        <w:t>لا يشترط حضور عدلين في الدائم، كالمنقطع و التحليل و الملك، و إن كان يستحب احتياطاً لإثبات ما يترتّب عليه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الكلام في اعتبار حضور الولي مع كون الزوجة بالغة رشيدة و عدمه في محله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944" w:name="__RefHeading___Toc3599795_1067777946"/>
      <w:bookmarkStart w:id="2945" w:name="_Toc1218"/>
      <w:bookmarkEnd w:id="2944"/>
      <w:r>
        <w:rPr>
          <w:rtl w:val="true"/>
        </w:rPr>
        <w:t>ادّعاء الزوجيّة و انكار المرأة و ادّعاء اختها الزوجيّة و انكار الرجل</w:t>
      </w:r>
      <w:bookmarkEnd w:id="294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ادّعى رجل زوجيّة امرأة و أنكرتها و ادّعت اختها زوجيّته و أنكرها فأقاما البيّنتين، بلا توقيت أو مع تساوي الوقت فيهما، مع عدم الدخول، فالمروي المشهور عملاً، تقديم بينة الزوج، و لعلّه للترجيح بكون العمل المثبت و المنفي مباشرياً للزوج دون الزوجة فالمنفى غير مباشرى لها و لازم مدّعى كل نفي ما يدّعيه الآخر، و إن كان التعليل في الرواية به غير ذلك لكن الانجبار بالشهرة لا ينوط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حينئذ ضم اليمين لنفي ما تدّعيه الاُخت و إن عمل ببيّنته في إثبات ما يدّعيه على الاُولى، لابيّنة الاُخت </w:t>
      </w:r>
      <w:bookmarkStart w:id="2946" w:name="pg10256_89825"/>
    </w:p>
    <w:p>
      <w:pPr>
        <w:pStyle w:val="BookText"/>
        <w:rPr/>
      </w:pPr>
      <w:bookmarkEnd w:id="2946"/>
      <w:r>
        <w:rPr>
          <w:rFonts w:ascii="Amiri" w:hAnsi="Amiri" w:eastAsia="Amiri" w:cs="Amiri"/>
          <w:color w:val="111111"/>
          <w:sz w:val="28"/>
          <w:sz w:val="28"/>
          <w:szCs w:val="28"/>
          <w:rtl w:val="true"/>
          <w:lang w:bidi="ar-SA"/>
        </w:rPr>
        <w:t>فيما تدّعيه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الدخول في دعوى الزوجة أو سبق تاريخها ببيّنتها، ترجّح بيّنتها بكل منهما، و إن اختص البيّنة بأحدهما يثبت مدّعاه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بينة لواحد منهما، تساقطت الدعويان بالتحالف، و لم يثبت شيء مما يدّعيان على الأظهر فيما لم يكن دخول بالمدعية، و إلا فالأظهر سماع قولها بحلفها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فتحلف على ما تدّعيه و على عدم العلم بما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بردّ الحلف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قدّمناه يظهر الوجه في لحوق نظائر المسألة بها، كدعوى الاُمّ أو البنت للزوجيّة مع دعوى زوجيّة الاُخرى، للاشتراك فيما به ترجيح إحدى البيّنتين مع مورد النّص</w:t>
      </w:r>
      <w:r>
        <w:rPr>
          <w:rFonts w:eastAsia="Amiri" w:cs="Amiri" w:ascii="Amiri" w:hAnsi="Amiri"/>
          <w:color w:val="111111"/>
          <w:sz w:val="28"/>
          <w:szCs w:val="28"/>
          <w:rtl w:val="true"/>
          <w:lang w:bidi="ar-SA"/>
        </w:rPr>
        <w:t>.</w:t>
      </w:r>
    </w:p>
    <w:p>
      <w:pPr>
        <w:pStyle w:val="Heading4"/>
        <w:numPr>
          <w:ilvl w:val="3"/>
          <w:numId w:val="1"/>
        </w:numPr>
        <w:rPr/>
      </w:pPr>
      <w:bookmarkStart w:id="2947" w:name="__RefHeading___Toc3599797_1067777946"/>
      <w:bookmarkStart w:id="2948" w:name="_Toc1219"/>
      <w:bookmarkEnd w:id="2947"/>
      <w:r>
        <w:rPr>
          <w:rtl w:val="true"/>
        </w:rPr>
        <w:t>لو عقد على امرأة و ادّعى الآخر زوجيّتها</w:t>
      </w:r>
      <w:bookmarkEnd w:id="2948"/>
    </w:p>
    <w:p>
      <w:pPr>
        <w:pStyle w:val="BookText"/>
        <w:rPr/>
      </w:pPr>
      <w:r>
        <w:rPr>
          <w:rFonts w:ascii="Amiri" w:hAnsi="Amiri" w:eastAsia="Amiri" w:cs="Amiri"/>
          <w:color w:val="111111"/>
          <w:sz w:val="28"/>
          <w:sz w:val="28"/>
          <w:szCs w:val="28"/>
          <w:rtl w:val="true"/>
          <w:lang w:bidi="ar-SA"/>
        </w:rPr>
        <w:t>لو عقد على امرأة و ادّعى آخر زوجيّتها، لم يلتفت إلى دعواه إلّا مع البينة و تقبل بعدها، و الأحوط أن تحلف مع عدم البينة لفصل الخصومة و لوازمها</w:t>
      </w:r>
      <w:r>
        <w:rPr>
          <w:rFonts w:eastAsia="Amiri" w:cs="Amiri" w:ascii="Amiri" w:hAnsi="Amiri"/>
          <w:color w:val="111111"/>
          <w:sz w:val="28"/>
          <w:szCs w:val="28"/>
          <w:rtl w:val="true"/>
          <w:lang w:bidi="ar-SA"/>
        </w:rPr>
        <w:t>.</w:t>
      </w:r>
    </w:p>
    <w:p>
      <w:pPr>
        <w:pStyle w:val="Heading4"/>
        <w:numPr>
          <w:ilvl w:val="3"/>
          <w:numId w:val="1"/>
        </w:numPr>
        <w:rPr/>
      </w:pPr>
      <w:bookmarkStart w:id="2949" w:name="__RefHeading___Toc3599799_1067777946"/>
      <w:bookmarkStart w:id="2950" w:name="_Toc1220"/>
      <w:bookmarkEnd w:id="2949"/>
      <w:r>
        <w:rPr>
          <w:rtl w:val="true"/>
        </w:rPr>
        <w:t>لو زوج واحدة من نباته و لم يسمّهن</w:t>
      </w:r>
      <w:bookmarkEnd w:id="2950"/>
    </w:p>
    <w:p>
      <w:pPr>
        <w:pStyle w:val="BookText"/>
        <w:rPr/>
      </w:pPr>
      <w:r>
        <w:rPr>
          <w:rFonts w:ascii="Amiri" w:hAnsi="Amiri" w:eastAsia="Amiri" w:cs="Amiri"/>
          <w:color w:val="111111"/>
          <w:sz w:val="28"/>
          <w:sz w:val="28"/>
          <w:szCs w:val="28"/>
          <w:rtl w:val="true"/>
          <w:lang w:bidi="ar-SA"/>
        </w:rPr>
        <w:t>لو كان لرجل عدة بنات فزوج واحدة منهن و لم يسمّها، ثم اختلفا في المعقود عليها، ففي الصحيح الذي عليه عمل الاكثر، أنّ القول، قول الأب إن كان الزوج رآهنّ‌، و إلّا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التعيين للزوجين قصداً و ذكراً، فإن لم يقصدا أي لم يتوافق قصدهما في المعيّنة أو المعين، بطل العقد مع قصد الخلاف أو الغفلة؛ و إن اتّفقا في وقوع العقد على المعيّن و اختلفا بعده فيما هو المعيّن لها حال العقد، فهو محلّ التّفصيل المتقدّم في الصحيح</w:t>
      </w:r>
      <w:r>
        <w:rPr>
          <w:rFonts w:eastAsia="Amiri" w:cs="Amiri" w:ascii="Amiri" w:hAnsi="Amiri"/>
          <w:color w:val="111111"/>
          <w:sz w:val="28"/>
          <w:szCs w:val="28"/>
          <w:rtl w:val="true"/>
          <w:lang w:bidi="ar-SA"/>
        </w:rPr>
        <w:t>.</w:t>
      </w:r>
    </w:p>
    <w:p>
      <w:pPr>
        <w:pStyle w:val="Heading4"/>
        <w:numPr>
          <w:ilvl w:val="3"/>
          <w:numId w:val="1"/>
        </w:numPr>
        <w:rPr/>
      </w:pPr>
      <w:bookmarkStart w:id="2951" w:name="__RefHeading___Toc3599801_1067777946"/>
      <w:bookmarkStart w:id="2952" w:name="_Toc1221"/>
      <w:bookmarkEnd w:id="2951"/>
      <w:r>
        <w:rPr>
          <w:rtl w:val="true"/>
        </w:rPr>
        <w:t>النظر إلى وجه الامرأة المراد نكاحها</w:t>
      </w:r>
      <w:bookmarkEnd w:id="2952"/>
    </w:p>
    <w:p>
      <w:pPr>
        <w:pStyle w:val="BookText"/>
        <w:rPr/>
      </w:pPr>
      <w:r>
        <w:rPr>
          <w:rFonts w:ascii="Amiri" w:hAnsi="Amiri" w:eastAsia="Amiri" w:cs="Amiri"/>
          <w:color w:val="111111"/>
          <w:sz w:val="28"/>
          <w:sz w:val="28"/>
          <w:szCs w:val="28"/>
          <w:rtl w:val="true"/>
          <w:lang w:bidi="ar-SA"/>
        </w:rPr>
        <w:t>و ذكروا هنا مسائل بعد بيان آداب العقد و آداب الخلو</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النظر الى وجه امرأة يريد نكاحها و كفّيها، و لا يشترط استيذانها، </w:t>
      </w:r>
      <w:bookmarkStart w:id="2953" w:name="pg10256_89826"/>
    </w:p>
    <w:p>
      <w:pPr>
        <w:pStyle w:val="BookText"/>
        <w:rPr/>
      </w:pPr>
      <w:bookmarkEnd w:id="2953"/>
      <w:r>
        <w:rPr>
          <w:rFonts w:ascii="Amiri" w:hAnsi="Amiri" w:eastAsia="Amiri" w:cs="Amiri"/>
          <w:color w:val="111111"/>
          <w:sz w:val="28"/>
          <w:sz w:val="28"/>
          <w:szCs w:val="28"/>
          <w:rtl w:val="true"/>
          <w:lang w:bidi="ar-SA"/>
        </w:rPr>
        <w:t>و يشترط العلم به عدم المانع الشرعي من التزويج، و تجويز إجابتها، و مباشرة المريد للتزويج، و تجويز تجدّد العلم و الاستفادة بالنظر، فمعه يجوز النظر و لو مراراً عديدة، و لا مانع من لوازم الاختبار عادة دون ما يخاف منه الفتنة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المرأة،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يباح، يستحب أيضاً لانطباق العناوين الراجحة لقطع مادة التنازع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بهما الشعر و المحاسن‌؟ الأظهر ذلك، وفاقاً لجماعة، لصعوبة التفكيك المفيد، و الاشتراك في العلّة المنصوصة في الحسنة، و للروايات الخاصة بهما أو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النظر في الأمة التي يريد شرائها إلى الوجه و الكفين و الشعر و المحاسن، للأولوية من الزوجة، و لنقل الاتفاق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للروايات المشهورة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الجواز في ما عدا العورة من الإماء التي يريد شرائها</w:t>
      </w:r>
      <w:r>
        <w:rPr>
          <w:rFonts w:eastAsia="Amiri" w:cs="Amiri" w:ascii="Amiri" w:hAnsi="Amiri"/>
          <w:color w:val="111111"/>
          <w:sz w:val="28"/>
          <w:szCs w:val="28"/>
          <w:rtl w:val="true"/>
          <w:lang w:bidi="ar-SA"/>
        </w:rPr>
        <w:t>.</w:t>
      </w:r>
    </w:p>
    <w:p>
      <w:pPr>
        <w:pStyle w:val="Heading4"/>
        <w:numPr>
          <w:ilvl w:val="3"/>
          <w:numId w:val="1"/>
        </w:numPr>
        <w:rPr/>
      </w:pPr>
      <w:bookmarkStart w:id="2954" w:name="__RefHeading___Toc3599803_1067777946"/>
      <w:bookmarkStart w:id="2955" w:name="_Toc1222"/>
      <w:bookmarkEnd w:id="2954"/>
      <w:r>
        <w:rPr>
          <w:rtl w:val="true"/>
        </w:rPr>
        <w:t>النظر إلى نساء الكفّار</w:t>
      </w:r>
      <w:bookmarkEnd w:id="2955"/>
    </w:p>
    <w:p>
      <w:pPr>
        <w:pStyle w:val="BookText"/>
        <w:rPr/>
      </w:pPr>
      <w:r>
        <w:rPr>
          <w:rFonts w:ascii="Amiri" w:hAnsi="Amiri" w:eastAsia="Amiri" w:cs="Amiri"/>
          <w:color w:val="111111"/>
          <w:sz w:val="28"/>
          <w:sz w:val="28"/>
          <w:szCs w:val="28"/>
          <w:rtl w:val="true"/>
          <w:lang w:bidi="ar-SA"/>
        </w:rPr>
        <w:t>يجوز النظر إلى نساء اهل الذمة، بل مطلق الكفار بالاصل، فيما جرت عادتهن بالكشف مع عدم التلذذ و مع عدم خوف الوقوع في الحرام</w:t>
      </w:r>
      <w:r>
        <w:rPr>
          <w:rFonts w:eastAsia="Amiri" w:cs="Amiri" w:ascii="Amiri" w:hAnsi="Amiri"/>
          <w:color w:val="111111"/>
          <w:sz w:val="28"/>
          <w:szCs w:val="28"/>
          <w:rtl w:val="true"/>
          <w:lang w:bidi="ar-SA"/>
        </w:rPr>
        <w:t>.</w:t>
      </w:r>
    </w:p>
    <w:p>
      <w:pPr>
        <w:pStyle w:val="Heading4"/>
        <w:numPr>
          <w:ilvl w:val="3"/>
          <w:numId w:val="1"/>
        </w:numPr>
        <w:rPr/>
      </w:pPr>
      <w:bookmarkStart w:id="2956" w:name="__RefHeading___Toc3599805_1067777946"/>
      <w:bookmarkStart w:id="2957" w:name="_Toc1223"/>
      <w:bookmarkEnd w:id="2956"/>
      <w:r>
        <w:rPr>
          <w:rtl w:val="true"/>
        </w:rPr>
        <w:t>نساء أهل القرى و البوادى</w:t>
      </w:r>
      <w:bookmarkEnd w:id="2957"/>
    </w:p>
    <w:p>
      <w:pPr>
        <w:pStyle w:val="BookText"/>
        <w:rPr/>
      </w:pPr>
      <w:r>
        <w:rPr>
          <w:rFonts w:ascii="Amiri" w:hAnsi="Amiri" w:eastAsia="Amiri" w:cs="Amiri"/>
          <w:color w:val="111111"/>
          <w:sz w:val="28"/>
          <w:sz w:val="28"/>
          <w:szCs w:val="28"/>
          <w:rtl w:val="true"/>
          <w:lang w:bidi="ar-SA"/>
        </w:rPr>
        <w:t>و الأظهر لحوق نساء أهل القرى و البوادي من الأعراب و غيرهم فيما جرت عادتهن بترك التستّر مع عدم التلذذ و الخوف المذكورين؛ فيجوز التردّد إليهنّ في المعاملات و سائر الحاجات، للعسر و الحرج و عموم البلوى المحوج إلى الرادع الخاص المفقود</w:t>
      </w:r>
      <w:r>
        <w:rPr>
          <w:rFonts w:eastAsia="Amiri" w:cs="Amiri" w:ascii="Amiri" w:hAnsi="Amiri"/>
          <w:color w:val="111111"/>
          <w:sz w:val="28"/>
          <w:szCs w:val="28"/>
          <w:rtl w:val="true"/>
          <w:lang w:bidi="ar-SA"/>
        </w:rPr>
        <w:t>.</w:t>
      </w:r>
    </w:p>
    <w:p>
      <w:pPr>
        <w:pStyle w:val="Heading4"/>
        <w:numPr>
          <w:ilvl w:val="3"/>
          <w:numId w:val="1"/>
        </w:numPr>
        <w:rPr/>
      </w:pPr>
      <w:bookmarkStart w:id="2958" w:name="__RefHeading___Toc3599807_1067777946"/>
      <w:bookmarkStart w:id="2959" w:name="_Toc1224"/>
      <w:bookmarkEnd w:id="2958"/>
      <w:r>
        <w:rPr>
          <w:rtl w:val="true"/>
        </w:rPr>
        <w:t>جواز سماع صوت الأجنبيّة</w:t>
      </w:r>
      <w:bookmarkEnd w:id="295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للرجل سماع صوت الاجنبية بلا تلذّذ و ريبة، وفاقاً للتذكرة و المسالك و ظاهر جماعة، و لها الإسماع كذلك للسّيرة و العسر و عموم البلوى المقتضى لوضوح المنع المفقود</w:t>
      </w:r>
      <w:r>
        <w:rPr>
          <w:rFonts w:eastAsia="Amiri" w:cs="Amiri" w:ascii="Amiri" w:hAnsi="Amiri"/>
          <w:color w:val="111111"/>
          <w:sz w:val="28"/>
          <w:szCs w:val="28"/>
          <w:rtl w:val="true"/>
          <w:lang w:bidi="ar-SA"/>
        </w:rPr>
        <w:t xml:space="preserve">. </w:t>
      </w:r>
      <w:bookmarkStart w:id="2960" w:name="pg10256_89827"/>
    </w:p>
    <w:p>
      <w:pPr>
        <w:pStyle w:val="Heading4"/>
        <w:numPr>
          <w:ilvl w:val="3"/>
          <w:numId w:val="1"/>
        </w:numPr>
        <w:rPr/>
      </w:pPr>
      <w:bookmarkStart w:id="2961" w:name="__RefHeading___Toc3599809_1067777946"/>
      <w:bookmarkStart w:id="2962" w:name="_Toc1225"/>
      <w:bookmarkEnd w:id="2960"/>
      <w:bookmarkEnd w:id="2961"/>
      <w:r>
        <w:rPr>
          <w:rtl w:val="true"/>
        </w:rPr>
        <w:t>نظر الرجل إلى زوجته و محارمه</w:t>
      </w:r>
      <w:bookmarkEnd w:id="2962"/>
    </w:p>
    <w:p>
      <w:pPr>
        <w:pStyle w:val="BookText"/>
        <w:rPr/>
      </w:pPr>
      <w:r>
        <w:rPr>
          <w:rFonts w:ascii="Amiri" w:hAnsi="Amiri" w:eastAsia="Amiri" w:cs="Amiri"/>
          <w:color w:val="111111"/>
          <w:sz w:val="28"/>
          <w:sz w:val="28"/>
          <w:szCs w:val="28"/>
          <w:rtl w:val="true"/>
          <w:lang w:bidi="ar-SA"/>
        </w:rPr>
        <w:t>و يجوز للرجل النظر الى جسد زوجته ظاهراً و باطناً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القبل و البيضتين و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محارمه التي يحرم نكاحهن مؤبّداً بنسب أو رضاع أو مصاهرة، بلا تلذّذ و لا ريبة كما هو المشهور، للعسر و الحرج في الاُم و البنت و الاُخت و لا فارق فيما بين المحارم، و عموم البلوى المقتضى لوضوح التكليف لو كان و ليس، بل الاستثناء في الآية، دليل العدم مع أولويّة موضع الزينة من غير العورة بالمنع؛ و بالجملة فلحوق المحارم بالأجنبيّات ضعيف في الغاية، بعيد عن المرتكزات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التخصيص بالمحاسن دون غيرها من غير العورة مع الالتزام به عدم حلّ المجموع في الأجنبيّات،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التفسير فالظاهر إرادة العورتين و ما يعمّهما من الجسد فيه، حذراً عن التصريح بهما؛ فيراد منه في أحد الحدّين الوجه و الكفّان، و في الآخر، العورتان، و الخاص بالمحارم ما بينهما، فلاحظ</w:t>
      </w:r>
      <w:r>
        <w:rPr>
          <w:rFonts w:eastAsia="Amiri" w:cs="Amiri" w:ascii="Amiri" w:hAnsi="Amiri"/>
          <w:color w:val="111111"/>
          <w:sz w:val="28"/>
          <w:szCs w:val="28"/>
          <w:rtl w:val="true"/>
          <w:lang w:bidi="ar-SA"/>
        </w:rPr>
        <w:t>.</w:t>
      </w:r>
    </w:p>
    <w:p>
      <w:pPr>
        <w:pStyle w:val="Heading4"/>
        <w:numPr>
          <w:ilvl w:val="3"/>
          <w:numId w:val="1"/>
        </w:numPr>
        <w:rPr/>
      </w:pPr>
      <w:bookmarkStart w:id="2963" w:name="__RefHeading___Toc3599811_1067777946"/>
      <w:bookmarkStart w:id="2964" w:name="_Toc1226"/>
      <w:bookmarkEnd w:id="2963"/>
      <w:r>
        <w:rPr>
          <w:rtl w:val="true"/>
        </w:rPr>
        <w:t>ملازمة حرمة النظر إلى الامرأة مع حرمة التكشّف</w:t>
      </w:r>
      <w:bookmarkEnd w:id="2964"/>
    </w:p>
    <w:p>
      <w:pPr>
        <w:pStyle w:val="BookText"/>
        <w:rPr/>
      </w:pPr>
      <w:r>
        <w:rPr>
          <w:rFonts w:ascii="Amiri" w:hAnsi="Amiri" w:eastAsia="Amiri" w:cs="Amiri"/>
          <w:color w:val="111111"/>
          <w:sz w:val="28"/>
          <w:sz w:val="28"/>
          <w:szCs w:val="28"/>
          <w:rtl w:val="true"/>
          <w:lang w:bidi="ar-SA"/>
        </w:rPr>
        <w:t>إذا حرم النظر الى المرأة حرم التكشف عليها فيه خاصة و إن لم تتحقّق إعانة محرمة؛ و هو الأحوط في تكشّف الرجل لدى النساء في غير العورتين، إلّا مع الإعانة المحرّمة و شروطها، فالحرمة متيقّنة حينئذ</w:t>
      </w:r>
      <w:r>
        <w:rPr>
          <w:rFonts w:eastAsia="Amiri" w:cs="Amiri" w:ascii="Amiri" w:hAnsi="Amiri"/>
          <w:color w:val="111111"/>
          <w:sz w:val="28"/>
          <w:szCs w:val="28"/>
          <w:rtl w:val="true"/>
          <w:lang w:bidi="ar-SA"/>
        </w:rPr>
        <w:t>.</w:t>
      </w:r>
    </w:p>
    <w:p>
      <w:pPr>
        <w:pStyle w:val="Heading4"/>
        <w:numPr>
          <w:ilvl w:val="3"/>
          <w:numId w:val="1"/>
        </w:numPr>
        <w:rPr/>
      </w:pPr>
      <w:bookmarkStart w:id="2965" w:name="__RefHeading___Toc3599813_1067777946"/>
      <w:bookmarkStart w:id="2966" w:name="_Toc1227"/>
      <w:bookmarkEnd w:id="2965"/>
      <w:r>
        <w:rPr>
          <w:rtl w:val="true"/>
        </w:rPr>
        <w:t>حكم النظر إلى الوجه و الكفّين</w:t>
      </w:r>
      <w:bookmarkEnd w:id="296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w:t>
      </w:r>
      <w:r>
        <w:rPr>
          <w:rStyle w:val="FootnoteAnchor"/>
          <w:rtl w:val="true"/>
        </w:rPr>
        <w:footnoteReference w:id="9"/>
      </w:r>
      <w:r>
        <w:rPr>
          <w:rFonts w:ascii="Amiri" w:hAnsi="Amiri" w:eastAsia="Amiri" w:cs="Amiri"/>
          <w:color w:val="111111"/>
          <w:sz w:val="28"/>
          <w:sz w:val="28"/>
          <w:szCs w:val="28"/>
          <w:rtl w:val="true"/>
          <w:lang w:bidi="ar-SA"/>
        </w:rPr>
        <w:t xml:space="preserve">جواز النظر إلى الوجه و الكفين من الأجنبيّات بلا تلذّذ و ريبة، لما مر من العسر و الحرج و عموم البلوى المقتضى لوضوح المنع لو كان؛ و ليس إلّا ما يدل بالخصوص على الجواز من الروايات التي بعضها صحيح و قد عمل بها جماعة قوية من المتقدمين و المتأخرين،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967" w:name="pg10256_89828"/>
    </w:p>
    <w:p>
      <w:pPr>
        <w:pStyle w:val="BookText"/>
        <w:rPr/>
      </w:pPr>
      <w:bookmarkEnd w:id="296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سبطه في الشرح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القول بالمنع المطلق، نادر منسوب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قصر السؤال و الجواب في الروايات عن غيرهما من الشعر و الرأس و نحوهما الدال على وضوح حكم الوجه و الكفين و النظر إليهما للأغراض العقلائيّة لا للتلذذ أو مع الريبة؛ و الواضح هو الجواز المنسوب إلى الشهرة أو الأكثر، لا المنع الذي لا يكون واضحاً و مختلفاً فيه، به خلاف الرخصة، فتدبر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قدّمناه ظهر ضعف القول بالمنع و دليله من عموم الآيتين مع الاستثناء في إحداهما و 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التفصيل بين الاُولى و الثانية، فيمكن حملها، بل دعوى الانفهام منها في ما كانت الاُولى لا متلذذاً و الثانية مع التلذّذ، للغلبة الواضحة؛ لا أنّه تجوز الاُولى و لو مع التلذّذ و تحرم الثانية و لو بلا تلذّذ، لبعد التقييد في المطلقات بالاعداد؛ فالأمر يدور بين التحريم المطلق في المتلذّذ به و التجويز مطلقاً فيما لم يتلذّذ به و لم يقصد به التلذذ المحقق، كما لا يخفى على من لاحظ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الاُولى لك و الثانية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التعبد المحض الزائد على المنساق إلى الإفهام من ثوران الشهوة بها و عدمه، كما ترى ضعيفة</w:t>
      </w:r>
      <w:r>
        <w:rPr>
          <w:rFonts w:eastAsia="Amiri" w:cs="Amiri" w:ascii="Amiri" w:hAnsi="Amiri"/>
          <w:color w:val="111111"/>
          <w:sz w:val="28"/>
          <w:szCs w:val="28"/>
          <w:rtl w:val="true"/>
          <w:lang w:bidi="ar-SA"/>
        </w:rPr>
        <w:t>.</w:t>
      </w:r>
    </w:p>
    <w:p>
      <w:pPr>
        <w:pStyle w:val="Heading4"/>
        <w:numPr>
          <w:ilvl w:val="3"/>
          <w:numId w:val="1"/>
        </w:numPr>
        <w:rPr/>
      </w:pPr>
      <w:bookmarkStart w:id="2968" w:name="__RefHeading___Toc3599815_1067777946"/>
      <w:bookmarkStart w:id="2969" w:name="_Toc1228"/>
      <w:bookmarkEnd w:id="2968"/>
      <w:r>
        <w:rPr>
          <w:rtl w:val="true"/>
        </w:rPr>
        <w:t>نظر المرأة إلى الرجل</w:t>
      </w:r>
      <w:bookmarkEnd w:id="296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تتحد المرأة مع الرجل فتمنع في موضع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يباح لها مثل ما يباح للرجل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فيما لا تتحقّق شروط حرمة الإعانة في التكشّف لدى الآخر، على الاحوط، للإجماع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ما كان يغلب كشفه من الرجال كالرأس، لا يخلو عن وجه في غير صورة اجتماع شروط الاعانة المحرمة</w:t>
      </w:r>
      <w:r>
        <w:rPr>
          <w:rFonts w:eastAsia="Amiri" w:cs="Amiri" w:ascii="Amiri" w:hAnsi="Amiri"/>
          <w:color w:val="111111"/>
          <w:sz w:val="28"/>
          <w:szCs w:val="28"/>
          <w:rtl w:val="true"/>
          <w:lang w:bidi="ar-SA"/>
        </w:rPr>
        <w:t xml:space="preserve">. </w:t>
      </w:r>
      <w:bookmarkStart w:id="2970" w:name="pg10256_89829"/>
    </w:p>
    <w:p>
      <w:pPr>
        <w:pStyle w:val="Heading4"/>
        <w:numPr>
          <w:ilvl w:val="3"/>
          <w:numId w:val="1"/>
        </w:numPr>
        <w:rPr/>
      </w:pPr>
      <w:bookmarkStart w:id="2971" w:name="__RefHeading___Toc3599817_1067777946"/>
      <w:bookmarkStart w:id="2972" w:name="_Toc1229"/>
      <w:bookmarkEnd w:id="2970"/>
      <w:bookmarkEnd w:id="2971"/>
      <w:r>
        <w:rPr>
          <w:rtl w:val="true"/>
        </w:rPr>
        <w:t>حرمة اللمس</w:t>
      </w:r>
      <w:bookmarkEnd w:id="2972"/>
    </w:p>
    <w:p>
      <w:pPr>
        <w:pStyle w:val="BookText"/>
        <w:rPr/>
      </w:pPr>
      <w:r>
        <w:rPr>
          <w:rFonts w:ascii="Amiri" w:hAnsi="Amiri" w:eastAsia="Amiri" w:cs="Amiri"/>
          <w:color w:val="111111"/>
          <w:sz w:val="28"/>
          <w:sz w:val="28"/>
          <w:szCs w:val="28"/>
          <w:rtl w:val="true"/>
          <w:lang w:bidi="ar-SA"/>
        </w:rPr>
        <w:t>اذا حرم النظر اختيارا، حرم اللمس كذلك؛ و الأظهر عدم جواز لمس الوجه و الكفين اختيارا مع البناء على جواز النظر إليهما كذلك، فلتكن المصافحة من وراء الثوب</w:t>
      </w:r>
      <w:r>
        <w:rPr>
          <w:rFonts w:eastAsia="Amiri" w:cs="Amiri" w:ascii="Amiri" w:hAnsi="Amiri"/>
          <w:color w:val="111111"/>
          <w:sz w:val="28"/>
          <w:szCs w:val="28"/>
          <w:rtl w:val="true"/>
          <w:lang w:bidi="ar-SA"/>
        </w:rPr>
        <w:t>.</w:t>
      </w:r>
    </w:p>
    <w:p>
      <w:pPr>
        <w:pStyle w:val="Heading4"/>
        <w:numPr>
          <w:ilvl w:val="3"/>
          <w:numId w:val="1"/>
        </w:numPr>
        <w:rPr/>
      </w:pPr>
      <w:bookmarkStart w:id="2973" w:name="__RefHeading___Toc3599819_1067777946"/>
      <w:bookmarkStart w:id="2974" w:name="_Toc1230"/>
      <w:bookmarkEnd w:id="2973"/>
      <w:r>
        <w:rPr>
          <w:rtl w:val="true"/>
        </w:rPr>
        <w:t>المستثنيات من حرمة النظر و اللمس</w:t>
      </w:r>
      <w:bookmarkEnd w:id="2974"/>
    </w:p>
    <w:p>
      <w:pPr>
        <w:pStyle w:val="BookText"/>
        <w:rPr/>
      </w:pPr>
      <w:r>
        <w:rPr>
          <w:rFonts w:ascii="Amiri" w:hAnsi="Amiri" w:eastAsia="Amiri" w:cs="Amiri"/>
          <w:color w:val="111111"/>
          <w:sz w:val="28"/>
          <w:sz w:val="28"/>
          <w:szCs w:val="28"/>
          <w:rtl w:val="true"/>
          <w:lang w:bidi="ar-SA"/>
        </w:rPr>
        <w:t>و يستثنى من عدم جواز النظر، كاللمس، من الرجل و المرأة، مقام الضرورة كالمعاجة و الشهادة، و القواعد من النساء، و غير المميز و المميزة، ناظراً و منظوراً اليه و لامساً و ملموساً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إلى اللمس، لم يجز النظر، و كذا العكس</w:t>
      </w:r>
      <w:r>
        <w:rPr>
          <w:rFonts w:eastAsia="Amiri" w:cs="Amiri" w:ascii="Amiri" w:hAnsi="Amiri"/>
          <w:color w:val="111111"/>
          <w:sz w:val="28"/>
          <w:szCs w:val="28"/>
          <w:rtl w:val="true"/>
          <w:lang w:bidi="ar-SA"/>
        </w:rPr>
        <w:t>.</w:t>
      </w:r>
    </w:p>
    <w:p>
      <w:pPr>
        <w:pStyle w:val="Heading4"/>
        <w:numPr>
          <w:ilvl w:val="3"/>
          <w:numId w:val="1"/>
        </w:numPr>
        <w:rPr/>
      </w:pPr>
      <w:bookmarkStart w:id="2975" w:name="__RefHeading___Toc3599821_1067777946"/>
      <w:bookmarkStart w:id="2976" w:name="_Toc1231"/>
      <w:bookmarkEnd w:id="2975"/>
      <w:r>
        <w:rPr>
          <w:rtl w:val="true"/>
        </w:rPr>
        <w:t>عدم جواز النظر الى عورة المميّز و الكشف لديه</w:t>
      </w:r>
      <w:bookmarkEnd w:id="2976"/>
    </w:p>
    <w:p>
      <w:pPr>
        <w:pStyle w:val="BookText"/>
        <w:rPr/>
      </w:pPr>
      <w:r>
        <w:rPr>
          <w:rFonts w:ascii="Amiri" w:hAnsi="Amiri" w:eastAsia="Amiri" w:cs="Amiri"/>
          <w:color w:val="111111"/>
          <w:sz w:val="28"/>
          <w:sz w:val="28"/>
          <w:szCs w:val="28"/>
          <w:rtl w:val="true"/>
          <w:lang w:bidi="ar-SA"/>
        </w:rPr>
        <w:t>و عدم جواز النظر إلى عورتى المميز و كشف العورة لديهما، هو المتجه، لعموم الآيتين و منع الانصراف إلى بلوغ المنظور إليه و المنكشف لديه؛ بل الأحوط ترك النظر إلى ما لا يجوز منهما على تقدير البلوغ، ترك التكشّف لديهما فيما لا يجوز على تقدير البلوغ و لو لم يكن نفس العورتين، و إن كان النظر و التكشف لا للتلذذ أو الريبة المتصوّرة، لما مرّ من العموم في الآيتين الشريفتين و منع الصارف</w:t>
      </w:r>
      <w:r>
        <w:rPr>
          <w:rFonts w:eastAsia="Amiri" w:cs="Amiri" w:ascii="Amiri" w:hAnsi="Amiri"/>
          <w:color w:val="111111"/>
          <w:sz w:val="28"/>
          <w:szCs w:val="28"/>
          <w:rtl w:val="true"/>
          <w:lang w:bidi="ar-SA"/>
        </w:rPr>
        <w:t>.</w:t>
      </w:r>
    </w:p>
    <w:p>
      <w:pPr>
        <w:pStyle w:val="Heading4"/>
        <w:numPr>
          <w:ilvl w:val="3"/>
          <w:numId w:val="1"/>
        </w:numPr>
        <w:rPr/>
      </w:pPr>
      <w:bookmarkStart w:id="2977" w:name="__RefHeading___Toc3599823_1067777946"/>
      <w:bookmarkStart w:id="2978" w:name="_Toc1232"/>
      <w:bookmarkEnd w:id="2977"/>
      <w:r>
        <w:rPr>
          <w:rtl w:val="true"/>
        </w:rPr>
        <w:t>النظر إلى المجانس</w:t>
      </w:r>
      <w:bookmarkEnd w:id="2978"/>
    </w:p>
    <w:p>
      <w:pPr>
        <w:pStyle w:val="BookText"/>
        <w:rPr/>
      </w:pPr>
      <w:r>
        <w:rPr>
          <w:rFonts w:ascii="Amiri" w:hAnsi="Amiri" w:eastAsia="Amiri" w:cs="Amiri"/>
          <w:color w:val="111111"/>
          <w:sz w:val="28"/>
          <w:sz w:val="28"/>
          <w:szCs w:val="28"/>
          <w:rtl w:val="true"/>
          <w:lang w:bidi="ar-SA"/>
        </w:rPr>
        <w:t>يجوز لكل من الرجل و المرأة النظر إلى ما عدا العورة من مماثله، مع الشباب و عدمه، إذا لم يكن بتلذذ او ريبة</w:t>
      </w:r>
      <w:r>
        <w:rPr>
          <w:rFonts w:eastAsia="Amiri" w:cs="Amiri" w:ascii="Amiri" w:hAnsi="Amiri"/>
          <w:color w:val="111111"/>
          <w:sz w:val="28"/>
          <w:szCs w:val="28"/>
          <w:rtl w:val="true"/>
          <w:lang w:bidi="ar-SA"/>
        </w:rPr>
        <w:t>.</w:t>
      </w:r>
    </w:p>
    <w:p>
      <w:pPr>
        <w:pStyle w:val="Heading4"/>
        <w:numPr>
          <w:ilvl w:val="3"/>
          <w:numId w:val="1"/>
        </w:numPr>
        <w:rPr/>
      </w:pPr>
      <w:bookmarkStart w:id="2979" w:name="__RefHeading___Toc3599825_1067777946"/>
      <w:bookmarkStart w:id="2980" w:name="_Toc1233"/>
      <w:bookmarkEnd w:id="2979"/>
      <w:r>
        <w:rPr>
          <w:rtl w:val="true"/>
        </w:rPr>
        <w:t>عدم جواز نظر المالكة إلى الخصىّ‌</w:t>
      </w:r>
      <w:bookmarkEnd w:id="298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عدم جواز نظر المالكة إلى الخصي المملوك لها و بالعكس و هو الأحوط، و إن كان يحتمل 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اَلتّٰابِعِينَ غَيْرِ أُولِي اَلْإِرْبَةِ‌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بل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مَلَكَتْ‌ </w:t>
      </w:r>
      <w:bookmarkStart w:id="2981" w:name="pg10256_89830"/>
    </w:p>
    <w:p>
      <w:pPr>
        <w:pStyle w:val="BookText"/>
        <w:rPr/>
      </w:pPr>
      <w:bookmarkEnd w:id="2981"/>
      <w:r>
        <w:rPr>
          <w:rFonts w:ascii="Amiri" w:hAnsi="Amiri" w:eastAsia="Amiri" w:cs="Amiri"/>
          <w:color w:val="111111"/>
          <w:sz w:val="28"/>
          <w:sz w:val="28"/>
          <w:szCs w:val="28"/>
          <w:rtl w:val="true"/>
          <w:lang w:bidi="ar-SA"/>
        </w:rPr>
        <w:t>أَيْمٰانُهُنَّ‌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الاُولى لا تتقيد بالملك، كما أنّ الثانية، لا تتقيّد بالإخصاء موافقة لما في الصحيح و الموثق</w:t>
      </w:r>
      <w:r>
        <w:rPr>
          <w:rFonts w:eastAsia="Amiri" w:cs="Amiri" w:ascii="Amiri" w:hAnsi="Amiri"/>
          <w:color w:val="111111"/>
          <w:sz w:val="28"/>
          <w:szCs w:val="28"/>
          <w:rtl w:val="true"/>
          <w:lang w:bidi="ar-SA"/>
        </w:rPr>
        <w:t>.</w:t>
      </w:r>
    </w:p>
    <w:p>
      <w:pPr>
        <w:pStyle w:val="Heading4"/>
        <w:numPr>
          <w:ilvl w:val="3"/>
          <w:numId w:val="1"/>
        </w:numPr>
        <w:rPr/>
      </w:pPr>
      <w:bookmarkStart w:id="2982" w:name="__RefHeading___Toc3599827_1067777946"/>
      <w:bookmarkStart w:id="2983" w:name="_Toc1234"/>
      <w:bookmarkEnd w:id="2982"/>
      <w:r>
        <w:rPr>
          <w:rtl w:val="true"/>
        </w:rPr>
        <w:t>الاستمتاع</w:t>
      </w:r>
      <w:bookmarkEnd w:id="298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الوطى في دبر المرأة، زوجة كانت او امة، فيه اختلاف قولاً و رواية، و الأشهر الأقوى الجواز على كراهة شديدة، بل عن التذكرة الإجماع عليه، لأظهرية المجوّز الصحيح روايةً من المانع لو سلم تماميّة الدلالة و السند فيه</w:t>
      </w:r>
      <w:r>
        <w:rPr>
          <w:rFonts w:eastAsia="Amiri" w:cs="Amiri" w:ascii="Amiri" w:hAnsi="Amiri"/>
          <w:color w:val="111111"/>
          <w:sz w:val="28"/>
          <w:szCs w:val="28"/>
          <w:rtl w:val="true"/>
          <w:lang w:bidi="ar-SA"/>
        </w:rPr>
        <w:t>.</w:t>
      </w:r>
    </w:p>
    <w:p>
      <w:pPr>
        <w:pStyle w:val="Heading4"/>
        <w:numPr>
          <w:ilvl w:val="3"/>
          <w:numId w:val="1"/>
        </w:numPr>
        <w:rPr/>
      </w:pPr>
      <w:bookmarkStart w:id="2984" w:name="__RefHeading___Toc3599829_1067777946"/>
      <w:bookmarkStart w:id="2985" w:name="_Toc1235"/>
      <w:bookmarkEnd w:id="2984"/>
      <w:r>
        <w:rPr>
          <w:rtl w:val="true"/>
        </w:rPr>
        <w:t>العزل</w:t>
      </w:r>
      <w:bookmarkEnd w:id="298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العزل اختياراً عن الحرّة به غير إذنها و لو ما كان حاصلاً بالشرط في العقد على كراهة، و في المستمرّ الموجب لجعلها مريضة عقيماً تأمل، و على المنع في الأصل؛ فالأحوط وجوب دية النطفة، أعني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 في العزل عن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العزل للحرّة بدون إذن الزوج تأمّل</w:t>
      </w:r>
      <w:r>
        <w:rPr>
          <w:rFonts w:eastAsia="Amiri" w:cs="Amiri" w:ascii="Amiri" w:hAnsi="Amiri"/>
          <w:color w:val="111111"/>
          <w:sz w:val="28"/>
          <w:szCs w:val="28"/>
          <w:rtl w:val="true"/>
          <w:lang w:bidi="ar-SA"/>
        </w:rPr>
        <w:t>.</w:t>
      </w:r>
    </w:p>
    <w:p>
      <w:pPr>
        <w:pStyle w:val="Heading4"/>
        <w:numPr>
          <w:ilvl w:val="3"/>
          <w:numId w:val="1"/>
        </w:numPr>
        <w:rPr/>
      </w:pPr>
      <w:bookmarkStart w:id="2986" w:name="__RefHeading___Toc3599831_1067777946"/>
      <w:bookmarkStart w:id="2987" w:name="_Toc1236"/>
      <w:bookmarkEnd w:id="2986"/>
      <w:r>
        <w:rPr>
          <w:rtl w:val="true"/>
        </w:rPr>
        <w:t>سن المرأة</w:t>
      </w:r>
      <w:bookmarkEnd w:id="298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يدخل الرجل بالمرأة حتى يمضي لها تسع سنين هلالية، فإن دخل بها قبله، عصى و لم تحرم المرأة مؤبّداً على الأظهر و لا يترتّب عليه غير الإثم، و لا مانع من سائر الاستمتاعات قبل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كلامهم عدم الفرق بين المزوّجة بقسميها و الأمة؛ و مبناه، إلغاء الخصوصيّة في سند المنع الظاهر في شرطيّة التزويج، و هو موافق للاحتياط</w:t>
      </w:r>
      <w:r>
        <w:rPr>
          <w:rFonts w:eastAsia="Amiri" w:cs="Amiri" w:ascii="Amiri" w:hAnsi="Amiri"/>
          <w:color w:val="111111"/>
          <w:sz w:val="28"/>
          <w:szCs w:val="28"/>
          <w:rtl w:val="true"/>
          <w:lang w:bidi="ar-SA"/>
        </w:rPr>
        <w:t>.</w:t>
      </w:r>
    </w:p>
    <w:p>
      <w:pPr>
        <w:pStyle w:val="Heading4"/>
        <w:numPr>
          <w:ilvl w:val="3"/>
          <w:numId w:val="1"/>
        </w:numPr>
        <w:rPr/>
      </w:pPr>
      <w:bookmarkStart w:id="2988" w:name="__RefHeading___Toc3599833_1067777946"/>
      <w:bookmarkStart w:id="2989" w:name="_Toc1237"/>
      <w:bookmarkEnd w:id="2988"/>
      <w:r>
        <w:rPr>
          <w:rtl w:val="true"/>
        </w:rPr>
        <w:t>حكم افضاء الصغيرة</w:t>
      </w:r>
      <w:bookmarkEnd w:id="298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تزوّج صغيرة فدخل بها قبل كمال التسع، فأفضاها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جعل مسلك البول و الحيض واحداً، على الأظهر في مفهوم الافضاء؛ و كذا جعل مسلكى الحيض و الغائط </w:t>
      </w:r>
      <w:bookmarkStart w:id="2990" w:name="pg10256_89831"/>
    </w:p>
    <w:p>
      <w:pPr>
        <w:pStyle w:val="BookText"/>
        <w:rPr/>
      </w:pPr>
      <w:bookmarkEnd w:id="2990"/>
      <w:r>
        <w:rPr>
          <w:rFonts w:ascii="Amiri" w:hAnsi="Amiri" w:eastAsia="Amiri" w:cs="Amiri"/>
          <w:color w:val="111111"/>
          <w:sz w:val="28"/>
          <w:sz w:val="28"/>
          <w:szCs w:val="28"/>
          <w:rtl w:val="true"/>
          <w:lang w:bidi="ar-SA"/>
        </w:rPr>
        <w:t>واحداً للأولوية الموافقة للاحتياط، حرم عليه مؤبّداً وطيها، و لم تخرج من حباله إلّا بالطلاق؛ و عليه الإنفاق عليها ما دامت حيّة؛ و عليه الدّية مضافة إلى المهر الذي استحقّت تمامه بالدخول، و الدية، دية المرأة الحرة كاملة مع عدم الاندمال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إطلاق بعض الصحاح، عدم اختصاص الحكم بالإجراء بالدائمة،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المنقطعة؛ و لا يبعد عدم اختصاص الدية أيضاً بالدائمة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التحريم في الأمة و الأجنبية أيضاً و إن كانت بالزنا؛ و مبناه، على إلغاء الخصوصيّة و هو غير واضح، و كذا الإفضاء به غير الوطى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الصحيح عدم الأثر للإفضاء بالدخول بعد التسع، و يحتمل ثبوت الإنفاق عليها أيضاً فهو الأحوط؛ فيمكن لحوق ما تقدم من موارد الإلغاء، بما بعد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الدية في الجميع ممّا ذكر في غير وطى الزوجة بعد التسع، فلا ينبغي الاستشكال فيه في غير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أحكام الزوجيّة ثابتة قبل الطلاق من التوارث و تحريم الخامسة و الجمع بين الاُختين؛ كما أنّ وجوب الانفاق مطلق لصورة الطلاق، بل التزوج بالغير أيضاً على الأظهر</w:t>
      </w:r>
      <w:r>
        <w:rPr>
          <w:rFonts w:eastAsia="Amiri" w:cs="Amiri" w:ascii="Amiri" w:hAnsi="Amiri"/>
          <w:color w:val="111111"/>
          <w:sz w:val="28"/>
          <w:szCs w:val="28"/>
          <w:rtl w:val="true"/>
          <w:lang w:bidi="ar-SA"/>
        </w:rPr>
        <w:t>.</w:t>
      </w:r>
    </w:p>
    <w:p>
      <w:pPr>
        <w:pStyle w:val="Heading4"/>
        <w:numPr>
          <w:ilvl w:val="3"/>
          <w:numId w:val="1"/>
        </w:numPr>
        <w:rPr/>
      </w:pPr>
      <w:bookmarkStart w:id="2991" w:name="__RefHeading___Toc3599835_1067777946"/>
      <w:bookmarkStart w:id="2992" w:name="_Toc1238"/>
      <w:bookmarkEnd w:id="2991"/>
      <w:r>
        <w:rPr>
          <w:rtl w:val="true"/>
        </w:rPr>
        <w:t>كراهة مجيء المسافر عند الأهل في الليل</w:t>
      </w:r>
      <w:bookmarkEnd w:id="299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للمسافر أن يدخل على أهله، و لو لم يكن زوجته، ليلاً حتى يصبح في رجوعه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الحكم مطلق أو يختص بما بعد المبيت و غلق الأبواب‌؟ لعلّ المناسبة المرتكزة من المعرضية للإيذاء تقتضى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الرّضوى عليه السلام</w:t>
      </w:r>
      <w:r>
        <w:rPr>
          <w:rFonts w:eastAsia="Amiri" w:cs="Amiri" w:ascii="Amiri" w:hAnsi="Amiri"/>
          <w:color w:val="111111"/>
          <w:sz w:val="28"/>
          <w:szCs w:val="28"/>
          <w:rtl w:val="true"/>
          <w:lang w:bidi="ar-SA"/>
        </w:rPr>
        <w:t xml:space="preserve">. </w:t>
      </w:r>
      <w:bookmarkStart w:id="2993" w:name="pg10256_89832"/>
    </w:p>
    <w:p>
      <w:pPr>
        <w:pStyle w:val="Heading3"/>
        <w:numPr>
          <w:ilvl w:val="2"/>
          <w:numId w:val="1"/>
        </w:numPr>
        <w:rPr/>
      </w:pPr>
      <w:bookmarkStart w:id="2994" w:name="__RefHeading___Toc3599837_1067777946"/>
      <w:bookmarkStart w:id="2995" w:name="_Toc1239"/>
      <w:bookmarkEnd w:id="2993"/>
      <w:bookmarkEnd w:id="2994"/>
      <w:r>
        <w:rPr>
          <w:rtl w:val="true"/>
        </w:rPr>
        <w:t>فصل دوّم در اولياى عقد نكاح</w:t>
      </w:r>
      <w:bookmarkEnd w:id="2995"/>
    </w:p>
    <w:p>
      <w:pPr>
        <w:pStyle w:val="Heading4"/>
        <w:numPr>
          <w:ilvl w:val="3"/>
          <w:numId w:val="1"/>
        </w:numPr>
        <w:rPr/>
      </w:pPr>
      <w:bookmarkStart w:id="2996" w:name="__RefHeading___Toc3599839_1067777946"/>
      <w:bookmarkStart w:id="2997" w:name="_Toc1240"/>
      <w:bookmarkEnd w:id="2996"/>
      <w:r>
        <w:rPr>
          <w:rtl w:val="true"/>
        </w:rPr>
        <w:t>اشاره</w:t>
      </w:r>
      <w:bookmarkEnd w:id="29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الأنبياء محمد و آله سادة الأوصياء و اللعن علىٰ أعدائهم اجمعين</w:t>
      </w:r>
      <w:r>
        <w:rPr>
          <w:rFonts w:eastAsia="Amiri" w:cs="Amiri" w:ascii="Amiri" w:hAnsi="Amiri"/>
          <w:color w:val="111111"/>
          <w:sz w:val="28"/>
          <w:szCs w:val="28"/>
          <w:rtl w:val="true"/>
          <w:lang w:bidi="ar-SA"/>
        </w:rPr>
        <w:t>.</w:t>
      </w:r>
    </w:p>
    <w:p>
      <w:pPr>
        <w:pStyle w:val="Heading4"/>
        <w:numPr>
          <w:ilvl w:val="3"/>
          <w:numId w:val="1"/>
        </w:numPr>
        <w:rPr/>
      </w:pPr>
      <w:bookmarkStart w:id="2998" w:name="__RefHeading___Toc3599841_1067777946"/>
      <w:bookmarkStart w:id="2999" w:name="_Toc1241"/>
      <w:bookmarkEnd w:id="2998"/>
      <w:r>
        <w:rPr>
          <w:rtl w:val="true"/>
        </w:rPr>
        <w:t>اولياى عقد نكاح</w:t>
      </w:r>
      <w:bookmarkEnd w:id="2999"/>
    </w:p>
    <w:p>
      <w:pPr>
        <w:pStyle w:val="BookText"/>
        <w:rPr/>
      </w:pPr>
      <w:r>
        <w:rPr>
          <w:rFonts w:ascii="IRNazanin" w:hAnsi="IRNazanin" w:eastAsia="IRNazanin"/>
          <w:color w:val="111111"/>
          <w:sz w:val="28"/>
          <w:sz w:val="28"/>
          <w:szCs w:val="28"/>
          <w:rtl w:val="true"/>
          <w:lang w:bidi="fa-IR"/>
        </w:rPr>
        <w:t>ولايت نيست در عقد نكاح براى غير پدر، و جدّ پدرى، و مولاى عبد و امه، و وصىّ‌، و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زياده و نقيصه بر اينها، خلافى است غير معتدّ به؛ و در خصوص وصىّ و در ولايت حاكم در بعض موارد، خلافى است كه مذكور مى شود ان شاء اللّٰه</w:t>
      </w:r>
      <w:r>
        <w:rPr>
          <w:rFonts w:eastAsia="IRNazanin" w:cs="IRNazanin"/>
          <w:color w:val="111111"/>
          <w:sz w:val="28"/>
          <w:szCs w:val="28"/>
          <w:rtl w:val="true"/>
          <w:lang w:bidi="fa-IR"/>
        </w:rPr>
        <w:t>.</w:t>
      </w:r>
    </w:p>
    <w:p>
      <w:pPr>
        <w:pStyle w:val="Heading4"/>
        <w:numPr>
          <w:ilvl w:val="3"/>
          <w:numId w:val="1"/>
        </w:numPr>
        <w:rPr/>
      </w:pPr>
      <w:bookmarkStart w:id="3000" w:name="__RefHeading___Toc3599843_1067777946"/>
      <w:bookmarkStart w:id="3001" w:name="_Toc1242"/>
      <w:bookmarkEnd w:id="3000"/>
      <w:r>
        <w:rPr>
          <w:rtl w:val="true"/>
        </w:rPr>
        <w:t>مراد از جدّ پدرى و عدم اشتراط ولايت او به بقاى پدر</w:t>
      </w:r>
      <w:bookmarkEnd w:id="3001"/>
    </w:p>
    <w:p>
      <w:pPr>
        <w:pStyle w:val="BookText"/>
        <w:rPr/>
      </w:pPr>
      <w:r>
        <w:rPr>
          <w:rFonts w:ascii="IRNazanin" w:hAnsi="IRNazanin" w:eastAsia="IRNazanin"/>
          <w:color w:val="111111"/>
          <w:sz w:val="28"/>
          <w:sz w:val="28"/>
          <w:szCs w:val="28"/>
          <w:rtl w:val="true"/>
          <w:lang w:bidi="fa-IR"/>
        </w:rPr>
        <w:t>و شرط نيست در ولايتِ جدّ، بقاى پدر، بنابر اظهر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جدّ پدرى آن است كه نسبتش فقط از طريق پدر باشد؛ پس جدّ مادرىِ پدران ولايت ندارد</w:t>
      </w:r>
      <w:r>
        <w:rPr>
          <w:rFonts w:eastAsia="IRNazanin" w:cs="IRNazanin"/>
          <w:color w:val="111111"/>
          <w:sz w:val="28"/>
          <w:szCs w:val="28"/>
          <w:rtl w:val="true"/>
          <w:lang w:bidi="fa-IR"/>
        </w:rPr>
        <w:t>.</w:t>
      </w:r>
    </w:p>
    <w:p>
      <w:pPr>
        <w:pStyle w:val="Heading4"/>
        <w:numPr>
          <w:ilvl w:val="3"/>
          <w:numId w:val="1"/>
        </w:numPr>
        <w:rPr/>
      </w:pPr>
      <w:bookmarkStart w:id="3002" w:name="__RefHeading___Toc3599845_1067777946"/>
      <w:bookmarkStart w:id="3003" w:name="_Toc1243"/>
      <w:bookmarkEnd w:id="3002"/>
      <w:r>
        <w:rPr>
          <w:rtl w:val="true"/>
        </w:rPr>
        <w:t>نفوذ عقد ولىّ بعد از كبير شدن</w:t>
      </w:r>
      <w:bookmarkEnd w:id="300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تزويج ولىّ‌، اختيار فسخ با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كبير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عقد ولى، نافذ است، چه پسر باشد صغير، چنانچه مشهور و اظهر است؛ يا دختر، چنانچه اتفاقى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نيست بقاى بكارت در ولايت بر صغيره</w:t>
      </w:r>
      <w:r>
        <w:rPr>
          <w:rFonts w:eastAsia="IRNazanin" w:cs="IRNazanin"/>
          <w:color w:val="111111"/>
          <w:sz w:val="28"/>
          <w:szCs w:val="28"/>
          <w:rtl w:val="true"/>
          <w:lang w:bidi="fa-IR"/>
        </w:rPr>
        <w:t xml:space="preserve">. </w:t>
      </w:r>
      <w:bookmarkStart w:id="3004" w:name="pg10256_89833"/>
    </w:p>
    <w:p>
      <w:pPr>
        <w:pStyle w:val="Heading4"/>
        <w:numPr>
          <w:ilvl w:val="3"/>
          <w:numId w:val="1"/>
        </w:numPr>
        <w:rPr/>
      </w:pPr>
      <w:bookmarkStart w:id="3005" w:name="__RefHeading___Toc3599847_1067777946"/>
      <w:bookmarkStart w:id="3006" w:name="_Toc1244"/>
      <w:bookmarkEnd w:id="3004"/>
      <w:bookmarkEnd w:id="3005"/>
      <w:r>
        <w:rPr>
          <w:rtl w:val="true"/>
        </w:rPr>
        <w:t>موارد عدم ولايت اب و جدّ</w:t>
      </w:r>
      <w:bookmarkEnd w:id="3006"/>
    </w:p>
    <w:p>
      <w:pPr>
        <w:pStyle w:val="BookText"/>
        <w:rPr/>
      </w:pPr>
      <w:r>
        <w:rPr>
          <w:rFonts w:ascii="IRNazanin" w:hAnsi="IRNazanin" w:eastAsia="IRNazanin"/>
          <w:color w:val="111111"/>
          <w:sz w:val="28"/>
          <w:sz w:val="28"/>
          <w:szCs w:val="28"/>
          <w:rtl w:val="true"/>
          <w:lang w:bidi="fa-IR"/>
        </w:rPr>
        <w:t>و ولايت ندارد اب و جدّ بر پسر بالغ رشيد، و نه بر زن ثيّب رشيده، و نه در مال بر بكر بالغۀ رشيده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مستقلّ است بكر بالغۀ رشيده در نكاح در صورت نبودن اب و جدّ يا عدم شروط ولايت در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در صورت وجود اب و جدّ و اتّصاف آنها به شروط ولايت، استقلال دارد بكر بالغۀ رشيده، يا ثيّب به غير جماع فى الجمله، يا موطوئه از غير محل ولادت، يا نه ؟ خلاف است بين اقوال و محتملات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بكر بالغۀ رشيده مطلقاً؛ و ولايت اب و جدّ ابى مطلقاً؛ و تفصيل بين دوام و متعه به دو قول، لكن معلوم نيست قايل به ولايت اب در متعه نه دوام اگر چه مروىّ است؛ و تشريك بين دختر و اب با جدّ؛ و اختصاص شراكت به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اقوال، تشريك مطلق است، و اظهر استقلال بكر است مطلقاً، كه قول اوّل و مشهور بين متأخرين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صورت غيبت منقطعۀ اب و جدّ به نحوى كه ضرر يا حرج در ترك تزويج باشد، ولايت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عضل ولىّ و منع از تزويج با كفو با رغبت طرفين، ولايت ساقط است، بنابر ثبوت ولايت در غير اين دو صورت، كه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 رجحان شرعى آن يعنى تشريك،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كفايت به آن معنى كه شرط است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مقابل عيب و نقص عرفى از قبيل پستى حسب، منع ولىّ به جا و جايز است، اگر چه مبطل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بنابر مختار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يكى از دو ولىّ عضلِ ممنوع كرد، ولايت او ساقط است، و ولايت ديگرى به </w:t>
      </w:r>
      <w:bookmarkStart w:id="3007" w:name="pg10256_89834"/>
    </w:p>
    <w:p>
      <w:pPr>
        <w:pStyle w:val="BookText"/>
        <w:rPr/>
      </w:pPr>
      <w:bookmarkEnd w:id="3007"/>
      <w:r>
        <w:rPr>
          <w:rFonts w:ascii="Amiri" w:hAnsi="Amiri" w:eastAsia="Amiri" w:cs="Amiri"/>
          <w:color w:val="111111"/>
          <w:sz w:val="28"/>
          <w:sz w:val="28"/>
          <w:szCs w:val="28"/>
          <w:rtl w:val="true"/>
          <w:lang w:bidi="ar-SA"/>
        </w:rPr>
        <w:t>نحوى كه مذكور شد،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 و جدّ ولايت بر ثيّب ندارند كه بكارت او به جماع زايل شده باشد، قبل از بلوغ يا بعد از آن؛ و بر بالغ رشيد ولايت ندارند</w:t>
      </w:r>
      <w:r>
        <w:rPr>
          <w:rFonts w:eastAsia="Amiri" w:cs="Amiri" w:ascii="Amiri" w:hAnsi="Amiri"/>
          <w:color w:val="111111"/>
          <w:sz w:val="28"/>
          <w:szCs w:val="28"/>
          <w:rtl w:val="true"/>
          <w:lang w:bidi="ar-SA"/>
        </w:rPr>
        <w:t>.</w:t>
      </w:r>
    </w:p>
    <w:p>
      <w:pPr>
        <w:pStyle w:val="Heading4"/>
        <w:numPr>
          <w:ilvl w:val="3"/>
          <w:numId w:val="1"/>
        </w:numPr>
        <w:rPr/>
      </w:pPr>
      <w:bookmarkStart w:id="3008" w:name="__RefHeading___Toc3599849_1067777946"/>
      <w:bookmarkStart w:id="3009" w:name="_Toc1245"/>
      <w:bookmarkEnd w:id="3008"/>
      <w:r>
        <w:rPr>
          <w:rtl w:val="true"/>
        </w:rPr>
        <w:t>ولى بر مجنون در ازدواج</w:t>
      </w:r>
      <w:bookmarkEnd w:id="3009"/>
    </w:p>
    <w:p>
      <w:pPr>
        <w:pStyle w:val="BookText"/>
        <w:rPr/>
      </w:pPr>
      <w:r>
        <w:rPr>
          <w:rFonts w:ascii="IRNazanin" w:hAnsi="IRNazanin" w:eastAsia="IRNazanin"/>
          <w:color w:val="111111"/>
          <w:sz w:val="28"/>
          <w:sz w:val="28"/>
          <w:szCs w:val="28"/>
          <w:rtl w:val="true"/>
          <w:lang w:bidi="fa-IR"/>
        </w:rPr>
        <w:t>و اگر بكر يا ثيب يا بالغ پسر، مبتلى به جنون متصل به بلوغ بودند، ولايت بر آنها باقى است؛ و اگر جنون آنها منفصل از بلوغ بود، اظهر ولايت حاكم است بر آنها، و بعد از افاقه اختيار فسخ ندارند</w:t>
      </w:r>
      <w:r>
        <w:rPr>
          <w:rFonts w:eastAsia="IRNazanin" w:cs="IRNazanin"/>
          <w:color w:val="111111"/>
          <w:sz w:val="28"/>
          <w:szCs w:val="28"/>
          <w:rtl w:val="true"/>
          <w:lang w:bidi="fa-IR"/>
        </w:rPr>
        <w:t>.</w:t>
      </w:r>
    </w:p>
    <w:p>
      <w:pPr>
        <w:pStyle w:val="Heading4"/>
        <w:numPr>
          <w:ilvl w:val="3"/>
          <w:numId w:val="1"/>
        </w:numPr>
        <w:rPr/>
      </w:pPr>
      <w:bookmarkStart w:id="3010" w:name="__RefHeading___Toc3599851_1067777946"/>
      <w:bookmarkStart w:id="3011" w:name="_Toc1246"/>
      <w:bookmarkEnd w:id="3010"/>
      <w:r>
        <w:rPr>
          <w:rtl w:val="true"/>
        </w:rPr>
        <w:t>تزويج امه و عبد</w:t>
      </w:r>
      <w:bookmarkEnd w:id="3011"/>
    </w:p>
    <w:p>
      <w:pPr>
        <w:pStyle w:val="BookText"/>
        <w:rPr/>
      </w:pPr>
      <w:r>
        <w:rPr>
          <w:rFonts w:ascii="IRNazanin" w:hAnsi="IRNazanin" w:eastAsia="IRNazanin"/>
          <w:color w:val="111111"/>
          <w:sz w:val="28"/>
          <w:sz w:val="28"/>
          <w:szCs w:val="28"/>
          <w:rtl w:val="true"/>
          <w:lang w:bidi="fa-IR"/>
        </w:rPr>
        <w:t xml:space="preserve">مولىٰ مملوكۀ خودش را مى تواند تزويج نمايد، چه صغيره باشد چه كبيره، چه عاقله باشد چه مجنونه، با رغبت آنها و كراهت آنها، و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نكاح مالك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در تزويج عبد در صور متقدمه، اگر چه اختيار طلاق با زوج است، لكن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محقّق نشده، اجبار بر لوازم نكاح مى تواند نمايد، و قبول را مى تواند خودش انشا نمايد و مى تواند الزام عبد بر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مبعّض ولايت ندارد؛ بلكه با توافق شركا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مملوك، مسلمان باشد، مالكِ كافر، ولايت در تزويج او ندارد، و احوط رعايت اذن حاكم است، مثل ولىّ طفل و مجنون در مملوك آنها</w:t>
      </w:r>
      <w:r>
        <w:rPr>
          <w:rFonts w:eastAsia="IRNazanin" w:cs="IRNazanin"/>
          <w:color w:val="111111"/>
          <w:sz w:val="28"/>
          <w:szCs w:val="28"/>
          <w:rtl w:val="true"/>
          <w:lang w:bidi="fa-IR"/>
        </w:rPr>
        <w:t>.</w:t>
      </w:r>
    </w:p>
    <w:p>
      <w:pPr>
        <w:pStyle w:val="Heading4"/>
        <w:numPr>
          <w:ilvl w:val="3"/>
          <w:numId w:val="1"/>
        </w:numPr>
        <w:rPr/>
      </w:pPr>
      <w:bookmarkStart w:id="3012" w:name="__RefHeading___Toc3599853_1067777946"/>
      <w:bookmarkStart w:id="3013" w:name="_Toc1247"/>
      <w:bookmarkEnd w:id="3012"/>
      <w:r>
        <w:rPr>
          <w:rtl w:val="true"/>
        </w:rPr>
        <w:t>محدودۀ ولايت حاكم در تزويج غير بالغ</w:t>
      </w:r>
      <w:bookmarkEnd w:id="3013"/>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حاكم در تزويج غير بالغ از پسر و دختر در صورت فقد اب و جدّ، محتمل است؛ چنانكه اب و جدّ ولايت دارند، لكن خلاف احتياط است در غير موارد ضرورت و مصلحت لازمۀ طفل</w:t>
      </w:r>
      <w:r>
        <w:rPr>
          <w:rFonts w:eastAsia="IRNazanin" w:cs="IRNazanin"/>
          <w:color w:val="111111"/>
          <w:sz w:val="28"/>
          <w:szCs w:val="28"/>
          <w:rtl w:val="true"/>
          <w:lang w:bidi="fa-IR"/>
        </w:rPr>
        <w:t xml:space="preserve">. </w:t>
      </w:r>
      <w:bookmarkStart w:id="3014" w:name="pg10256_89835"/>
    </w:p>
    <w:p>
      <w:pPr>
        <w:pStyle w:val="Heading4"/>
        <w:numPr>
          <w:ilvl w:val="3"/>
          <w:numId w:val="1"/>
        </w:numPr>
        <w:rPr/>
      </w:pPr>
      <w:bookmarkStart w:id="3015" w:name="__RefHeading___Toc3599855_1067777946"/>
      <w:bookmarkStart w:id="3016" w:name="_Toc1248"/>
      <w:bookmarkEnd w:id="3014"/>
      <w:bookmarkEnd w:id="3015"/>
      <w:r>
        <w:rPr>
          <w:rtl w:val="true"/>
        </w:rPr>
        <w:t>عدم ولايت بر بالغ رشيد</w:t>
      </w:r>
      <w:bookmarkEnd w:id="3016"/>
    </w:p>
    <w:p>
      <w:pPr>
        <w:pStyle w:val="BookText"/>
        <w:rPr/>
      </w:pPr>
      <w:r>
        <w:rPr>
          <w:rFonts w:ascii="IRNazanin" w:hAnsi="IRNazanin" w:eastAsia="IRNazanin"/>
          <w:color w:val="111111"/>
          <w:sz w:val="28"/>
          <w:sz w:val="28"/>
          <w:szCs w:val="28"/>
          <w:rtl w:val="true"/>
          <w:lang w:bidi="fa-IR"/>
        </w:rPr>
        <w:t xml:space="preserve">و بر بالغ رشيد، حاكم و غير حاكم، ولايت ندارد؛ و اگر در حال بلوغ بدون رشد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عروض جنون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ديگرى نداشت، حاكم ولايت دارد در نكاح در صورت مصلحت</w:t>
      </w:r>
      <w:r>
        <w:rPr>
          <w:rFonts w:eastAsia="IRNazanin" w:cs="IRNazanin"/>
          <w:color w:val="111111"/>
          <w:sz w:val="28"/>
          <w:szCs w:val="28"/>
          <w:rtl w:val="true"/>
          <w:lang w:bidi="fa-IR"/>
        </w:rPr>
        <w:t>.</w:t>
      </w:r>
    </w:p>
    <w:p>
      <w:pPr>
        <w:pStyle w:val="Heading4"/>
        <w:numPr>
          <w:ilvl w:val="3"/>
          <w:numId w:val="1"/>
        </w:numPr>
        <w:rPr/>
      </w:pPr>
      <w:bookmarkStart w:id="3017" w:name="__RefHeading___Toc3599857_1067777946"/>
      <w:bookmarkStart w:id="3018" w:name="_Toc1249"/>
      <w:bookmarkEnd w:id="3017"/>
      <w:r>
        <w:rPr>
          <w:rtl w:val="true"/>
        </w:rPr>
        <w:t>ولايت وصى اب و جدّ در تزويج صغير و صغيره</w:t>
      </w:r>
      <w:bookmarkEnd w:id="3018"/>
    </w:p>
    <w:p>
      <w:pPr>
        <w:pStyle w:val="BookText"/>
        <w:rPr/>
      </w:pPr>
      <w:r>
        <w:rPr>
          <w:rFonts w:ascii="IRNazanin" w:hAnsi="IRNazanin" w:eastAsia="IRNazanin"/>
          <w:color w:val="111111"/>
          <w:sz w:val="28"/>
          <w:sz w:val="28"/>
          <w:szCs w:val="28"/>
          <w:rtl w:val="true"/>
          <w:lang w:bidi="fa-IR"/>
        </w:rPr>
        <w:t>و اظهر ثبوت ولايت است براى وصىّ اب و جدّ در تزويج صغير و صغيره، با ملاحظۀ مصلحت ايشان، بدون فرق بين وصايت عام، يا خاص به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ولايت دارد وصىّ‌، در تزويج كسى كه بالغ بشود در حال جنون، از اولاد موصى، از پسر و دختر، با ضرورت نكاح براى ايشان و مصلحت در تزويج</w:t>
      </w:r>
      <w:r>
        <w:rPr>
          <w:rFonts w:eastAsia="IRNazanin" w:cs="IRNazanin"/>
          <w:color w:val="111111"/>
          <w:sz w:val="28"/>
          <w:szCs w:val="28"/>
          <w:rtl w:val="true"/>
          <w:lang w:bidi="fa-IR"/>
        </w:rPr>
        <w:t>.</w:t>
      </w:r>
    </w:p>
    <w:p>
      <w:pPr>
        <w:pStyle w:val="Heading4"/>
        <w:numPr>
          <w:ilvl w:val="3"/>
          <w:numId w:val="1"/>
        </w:numPr>
        <w:rPr/>
      </w:pPr>
      <w:bookmarkStart w:id="3019" w:name="__RefHeading___Toc3599859_1067777946"/>
      <w:bookmarkStart w:id="3020" w:name="_Toc1250"/>
      <w:bookmarkEnd w:id="3019"/>
      <w:r>
        <w:rPr>
          <w:rtl w:val="true"/>
        </w:rPr>
        <w:t>بطلان عقد محجور به سبب تبذير</w:t>
      </w:r>
      <w:bookmarkEnd w:id="3020"/>
    </w:p>
    <w:p>
      <w:pPr>
        <w:pStyle w:val="BookText"/>
        <w:rPr/>
      </w:pPr>
      <w:r>
        <w:rPr>
          <w:rFonts w:ascii="IRNazanin" w:hAnsi="IRNazanin" w:eastAsia="IRNazanin"/>
          <w:color w:val="111111"/>
          <w:sz w:val="28"/>
          <w:sz w:val="28"/>
          <w:szCs w:val="28"/>
          <w:rtl w:val="true"/>
          <w:lang w:bidi="fa-IR"/>
        </w:rPr>
        <w:t>كسى كه به واسطۀ تبذير، محجورٌ عليه است در تصرّفات مالى، با عدم ضرورت و حاجت به تزويج، نمى تواند تزويج نمايد، به واسطۀ سفهى بودن به سبب استلزام تصرف در مال بدون حاجت، و اگر عقد كرد باطل است، و اذن ولى تاثيرى ندارد، اگر چه دخول نمايد؛ و با علم زن، مستحق چيزى نيست با دخول؛ و با جهل او، مستحق مهر المثل است، زيرا وطى به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حاجت مى تواند عقد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نحوى كه خالى از محذور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اذن دهد كه خود زوج تزويج نمايد در صورتى كه ولىّ ديگر نداشته باشد، يا اذن ندهد؛ و اگر حاكم اذن نداد، ساقط است اعتبار اذن او در جواز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خصوصيّتى كه به حسب لوازم، زايد از رفع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خدمت باشد و چه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رعايت خصوصيات دخيلۀ در منع از تبذير براى اذن دهنده هست از حيث مورد و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اذن ولى عقد كرد،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مهر صحيح نيست؛ بلكه منتقل به مهر المثل مى شود</w:t>
      </w:r>
      <w:r>
        <w:rPr>
          <w:rFonts w:eastAsia="IRNazanin" w:cs="IRNazanin"/>
          <w:color w:val="111111"/>
          <w:sz w:val="28"/>
          <w:szCs w:val="28"/>
          <w:rtl w:val="true"/>
          <w:lang w:bidi="fa-IR"/>
        </w:rPr>
        <w:t xml:space="preserve">. </w:t>
      </w:r>
      <w:bookmarkStart w:id="3021" w:name="pg10256_89836"/>
    </w:p>
    <w:p>
      <w:pPr>
        <w:pStyle w:val="BookText"/>
        <w:rPr/>
      </w:pPr>
      <w:bookmarkEnd w:id="3021"/>
      <w:r>
        <w:rPr>
          <w:rFonts w:ascii="IRNazanin" w:hAnsi="IRNazanin" w:eastAsia="IRNazanin"/>
          <w:color w:val="111111"/>
          <w:sz w:val="28"/>
          <w:sz w:val="28"/>
          <w:szCs w:val="28"/>
          <w:rtl w:val="true"/>
          <w:lang w:bidi="fa-IR"/>
        </w:rPr>
        <w:t>و در صورتى كه به واسطۀ عدم تعيين زوجه در اذن، يا به واسطۀ تعدّى از زوجۀ معيّنه، اختيار كرد موردى را با زيادت مهر المثل از حاجت او، با وجود مورد مناسب كه حاجت با او مندفع مى شود بدون اجحاف مالى، در صحّت عقد تأمل است، بلكه فساد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زن به فساد نكاح، يا فساد قرار مهر با صحّت نكاح، مستحق چيزى در اوّل، و زايد بر مهر المثل در دوّم نيست در صورت دخول؛ و اگر جاهل بود به موجب فساد، مستحقّ مهر المثل است با دخول</w:t>
      </w:r>
      <w:r>
        <w:rPr>
          <w:rFonts w:eastAsia="IRNazanin" w:cs="IRNazanin"/>
          <w:color w:val="111111"/>
          <w:sz w:val="28"/>
          <w:szCs w:val="28"/>
          <w:rtl w:val="true"/>
          <w:lang w:bidi="fa-IR"/>
        </w:rPr>
        <w:t>.</w:t>
      </w:r>
    </w:p>
    <w:p>
      <w:pPr>
        <w:pStyle w:val="Heading4"/>
        <w:numPr>
          <w:ilvl w:val="3"/>
          <w:numId w:val="1"/>
        </w:numPr>
        <w:rPr/>
      </w:pPr>
      <w:bookmarkStart w:id="3022" w:name="__RefHeading___Toc3599861_1067777946"/>
      <w:bookmarkStart w:id="3023" w:name="_Toc1251"/>
      <w:bookmarkEnd w:id="3022"/>
      <w:r>
        <w:rPr>
          <w:rtl w:val="true"/>
        </w:rPr>
        <w:t>مسائل مربوط به اولياى عقد نكاح</w:t>
      </w:r>
      <w:bookmarkEnd w:id="3023"/>
    </w:p>
    <w:p>
      <w:pPr>
        <w:pStyle w:val="Heading4"/>
        <w:numPr>
          <w:ilvl w:val="3"/>
          <w:numId w:val="1"/>
        </w:numPr>
        <w:rPr/>
      </w:pPr>
      <w:bookmarkStart w:id="3024" w:name="__RefHeading___Toc3599863_1067777946"/>
      <w:bookmarkStart w:id="3025" w:name="_Toc1252"/>
      <w:bookmarkEnd w:id="3024"/>
      <w:r>
        <w:rPr>
          <w:rtl w:val="true"/>
        </w:rPr>
        <w:t>تزويج به نفس در اذن در تزويج</w:t>
      </w:r>
      <w:bookmarkEnd w:id="30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اذن داد به مردى كه تزويج نمايد او را به شخصى كه كفؤ او باشد و قرينه اى بر تعيّن زوج يا خصوص غير زوج نبوده، مى تواند تزويج بنفس خودش نمايد، و تولى طرفين عقد مانعى ندارد چنانچه در ولىّ صغيرين بى مانع است؛ و روايت مانعه، در مورد اتّهام و خوف فتنه و مطلوبيت دورى از آن است به نحو حرمت يا كراهت، نه بر سبيل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تعميم اذن به توكيل است، و اينكه توكيل نمايد با اين اذن، زوج ديگرى را در ايجاب نكاح و خودش قبول نمايد</w:t>
      </w:r>
      <w:r>
        <w:rPr>
          <w:rFonts w:eastAsia="IRNazanin" w:cs="IRNazanin"/>
          <w:color w:val="111111"/>
          <w:sz w:val="28"/>
          <w:szCs w:val="28"/>
          <w:rtl w:val="true"/>
          <w:lang w:bidi="fa-IR"/>
        </w:rPr>
        <w:t>.</w:t>
      </w:r>
    </w:p>
    <w:p>
      <w:pPr>
        <w:pStyle w:val="Heading4"/>
        <w:numPr>
          <w:ilvl w:val="3"/>
          <w:numId w:val="1"/>
        </w:numPr>
        <w:rPr/>
      </w:pPr>
      <w:bookmarkStart w:id="3026" w:name="__RefHeading___Toc3599865_1067777946"/>
      <w:bookmarkStart w:id="3027" w:name="_Toc1253"/>
      <w:bookmarkEnd w:id="3026"/>
      <w:r>
        <w:rPr>
          <w:rtl w:val="true"/>
        </w:rPr>
        <w:t>تزويج زن به كمتر از مهر المثل توسط ولى</w:t>
      </w:r>
      <w:bookmarkEnd w:id="30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ولىّ زن به كمتر از مهر المثل تزويج نمود او را، چنانچه به ادّعاى مصلحت در عقد غير اب و جدّ، يا به اكتفا به عدم مفسده در عقد ايشان باشد، حق رد نكاح يا اصداق بعد از بلوغ و رشد ندارد، و در مرافعه، ولىّ كه مدّعى صحّت است منكر است؛ و بر زن اثبات تحقق مفسده در دوّم، يا عدم تحقق مصلحت در اوّل است بنابر اظهر</w:t>
      </w:r>
      <w:r>
        <w:rPr>
          <w:rFonts w:eastAsia="IRNazanin" w:cs="IRNazanin"/>
          <w:color w:val="111111"/>
          <w:sz w:val="28"/>
          <w:szCs w:val="28"/>
          <w:rtl w:val="true"/>
          <w:lang w:bidi="fa-IR"/>
        </w:rPr>
        <w:t>.</w:t>
      </w:r>
    </w:p>
    <w:p>
      <w:pPr>
        <w:pStyle w:val="Heading4"/>
        <w:numPr>
          <w:ilvl w:val="3"/>
          <w:numId w:val="1"/>
        </w:numPr>
        <w:rPr/>
      </w:pPr>
      <w:bookmarkStart w:id="3028" w:name="__RefHeading___Toc3599867_1067777946"/>
      <w:bookmarkStart w:id="3029" w:name="_Toc1254"/>
      <w:bookmarkEnd w:id="3028"/>
      <w:r>
        <w:rPr>
          <w:rtl w:val="true"/>
        </w:rPr>
        <w:t>تولّى عقد توسط بالغۀ رشيده</w:t>
      </w:r>
      <w:bookmarkEnd w:id="30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بالغۀ رشيده، مسلوب العباره نيست، و تولّى هر طرف عقد مى نمايد براى خود و ديگرى، و اثر مترقّب از عقد او مترتّب مى شود</w:t>
      </w:r>
      <w:r>
        <w:rPr>
          <w:rFonts w:eastAsia="IRNazanin" w:cs="IRNazanin"/>
          <w:color w:val="111111"/>
          <w:sz w:val="28"/>
          <w:szCs w:val="28"/>
          <w:rtl w:val="true"/>
          <w:lang w:bidi="fa-IR"/>
        </w:rPr>
        <w:t>.</w:t>
      </w:r>
      <w:bookmarkStart w:id="3030" w:name="pg10256_89837"/>
    </w:p>
    <w:p>
      <w:pPr>
        <w:pStyle w:val="Heading4"/>
        <w:numPr>
          <w:ilvl w:val="3"/>
          <w:numId w:val="1"/>
        </w:numPr>
        <w:rPr/>
      </w:pPr>
      <w:bookmarkStart w:id="3031" w:name="__RefHeading___Toc3599869_1067777946"/>
      <w:bookmarkStart w:id="3032" w:name="_Toc1255"/>
      <w:bookmarkEnd w:id="3030"/>
      <w:bookmarkEnd w:id="3031"/>
      <w:r>
        <w:rPr>
          <w:rtl w:val="true"/>
        </w:rPr>
        <w:t>اجازه در نكاح و كفايت سكوت بكر</w:t>
      </w:r>
      <w:bookmarkEnd w:id="30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نكاح از غير زوجين يا ولى ايشان و بدون اذن آنكه اختيار دارد، موقوف به اجازه است، و فاسد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عقد 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و فرقى در عاقد، بين قريب و بعيد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در اجازۀ بكر، كفايت سكوت او است، مثل اذن سابق كه سكوتْ امارۀ معتبرۀ آن است در صورتى كه مقرون به امارات خلاف نباشد، چه قطعيّه باشد چه اطمينان آور، چه ظنّ معتبر؛ بلكه مطلق ظنّ غير شخصى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سكوت ثيّب كافى نيست، مگر آنكه مقرون به امارات علميّه يا اطمينان آور يا ظنّيۀ به ظن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مالك مملوكه بكر باشد، سكوت او در اذن يا اجازه كافى است مگر در صورت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اتحاد بكر و ثيّب در اين مقام با ساير مقامات است؛ پس كسى كه بكارت او به جماع در محلّ ولادتْ زايل نشده، بكر است و غير او ثيّب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اجازۀ اب و جدّ صغيره يا صغير، عقد واقع بر آنها را، موجب صحّت فعليّه عقد است مثل اجازۀ خود كبير، و سكوت ولى مذكور، كافى نيست مگر در صورت متقدّمه</w:t>
      </w:r>
      <w:r>
        <w:rPr>
          <w:rFonts w:eastAsia="IRNazanin" w:cs="IRNazanin"/>
          <w:color w:val="111111"/>
          <w:sz w:val="28"/>
          <w:szCs w:val="28"/>
          <w:rtl w:val="true"/>
          <w:lang w:bidi="fa-IR"/>
        </w:rPr>
        <w:t>.</w:t>
      </w:r>
    </w:p>
    <w:p>
      <w:pPr>
        <w:pStyle w:val="Heading4"/>
        <w:numPr>
          <w:ilvl w:val="3"/>
          <w:numId w:val="1"/>
        </w:numPr>
        <w:rPr/>
      </w:pPr>
      <w:bookmarkStart w:id="3033" w:name="__RefHeading___Toc3599871_1067777946"/>
      <w:bookmarkStart w:id="3034" w:name="_Toc1256"/>
      <w:bookmarkEnd w:id="3033"/>
      <w:r>
        <w:rPr>
          <w:rtl w:val="true"/>
        </w:rPr>
        <w:t>فرض رقيّت يا كفر ولىّ‌</w:t>
      </w:r>
      <w:bookmarkEnd w:id="303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آزاد نباشد اگر چه مكاتب باشد و اكثرش آزاد باشد، ولايت بر اولاد خودش ندارد، چه آنها مملوك باشند يا آزاد، و تزويجش با اذن سيد خودش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ولد، مملوكِ سيّد خودش باشد، توكيل پدر يا غير پدر در تزويج، موجب صحّت آن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است اگر پدر كافر باشد و پسر محكوم به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مادر يا جدّ يا وصف اسلام قبل از بلوغ بنابر اعتبار آن، يا بعد از بلوغ بنابر عدم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فرض، جدّ مسلمان است ولايت براى او است، و به عكس در اسلام </w:t>
      </w:r>
      <w:bookmarkStart w:id="3035" w:name="pg10256_89838"/>
    </w:p>
    <w:p>
      <w:pPr>
        <w:pStyle w:val="BookText"/>
        <w:rPr/>
      </w:pPr>
      <w:bookmarkEnd w:id="3035"/>
      <w:r>
        <w:rPr>
          <w:rFonts w:ascii="Amiri" w:hAnsi="Amiri" w:eastAsia="Amiri" w:cs="Amiri"/>
          <w:color w:val="111111"/>
          <w:sz w:val="28"/>
          <w:sz w:val="28"/>
          <w:szCs w:val="28"/>
          <w:rtl w:val="true"/>
          <w:lang w:bidi="ar-SA"/>
        </w:rPr>
        <w:t>اب و كفر جدّ؛ و براى حاكم است در صورت كفر هر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پدر و پسر هر دو كافرند، ولايت پدر ثابت است؛ و در تقدير انتفاى ولايت در دين خود آنها،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دو ولى مسلمان است و ديگرى كافر، ولايت براى مسلمان است نه كافر</w:t>
      </w:r>
      <w:r>
        <w:rPr>
          <w:rFonts w:eastAsia="IRNazanin" w:cs="IRNazanin"/>
          <w:color w:val="111111"/>
          <w:sz w:val="28"/>
          <w:szCs w:val="28"/>
          <w:rtl w:val="true"/>
          <w:lang w:bidi="fa-IR"/>
        </w:rPr>
        <w:t>.</w:t>
      </w:r>
    </w:p>
    <w:p>
      <w:pPr>
        <w:pStyle w:val="Heading4"/>
        <w:numPr>
          <w:ilvl w:val="3"/>
          <w:numId w:val="1"/>
        </w:numPr>
        <w:rPr/>
      </w:pPr>
      <w:bookmarkStart w:id="3036" w:name="__RefHeading___Toc3599873_1067777946"/>
      <w:bookmarkStart w:id="3037" w:name="_Toc1257"/>
      <w:bookmarkEnd w:id="3036"/>
      <w:r>
        <w:rPr>
          <w:rtl w:val="true"/>
        </w:rPr>
        <w:t>اسباب سلب ولايت و عود آن</w:t>
      </w:r>
      <w:bookmarkEnd w:id="30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مجنون و مغمى عليه و سكران در حال زوال عقل يا نقصان عقل، ولايت از آنها سلب مى شود، و به زوال اين امور عود مى كند، چه پدر و جدّ يا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سفيه در خصوص ماليات، تأمّل است، و محتمل است ثبوت ولايت بر نكاح نه اصداق، لكن احتياط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صغير يا صغيره بر مملوك و كنيز خود ولايت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نائم منتقل به حاكم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هم با اين اوصاف ولايت او ساقط است و به حاكم منتقل مى شود، و عود آن به زوال وصفْ محلّ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احرام، سلبِ ولايت مُحرِم را در تزويج مى نمايد، و با طول زمان احرام و شدت حاجت به تزويج، مى تواند در حال احرام، حاكم تزويج نمايد براى كسى كه مُحرِمْ ولى او است</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3599875_1067777946"/>
      <w:bookmarkStart w:id="3039" w:name="_Toc1258"/>
      <w:bookmarkEnd w:id="3038"/>
      <w:r>
        <w:rPr>
          <w:rtl w:val="true"/>
        </w:rPr>
        <w:t>نفوذ سبقت پدر يا جدّ در تزويج</w:t>
      </w:r>
      <w:bookmarkEnd w:id="303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كدام از جدّ و ابْ سابق بود تزويجش، با اختلاف، نافذ است آنچه مقدّم است؛ و در صورت تقارن، مقدّم است اختيار جدّ، و هم چنين در صورت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صحّت عقد اب است بعد از تنازع موجب اولويت جدّ، اگر چه احتياط ممكن و مناسبْ رعايتش خوب است</w:t>
      </w:r>
      <w:r>
        <w:rPr>
          <w:rFonts w:eastAsia="IRNazanin" w:cs="IRNazanin"/>
          <w:color w:val="111111"/>
          <w:sz w:val="28"/>
          <w:szCs w:val="28"/>
          <w:rtl w:val="true"/>
          <w:lang w:bidi="fa-IR"/>
        </w:rPr>
        <w:t>.</w:t>
      </w:r>
    </w:p>
    <w:p>
      <w:pPr>
        <w:pStyle w:val="Heading4"/>
        <w:numPr>
          <w:ilvl w:val="3"/>
          <w:numId w:val="1"/>
        </w:numPr>
        <w:rPr/>
      </w:pPr>
      <w:bookmarkStart w:id="3040" w:name="__RefHeading___Toc3599877_1067777946"/>
      <w:bookmarkStart w:id="3041" w:name="_Toc1259"/>
      <w:bookmarkEnd w:id="3040"/>
      <w:r>
        <w:rPr>
          <w:rtl w:val="true"/>
        </w:rPr>
        <w:t>ولايت جدّ مع الواسطه</w:t>
      </w:r>
      <w:bookmarkEnd w:id="304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در حكم اب و جدّ، بين جدّ بلا واسطۀ و مع الواسطه نيست؛ و در جريان آنچه ذكر شد بين جدّ و پدرش تأمل است، رعايت احتياط مناسب ترك نشود</w:t>
      </w:r>
      <w:r>
        <w:rPr>
          <w:rFonts w:eastAsia="IRNazanin" w:cs="IRNazanin"/>
          <w:color w:val="111111"/>
          <w:sz w:val="28"/>
          <w:szCs w:val="28"/>
          <w:rtl w:val="true"/>
          <w:lang w:bidi="fa-IR"/>
        </w:rPr>
        <w:t xml:space="preserve">. </w:t>
      </w:r>
      <w:bookmarkStart w:id="3042" w:name="pg10256_89839"/>
    </w:p>
    <w:p>
      <w:pPr>
        <w:pStyle w:val="Heading4"/>
        <w:numPr>
          <w:ilvl w:val="3"/>
          <w:numId w:val="1"/>
        </w:numPr>
        <w:rPr/>
      </w:pPr>
      <w:bookmarkStart w:id="3043" w:name="__RefHeading___Toc3599879_1067777946"/>
      <w:bookmarkStart w:id="3044" w:name="_Toc1260"/>
      <w:bookmarkEnd w:id="3042"/>
      <w:bookmarkEnd w:id="3043"/>
      <w:r>
        <w:rPr>
          <w:rtl w:val="true"/>
        </w:rPr>
        <w:t>اختلاف در سبقت و سابق</w:t>
      </w:r>
      <w:bookmarkEnd w:id="3044"/>
    </w:p>
    <w:p>
      <w:pPr>
        <w:pStyle w:val="BookText"/>
        <w:rPr/>
      </w:pPr>
      <w:r>
        <w:rPr>
          <w:rFonts w:ascii="IRNazanin" w:hAnsi="IRNazanin" w:eastAsia="IRNazanin"/>
          <w:color w:val="111111"/>
          <w:sz w:val="28"/>
          <w:sz w:val="28"/>
          <w:szCs w:val="28"/>
          <w:rtl w:val="true"/>
          <w:lang w:bidi="fa-IR"/>
        </w:rPr>
        <w:t>اگر اختلاف شد بين اب و جدّ در سبق و عدم، و در سابق بر تقدير سبق و عدم اقتران، به نحوى كه لازمه اش اختلاف در تعيين منكوحه به نكاح صحيح است، پس اگر تاريخ يكى معلوم است، همان صحيح است؛ و مقتضاى اصل، عدم تحقق ديگرى تا زمان تحقق معلوم التاريخ است؛ و عدم ثابت به اصل، مثل عدم محرز بالوجدان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تاريخ هر دو مجهول است، پس قول جدّ كه مظنون به ظن غير معتبر است، او را منكر قرار نمى دهد، بلكه او و پدر، مدّعى مخالف 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نوبت به تداعى و تحالف و سپس توافق به صلح، در موردى برسد، اگر چه متوقف به طلاق احتياطى يكى يا هر دو باشد در صورت ولايت بر طلاق، مثل آنكه زوجْ مجنون باشد، و در غير اين صورت ممكن است با قرعه، تعيين شود منكوحه به عقد صحيح</w:t>
      </w:r>
      <w:r>
        <w:rPr>
          <w:rFonts w:eastAsia="IRNazanin" w:cs="IRNazanin"/>
          <w:color w:val="111111"/>
          <w:sz w:val="28"/>
          <w:szCs w:val="28"/>
          <w:rtl w:val="true"/>
          <w:lang w:bidi="fa-IR"/>
        </w:rPr>
        <w:t>.</w:t>
      </w:r>
    </w:p>
    <w:p>
      <w:pPr>
        <w:pStyle w:val="Heading4"/>
        <w:numPr>
          <w:ilvl w:val="3"/>
          <w:numId w:val="1"/>
        </w:numPr>
        <w:rPr/>
      </w:pPr>
      <w:bookmarkStart w:id="3045" w:name="__RefHeading___Toc3599881_1067777946"/>
      <w:bookmarkStart w:id="3046" w:name="_Toc1261"/>
      <w:bookmarkEnd w:id="3045"/>
      <w:r>
        <w:rPr>
          <w:rtl w:val="true"/>
        </w:rPr>
        <w:t>لزوم مصلحت در تزويج به مجنون يا معيوب</w:t>
      </w:r>
      <w:bookmarkEnd w:id="304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تزويج كرد ولىّ صغيره را به مجنون يا خصىّ يا صاحب عيب مجوّز فسخ، نكاح صحيح است بنابر اظهر به حسب قاعده، در صورت وجود مصلحتى كه جبران مفسده نمايد، و خيارى بعد از بلوغ براى زوجه نيست، و در صورت عدم مصلحت جابره، فضولى است و موقوف به اجازۀ مزوّجه بعد از بلوغ است بنابر اعتبار مصلحت يا عدم مفسده در تصرّف ولى؛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مملوك يا تزويج طفل به مملوكه، بنابر اطلاق جواز آن در لزوم بر تقديرى، و موقوفيّت بر اجازه بتقديرى؛ لكن چون محتمل است اتّفاق بر صحّت با خيار در تزويج به غير مملوك، و بدون خيار در تزويج به مملوك، لذا احتياط ترك نشود</w:t>
      </w:r>
      <w:r>
        <w:rPr>
          <w:rFonts w:eastAsia="IRNazanin" w:cs="IRNazanin"/>
          <w:color w:val="111111"/>
          <w:sz w:val="28"/>
          <w:szCs w:val="28"/>
          <w:rtl w:val="true"/>
          <w:lang w:bidi="fa-IR"/>
        </w:rPr>
        <w:t>.</w:t>
      </w:r>
    </w:p>
    <w:p>
      <w:pPr>
        <w:pStyle w:val="Heading4"/>
        <w:numPr>
          <w:ilvl w:val="3"/>
          <w:numId w:val="1"/>
        </w:numPr>
        <w:rPr/>
      </w:pPr>
      <w:bookmarkStart w:id="3047" w:name="__RefHeading___Toc3599883_1067777946"/>
      <w:bookmarkStart w:id="3048" w:name="_Toc1262"/>
      <w:bookmarkEnd w:id="3047"/>
      <w:r>
        <w:rPr>
          <w:rtl w:val="true"/>
        </w:rPr>
        <w:t>جواز عقد منقطع صغيره و غير آن براى اغراض غير استمتاع مثل محرميّت</w:t>
      </w:r>
      <w:bookmarkEnd w:id="304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بنابر اظهر تزويج ولىْ صغيره را به عقد انقطاعى، تا يك ساعت مثلاً، براى تحليل نظر به مادر او؛ كما اينكه جايز است تمتع به زنى كه قابل وطى نبوده يا از</w:t>
      </w:r>
      <w:bookmarkStart w:id="3049" w:name="pg10256_89840"/>
    </w:p>
    <w:p>
      <w:pPr>
        <w:pStyle w:val="BookText"/>
        <w:rPr/>
      </w:pPr>
      <w:bookmarkEnd w:id="3049"/>
      <w:r>
        <w:rPr>
          <w:rFonts w:ascii="IRNazanin" w:hAnsi="IRNazanin" w:eastAsia="IRNazanin"/>
          <w:color w:val="111111"/>
          <w:sz w:val="28"/>
          <w:sz w:val="28"/>
          <w:szCs w:val="28"/>
          <w:rtl w:val="true"/>
          <w:lang w:bidi="fa-IR"/>
        </w:rPr>
        <w:t>قابليت افتاده، براى اغراض ديگر مثل خدمت با محرميّت؛ و هم چنين تزويج صغير با كبيره به نحو انقطاع براى محرميّت با رعايت غبطۀ صغيرْ، يا عدم مفسده اى در ولايت مخصوصۀ اب و جدّ يا حاكم</w:t>
      </w:r>
      <w:r>
        <w:rPr>
          <w:rFonts w:eastAsia="IRNazanin" w:cs="IRNazanin"/>
          <w:color w:val="111111"/>
          <w:sz w:val="28"/>
          <w:szCs w:val="28"/>
          <w:rtl w:val="true"/>
          <w:lang w:bidi="fa-IR"/>
        </w:rPr>
        <w:t>.</w:t>
      </w:r>
    </w:p>
    <w:p>
      <w:pPr>
        <w:pStyle w:val="Heading4"/>
        <w:numPr>
          <w:ilvl w:val="3"/>
          <w:numId w:val="1"/>
        </w:numPr>
        <w:rPr/>
      </w:pPr>
      <w:bookmarkStart w:id="3050" w:name="__RefHeading___Toc3599885_1067777946"/>
      <w:bookmarkStart w:id="3051" w:name="_Toc1263"/>
      <w:bookmarkEnd w:id="3050"/>
      <w:r>
        <w:rPr>
          <w:rtl w:val="true"/>
        </w:rPr>
        <w:t>لزوم اذن مالك در عقد كنيز</w:t>
      </w:r>
      <w:bookmarkEnd w:id="305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نكاح كنيز مگر با اذن مالك او در عقد دائم و منقطع؛ و اگر مالك او زن باشد، پس عقد دائم جايز نيست؛ و اظهر عدم جواز آن بدون اذن است به عقد انقطاعى</w:t>
      </w:r>
      <w:r>
        <w:rPr>
          <w:rFonts w:eastAsia="IRNazanin" w:cs="IRNazanin"/>
          <w:color w:val="111111"/>
          <w:sz w:val="28"/>
          <w:szCs w:val="28"/>
          <w:rtl w:val="true"/>
          <w:lang w:bidi="fa-IR"/>
        </w:rPr>
        <w:t>.</w:t>
      </w:r>
    </w:p>
    <w:p>
      <w:pPr>
        <w:pStyle w:val="Heading4"/>
        <w:numPr>
          <w:ilvl w:val="3"/>
          <w:numId w:val="1"/>
        </w:numPr>
        <w:rPr/>
      </w:pPr>
      <w:bookmarkStart w:id="3052" w:name="__RefHeading___Toc3599887_1067777946"/>
      <w:bookmarkStart w:id="3053" w:name="_Toc1264"/>
      <w:bookmarkEnd w:id="3052"/>
      <w:r>
        <w:rPr>
          <w:rtl w:val="true"/>
        </w:rPr>
        <w:t>لزوم عقد توسط ابوين صغيرين</w:t>
      </w:r>
      <w:bookmarkEnd w:id="305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ابوين صغيرين، مباشر تزويج آنها شدند با رعايت غبطه يا عدم مفسده، عقد بين آنها لازم مى شود؛ و هر كدام وفات كردند، ديگرى از او ارث مى برد مثل وفات كامل</w:t>
      </w:r>
      <w:r>
        <w:rPr>
          <w:rFonts w:eastAsia="IRNazanin" w:cs="IRNazanin"/>
          <w:color w:val="111111"/>
          <w:sz w:val="28"/>
          <w:szCs w:val="28"/>
          <w:rtl w:val="true"/>
          <w:lang w:bidi="fa-IR"/>
        </w:rPr>
        <w:t>.</w:t>
      </w:r>
    </w:p>
    <w:p>
      <w:pPr>
        <w:pStyle w:val="Heading4"/>
        <w:numPr>
          <w:ilvl w:val="3"/>
          <w:numId w:val="1"/>
        </w:numPr>
        <w:rPr/>
      </w:pPr>
      <w:bookmarkStart w:id="3054" w:name="__RefHeading___Toc3599889_1067777946"/>
      <w:bookmarkStart w:id="3055" w:name="_Toc1265"/>
      <w:bookmarkEnd w:id="3054"/>
      <w:r>
        <w:rPr>
          <w:rtl w:val="true"/>
        </w:rPr>
        <w:t>عقد فضولى در صغيرين</w:t>
      </w:r>
      <w:bookmarkEnd w:id="3055"/>
    </w:p>
    <w:p>
      <w:pPr>
        <w:pStyle w:val="BookText"/>
        <w:rPr/>
      </w:pPr>
      <w:r>
        <w:rPr>
          <w:rFonts w:ascii="IRNazanin" w:hAnsi="IRNazanin" w:eastAsia="IRNazanin"/>
          <w:color w:val="111111"/>
          <w:sz w:val="28"/>
          <w:sz w:val="28"/>
          <w:szCs w:val="28"/>
          <w:rtl w:val="true"/>
          <w:lang w:bidi="fa-IR"/>
        </w:rPr>
        <w:t>و اگر غير ولى عقد كرد، فضولى است، پس اگر قبل از اجازۀ معلومه هر دو يا يكى از آنها وفات كرد، عقد باطل و مهر و ارث غير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بالغ شد قبل از ديگرى و راضى شد به عقد واقع بر خودش، در ترتّب آثار عقد، بين اجازۀ او و اجازۀ محتملۀ طرف، اشكال است؛ پس اگر عالم است به تحقق اجازه يا عدم تحقق آن ظاهراً، معلوم است حكم ما بين عقد و اجازه، و اگر مشكوك شد، مقتضاى استصحاب، عدم تحقق عقد تامّ محرّم و موجِب و آثار آن است؛ پس نوبت به اصل برائت نمى رسد تا فرق باشد بين عِرض مشكوك الحرمه با مال مشكوك الحرمه، يا آنكه مال هم به حكم عِرض باشد كه مورد تحريم مصاهره است، و احتياط كه طريق نجات است در بارۀ مجيز ترك نشود</w:t>
      </w:r>
      <w:r>
        <w:rPr>
          <w:rFonts w:eastAsia="IRNazanin" w:cs="IRNazanin"/>
          <w:color w:val="111111"/>
          <w:sz w:val="28"/>
          <w:szCs w:val="28"/>
          <w:rtl w:val="true"/>
          <w:lang w:bidi="fa-IR"/>
        </w:rPr>
        <w:t>.</w:t>
      </w:r>
    </w:p>
    <w:p>
      <w:pPr>
        <w:pStyle w:val="Heading4"/>
        <w:numPr>
          <w:ilvl w:val="3"/>
          <w:numId w:val="1"/>
        </w:numPr>
        <w:rPr/>
      </w:pPr>
      <w:bookmarkStart w:id="3056" w:name="__RefHeading___Toc3599891_1067777946"/>
      <w:bookmarkStart w:id="3057" w:name="_Toc1266"/>
      <w:bookmarkEnd w:id="3056"/>
      <w:r>
        <w:rPr>
          <w:rtl w:val="true"/>
        </w:rPr>
        <w:t>وفات يا جنون مجيز</w:t>
      </w:r>
      <w:bookmarkEnd w:id="305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اجازۀ يك طرف بعد از بلوغ اگر وفات كرد، كنار مى گذارد حق ديگرى را از </w:t>
      </w:r>
      <w:bookmarkStart w:id="3058" w:name="pg10256_89841"/>
    </w:p>
    <w:p>
      <w:pPr>
        <w:pStyle w:val="BookText"/>
        <w:rPr/>
      </w:pPr>
      <w:bookmarkEnd w:id="3058"/>
      <w:r>
        <w:rPr>
          <w:rFonts w:ascii="IRNazanin" w:hAnsi="IRNazanin" w:eastAsia="IRNazanin"/>
          <w:color w:val="111111"/>
          <w:sz w:val="28"/>
          <w:sz w:val="28"/>
          <w:szCs w:val="28"/>
          <w:rtl w:val="true"/>
          <w:lang w:bidi="fa-IR"/>
        </w:rPr>
        <w:t>مال ميّت تا زمان بلوغ و رشد؛ و بعد از آن اگر اجازه كرد عقد سابق را، احلاف مى نمايد او را كه براى رغبت در ارث، اجازه نكرده است، و به او مى رساند حق ثابت او را از مهر وارث كه كشف ثبوت آن را و تمام زوجيّت محققه را، اجازۀ متأخّره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وفات كرد بعد از اجازه و قبل از حلف، احوط مصالحۀ ورثۀ طرفين است، اگر چه اظهر عدم استحقاق است قبل از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جنون عارض شد قبل از اجازه و حلف، معزول مى ماند مال كما فى السابق، تا كمال حاصل شود و اجازه و حلف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عين متروكْ قابل بقا نباشد، در عزل، مى تواند با تبديل امثال در مِثْلى و اگر ممكن نشد، با تبديل به قيمت در آن، و در قيمى، عزل نمايد</w:t>
      </w:r>
      <w:r>
        <w:rPr>
          <w:rFonts w:eastAsia="IRNazanin" w:cs="IRNazanin"/>
          <w:color w:val="111111"/>
          <w:sz w:val="28"/>
          <w:szCs w:val="28"/>
          <w:rtl w:val="true"/>
          <w:lang w:bidi="fa-IR"/>
        </w:rPr>
        <w:t>.</w:t>
      </w:r>
    </w:p>
    <w:p>
      <w:pPr>
        <w:pStyle w:val="Heading4"/>
        <w:numPr>
          <w:ilvl w:val="3"/>
          <w:numId w:val="1"/>
        </w:numPr>
        <w:rPr/>
      </w:pPr>
      <w:bookmarkStart w:id="3059" w:name="__RefHeading___Toc3599893_1067777946"/>
      <w:bookmarkStart w:id="3060" w:name="_Toc1267"/>
      <w:bookmarkEnd w:id="3059"/>
      <w:r>
        <w:rPr>
          <w:rtl w:val="true"/>
        </w:rPr>
        <w:t>نكول زوج از يمين بعد از اجازه</w:t>
      </w:r>
      <w:bookmarkEnd w:id="3060"/>
    </w:p>
    <w:p>
      <w:pPr>
        <w:pStyle w:val="BookText"/>
        <w:rPr/>
      </w:pPr>
      <w:r>
        <w:rPr>
          <w:rFonts w:ascii="IRNazanin" w:hAnsi="IRNazanin" w:eastAsia="IRNazanin"/>
          <w:color w:val="111111"/>
          <w:sz w:val="28"/>
          <w:sz w:val="28"/>
          <w:szCs w:val="28"/>
          <w:rtl w:val="true"/>
          <w:lang w:bidi="fa-IR"/>
        </w:rPr>
        <w:t>اگر زوج بعد از اجازه، نكول از يمين كرد، مستحق ارث از مهر نيست؛ لكن جمع بين ارثِ ساير ورثه از مهر، و عدم ارث زوج از مهر بلكه از غير مهر هم، اشكال است؛ احوط براى ورثه، مصالحۀ با زوج است در استحقاق مدّعاى زوج، از مهر و غير آن، در صورت عدم ابراء زوج ارث خود را، يا آنچه به منزلۀ ابراء است</w:t>
      </w:r>
      <w:r>
        <w:rPr>
          <w:rFonts w:eastAsia="IRNazanin" w:cs="IRNazanin"/>
          <w:color w:val="111111"/>
          <w:sz w:val="28"/>
          <w:szCs w:val="28"/>
          <w:rtl w:val="true"/>
          <w:lang w:bidi="fa-IR"/>
        </w:rPr>
        <w:t>.</w:t>
      </w:r>
    </w:p>
    <w:p>
      <w:pPr>
        <w:pStyle w:val="Heading4"/>
        <w:numPr>
          <w:ilvl w:val="3"/>
          <w:numId w:val="1"/>
        </w:numPr>
        <w:rPr/>
      </w:pPr>
      <w:bookmarkStart w:id="3061" w:name="__RefHeading___Toc3599895_1067777946"/>
      <w:bookmarkStart w:id="3062" w:name="_Toc1268"/>
      <w:bookmarkEnd w:id="3061"/>
      <w:r>
        <w:rPr>
          <w:rtl w:val="true"/>
        </w:rPr>
        <w:t>عقد فضولى بر دو مجنون</w:t>
      </w:r>
      <w:bookmarkEnd w:id="3062"/>
    </w:p>
    <w:p>
      <w:pPr>
        <w:pStyle w:val="BookText"/>
        <w:rPr/>
      </w:pPr>
      <w:r>
        <w:rPr>
          <w:rFonts w:ascii="Amiri" w:hAnsi="Amiri" w:eastAsia="Amiri" w:cs="Amiri"/>
          <w:color w:val="111111"/>
          <w:sz w:val="28"/>
          <w:sz w:val="28"/>
          <w:szCs w:val="28"/>
          <w:rtl w:val="true"/>
          <w:lang w:bidi="ar-SA"/>
        </w:rPr>
        <w:t>و حكم دو مجنون بعد از افاقۀ هر دو يا يكى، حكم دو صغير است در احكام مذكوره</w:t>
      </w:r>
      <w:r>
        <w:rPr>
          <w:rFonts w:eastAsia="Amiri" w:cs="Amiri" w:ascii="Amiri" w:hAnsi="Amiri"/>
          <w:color w:val="111111"/>
          <w:sz w:val="28"/>
          <w:szCs w:val="28"/>
          <w:rtl w:val="true"/>
          <w:lang w:bidi="ar-SA"/>
        </w:rPr>
        <w:t>.</w:t>
      </w:r>
    </w:p>
    <w:p>
      <w:pPr>
        <w:pStyle w:val="Heading4"/>
        <w:numPr>
          <w:ilvl w:val="3"/>
          <w:numId w:val="1"/>
        </w:numPr>
        <w:rPr/>
      </w:pPr>
      <w:bookmarkStart w:id="3063" w:name="__RefHeading___Toc3599897_1067777946"/>
      <w:bookmarkStart w:id="3064" w:name="_Toc1269"/>
      <w:bookmarkEnd w:id="3063"/>
      <w:r>
        <w:rPr>
          <w:rtl w:val="true"/>
        </w:rPr>
        <w:t>عقد فضولى بر دو بالغ</w:t>
      </w:r>
      <w:bookmarkEnd w:id="3064"/>
    </w:p>
    <w:p>
      <w:pPr>
        <w:pStyle w:val="BookText"/>
        <w:rPr/>
      </w:pPr>
      <w:r>
        <w:rPr>
          <w:rFonts w:ascii="IRNazanin" w:hAnsi="IRNazanin" w:eastAsia="IRNazanin"/>
          <w:color w:val="111111"/>
          <w:sz w:val="28"/>
          <w:sz w:val="28"/>
          <w:szCs w:val="28"/>
          <w:rtl w:val="true"/>
          <w:lang w:bidi="fa-IR"/>
        </w:rPr>
        <w:t>و عقد بر دو بالغ اگر فضولى باشد، مثل عقد فضولى بر دو صغير است در احكام مذكوره، حتى در لزوم حلف اگر اجازۀ دومى بعد از موت طرف ديگر بعد از اجازۀ او باشد بنابر اظهر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فضولى از طرف واحد باشد، براى هر طرف، حكم خودش ثابت است، چه آنكه اختلاف دو طرف، در صغيرين باشد، كه عاقد براى يكى ولى و براى ديگرى </w:t>
      </w:r>
      <w:bookmarkStart w:id="3065" w:name="pg10256_89842"/>
    </w:p>
    <w:p>
      <w:pPr>
        <w:pStyle w:val="BookText"/>
        <w:rPr/>
      </w:pPr>
      <w:bookmarkEnd w:id="3065"/>
      <w:r>
        <w:rPr>
          <w:rFonts w:ascii="IRNazanin" w:hAnsi="IRNazanin" w:eastAsia="IRNazanin"/>
          <w:color w:val="111111"/>
          <w:sz w:val="28"/>
          <w:sz w:val="28"/>
          <w:szCs w:val="28"/>
          <w:rtl w:val="true"/>
          <w:lang w:bidi="fa-IR"/>
        </w:rPr>
        <w:t>فضولى باشد، يا در بالغين كه يكى عاقد براى خود و ديگرى فضولى براى او عقد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اعتبار يمين است در غير موارد تهمت، مثل اكثريت بدهى او از طلب او از تركه، يا وقوع اجازۀ او قبل از علم به موت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يمين با علم به صدق يا به كذب فرضاً مؤثّر نيست</w:t>
      </w:r>
      <w:r>
        <w:rPr>
          <w:rFonts w:eastAsia="Amiri" w:cs="Amiri" w:ascii="Amiri" w:hAnsi="Amiri"/>
          <w:color w:val="111111"/>
          <w:sz w:val="28"/>
          <w:szCs w:val="28"/>
          <w:rtl w:val="true"/>
          <w:lang w:bidi="ar-SA"/>
        </w:rPr>
        <w:t>.</w:t>
      </w:r>
    </w:p>
    <w:p>
      <w:pPr>
        <w:pStyle w:val="Heading4"/>
        <w:numPr>
          <w:ilvl w:val="3"/>
          <w:numId w:val="1"/>
        </w:numPr>
        <w:rPr/>
      </w:pPr>
      <w:bookmarkStart w:id="3066" w:name="__RefHeading___Toc3599899_1067777946"/>
      <w:bookmarkStart w:id="3067" w:name="_Toc1270"/>
      <w:bookmarkEnd w:id="3066"/>
      <w:r>
        <w:rPr>
          <w:rtl w:val="true"/>
        </w:rPr>
        <w:t>اذن مالك در نكاح عبد</w:t>
      </w:r>
      <w:bookmarkEnd w:id="306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 اذن داد به عبد خود در تزويج، نكاح با اين اذن صحيح است، اگر چه تعيين زن و مقدار مهر نكند، و تجاوز نمى كند از لايق به حال مولى، چه حرّه باشد چه امه؛ و در مهر از مهر المثل اگر تجاوز كرد، بر مالك استحقاق ندارد، بلكه زيادتى در ذمۀ عبد ثابت مى شود كه بعد از تحرير از او مطالبه شود با لياقت زن به مالك؛ لكن صحّت امهار، خالى از شبهه نيست اگر اجماعى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ازدواج كرد با كسى كه مهر المثل او لايق به مالك نيست، زايد بر لايق، در ذمّۀ عبد ثابت است اگر اصل نكاحِ چنين شخصى، مشمول اذن باشد، و آن محل تأمل است؛ و اظهر موقوفيت عقد است بر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لائِق مالك نبود با خصوصيّات آن دو، ظاهر توقّف عقد است بر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تدليس كرد و به عنوان حريت، زن حاضر به ازدواج شد، بعد از عقد، اختيار فسخ نكاح دارد</w:t>
      </w:r>
      <w:r>
        <w:rPr>
          <w:rFonts w:eastAsia="IRNazanin" w:cs="IRNazanin"/>
          <w:color w:val="111111"/>
          <w:sz w:val="28"/>
          <w:szCs w:val="28"/>
          <w:rtl w:val="true"/>
          <w:lang w:bidi="fa-IR"/>
        </w:rPr>
        <w:t>.</w:t>
      </w:r>
    </w:p>
    <w:p>
      <w:pPr>
        <w:pStyle w:val="Heading4"/>
        <w:numPr>
          <w:ilvl w:val="3"/>
          <w:numId w:val="1"/>
        </w:numPr>
        <w:rPr/>
      </w:pPr>
      <w:bookmarkStart w:id="3068" w:name="__RefHeading___Toc3599901_1067777946"/>
      <w:bookmarkStart w:id="3069" w:name="_Toc1271"/>
      <w:bookmarkEnd w:id="3068"/>
      <w:r>
        <w:rPr>
          <w:rtl w:val="true"/>
        </w:rPr>
        <w:t>تعيين زن و مقدار مهر</w:t>
      </w:r>
      <w:bookmarkEnd w:id="3069"/>
    </w:p>
    <w:p>
      <w:pPr>
        <w:pStyle w:val="BookText"/>
        <w:rPr/>
      </w:pPr>
      <w:r>
        <w:rPr>
          <w:rFonts w:ascii="IRNazanin" w:hAnsi="IRNazanin" w:eastAsia="IRNazanin"/>
          <w:color w:val="111111"/>
          <w:sz w:val="28"/>
          <w:sz w:val="28"/>
          <w:szCs w:val="28"/>
          <w:rtl w:val="true"/>
          <w:lang w:bidi="fa-IR"/>
        </w:rPr>
        <w:t xml:space="preserve">و اگر تعيين زن و مقدار مهر كرد، پس بدون تعدّى صحيح است؛ و اگر تعدّى كرد، در هر كدام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در زن، موقوف، و در امهار، زيادتى در ذمّه عبد است، چنانچه اشاره به شبهه شد</w:t>
      </w:r>
      <w:r>
        <w:rPr>
          <w:rFonts w:eastAsia="IRNazanin" w:cs="IRNazanin"/>
          <w:color w:val="111111"/>
          <w:sz w:val="28"/>
          <w:szCs w:val="28"/>
          <w:rtl w:val="true"/>
          <w:lang w:bidi="fa-IR"/>
        </w:rPr>
        <w:t>.</w:t>
      </w:r>
    </w:p>
    <w:p>
      <w:pPr>
        <w:pStyle w:val="Heading4"/>
        <w:numPr>
          <w:ilvl w:val="3"/>
          <w:numId w:val="1"/>
        </w:numPr>
        <w:rPr/>
      </w:pPr>
      <w:bookmarkStart w:id="3070" w:name="__RefHeading___Toc3599903_1067777946"/>
      <w:bookmarkStart w:id="3071" w:name="_Toc1272"/>
      <w:bookmarkEnd w:id="3070"/>
      <w:r>
        <w:rPr>
          <w:rtl w:val="true"/>
        </w:rPr>
        <w:t>تعيين و عدم تعيين نوع نكاح و قدر و خصوصيّت مهر در نكاح عبد توسّط مالك</w:t>
      </w:r>
      <w:bookmarkEnd w:id="307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نوع نكاح را تعيين كرد، موقوف مى شود با تعدّى؛ و اگر مطلق بود و قرينۀ </w:t>
      </w:r>
      <w:bookmarkStart w:id="3072" w:name="pg10256_89843"/>
    </w:p>
    <w:p>
      <w:pPr>
        <w:pStyle w:val="BookText"/>
        <w:rPr/>
      </w:pPr>
      <w:bookmarkEnd w:id="3072"/>
      <w:r>
        <w:rPr>
          <w:rFonts w:ascii="IRNazanin" w:hAnsi="IRNazanin" w:eastAsia="IRNazanin"/>
          <w:color w:val="111111"/>
          <w:sz w:val="28"/>
          <w:sz w:val="28"/>
          <w:szCs w:val="28"/>
          <w:rtl w:val="true"/>
          <w:lang w:bidi="fa-IR"/>
        </w:rPr>
        <w:t>معيّنه اى نبود، اظهر اطلاق به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تعيين قدر يا خصوصيتِ مهر كرد و تعدّى كرد، در زيادتى از معيّن، گذشت تأمّل، و در خصوصيت هم تأمل در موقوفيت يا ثبوت در ذمّه مى آيد؛ و دور نيست ماليّت مهر خاص بر مالك باشد</w:t>
      </w:r>
      <w:r>
        <w:rPr>
          <w:rFonts w:eastAsia="IRNazanin" w:cs="IRNazanin"/>
          <w:color w:val="111111"/>
          <w:sz w:val="28"/>
          <w:szCs w:val="28"/>
          <w:rtl w:val="true"/>
          <w:lang w:bidi="fa-IR"/>
        </w:rPr>
        <w:t>.</w:t>
      </w:r>
    </w:p>
    <w:p>
      <w:pPr>
        <w:pStyle w:val="Heading4"/>
        <w:numPr>
          <w:ilvl w:val="3"/>
          <w:numId w:val="1"/>
        </w:numPr>
        <w:rPr/>
      </w:pPr>
      <w:bookmarkStart w:id="3073" w:name="__RefHeading___Toc3599905_1067777946"/>
      <w:bookmarkStart w:id="3074" w:name="_Toc1273"/>
      <w:bookmarkEnd w:id="3073"/>
      <w:r>
        <w:rPr>
          <w:rtl w:val="true"/>
        </w:rPr>
        <w:t>زايد بر مهر معيّن</w:t>
      </w:r>
      <w:bookmarkEnd w:id="3074"/>
    </w:p>
    <w:p>
      <w:pPr>
        <w:pStyle w:val="BookText"/>
        <w:rPr/>
      </w:pPr>
      <w:r>
        <w:rPr>
          <w:rFonts w:ascii="IRNazanin" w:hAnsi="IRNazanin" w:eastAsia="IRNazanin"/>
          <w:color w:val="111111"/>
          <w:sz w:val="28"/>
          <w:sz w:val="28"/>
          <w:szCs w:val="28"/>
          <w:rtl w:val="true"/>
          <w:lang w:bidi="fa-IR"/>
        </w:rPr>
        <w:t>و زايد بر مهر معيَّن، بر مالك نيست در صورت تعيين اقل از مهر المثل آن زنى را كه خارجاً اختيار كرد، اگر چه به حسب اطلاق اذن در تزويج، اختيار كرد زنى را كه زايد بر معيّن، مهر المثل او است؛ بلكه در زيادتى، دو وجه سابق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تعيين مهر، مانع از شمول اطلاق بشود به زنى كه مهر المثل او ازيد است، و اصل نكاح موقوف به اجازه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معيَّن ازيد از مهر المثل آن زن باشد، آيا زايد بر مهر المثل در ذمۀ عبد است، يا بر مالكِ آذِن است، يا تعيين، مانع از اطلاق اذن در نكاح است مگر در اختيار زنى كه آن مقدار معيّن، مساوى تقريبى مهر المثل باشد نه ازيد، و زيادتى را هم جزء مسمّى قرار بدهد، و لازمه اش موقوفيت نكاح است‌؟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تعيين مهر يا اطلاق، پس زايد بر معيّن يا مهر المثل، ذكر شد احتمالات آن، و در مقدار غير زايد بر معيّنِ از مهر المثل يا مهر المثل در صورت اطلاق، اظهر اين است كه بر مالك است بهر طريقى بخواهد لازم اذن خود را ادا بنمايد، از كسب عبد يا غير آن؛ و هم چنين نفقۀ زوجه اش بر مالك است بهر طريقى از اموال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كسب 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ذكر شد، حكم اذن مالكِ جاريه در تزويج معلوم مى شود، با تعيين زوج و اطلاق، و تعيين صداق و عدم آن، از حيث فضولى بودن و عدم آن، و احكام آنها</w:t>
      </w:r>
      <w:r>
        <w:rPr>
          <w:rFonts w:eastAsia="IRNazanin" w:cs="IRNazanin"/>
          <w:color w:val="111111"/>
          <w:sz w:val="28"/>
          <w:szCs w:val="28"/>
          <w:rtl w:val="true"/>
          <w:lang w:bidi="fa-IR"/>
        </w:rPr>
        <w:t>.</w:t>
      </w:r>
    </w:p>
    <w:p>
      <w:pPr>
        <w:pStyle w:val="Heading4"/>
        <w:numPr>
          <w:ilvl w:val="3"/>
          <w:numId w:val="1"/>
        </w:numPr>
        <w:rPr/>
      </w:pPr>
      <w:bookmarkStart w:id="3075" w:name="__RefHeading___Toc3599907_1067777946"/>
      <w:bookmarkStart w:id="3076" w:name="_Toc1274"/>
      <w:bookmarkEnd w:id="3075"/>
      <w:r>
        <w:rPr>
          <w:rtl w:val="true"/>
        </w:rPr>
        <w:t>نكاح و تصرّفات عبد مبعّض</w:t>
      </w:r>
      <w:bookmarkEnd w:id="307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بعض او آزاد است، شريك است با مولى در نفس خود؛ پس نكاح و ساير</w:t>
      </w:r>
      <w:bookmarkStart w:id="3077" w:name="pg10256_89844"/>
    </w:p>
    <w:p>
      <w:pPr>
        <w:pStyle w:val="BookText"/>
        <w:rPr/>
      </w:pPr>
      <w:bookmarkEnd w:id="3077"/>
      <w:r>
        <w:rPr>
          <w:rFonts w:ascii="IRNazanin" w:hAnsi="IRNazanin" w:eastAsia="IRNazanin"/>
          <w:color w:val="111111"/>
          <w:sz w:val="28"/>
          <w:sz w:val="28"/>
          <w:szCs w:val="28"/>
          <w:rtl w:val="true"/>
          <w:lang w:bidi="fa-IR"/>
        </w:rPr>
        <w:t>تصرّفات معامليّه بايد به رأى هر دو باشد و هيچ كدام استقلال ندارند، و مهر و نفقه به نسبت رقيت و آزادى محسوب مى شود در صورت توافق بر نكاح؛ و زايد از نسبت رقيت، در صورت زيادتى مهر از معيّن يا مهر المثل در غير معيّن، در تقدير صحّت نكاح، متعلّق مى شود به جزء حرّ در ذمۀ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اين گونه تصرفات مربوطه به هميشه، در ايام تناوب و مهايات هم مشكل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شريك باشد، بايد با توافق آنها انجام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دور نيست جايز باشد متعۀ عبد در ايام مهايات، در مدت مهايات، با اذن خصوص صاحب نوبت</w:t>
      </w:r>
      <w:r>
        <w:rPr>
          <w:rFonts w:eastAsia="Amiri" w:cs="Amiri" w:ascii="Amiri" w:hAnsi="Amiri"/>
          <w:color w:val="111111"/>
          <w:sz w:val="28"/>
          <w:szCs w:val="28"/>
          <w:rtl w:val="true"/>
          <w:lang w:bidi="ar-SA"/>
        </w:rPr>
        <w:t>.</w:t>
      </w:r>
    </w:p>
    <w:p>
      <w:pPr>
        <w:pStyle w:val="Heading4"/>
        <w:numPr>
          <w:ilvl w:val="3"/>
          <w:numId w:val="1"/>
        </w:numPr>
        <w:rPr/>
      </w:pPr>
      <w:bookmarkStart w:id="3078" w:name="__RefHeading___Toc3599909_1067777946"/>
      <w:bookmarkStart w:id="3079" w:name="_Toc1275"/>
      <w:bookmarkEnd w:id="3078"/>
      <w:r>
        <w:rPr>
          <w:rtl w:val="true"/>
        </w:rPr>
        <w:t>اختيار تزويج امۀ مولّى عليه</w:t>
      </w:r>
      <w:bookmarkEnd w:id="307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 مولّى عليه، اختيار تزويج او به يد ولى مالك است؛ و اگر تزويج كرد با رعايت شرايط كه مصلحت يا انتفاى مفسده باشد، حق فسخ ندارد مولّى عليه بعد از زوال ولايت بر او</w:t>
      </w:r>
      <w:r>
        <w:rPr>
          <w:rFonts w:eastAsia="IRNazanin" w:cs="IRNazanin"/>
          <w:color w:val="111111"/>
          <w:sz w:val="28"/>
          <w:szCs w:val="28"/>
          <w:rtl w:val="true"/>
          <w:lang w:bidi="fa-IR"/>
        </w:rPr>
        <w:t>.</w:t>
      </w:r>
    </w:p>
    <w:p>
      <w:pPr>
        <w:pStyle w:val="Heading4"/>
        <w:numPr>
          <w:ilvl w:val="3"/>
          <w:numId w:val="1"/>
        </w:numPr>
        <w:rPr/>
      </w:pPr>
      <w:bookmarkStart w:id="3080" w:name="__RefHeading___Toc3599911_1067777946"/>
      <w:bookmarkStart w:id="3081" w:name="_Toc1276"/>
      <w:bookmarkEnd w:id="3080"/>
      <w:r>
        <w:rPr>
          <w:rtl w:val="true"/>
        </w:rPr>
        <w:t>استحباب استيذان</w:t>
      </w:r>
      <w:bookmarkEnd w:id="308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براى زن، استيذان پدر در نكاح، چه بكر باشد چه ثيب، بلكه در بكر احوط استيذان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براى او توكيل برادر در صورت انتفاى پدر و جدّ؛ و اگر متعدّد بودند برادرها، ترجيح دهد نظر برادر بزرگتر را</w:t>
      </w:r>
      <w:r>
        <w:rPr>
          <w:rFonts w:eastAsia="IRNazanin" w:cs="IRNazanin"/>
          <w:color w:val="111111"/>
          <w:sz w:val="28"/>
          <w:szCs w:val="28"/>
          <w:rtl w:val="true"/>
          <w:lang w:bidi="fa-IR"/>
        </w:rPr>
        <w:t>.</w:t>
      </w:r>
    </w:p>
    <w:p>
      <w:pPr>
        <w:pStyle w:val="Heading4"/>
        <w:numPr>
          <w:ilvl w:val="3"/>
          <w:numId w:val="1"/>
        </w:numPr>
        <w:rPr/>
      </w:pPr>
      <w:bookmarkStart w:id="3082" w:name="__RefHeading___Toc3599913_1067777946"/>
      <w:bookmarkStart w:id="3083" w:name="_Toc1277"/>
      <w:bookmarkEnd w:id="3082"/>
      <w:r>
        <w:rPr>
          <w:rtl w:val="true"/>
        </w:rPr>
        <w:t>تزويج اخت توسط دو برادر با توكيل</w:t>
      </w:r>
      <w:bookmarkEnd w:id="308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برادر، با توكيل، هر دو تزويج كردند خواهر را، هر كدام به شخصى، عقد سابق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جهل دخول كرد دومى، تفرقه بين آن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حامل شد به سبب دخول او، ولدْ محلق به هر دو مى شود با جهل هر دو، و استحقاق دارد بر دومى مهر المثل را و بر مى گردانند او را به اوّلى</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 و شوهر دوّم هر دو عالم بودند به سبق نكاح اولى، ولد به هيچ كدام ملحق </w:t>
      </w:r>
      <w:bookmarkStart w:id="3084" w:name="pg10256_89845"/>
    </w:p>
    <w:p>
      <w:pPr>
        <w:pStyle w:val="BookText"/>
        <w:rPr/>
      </w:pPr>
      <w:bookmarkEnd w:id="3084"/>
      <w:r>
        <w:rPr>
          <w:rFonts w:ascii="IRNazanin" w:hAnsi="IRNazanin" w:eastAsia="IRNazanin"/>
          <w:color w:val="111111"/>
          <w:sz w:val="28"/>
          <w:sz w:val="28"/>
          <w:szCs w:val="28"/>
          <w:rtl w:val="true"/>
          <w:lang w:bidi="fa-IR"/>
        </w:rPr>
        <w:t>نمى شود، و استحقاق مهر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خصوص زنْ عالمه بود، استحقاق مهر ندارد و ولد به او ملحق نمى شود، بلكه به پدر ملحق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خصوص مردْ عالم بود به او ملحق نمى شود، و زن مستحق مهر است و ولد به او ملحق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عقد سابقْ مجهول بود، پس با علم به تاريخ يكى از آن دو، اصل در مجهول التاريخْ جارى است، و زن متعلق به شوهر در عقد معلوم التاريخ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مجهول التاريخ هستند، امر داير بين قرعه، يا فسخ حاكم، يا اجبار هر دو بر طلاق است، و اقرب اوّل است، چه آنكه هر دو مدّعى علم بسبق باشند، يا هيچ كدام مدّعى علم نباشند؛ و اگر يكى بالخصوص مدعىِ علم به سبق عقد خودش باشد، دور نيست كه با يمين او، مختص به او باشد؛ و هم چنين در صورت تداعى، اگر منتهى به تحالف و تساقط نشد، بلكه با يمين يكى و نكول ديگرى حكم براى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به اقتران دو عقد حاصل شد بعد از دو عقد، پس در دو وكيلين، حكم چنان است كه مذكور شد؛ و در دو فضولى با فرض دخول، اظهر كفايت دخول است در اختصاص به دخول كننده؛ و با عدم فرض دخول، اختيار با زن است در اجازۀ هركدام، و اولىٰ اجازۀ عقد برادر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 متقدمه آنچه واضح نيست حكم آن، تحصيل طريق احتياط اگر چه با ترضيۀ يك معقود له باشد ترك نشود</w:t>
      </w:r>
      <w:r>
        <w:rPr>
          <w:rFonts w:eastAsia="IRNazanin" w:cs="IRNazanin"/>
          <w:color w:val="111111"/>
          <w:sz w:val="28"/>
          <w:szCs w:val="28"/>
          <w:rtl w:val="true"/>
          <w:lang w:bidi="fa-IR"/>
        </w:rPr>
        <w:t>.</w:t>
      </w:r>
    </w:p>
    <w:p>
      <w:pPr>
        <w:pStyle w:val="Heading4"/>
        <w:numPr>
          <w:ilvl w:val="3"/>
          <w:numId w:val="1"/>
        </w:numPr>
        <w:rPr/>
      </w:pPr>
      <w:bookmarkStart w:id="3085" w:name="__RefHeading___Toc3599915_1067777946"/>
      <w:bookmarkStart w:id="3086" w:name="_Toc1278"/>
      <w:bookmarkEnd w:id="3085"/>
      <w:r>
        <w:rPr>
          <w:rtl w:val="true"/>
        </w:rPr>
        <w:t>عدم ولايت مادر در نكاح صغيره</w:t>
      </w:r>
      <w:bookmarkEnd w:id="3086"/>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در نكاح صغيره ولايت ندارد پس عقد فضولى است، و اگر ملحوق به اجازه كامله شد صحيح است، وگرنه باطل است، و ضامن مهر نيست در صورت عدم استيفاى بضع، كه مفروض است</w:t>
      </w:r>
      <w:r>
        <w:rPr>
          <w:rFonts w:eastAsia="IRNazanin" w:cs="IRNazanin"/>
          <w:color w:val="111111"/>
          <w:sz w:val="28"/>
          <w:szCs w:val="28"/>
          <w:rtl w:val="true"/>
          <w:lang w:bidi="fa-IR"/>
        </w:rPr>
        <w:t>.</w:t>
      </w:r>
    </w:p>
    <w:p>
      <w:pPr>
        <w:pStyle w:val="Heading4"/>
        <w:numPr>
          <w:ilvl w:val="3"/>
          <w:numId w:val="1"/>
        </w:numPr>
        <w:rPr/>
      </w:pPr>
      <w:bookmarkStart w:id="3087" w:name="__RefHeading___Toc3599917_1067777946"/>
      <w:bookmarkStart w:id="3088" w:name="_Toc1279"/>
      <w:bookmarkEnd w:id="3087"/>
      <w:r>
        <w:rPr>
          <w:rtl w:val="true"/>
        </w:rPr>
        <w:t>تقدّم قول مدّعى صحّت با يمين</w:t>
      </w:r>
      <w:bookmarkEnd w:id="308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اجنبى تزويج كرد زنى را، پس از آن اختلاف شد بين زوجين و زوجْ مدّعى</w:t>
      </w:r>
    </w:p>
    <w:p>
      <w:pPr>
        <w:pStyle w:val="BookText"/>
        <w:rPr/>
      </w:pPr>
      <w:r>
        <w:rPr>
          <w:rFonts w:ascii="IRNazanin" w:hAnsi="IRNazanin" w:eastAsia="IRNazanin"/>
          <w:color w:val="111111"/>
          <w:sz w:val="28"/>
          <w:sz w:val="28"/>
          <w:szCs w:val="28"/>
          <w:rtl w:val="true"/>
          <w:lang w:bidi="fa-IR"/>
        </w:rPr>
        <w:t>فساد نكاح به ادّعاى عدم اذن زن به اجنبى بود، قول زن كه مدّعى صحّت عقد است با يمين او مقدم است، چون كه در صورت كراهت ظاهره بعد از عقد، مدّعى صحّت فعليّه است، و زوج مدّعى فساد فعلى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زوج، مدّعى صحّت فعليّه با اذن سابق يا لاحق بود و زن منكر آن بود، 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عقد است نه بطلان، و دخول هم نشده باشد، قول زن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ظهور كراهت زن كه لازمه اش بطلان فعلى عقد است، در تقديم اصل نافى اذن و اجازه بر اصل صحّت عقد، تأمل است؛ و هم چنين در صورت تحقق دخول ظاهر در مشروعيّت آن</w:t>
      </w:r>
      <w:r>
        <w:rPr>
          <w:rFonts w:eastAsia="IRNazanin" w:cs="IRNazanin"/>
          <w:color w:val="111111"/>
          <w:sz w:val="28"/>
          <w:szCs w:val="28"/>
          <w:rtl w:val="true"/>
          <w:lang w:bidi="fa-IR"/>
        </w:rPr>
        <w:t xml:space="preserve">. </w:t>
      </w:r>
      <w:bookmarkStart w:id="3089" w:name="pg10256_89847"/>
    </w:p>
    <w:p>
      <w:pPr>
        <w:pStyle w:val="Heading3"/>
        <w:numPr>
          <w:ilvl w:val="2"/>
          <w:numId w:val="1"/>
        </w:numPr>
        <w:rPr/>
      </w:pPr>
      <w:bookmarkStart w:id="3090" w:name="__RefHeading___Toc3599919_1067777946"/>
      <w:bookmarkStart w:id="3091" w:name="_Toc1280"/>
      <w:bookmarkEnd w:id="3089"/>
      <w:bookmarkEnd w:id="3090"/>
      <w:r>
        <w:rPr>
          <w:rtl w:val="true"/>
        </w:rPr>
        <w:t>فصل سوّم در اسباب تحريم</w:t>
      </w:r>
      <w:bookmarkEnd w:id="3091"/>
    </w:p>
    <w:p>
      <w:pPr>
        <w:pStyle w:val="Heading4"/>
        <w:numPr>
          <w:ilvl w:val="3"/>
          <w:numId w:val="1"/>
        </w:numPr>
        <w:rPr/>
      </w:pPr>
      <w:bookmarkStart w:id="3092" w:name="__RefHeading___Toc3599921_1067777946"/>
      <w:bookmarkStart w:id="3093" w:name="_Toc1281"/>
      <w:bookmarkEnd w:id="3092"/>
      <w:r>
        <w:rPr/>
        <w:t>1</w:t>
      </w:r>
      <w:r>
        <w:rPr>
          <w:rtl w:val="true"/>
        </w:rPr>
        <w:t xml:space="preserve">. </w:t>
      </w:r>
      <w:r>
        <w:rPr>
          <w:rtl w:val="true"/>
        </w:rPr>
        <w:t>نسب</w:t>
      </w:r>
      <w:bookmarkEnd w:id="3093"/>
    </w:p>
    <w:p>
      <w:pPr>
        <w:pStyle w:val="Heading5"/>
        <w:numPr>
          <w:ilvl w:val="4"/>
          <w:numId w:val="1"/>
        </w:numPr>
        <w:rPr/>
      </w:pPr>
      <w:bookmarkStart w:id="3094" w:name="__RefHeading___Toc3599923_1067777946"/>
      <w:bookmarkStart w:id="3095" w:name="_Toc1282"/>
      <w:bookmarkEnd w:id="3094"/>
      <w:r>
        <w:rPr>
          <w:rtl w:val="true"/>
        </w:rPr>
        <w:t>اشاره</w:t>
      </w:r>
      <w:bookmarkEnd w:id="3095"/>
    </w:p>
    <w:p>
      <w:pPr>
        <w:pStyle w:val="BookText"/>
        <w:rPr/>
      </w:pPr>
      <w:r>
        <w:rPr>
          <w:rFonts w:ascii="IRNazanin" w:hAnsi="IRNazanin" w:eastAsia="IRNazanin"/>
          <w:color w:val="111111"/>
          <w:sz w:val="28"/>
          <w:sz w:val="28"/>
          <w:szCs w:val="28"/>
          <w:rtl w:val="true"/>
          <w:lang w:bidi="fa-IR"/>
        </w:rPr>
        <w:t>از جملۀ آنها نسب است</w:t>
      </w:r>
      <w:r>
        <w:rPr>
          <w:rFonts w:eastAsia="IRNazanin" w:cs="IRNazanin"/>
          <w:color w:val="111111"/>
          <w:sz w:val="28"/>
          <w:szCs w:val="28"/>
          <w:rtl w:val="true"/>
          <w:lang w:bidi="fa-IR"/>
        </w:rPr>
        <w:t>.</w:t>
      </w:r>
    </w:p>
    <w:p>
      <w:pPr>
        <w:pStyle w:val="Heading5"/>
        <w:numPr>
          <w:ilvl w:val="4"/>
          <w:numId w:val="1"/>
        </w:numPr>
        <w:rPr/>
      </w:pPr>
      <w:bookmarkStart w:id="3096" w:name="__RefHeading___Toc3599925_1067777946"/>
      <w:bookmarkStart w:id="3097" w:name="_Toc1283"/>
      <w:bookmarkEnd w:id="3096"/>
      <w:r>
        <w:rPr>
          <w:rtl w:val="true"/>
        </w:rPr>
        <w:t>افرادى كه ازدواج با آنها، به سبب نَسِب، حرام است</w:t>
      </w:r>
      <w:bookmarkEnd w:id="3097"/>
    </w:p>
    <w:p>
      <w:pPr>
        <w:pStyle w:val="BookText"/>
        <w:rPr/>
      </w:pPr>
      <w:r>
        <w:rPr>
          <w:rFonts w:ascii="Amiri" w:hAnsi="Amiri" w:eastAsia="Amiri" w:cs="Amiri"/>
          <w:color w:val="111111"/>
          <w:sz w:val="28"/>
          <w:sz w:val="28"/>
          <w:szCs w:val="28"/>
          <w:rtl w:val="true"/>
          <w:lang w:bidi="ar-SA"/>
        </w:rPr>
        <w:t>حرام است بر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و جدّۀ ابوينى يا ابى يا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 كه داخل در ولادت شخص باشد از زنها، به واسطه يا بدون واسطۀ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دختر صلبى و دخترهاى او، يعنى هر زنى كه نسبش منتهى به شخص مقصود مى شود، با واسطۀ يا بدون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خواهرهاى ابوينى يا ابى يا امى، يعنى هر زنى كه شخص مقصود و او از شخص واحدى متولد شده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دخترهاى خواهرها و برادرها، يعنى زنى كه منتهى به يكى از پدر و مادر شخص يا هر دو مى شود به ولادت، غير دخترها، هر قدر پايين برود، يعنى خواهرزاده ها و اولاد ايشان و برادرزاده ها و اولاد ايشان هر قدر پايين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عمه ها، چه خواهر ابوينى پدر شخص باشند يا ابى يا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خواهرهاى اجداد ابى به نحو مذكور، هر قدر بالا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خاله ها چه خواهر مادر باشند از پدرش يا مادرش يا از هر دو طرف، و خاله هاى پدر يا مادر هر قدر بالا برود</w:t>
      </w:r>
      <w:r>
        <w:rPr>
          <w:rFonts w:eastAsia="IRNazanin" w:cs="IRNazanin"/>
          <w:color w:val="111111"/>
          <w:sz w:val="28"/>
          <w:szCs w:val="28"/>
          <w:rtl w:val="true"/>
          <w:lang w:bidi="fa-IR"/>
        </w:rPr>
        <w:t xml:space="preserve">. </w:t>
      </w:r>
      <w:bookmarkStart w:id="3098" w:name="pg10256_89848"/>
    </w:p>
    <w:p>
      <w:pPr>
        <w:pStyle w:val="Heading5"/>
        <w:numPr>
          <w:ilvl w:val="4"/>
          <w:numId w:val="1"/>
        </w:numPr>
        <w:rPr/>
      </w:pPr>
      <w:bookmarkStart w:id="3099" w:name="__RefHeading___Toc3599927_1067777946"/>
      <w:bookmarkStart w:id="3100" w:name="_Toc1284"/>
      <w:bookmarkEnd w:id="3098"/>
      <w:bookmarkEnd w:id="3099"/>
      <w:r>
        <w:rPr>
          <w:rtl w:val="true"/>
        </w:rPr>
        <w:t>مراد از برخى از محرّمات به نسبت</w:t>
      </w:r>
      <w:bookmarkEnd w:id="3100"/>
    </w:p>
    <w:p>
      <w:pPr>
        <w:pStyle w:val="BookText"/>
        <w:rPr/>
      </w:pPr>
      <w:r>
        <w:rPr>
          <w:rFonts w:ascii="IRNazanin" w:hAnsi="IRNazanin" w:eastAsia="IRNazanin"/>
          <w:color w:val="111111"/>
          <w:sz w:val="28"/>
          <w:sz w:val="28"/>
          <w:szCs w:val="28"/>
          <w:rtl w:val="true"/>
          <w:lang w:bidi="fa-IR"/>
        </w:rPr>
        <w:t>و عمه و خالۀ بلا واسطۀ معلومند، و عمه و خالۀ اب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و خالۀ اجداد و جدّات، عبارتند از زنى كه با يكى از اجداد از طريق اب يا ام شخصى، خواهرى داشته باشد به نحو مطلق، و او عمه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خالۀ جدّ و جدّه زنى است كه با يكى از جدّه هاى از طريق اب يا ام، خواهرى داشته باشد به نحو مطلق،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خواهرى ابوينى يا ابى يا 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عمّۀ عمّه و خالۀ خاله، اگر عمّه و خالۀ شخص شدند، محرّم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عمۀ قريبه، خواهر مادرى پدر باشد كه عمه اش عمۀ عمه نمى شود براى شخص؛ و خالۀ قريبه، خواهر پدرى مادر باشد كه خالۀ او خالۀ شخص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اين سبب محرّم نمى شوند، مثل اينكه عمۀ قريبه خواهر ابى پدر باشد، و خالۀ قريبه خواهر مادرى مادر باشد، كه در اوّل عمه شخص؛ و در دوّم خالۀ 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است بر زن آنچه كه حرام است بر مرد، با حفظ نسب؛ پس كما اينكه حرام است بنت بر اب، حرام است اب بر بنت،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بر محرّمات، فاسد است</w:t>
      </w:r>
      <w:r>
        <w:rPr>
          <w:rFonts w:eastAsia="IRNazanin" w:cs="IRNazanin"/>
          <w:color w:val="111111"/>
          <w:sz w:val="28"/>
          <w:szCs w:val="28"/>
          <w:rtl w:val="true"/>
          <w:lang w:bidi="fa-IR"/>
        </w:rPr>
        <w:t>.</w:t>
      </w:r>
    </w:p>
    <w:p>
      <w:pPr>
        <w:pStyle w:val="Heading5"/>
        <w:numPr>
          <w:ilvl w:val="4"/>
          <w:numId w:val="1"/>
        </w:numPr>
        <w:rPr/>
      </w:pPr>
      <w:bookmarkStart w:id="3101" w:name="__RefHeading___Toc3599929_1067777946"/>
      <w:bookmarkStart w:id="3102" w:name="_Toc1285"/>
      <w:bookmarkEnd w:id="3101"/>
      <w:r>
        <w:rPr>
          <w:rtl w:val="true"/>
        </w:rPr>
        <w:t>چند مسأله</w:t>
      </w:r>
      <w:bookmarkEnd w:id="3102"/>
    </w:p>
    <w:p>
      <w:pPr>
        <w:pStyle w:val="Heading6"/>
        <w:numPr>
          <w:ilvl w:val="5"/>
          <w:numId w:val="1"/>
        </w:numPr>
        <w:rPr/>
      </w:pPr>
      <w:bookmarkStart w:id="3103" w:name="__RefHeading___Toc3599931_1067777946"/>
      <w:bookmarkStart w:id="3104" w:name="_Toc1286"/>
      <w:bookmarkEnd w:id="3103"/>
      <w:r>
        <w:rPr>
          <w:rtl w:val="true"/>
        </w:rPr>
        <w:t>راه ثبوت نسب</w:t>
      </w:r>
      <w:bookmarkEnd w:id="3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ثابت مى شود به نكاح صحيح، يعنى به آن وطيى كه از روى استحقاق شرعى واقعى باشد، خواه سبب آن عقد صحيح واقعاً باشد، يا ملكيت واقعيه، يا تحليل مؤثر، كما اينكه ثابت نمى شود به زنا</w:t>
      </w:r>
      <w:r>
        <w:rPr>
          <w:rFonts w:eastAsia="Amiri" w:cs="Amiri" w:ascii="Amiri" w:hAnsi="Amiri"/>
          <w:color w:val="111111"/>
          <w:sz w:val="28"/>
          <w:szCs w:val="28"/>
          <w:rtl w:val="true"/>
          <w:lang w:bidi="ar-SA"/>
        </w:rPr>
        <w:t>.</w:t>
      </w:r>
    </w:p>
    <w:p>
      <w:pPr>
        <w:pStyle w:val="Heading6"/>
        <w:numPr>
          <w:ilvl w:val="5"/>
          <w:numId w:val="1"/>
        </w:numPr>
        <w:rPr/>
      </w:pPr>
      <w:bookmarkStart w:id="3105" w:name="__RefHeading___Toc3599933_1067777946"/>
      <w:bookmarkStart w:id="3106" w:name="_Toc1287"/>
      <w:bookmarkEnd w:id="3105"/>
      <w:r>
        <w:rPr>
          <w:rtl w:val="true"/>
        </w:rPr>
        <w:t>ميزان در ولد شبهه بودن</w:t>
      </w:r>
      <w:bookmarkEnd w:id="3106"/>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ثابت مى شود نسب به وطى به شبهه؛ و كافى است معذوريّت ظاهريّه در آن به امارات معتبره و اصول كه انكشاف خلاف آنها شده باشد، اگر چه جاهل به معذوريّت باشد و تجرّى كرده باشد به واسطۀ جهل به مسأله؛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عدم تكليف </w:t>
      </w:r>
      <w:bookmarkStart w:id="3107" w:name="pg10256_89849"/>
    </w:p>
    <w:p>
      <w:pPr>
        <w:pStyle w:val="BookText"/>
        <w:rPr/>
      </w:pPr>
      <w:bookmarkEnd w:id="3107"/>
      <w:r>
        <w:rPr>
          <w:rFonts w:ascii="Amiri" w:hAnsi="Amiri" w:eastAsia="Amiri" w:cs="Amiri"/>
          <w:color w:val="111111"/>
          <w:sz w:val="28"/>
          <w:sz w:val="28"/>
          <w:szCs w:val="28"/>
          <w:rtl w:val="true"/>
          <w:lang w:bidi="ar-SA"/>
        </w:rPr>
        <w:t>مثل نائم و مجنون و سكران به سبب حلال، و مكرَه در صورت 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كافى است در آن، معذوريت اعتقاديه اگر چه معذور در اعتقاد نباشد، بلكه مطلق عدم علم به تحريم و عدم استحقاق واقعى، يا نه‌؟ اظهر ابتناى بر تحقق زنا و شروط آن، و عدم تحقق است، و نسب محقّق است با عدم محكوميّت به احكام زنا و هم چنين اعتداد</w:t>
      </w:r>
      <w:r>
        <w:rPr>
          <w:rFonts w:eastAsia="IRNazanin" w:cs="IRNazanin"/>
          <w:color w:val="111111"/>
          <w:sz w:val="28"/>
          <w:szCs w:val="28"/>
          <w:rtl w:val="true"/>
          <w:lang w:bidi="fa-IR"/>
        </w:rPr>
        <w:t>.</w:t>
      </w:r>
    </w:p>
    <w:p>
      <w:pPr>
        <w:pStyle w:val="Heading6"/>
        <w:numPr>
          <w:ilvl w:val="5"/>
          <w:numId w:val="1"/>
        </w:numPr>
        <w:rPr/>
      </w:pPr>
      <w:bookmarkStart w:id="3108" w:name="__RefHeading___Toc3599935_1067777946"/>
      <w:bookmarkStart w:id="3109" w:name="_Toc1288"/>
      <w:bookmarkEnd w:id="3108"/>
      <w:r>
        <w:rPr>
          <w:rtl w:val="true"/>
        </w:rPr>
        <w:t>محرّمات به سبب ولادت از زنا</w:t>
      </w:r>
      <w:bookmarkEnd w:id="3109"/>
    </w:p>
    <w:p>
      <w:pPr>
        <w:pStyle w:val="BookText"/>
        <w:rPr/>
      </w:pPr>
      <w:r>
        <w:rPr>
          <w:rFonts w:ascii="IRNazanin" w:hAnsi="IRNazanin" w:eastAsia="IRNazanin"/>
          <w:color w:val="111111"/>
          <w:sz w:val="28"/>
          <w:sz w:val="28"/>
          <w:szCs w:val="28"/>
          <w:rtl w:val="true"/>
          <w:lang w:bidi="fa-IR"/>
        </w:rPr>
        <w:t>اگر ولادت از زنا بود، اظهر حرمت بنت بر پدر، و ابن بر مادر است، و هم چنين جواز نظر و ساير محرّمات نسبيه؛ و در محرمات به مصاهره، تأمل است و مورد احتياط مطلوب در فروج است</w:t>
      </w:r>
      <w:r>
        <w:rPr>
          <w:rFonts w:eastAsia="IRNazanin" w:cs="IRNazanin"/>
          <w:color w:val="111111"/>
          <w:sz w:val="28"/>
          <w:szCs w:val="28"/>
          <w:rtl w:val="true"/>
          <w:lang w:bidi="fa-IR"/>
        </w:rPr>
        <w:t>.</w:t>
      </w:r>
    </w:p>
    <w:p>
      <w:pPr>
        <w:pStyle w:val="Heading6"/>
        <w:numPr>
          <w:ilvl w:val="5"/>
          <w:numId w:val="1"/>
        </w:numPr>
        <w:rPr/>
      </w:pPr>
      <w:bookmarkStart w:id="3110" w:name="__RefHeading___Toc3599937_1067777946"/>
      <w:bookmarkStart w:id="3111" w:name="_Toc1289"/>
      <w:bookmarkEnd w:id="3110"/>
      <w:r>
        <w:rPr>
          <w:rtl w:val="true"/>
        </w:rPr>
        <w:t>حكم مولود بعد از طلاق و تحقّق وطى به شبهه</w:t>
      </w:r>
      <w:bookmarkEnd w:id="31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را طلاق داد پس وطى به شبهه محقّق شد، پس از آن حمل و ولادت كامله حاصل شد، اگر ولادت در كمتر از شش ماه از وطى دومى، و در شش ماه يا زايد از وطى اولى تا آخرين زمان حمل باشد، ملحق مى شود ولد به طلاق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وطى دومى شش ماه تا بالاترين زمان حمل بود و از وطى اوّل بيش از بالاترين زمان حمل بود، ملحق به دومى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وطى دومى كمتر از شش ماه باشد، و از وطى اولى بيش از بالاترين زمان حمل باشد، ملحق به هيچ كدام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باشد لحوق به هر كدام، به اينكه از وطى هركدام بين شش ماه تا بالاترين زمان حمل باشد، اظهر لحوق به دومى است، چنانچه منسوب به اكثر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اولى بعد از وطى امۀ خود آن را عتق كرد و بعد از عده ازدواج كرد، و ولد ممكن بود لحوق او به هر كدام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زن بعد از طلاق و اعتداد تزويج كرد و ولدى از او مولود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112" w:name="pg10256_89850"/>
    </w:p>
    <w:p>
      <w:pPr>
        <w:pStyle w:val="BookText"/>
        <w:rPr/>
      </w:pPr>
      <w:bookmarkEnd w:id="3112"/>
      <w:r>
        <w:rPr>
          <w:rFonts w:ascii="Amiri" w:hAnsi="Amiri" w:eastAsia="Amiri" w:cs="Amiri"/>
          <w:color w:val="111111"/>
          <w:sz w:val="28"/>
          <w:sz w:val="28"/>
          <w:szCs w:val="28"/>
          <w:rtl w:val="true"/>
          <w:lang w:bidi="ar-SA"/>
        </w:rPr>
        <w:t>ممكن بود لحوق او بهر كدام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تاريخ هر دو مجهول بود به نحوى كه در هركدام امكان و امتناع لحوق محتمل بود، اظهر ترجيح به تأخّر فراش وطى به اعم از شبهه است، در صورت دو شبهه يا دو تزويج يا مختلف، و تعيين با قرعه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عدم علم به تأخر يكى، اظهر تعيّن قرعه است در جميع صور امكان يا احتمال لحوق بهر كدام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شير دادن و احكام رضاع و ملحق به آن، پس تابع نسب است، به هر طريقى كه معيّن شود به حكم شرع</w:t>
      </w:r>
      <w:r>
        <w:rPr>
          <w:rFonts w:eastAsia="IRNazanin" w:cs="IRNazanin"/>
          <w:color w:val="111111"/>
          <w:sz w:val="28"/>
          <w:szCs w:val="28"/>
          <w:rtl w:val="true"/>
          <w:lang w:bidi="fa-IR"/>
        </w:rPr>
        <w:t>.</w:t>
      </w:r>
    </w:p>
    <w:p>
      <w:pPr>
        <w:pStyle w:val="Heading6"/>
        <w:numPr>
          <w:ilvl w:val="5"/>
          <w:numId w:val="1"/>
        </w:numPr>
        <w:rPr/>
      </w:pPr>
      <w:bookmarkStart w:id="3113" w:name="__RefHeading___Toc3599939_1067777946"/>
      <w:bookmarkStart w:id="3114" w:name="_Toc1290"/>
      <w:bookmarkEnd w:id="3113"/>
      <w:r>
        <w:rPr>
          <w:rtl w:val="true"/>
        </w:rPr>
        <w:t>محدودۀ تأثير لعان در انتفاى نسب و آثار آن</w:t>
      </w:r>
      <w:bookmarkEnd w:id="31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لعان مردى به نحو مؤثر، در صورت انكار ولد، منتفى مى شود نسبش به زوج، و نشر حرمت در ارث و لبن از او نمى كند اگر چه ناشر از زن باشد؛ و هم چنين در نكاح از حيث نسب، ناشر حرمت براى زوج نيست، بلى از حيث مصاهرت در صورت لحوق به مادر به نحو صحيح، ربيبۀ او است؛ پس بعد از لعان و انتفاى نسب از زوج اگر اقرار كرد، ثابت مى شود آنچه مقتضاى اقرار، ثبوت آن است، مثل ارث پدر نه ارث او از ولد، و هم چنين ساير آثار نسب</w:t>
      </w:r>
      <w:r>
        <w:rPr>
          <w:rFonts w:eastAsia="IRNazanin" w:cs="IRNazanin"/>
          <w:color w:val="111111"/>
          <w:sz w:val="28"/>
          <w:szCs w:val="28"/>
          <w:rtl w:val="true"/>
          <w:lang w:bidi="fa-IR"/>
        </w:rPr>
        <w:t>.</w:t>
      </w:r>
    </w:p>
    <w:p>
      <w:pPr>
        <w:pStyle w:val="Heading4"/>
        <w:numPr>
          <w:ilvl w:val="3"/>
          <w:numId w:val="1"/>
        </w:numPr>
        <w:rPr/>
      </w:pPr>
      <w:bookmarkStart w:id="3115" w:name="__RefHeading___Toc3599941_1067777946"/>
      <w:bookmarkStart w:id="3116" w:name="_Toc1291"/>
      <w:bookmarkEnd w:id="3115"/>
      <w:r>
        <w:rPr/>
        <w:t>2</w:t>
      </w:r>
      <w:r>
        <w:rPr>
          <w:rtl w:val="true"/>
        </w:rPr>
        <w:t xml:space="preserve">. </w:t>
      </w:r>
      <w:r>
        <w:rPr>
          <w:rtl w:val="true"/>
        </w:rPr>
        <w:t>رضاع</w:t>
      </w:r>
      <w:bookmarkEnd w:id="3116"/>
    </w:p>
    <w:p>
      <w:pPr>
        <w:pStyle w:val="Heading5"/>
        <w:numPr>
          <w:ilvl w:val="4"/>
          <w:numId w:val="1"/>
        </w:numPr>
        <w:rPr/>
      </w:pPr>
      <w:bookmarkStart w:id="3117" w:name="__RefHeading___Toc3599943_1067777946"/>
      <w:bookmarkStart w:id="3118" w:name="_Toc1292"/>
      <w:bookmarkEnd w:id="3117"/>
      <w:r>
        <w:rPr>
          <w:rtl w:val="true"/>
        </w:rPr>
        <w:t>اشاره</w:t>
      </w:r>
      <w:bookmarkEnd w:id="31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سبب دوّم از اسباب تحريم، رضاع است</w:t>
      </w:r>
      <w:r>
        <w:rPr>
          <w:rFonts w:eastAsia="Amiri" w:cs="Amiri" w:ascii="Amiri" w:hAnsi="Amiri"/>
          <w:color w:val="111111"/>
          <w:sz w:val="28"/>
          <w:szCs w:val="28"/>
          <w:rtl w:val="true"/>
          <w:lang w:bidi="ar-SA"/>
        </w:rPr>
        <w:t>.</w:t>
      </w:r>
    </w:p>
    <w:p>
      <w:pPr>
        <w:pStyle w:val="Heading5"/>
        <w:numPr>
          <w:ilvl w:val="4"/>
          <w:numId w:val="1"/>
        </w:numPr>
        <w:rPr/>
      </w:pPr>
      <w:bookmarkStart w:id="3119" w:name="__RefHeading___Toc3599945_1067777946"/>
      <w:bookmarkStart w:id="3120" w:name="_Toc1293"/>
      <w:bookmarkEnd w:id="3119"/>
      <w:r>
        <w:rPr>
          <w:rtl w:val="true"/>
        </w:rPr>
        <w:t>شروط نشر حرمت به سبب رضاع</w:t>
      </w:r>
      <w:bookmarkEnd w:id="3120"/>
    </w:p>
    <w:p>
      <w:pPr>
        <w:pStyle w:val="Heading6"/>
        <w:numPr>
          <w:ilvl w:val="5"/>
          <w:numId w:val="1"/>
        </w:numPr>
        <w:rPr/>
      </w:pPr>
      <w:bookmarkStart w:id="3121" w:name="__RefHeading___Toc3599947_1067777946"/>
      <w:bookmarkStart w:id="3122" w:name="_Toc1294"/>
      <w:bookmarkEnd w:id="3121"/>
      <w:r>
        <w:rPr>
          <w:rtl w:val="true"/>
        </w:rPr>
        <w:t>شرط اوّل</w:t>
      </w:r>
      <w:r>
        <w:rPr>
          <w:rtl w:val="true"/>
        </w:rPr>
        <w:t xml:space="preserve">: </w:t>
      </w:r>
      <w:r>
        <w:rPr>
          <w:rtl w:val="true"/>
        </w:rPr>
        <w:t>استناد شير به سبب خاص شرعى</w:t>
      </w:r>
      <w:bookmarkEnd w:id="3122"/>
    </w:p>
    <w:p>
      <w:pPr>
        <w:pStyle w:val="Heading6"/>
        <w:numPr>
          <w:ilvl w:val="5"/>
          <w:numId w:val="1"/>
        </w:numPr>
        <w:rPr/>
      </w:pPr>
      <w:bookmarkStart w:id="3123" w:name="__RefHeading___Toc3599949_1067777946"/>
      <w:bookmarkStart w:id="3124" w:name="_Toc1295"/>
      <w:bookmarkEnd w:id="3123"/>
      <w:r>
        <w:rPr>
          <w:rtl w:val="true"/>
        </w:rPr>
        <w:t>اشاره</w:t>
      </w:r>
      <w:bookmarkEnd w:id="312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اوّل از جملۀ شروط انتشار حرمت به سبب رضاع، اين است كه شير از وطى </w:t>
      </w:r>
      <w:bookmarkStart w:id="3125" w:name="pg10256_89851"/>
    </w:p>
    <w:p>
      <w:pPr>
        <w:pStyle w:val="BookText"/>
        <w:rPr/>
      </w:pPr>
      <w:bookmarkEnd w:id="3125"/>
      <w:r>
        <w:rPr>
          <w:rFonts w:ascii="IRNazanin" w:hAnsi="IRNazanin" w:eastAsia="IRNazanin"/>
          <w:color w:val="111111"/>
          <w:sz w:val="28"/>
          <w:sz w:val="28"/>
          <w:szCs w:val="28"/>
          <w:rtl w:val="true"/>
          <w:lang w:bidi="fa-IR"/>
        </w:rPr>
        <w:t>حاصل به سبب عقد صحيح يا ملك يمين يا تحليل باشد؛ پس اگر شيرْ خودش خارج شد نه به سبب مذكور، نشر حرمت نمى نمايد، بلكه بايد بعد از وطى و حمل، ولادت محقّق شود به نحوى كه صدق نمايد لبن ولد؛ و اكتفاى به حمل مؤثر در اين، خالى از وجه نيست؛ و اظهر صدق آن است در سقط بعد از ولوج روح، نه قبل از تماميّت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بين تماميّت و ولوج روح، پس مورد اشكال و احتياط است، لكن اعتبار به حمل مؤثّر و لبن است، و با آن فرقى در مذكورات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و احوط عدم اعتبار خصوص دخول است، بلكه تكوّن از آب مرد، كافى است اگر چه نادر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شير از زنا باشد، اگر چه بعد از ولادت باشد، تاثير در نشر حرمت نمى نمايد</w:t>
      </w:r>
      <w:r>
        <w:rPr>
          <w:rFonts w:eastAsia="IRNazanin" w:cs="IRNazanin"/>
          <w:color w:val="111111"/>
          <w:sz w:val="28"/>
          <w:szCs w:val="28"/>
          <w:rtl w:val="true"/>
          <w:lang w:bidi="fa-IR"/>
        </w:rPr>
        <w:t>.</w:t>
      </w:r>
    </w:p>
    <w:p>
      <w:pPr>
        <w:pStyle w:val="Heading6"/>
        <w:numPr>
          <w:ilvl w:val="5"/>
          <w:numId w:val="1"/>
        </w:numPr>
        <w:rPr/>
      </w:pPr>
      <w:bookmarkStart w:id="3126" w:name="__RefHeading___Toc3599951_1067777946"/>
      <w:bookmarkStart w:id="3127" w:name="_Toc1296"/>
      <w:bookmarkEnd w:id="3126"/>
      <w:r>
        <w:rPr>
          <w:rtl w:val="true"/>
        </w:rPr>
        <w:t>عدم نشر به واسطه وطى به شبهه و ارضاى خنثاى مشكل</w:t>
      </w:r>
      <w:bookmarkEnd w:id="3127"/>
    </w:p>
    <w:p>
      <w:pPr>
        <w:pStyle w:val="BookText"/>
        <w:rPr/>
      </w:pPr>
      <w:r>
        <w:rPr>
          <w:rFonts w:ascii="IRNazanin" w:hAnsi="IRNazanin" w:eastAsia="IRNazanin"/>
          <w:color w:val="111111"/>
          <w:sz w:val="28"/>
          <w:sz w:val="28"/>
          <w:szCs w:val="28"/>
          <w:rtl w:val="true"/>
          <w:lang w:bidi="fa-IR"/>
        </w:rPr>
        <w:t>اظهر لحوق وطى به شبهه از طرفين به نكاح صحيح است در نشر حرمت به رضاع با شروط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تاثير وطى به شبهه از خصوص يك طرف است، اگر چه احوط نشر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در نشر حرمت به رضاع، زن بودن، معلوم باشد؛ پس ناشر نيست ارضاع خنثاى مشكل اگر چه ساير شروط باشد و شبهه از طرفين باشد</w:t>
      </w:r>
      <w:r>
        <w:rPr>
          <w:rFonts w:eastAsia="IRNazanin" w:cs="IRNazanin"/>
          <w:color w:val="111111"/>
          <w:sz w:val="28"/>
          <w:szCs w:val="28"/>
          <w:rtl w:val="true"/>
          <w:lang w:bidi="fa-IR"/>
        </w:rPr>
        <w:t>.</w:t>
      </w:r>
    </w:p>
    <w:p>
      <w:pPr>
        <w:pStyle w:val="Heading6"/>
        <w:numPr>
          <w:ilvl w:val="5"/>
          <w:numId w:val="1"/>
        </w:numPr>
        <w:rPr/>
      </w:pPr>
      <w:bookmarkStart w:id="3128" w:name="__RefHeading___Toc3599953_1067777946"/>
      <w:bookmarkStart w:id="3129" w:name="_Toc1297"/>
      <w:bookmarkEnd w:id="3128"/>
      <w:r>
        <w:rPr>
          <w:rtl w:val="true"/>
        </w:rPr>
        <w:t>عدم اشتراط بقاى زوجيّت</w:t>
      </w:r>
      <w:bookmarkEnd w:id="3129"/>
    </w:p>
    <w:p>
      <w:pPr>
        <w:pStyle w:val="BookText"/>
        <w:rPr/>
      </w:pPr>
      <w:r>
        <w:rPr>
          <w:rFonts w:ascii="IRNazanin" w:hAnsi="IRNazanin" w:eastAsia="IRNazanin"/>
          <w:color w:val="111111"/>
          <w:sz w:val="28"/>
          <w:sz w:val="28"/>
          <w:szCs w:val="28"/>
          <w:rtl w:val="true"/>
          <w:lang w:bidi="fa-IR"/>
        </w:rPr>
        <w:t>شرط نيست در ناشر بودن رضاع، بقاى زوجيّت؛ پس بعد از طلاق حامل و رضاع بعد از ولادت، نشر محقّق مى شود؛ و هم چنين طلاق در زمان شير دادن، يا موت زوج در زمان شير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فرقى بين شير دادن در عده و بعد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كشيدن زمان زوال علقۀ زوجيّت يا نه، فرق ندارد</w:t>
      </w:r>
      <w:r>
        <w:rPr>
          <w:rFonts w:eastAsia="IRNazanin" w:cs="IRNazanin"/>
          <w:color w:val="111111"/>
          <w:sz w:val="28"/>
          <w:szCs w:val="28"/>
          <w:rtl w:val="true"/>
          <w:lang w:bidi="fa-IR"/>
        </w:rPr>
        <w:t>.</w:t>
      </w:r>
    </w:p>
    <w:p>
      <w:pPr>
        <w:pStyle w:val="Heading6"/>
        <w:numPr>
          <w:ilvl w:val="5"/>
          <w:numId w:val="1"/>
        </w:numPr>
        <w:rPr/>
      </w:pPr>
      <w:bookmarkStart w:id="3130" w:name="__RefHeading___Toc3599955_1067777946"/>
      <w:bookmarkStart w:id="3131" w:name="_Toc1298"/>
      <w:bookmarkEnd w:id="3130"/>
      <w:r>
        <w:rPr>
          <w:rtl w:val="true"/>
        </w:rPr>
        <w:t>حكم انقطاع لبن در بين</w:t>
      </w:r>
      <w:bookmarkEnd w:id="313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انقطاع لبن در بين ضرر ندارد به نحوى كه اضافۀ آن به لبن زوج محفوظ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بنابر </w:t>
      </w:r>
      <w:bookmarkStart w:id="3132" w:name="pg10256_89852"/>
    </w:p>
    <w:p>
      <w:pPr>
        <w:pStyle w:val="BookText"/>
        <w:rPr/>
      </w:pPr>
      <w:bookmarkEnd w:id="3132"/>
      <w:r>
        <w:rPr>
          <w:rFonts w:ascii="IRNazanin" w:hAnsi="IRNazanin" w:eastAsia="IRNazanin"/>
          <w:color w:val="111111"/>
          <w:sz w:val="28"/>
          <w:sz w:val="28"/>
          <w:szCs w:val="28"/>
          <w:rtl w:val="true"/>
          <w:lang w:bidi="fa-IR"/>
        </w:rPr>
        <w:t>اعتبار حولين در مرضعه، بايد رضاع از حولين ولادت تاخير پيدا نكند، و خواهد آمد بيان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 تزويج بعد از فراق، و دخول زوج ثانى، با عدم انقطاع شير، رضاع ناشر حاصل مى شود؛ و هم چنين در صورت حمل از دوّم با عدم حدوث زيادتى در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حدوث زيادتى محتمله، پس محل تأمل است در غير قليل غير مانع از اضافۀ به اوّل؛ بلكه بنابر اعتبار اتحاد فحل و كفايت شير در زمان حمل، اظهر عدم تاثير است در نشر حرمت، لكن اتحاد فحل، اعتبار آن به نحو مفيد در اين مقام قابل منع است، اگر چه اضافۀ شير به هر دو يا خصوص يكى هم مشكل است تحقّق شروط ديگر در آن، و مقتضاى اصل عدم نشر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منقطع شد شير تا زمانى كه اگر خارج شود مضاف به اوّلى نيست، بعد اگر خارج شد در زمان حمل دوّم، منسوب به دوّم است، پس ناشر است بنابر اكتفاى به رضاع در زمان حمل قبل 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مستمر شد از اوّل تا ولادت از دوّم، پس آنچه معلوم است انتساب آن به اوّلى، ناشر است از اوّلى، و آنچه معلوم است انتساب آن به دومى، ناشر است از دومى؛ و اگر معلوم نبود فرموده اند ما بعد از وضع دومى منسوب به دومى، و ما قبل از وضع دومى منسوب به اولى است، و بر آن ادّعاى اجماع كرده اند</w:t>
      </w:r>
      <w:r>
        <w:rPr>
          <w:rFonts w:eastAsia="IRNazanin" w:cs="IRNazanin"/>
          <w:color w:val="111111"/>
          <w:sz w:val="28"/>
          <w:szCs w:val="28"/>
          <w:rtl w:val="true"/>
          <w:lang w:bidi="fa-IR"/>
        </w:rPr>
        <w:t>.</w:t>
      </w:r>
    </w:p>
    <w:p>
      <w:pPr>
        <w:pStyle w:val="Heading6"/>
        <w:numPr>
          <w:ilvl w:val="5"/>
          <w:numId w:val="1"/>
        </w:numPr>
        <w:rPr/>
      </w:pPr>
      <w:bookmarkStart w:id="3133" w:name="__RefHeading___Toc3599957_1067777946"/>
      <w:bookmarkStart w:id="3134" w:name="_Toc1299"/>
      <w:bookmarkEnd w:id="3133"/>
      <w:r>
        <w:rPr>
          <w:rtl w:val="true"/>
        </w:rPr>
        <w:t>حكم آمدن شير بدون ولادت و استمرار آن تا زمان حمل و ولادت</w:t>
      </w:r>
      <w:bookmarkEnd w:id="3134"/>
    </w:p>
    <w:p>
      <w:pPr>
        <w:pStyle w:val="BookText"/>
        <w:rPr/>
      </w:pPr>
      <w:r>
        <w:rPr>
          <w:rFonts w:ascii="IRNazanin" w:hAnsi="IRNazanin" w:eastAsia="IRNazanin"/>
          <w:color w:val="111111"/>
          <w:sz w:val="28"/>
          <w:sz w:val="28"/>
          <w:szCs w:val="28"/>
          <w:rtl w:val="true"/>
          <w:lang w:bidi="fa-IR"/>
        </w:rPr>
        <w:t>و اين حكم نظير آن جارى است در صورتى كه شيرْ خودش بيايد نه از ولادت، و مستمر باشد تا زمان حمل و ولادت، يعنى ما قبل از وضعْ ناشر نيست و ما بعد از وضعْ ناشر است، و مستندْ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فروع ديگر كه روشن نيست لحوق آن به محل اجماع منقول، بايد عمل به قواعد بشود، و فرقى بين زيادتى به حمل و عدم آن نگذاشته 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زيادتى مهمّه از زمان حمل به بعد، تأمل است در حكم آن؛ منشأ آن، تأمل در اطلاق محل اجماع بر خلاف مقتضاى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بالنسبه به غير صورت متيقّنه اى كه به آن اشاره شد و به صور ديگر هم اشاره شد</w:t>
      </w:r>
      <w:r>
        <w:rPr>
          <w:rFonts w:eastAsia="IRNazanin" w:cs="IRNazanin"/>
          <w:color w:val="111111"/>
          <w:sz w:val="28"/>
          <w:szCs w:val="28"/>
          <w:rtl w:val="true"/>
          <w:lang w:bidi="fa-IR"/>
        </w:rPr>
        <w:t xml:space="preserve">. </w:t>
      </w:r>
      <w:bookmarkStart w:id="3135" w:name="pg10256_89853"/>
    </w:p>
    <w:p>
      <w:pPr>
        <w:pStyle w:val="Heading6"/>
        <w:numPr>
          <w:ilvl w:val="5"/>
          <w:numId w:val="1"/>
        </w:numPr>
        <w:rPr/>
      </w:pPr>
      <w:bookmarkStart w:id="3136" w:name="__RefHeading___Toc3599959_1067777946"/>
      <w:bookmarkStart w:id="3137" w:name="_Toc1300"/>
      <w:bookmarkEnd w:id="3135"/>
      <w:bookmarkEnd w:id="3136"/>
      <w:r>
        <w:rPr>
          <w:rtl w:val="true"/>
        </w:rPr>
        <w:t>شرط دوّم</w:t>
      </w:r>
      <w:r>
        <w:rPr>
          <w:rtl w:val="true"/>
        </w:rPr>
        <w:t xml:space="preserve">: </w:t>
      </w:r>
      <w:r>
        <w:rPr>
          <w:rtl w:val="true"/>
        </w:rPr>
        <w:t>تمام رضعات در حيات مرضعه باشد</w:t>
      </w:r>
      <w:bookmarkEnd w:id="3137"/>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حيات مرضعه در نشر حرمت، پس كافى نيست تبعيض و تلفيق از شير دادن در حال حيات و موت مرضعه</w:t>
      </w:r>
      <w:r>
        <w:rPr>
          <w:rFonts w:eastAsia="IRNazanin" w:cs="IRNazanin"/>
          <w:color w:val="111111"/>
          <w:sz w:val="28"/>
          <w:szCs w:val="28"/>
          <w:rtl w:val="true"/>
          <w:lang w:bidi="fa-IR"/>
        </w:rPr>
        <w:t>.</w:t>
      </w:r>
    </w:p>
    <w:p>
      <w:pPr>
        <w:pStyle w:val="Heading6"/>
        <w:numPr>
          <w:ilvl w:val="5"/>
          <w:numId w:val="1"/>
        </w:numPr>
        <w:rPr/>
      </w:pPr>
      <w:bookmarkStart w:id="3138" w:name="__RefHeading___Toc3599961_1067777946"/>
      <w:bookmarkStart w:id="3139" w:name="_Toc1301"/>
      <w:bookmarkEnd w:id="3138"/>
      <w:r>
        <w:rPr>
          <w:rtl w:val="true"/>
        </w:rPr>
        <w:t>شرط سوّم</w:t>
      </w:r>
      <w:r>
        <w:rPr>
          <w:rtl w:val="true"/>
        </w:rPr>
        <w:t xml:space="preserve">: </w:t>
      </w:r>
      <w:r>
        <w:rPr>
          <w:rtl w:val="true"/>
        </w:rPr>
        <w:t>حصول اندازۀ لازم در رضاع</w:t>
      </w:r>
      <w:bookmarkEnd w:id="3139"/>
    </w:p>
    <w:p>
      <w:pPr>
        <w:pStyle w:val="Heading6"/>
        <w:numPr>
          <w:ilvl w:val="5"/>
          <w:numId w:val="1"/>
        </w:numPr>
        <w:rPr/>
      </w:pPr>
      <w:bookmarkStart w:id="3140" w:name="__RefHeading___Toc3599963_1067777946"/>
      <w:bookmarkStart w:id="3141" w:name="_Toc1302"/>
      <w:bookmarkEnd w:id="3140"/>
      <w:r>
        <w:rPr>
          <w:rtl w:val="true"/>
        </w:rPr>
        <w:t>اشاره</w:t>
      </w:r>
      <w:bookmarkEnd w:id="3141"/>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نشر حرمت، مسمّاى شير دادن كافى نيست؛ بلكه خارج از سه تحديد مذكور در نصوص و فتاوى كافى نيست</w:t>
      </w:r>
      <w:r>
        <w:rPr>
          <w:rFonts w:eastAsia="Amiri" w:cs="Amiri" w:ascii="Amiri" w:hAnsi="Amiri"/>
          <w:color w:val="111111"/>
          <w:sz w:val="28"/>
          <w:szCs w:val="28"/>
          <w:rtl w:val="true"/>
          <w:lang w:bidi="ar-SA"/>
        </w:rPr>
        <w:t>:</w:t>
      </w:r>
    </w:p>
    <w:p>
      <w:pPr>
        <w:pStyle w:val="Heading6"/>
        <w:numPr>
          <w:ilvl w:val="5"/>
          <w:numId w:val="1"/>
        </w:numPr>
        <w:rPr/>
      </w:pPr>
      <w:bookmarkStart w:id="3142" w:name="__RefHeading___Toc3599965_1067777946"/>
      <w:bookmarkStart w:id="3143" w:name="_Toc1303"/>
      <w:bookmarkEnd w:id="3142"/>
      <w:r>
        <w:rPr>
          <w:rtl w:val="true"/>
        </w:rPr>
        <w:t>حدّ اوّل</w:t>
      </w:r>
      <w:r>
        <w:rPr>
          <w:rtl w:val="true"/>
        </w:rPr>
        <w:t xml:space="preserve">: </w:t>
      </w:r>
      <w:r>
        <w:rPr>
          <w:rtl w:val="true"/>
        </w:rPr>
        <w:t>روييدن گوشت و سفت شدن استخوان</w:t>
      </w:r>
      <w:bookmarkEnd w:id="3143"/>
    </w:p>
    <w:p>
      <w:pPr>
        <w:pStyle w:val="Heading6"/>
        <w:numPr>
          <w:ilvl w:val="5"/>
          <w:numId w:val="1"/>
        </w:numPr>
        <w:rPr/>
      </w:pPr>
      <w:bookmarkStart w:id="3144" w:name="__RefHeading___Toc3599967_1067777946"/>
      <w:bookmarkStart w:id="3145" w:name="_Toc1304"/>
      <w:bookmarkEnd w:id="3144"/>
      <w:r>
        <w:rPr>
          <w:rtl w:val="true"/>
        </w:rPr>
        <w:t>اشاره</w:t>
      </w:r>
      <w:bookmarkEnd w:id="3145"/>
    </w:p>
    <w:p>
      <w:pPr>
        <w:pStyle w:val="BookText"/>
        <w:rPr/>
      </w:pPr>
      <w:r>
        <w:rPr>
          <w:rFonts w:ascii="IRNazanin" w:hAnsi="IRNazanin" w:eastAsia="IRNazanin"/>
          <w:color w:val="111111"/>
          <w:sz w:val="28"/>
          <w:sz w:val="28"/>
          <w:szCs w:val="28"/>
          <w:rtl w:val="true"/>
          <w:lang w:bidi="fa-IR"/>
        </w:rPr>
        <w:t>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 لحم و شدّ عظم، يعنى روييدن گوشت و محكم شدن استخوان به سبب شير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مانعى از علم به تحقق انبات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رجوع به تحديد ديگر مى شود، مگر آنكه مقطوع باشد عدم تأثير كه در اين صورت مشكل است ناشر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اعتبار اجتماع دو خاصيت است، و كفايت مى كند علم به يكى از آنها، يعنى متلازمين غالبى، در حكم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به تحقّق دو اثر، لازم نيست رعايت دو تحديد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به تخلّف واقعى بين دو خاصيت فرضاً، اظهر عدم نشر است در صورت عدم دو تحديد ديگر، وگرنه مورد احتياط است، و اخذ به اطلاق در هر دو، خلاف تعليل در روايات است</w:t>
      </w:r>
      <w:r>
        <w:rPr>
          <w:rFonts w:eastAsia="IRNazanin" w:cs="IRNazanin"/>
          <w:color w:val="111111"/>
          <w:sz w:val="28"/>
          <w:szCs w:val="28"/>
          <w:rtl w:val="true"/>
          <w:lang w:bidi="fa-IR"/>
        </w:rPr>
        <w:t>.</w:t>
      </w:r>
    </w:p>
    <w:p>
      <w:pPr>
        <w:pStyle w:val="Heading6"/>
        <w:numPr>
          <w:ilvl w:val="5"/>
          <w:numId w:val="1"/>
        </w:numPr>
        <w:rPr/>
      </w:pPr>
      <w:bookmarkStart w:id="3146" w:name="__RefHeading___Toc3599969_1067777946"/>
      <w:bookmarkStart w:id="3147" w:name="_Toc1305"/>
      <w:bookmarkEnd w:id="3146"/>
      <w:r>
        <w:rPr>
          <w:rtl w:val="true"/>
        </w:rPr>
        <w:t>لزوم استناد اثر به شير خوردن به نحو استقلال</w:t>
      </w:r>
      <w:bookmarkEnd w:id="314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اثر، منسوب به شير خوردن باشد به نحو استقلال؛ پس اگر در دهان طفلْ شيرِ ممتزج باشد با شكر مثلاً يا غذاى ديگر، نشر حرمت نمى كند؛ و هم چنين اگر در ضمن، غذاى ديگرى تناول بنمايد به نحوى كه اثرْ منسوب به مجموع باشد، نه شيرِ فقط، كه در اين صورت نشر حرمت نمى نمايد</w:t>
      </w:r>
      <w:r>
        <w:rPr>
          <w:rFonts w:eastAsia="IRNazanin" w:cs="IRNazanin"/>
          <w:color w:val="111111"/>
          <w:sz w:val="28"/>
          <w:szCs w:val="28"/>
          <w:rtl w:val="true"/>
          <w:lang w:bidi="fa-IR"/>
        </w:rPr>
        <w:t xml:space="preserve">. </w:t>
      </w:r>
      <w:bookmarkStart w:id="3148" w:name="pg10256_89854"/>
    </w:p>
    <w:p>
      <w:pPr>
        <w:pStyle w:val="Heading6"/>
        <w:numPr>
          <w:ilvl w:val="5"/>
          <w:numId w:val="1"/>
        </w:numPr>
        <w:rPr/>
      </w:pPr>
      <w:bookmarkStart w:id="3149" w:name="__RefHeading___Toc3599971_1067777946"/>
      <w:bookmarkStart w:id="3150" w:name="_Toc1306"/>
      <w:bookmarkEnd w:id="3148"/>
      <w:bookmarkEnd w:id="3149"/>
      <w:r>
        <w:rPr>
          <w:rtl w:val="true"/>
        </w:rPr>
        <w:t>نحوۀ اثبات تحقق اثر و مقتضاى اصل</w:t>
      </w:r>
      <w:bookmarkEnd w:id="3150"/>
    </w:p>
    <w:p>
      <w:pPr>
        <w:pStyle w:val="BookText"/>
        <w:rPr/>
      </w:pPr>
      <w:r>
        <w:rPr>
          <w:rFonts w:ascii="IRNazanin" w:hAnsi="IRNazanin" w:eastAsia="IRNazanin"/>
          <w:color w:val="111111"/>
          <w:sz w:val="28"/>
          <w:sz w:val="28"/>
          <w:szCs w:val="28"/>
          <w:rtl w:val="true"/>
          <w:lang w:bidi="fa-IR"/>
        </w:rPr>
        <w:t>كافى است در اثبات تحقق اثرِ موجب نشر حرمت، بعد از علم، اطمينان و شهادت اهل خبره با واجديّت شروط بيّنه، و در غير آن تأمل است، و مقتضاى اصل، عدم تحقق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ثابت مى شود از طريق طول مدت به حدّى كه اگر اختلاطى بين غذاى ديگر و شير در اثنا بوده، شير تاثير مستقل داشته است، مثل دو ماه مثلاً، با عدم علم به شروط هر يك از دو علامت ديگر؛ و مرجع اين سبب، به علم به تحقق موضوع حكم است</w:t>
      </w:r>
      <w:r>
        <w:rPr>
          <w:rFonts w:eastAsia="IRNazanin" w:cs="IRNazanin"/>
          <w:color w:val="111111"/>
          <w:sz w:val="28"/>
          <w:szCs w:val="28"/>
          <w:rtl w:val="true"/>
          <w:lang w:bidi="fa-IR"/>
        </w:rPr>
        <w:t>.</w:t>
      </w:r>
    </w:p>
    <w:p>
      <w:pPr>
        <w:pStyle w:val="Heading6"/>
        <w:numPr>
          <w:ilvl w:val="5"/>
          <w:numId w:val="1"/>
        </w:numPr>
        <w:rPr/>
      </w:pPr>
      <w:bookmarkStart w:id="3151" w:name="__RefHeading___Toc3599973_1067777946"/>
      <w:bookmarkStart w:id="3152" w:name="_Toc1307"/>
      <w:bookmarkEnd w:id="3151"/>
      <w:r>
        <w:rPr>
          <w:rtl w:val="true"/>
        </w:rPr>
        <w:t>حدّ دوّم</w:t>
      </w:r>
      <w:r>
        <w:rPr>
          <w:rtl w:val="true"/>
        </w:rPr>
        <w:t xml:space="preserve">: </w:t>
      </w:r>
      <w:r>
        <w:rPr>
          <w:rtl w:val="true"/>
        </w:rPr>
        <w:t>تحقق حدّ اقل ده مرتبه رضاع</w:t>
      </w:r>
      <w:bookmarkEnd w:id="3152"/>
    </w:p>
    <w:p>
      <w:pPr>
        <w:pStyle w:val="BookText"/>
        <w:rPr/>
      </w:pPr>
      <w:r>
        <w:rPr>
          <w:rFonts w:ascii="IRNazanin" w:hAnsi="IRNazanin" w:eastAsia="IRNazanin"/>
          <w:color w:val="111111"/>
          <w:sz w:val="28"/>
          <w:sz w:val="28"/>
          <w:szCs w:val="28"/>
          <w:rtl w:val="true"/>
          <w:lang w:bidi="fa-IR"/>
        </w:rPr>
        <w:t>حدّ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ده دفعه شير خوردن، نشر نمى نمايد، مگر نادراً علم به تحقق اثر پيدا شود؛ وگرنه مربوط به علامت شرعيّه نيست؛ و بعد از ده دفعۀ كامله يا پانزده دفعه، وجود و عدم آن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 مراتب، ده يا پانزده دفعه است؛ اظهر و احوط اكتفاى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است، اگر چه احوط در تحصيل علامت قطعيّه، اختيار پانزده دفعه است</w:t>
      </w:r>
      <w:r>
        <w:rPr>
          <w:rFonts w:eastAsia="IRNazanin" w:cs="IRNazanin"/>
          <w:color w:val="111111"/>
          <w:sz w:val="28"/>
          <w:szCs w:val="28"/>
          <w:rtl w:val="true"/>
          <w:lang w:bidi="fa-IR"/>
        </w:rPr>
        <w:t>.</w:t>
      </w:r>
    </w:p>
    <w:p>
      <w:pPr>
        <w:pStyle w:val="Heading6"/>
        <w:numPr>
          <w:ilvl w:val="5"/>
          <w:numId w:val="1"/>
        </w:numPr>
        <w:rPr/>
      </w:pPr>
      <w:bookmarkStart w:id="3153" w:name="__RefHeading___Toc3599975_1067777946"/>
      <w:bookmarkStart w:id="3154" w:name="_Toc1308"/>
      <w:bookmarkEnd w:id="3153"/>
      <w:r>
        <w:rPr>
          <w:rtl w:val="true"/>
        </w:rPr>
        <w:t>حدّ سوّم</w:t>
      </w:r>
      <w:r>
        <w:rPr>
          <w:rtl w:val="true"/>
        </w:rPr>
        <w:t xml:space="preserve">: </w:t>
      </w:r>
      <w:r>
        <w:rPr>
          <w:rtl w:val="true"/>
        </w:rPr>
        <w:t>رضاع يك شبانه روز</w:t>
      </w:r>
      <w:bookmarkEnd w:id="3154"/>
    </w:p>
    <w:p>
      <w:pPr>
        <w:pStyle w:val="BookText"/>
        <w:rPr/>
      </w:pPr>
      <w:r>
        <w:rPr>
          <w:rFonts w:ascii="IRNazanin" w:hAnsi="IRNazanin" w:eastAsia="IRNazanin"/>
          <w:color w:val="111111"/>
          <w:sz w:val="28"/>
          <w:sz w:val="28"/>
          <w:szCs w:val="28"/>
          <w:rtl w:val="true"/>
          <w:lang w:bidi="fa-IR"/>
        </w:rPr>
        <w:t>حدّ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طفل يك شبانه روز از پستان زن شير بخورد در مواقع احتياج او در يك شبانه روز، اگر چه به نحو ملفّق باشد</w:t>
      </w:r>
      <w:r>
        <w:rPr>
          <w:rFonts w:eastAsia="IRNazanin" w:cs="IRNazanin"/>
          <w:color w:val="111111"/>
          <w:sz w:val="28"/>
          <w:szCs w:val="28"/>
          <w:rtl w:val="true"/>
          <w:lang w:bidi="fa-IR"/>
        </w:rPr>
        <w:t>.</w:t>
      </w:r>
    </w:p>
    <w:p>
      <w:pPr>
        <w:pStyle w:val="Heading6"/>
        <w:numPr>
          <w:ilvl w:val="5"/>
          <w:numId w:val="1"/>
        </w:numPr>
        <w:rPr/>
      </w:pPr>
      <w:bookmarkStart w:id="3155" w:name="__RefHeading___Toc3599977_1067777946"/>
      <w:bookmarkStart w:id="3156" w:name="_Toc1309"/>
      <w:bookmarkEnd w:id="3155"/>
      <w:r>
        <w:rPr>
          <w:rtl w:val="true"/>
        </w:rPr>
        <w:t>شرط چهارم</w:t>
      </w:r>
      <w:r>
        <w:rPr>
          <w:rtl w:val="true"/>
        </w:rPr>
        <w:t xml:space="preserve">: </w:t>
      </w:r>
      <w:r>
        <w:rPr>
          <w:rtl w:val="true"/>
        </w:rPr>
        <w:t>تحقق رضاع به وسيلۀ مكيدن</w:t>
      </w:r>
      <w:bookmarkEnd w:id="3156"/>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در همۀ تحديدات مذكوره، كه شير از پستان خورده شود به مكيدن، نه به نحو ديگر</w:t>
      </w:r>
      <w:r>
        <w:rPr>
          <w:rFonts w:eastAsia="IRNazanin" w:cs="IRNazanin"/>
          <w:color w:val="111111"/>
          <w:sz w:val="28"/>
          <w:szCs w:val="28"/>
          <w:rtl w:val="true"/>
          <w:lang w:bidi="fa-IR"/>
        </w:rPr>
        <w:t>.</w:t>
      </w:r>
    </w:p>
    <w:p>
      <w:pPr>
        <w:pStyle w:val="Heading6"/>
        <w:numPr>
          <w:ilvl w:val="5"/>
          <w:numId w:val="1"/>
        </w:numPr>
        <w:rPr/>
      </w:pPr>
      <w:bookmarkStart w:id="3157" w:name="__RefHeading___Toc3599979_1067777946"/>
      <w:bookmarkStart w:id="3158" w:name="_Toc1310"/>
      <w:bookmarkEnd w:id="3157"/>
      <w:r>
        <w:rPr>
          <w:rtl w:val="true"/>
        </w:rPr>
        <w:t>شرط پنجم</w:t>
      </w:r>
      <w:r>
        <w:rPr>
          <w:rtl w:val="true"/>
        </w:rPr>
        <w:t xml:space="preserve">: </w:t>
      </w:r>
      <w:r>
        <w:rPr>
          <w:rtl w:val="true"/>
        </w:rPr>
        <w:t>كامل بودن رضعه و عدم فاصله در خصوص تقدير عددى</w:t>
      </w:r>
      <w:bookmarkEnd w:id="3158"/>
    </w:p>
    <w:p>
      <w:pPr>
        <w:pStyle w:val="Heading6"/>
        <w:numPr>
          <w:ilvl w:val="5"/>
          <w:numId w:val="1"/>
        </w:numPr>
        <w:rPr/>
      </w:pPr>
      <w:bookmarkStart w:id="3159" w:name="__RefHeading___Toc3599981_1067777946"/>
      <w:bookmarkStart w:id="3160" w:name="_Toc1311"/>
      <w:bookmarkEnd w:id="3159"/>
      <w:r>
        <w:rPr>
          <w:rtl w:val="true"/>
        </w:rPr>
        <w:t>اشاره</w:t>
      </w:r>
      <w:bookmarkEnd w:id="316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است در خصوص تقدير عددى، كه رضعه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دفعۀ محسوبه از </w:t>
      </w:r>
      <w:bookmarkStart w:id="3161" w:name="pg10256_89855"/>
    </w:p>
    <w:p>
      <w:pPr>
        <w:pStyle w:val="BookText"/>
        <w:rPr/>
      </w:pPr>
      <w:bookmarkEnd w:id="3161"/>
      <w:r>
        <w:rPr>
          <w:rFonts w:ascii="Amiri" w:hAnsi="Amiri" w:eastAsia="Amiri" w:cs="Amiri"/>
          <w:color w:val="111111"/>
          <w:sz w:val="28"/>
          <w:sz w:val="28"/>
          <w:szCs w:val="28"/>
          <w:rtl w:val="true"/>
          <w:lang w:bidi="ar-SA"/>
        </w:rPr>
        <w:t xml:space="preserve">عدد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باشد، نه ناقص كه به تنهايى سير و مستغنى فعلى نمى نمايد، و اينكه فاصله بين رضعات محسوبه از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نحوى كه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نشود، و اين معتبر است در حد زمانى و عددى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مسمّاى ده دفعه يا پانزده دفعه يا يك شبانه روز شير خوردن محقّق شد در مريض، به نحوى كه تفاوت بيّن داشت با تناول صحيح المزاج از حيث كميت، مشكل است نشر حرمت در مورد انصراف در غير مورد اشكال از حيث تخلف علامت به واسطۀ عدم انبات لحم و شدّ عظم به طور 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نيست ضعيف نبودن طفل به طورى كه از متعارفْ كم خوراك تر نباشد؛ اما مريض بودن او با عدم يقين به عدم اثر، بلكه فقط در مقدار متعارف خودش در حال صحتش نقصان باشد، محل تأمل است در نشر آن، بلكه از بعض مراتبْ انصرافِ اطلاقْ متّجه و در بعض مراتبْ اطلاق عرفى، موجب نشر است</w:t>
      </w:r>
      <w:r>
        <w:rPr>
          <w:rFonts w:eastAsia="Amiri" w:cs="Amiri" w:ascii="Amiri" w:hAnsi="Amiri"/>
          <w:color w:val="111111"/>
          <w:sz w:val="28"/>
          <w:szCs w:val="28"/>
          <w:rtl w:val="true"/>
          <w:lang w:bidi="ar-SA"/>
        </w:rPr>
        <w:t>.</w:t>
      </w:r>
    </w:p>
    <w:p>
      <w:pPr>
        <w:pStyle w:val="Heading6"/>
        <w:numPr>
          <w:ilvl w:val="5"/>
          <w:numId w:val="1"/>
        </w:numPr>
        <w:rPr/>
      </w:pPr>
      <w:bookmarkStart w:id="3162" w:name="__RefHeading___Toc3599983_1067777946"/>
      <w:bookmarkStart w:id="3163" w:name="_Toc1312"/>
      <w:bookmarkEnd w:id="3162"/>
      <w:r>
        <w:rPr>
          <w:rtl w:val="true"/>
        </w:rPr>
        <w:t>نحوۀ تحقق يك مرتبه شير خوردن</w:t>
      </w:r>
      <w:bookmarkEnd w:id="3163"/>
    </w:p>
    <w:p>
      <w:pPr>
        <w:pStyle w:val="BookText"/>
        <w:rPr/>
      </w:pPr>
      <w:r>
        <w:rPr>
          <w:rFonts w:ascii="IRNazanin" w:hAnsi="IRNazanin" w:eastAsia="IRNazanin"/>
          <w:color w:val="111111"/>
          <w:sz w:val="28"/>
          <w:sz w:val="28"/>
          <w:szCs w:val="28"/>
          <w:rtl w:val="true"/>
          <w:lang w:bidi="fa-IR"/>
        </w:rPr>
        <w:t>يك رضعۀ كامله از رضعات عدديّه، محقّق مى شود به آنچه آن را عرفْ يك رضعۀ كاملۀ تامّه بداند؛ و ظاهراً به اين محقّق مى شود نزد عرف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از گرسنگى مشغول ارتضاع بشود و از سيرى، با اختيار بدون صوارف، دست بكشد از خوردن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مشغول شد و به دواعى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توجه به غير يا پستان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 قبل از اتمام عمل، تا آخرين دفعه كه بعد از انجام عمل دست بكشد، يك دفعه شير خوردن محسوب مى شود در تحصيل عدد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مرضعه قطع كرد قبل از استكمال، يك رضعه محسوب نمى شود</w:t>
      </w:r>
      <w:r>
        <w:rPr>
          <w:rFonts w:eastAsia="IRNazanin" w:cs="IRNazanin"/>
          <w:color w:val="111111"/>
          <w:sz w:val="28"/>
          <w:szCs w:val="28"/>
          <w:rtl w:val="true"/>
          <w:lang w:bidi="fa-IR"/>
        </w:rPr>
        <w:t>.</w:t>
      </w:r>
    </w:p>
    <w:p>
      <w:pPr>
        <w:pStyle w:val="Heading6"/>
        <w:numPr>
          <w:ilvl w:val="5"/>
          <w:numId w:val="1"/>
        </w:numPr>
        <w:rPr/>
      </w:pPr>
      <w:bookmarkStart w:id="3164" w:name="__RefHeading___Toc3599985_1067777946"/>
      <w:bookmarkStart w:id="3165" w:name="_Toc1313"/>
      <w:bookmarkEnd w:id="3164"/>
      <w:r>
        <w:rPr>
          <w:rtl w:val="true"/>
        </w:rPr>
        <w:t>دو رضعۀ ناقصه</w:t>
      </w:r>
      <w:bookmarkEnd w:id="3165"/>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ملفّق شد از دو رضعۀ ناقصه مثلاً، اقرب احتساب مجموع يك رضعه است، بلكه فرض از قبيل انصراف بساير دواعى است كه ذكر شد احتساب مجموع، يك رضعۀ </w:t>
      </w:r>
      <w:bookmarkStart w:id="3166" w:name="pg10256_89856"/>
    </w:p>
    <w:p>
      <w:pPr>
        <w:pStyle w:val="BookText"/>
        <w:rPr/>
      </w:pPr>
      <w:bookmarkEnd w:id="3166"/>
      <w:r>
        <w:rPr>
          <w:rFonts w:ascii="IRNazanin" w:hAnsi="IRNazanin" w:eastAsia="IRNazanin"/>
          <w:color w:val="111111"/>
          <w:sz w:val="28"/>
          <w:sz w:val="28"/>
          <w:szCs w:val="28"/>
          <w:rtl w:val="true"/>
          <w:lang w:bidi="fa-IR"/>
        </w:rPr>
        <w:t>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احتساب بعض و مجموع است مگر بعد از اتمام عدد كه احتياط در احتساب است</w:t>
      </w:r>
      <w:r>
        <w:rPr>
          <w:rFonts w:eastAsia="IRNazanin" w:cs="IRNazanin"/>
          <w:color w:val="111111"/>
          <w:sz w:val="28"/>
          <w:szCs w:val="28"/>
          <w:rtl w:val="true"/>
          <w:lang w:bidi="fa-IR"/>
        </w:rPr>
        <w:t>.</w:t>
      </w:r>
    </w:p>
    <w:p>
      <w:pPr>
        <w:pStyle w:val="Heading6"/>
        <w:numPr>
          <w:ilvl w:val="5"/>
          <w:numId w:val="1"/>
        </w:numPr>
        <w:rPr/>
      </w:pPr>
      <w:bookmarkStart w:id="3167" w:name="__RefHeading___Toc3599987_1067777946"/>
      <w:bookmarkStart w:id="3168" w:name="_Toc1314"/>
      <w:bookmarkEnd w:id="3167"/>
      <w:r>
        <w:rPr>
          <w:rtl w:val="true"/>
        </w:rPr>
        <w:t>شرط ششم</w:t>
      </w:r>
      <w:r>
        <w:rPr>
          <w:rtl w:val="true"/>
        </w:rPr>
        <w:t xml:space="preserve">: </w:t>
      </w:r>
      <w:r>
        <w:rPr>
          <w:rtl w:val="true"/>
        </w:rPr>
        <w:t>پى درپى بودن شير دادن از يك شير دهنده</w:t>
      </w:r>
      <w:bookmarkEnd w:id="3168"/>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پى درپى باشد تمام رضعات از يك شير دهنده؛ پس اگر بعضى از رضعات از يك مرضعه تحصيل شد و بعضى ديگر از مرضعۀ ديگر تكميل شد، نشر حرمت بين مادر و اطفال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تكميل آن بعد از فصل رضاع زن ديگر به مرضعۀ اوّل باشد، ناشر حرمت نيست، به مقتضاى علامت بودن حد عددى و زمانى براى اثر، و اجماع و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رضاع محرِّم محقّق نشد، پس ناشر حرمت نيست رضاع كامل يك زن اگر متخلّل باشد در اثناى آن رضاع زن ديگر، بلكه غير رضاع هم از اكل، نه نسبت به مرضعه و نه نسبت به فحل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رضعۀ ناقصۀ مرضعه، كه در عدد داخل نيست، پس ظاهر عدم اضرار به تحقق عدد كاملى است كه در اثناى آن، اين رضعۀ ناقصه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نيست در عدم نشر، بين رضاع از يك زن به حدّ كمال با تخلل رضاع از زن ديگر، يا تكميل حدّ رضاع از زنهاى متعدد يك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ارتضاع ناشرِ حرمت از پستان شيردهنده باشد به مكيدن سر پستان به نحو متعارف</w:t>
      </w:r>
      <w:r>
        <w:rPr>
          <w:rFonts w:eastAsia="IRNazanin" w:cs="IRNazanin"/>
          <w:color w:val="111111"/>
          <w:sz w:val="28"/>
          <w:szCs w:val="28"/>
          <w:rtl w:val="true"/>
          <w:lang w:bidi="fa-IR"/>
        </w:rPr>
        <w:t>.</w:t>
      </w:r>
    </w:p>
    <w:p>
      <w:pPr>
        <w:pStyle w:val="Heading6"/>
        <w:numPr>
          <w:ilvl w:val="5"/>
          <w:numId w:val="1"/>
        </w:numPr>
        <w:rPr/>
      </w:pPr>
      <w:bookmarkStart w:id="3169" w:name="__RefHeading___Toc3599989_1067777946"/>
      <w:bookmarkStart w:id="3170" w:name="_Toc1315"/>
      <w:bookmarkEnd w:id="3169"/>
      <w:r>
        <w:rPr>
          <w:rtl w:val="true"/>
        </w:rPr>
        <w:t>شرط هفتم</w:t>
      </w:r>
      <w:r>
        <w:rPr>
          <w:rtl w:val="true"/>
        </w:rPr>
        <w:t xml:space="preserve">: </w:t>
      </w:r>
      <w:r>
        <w:rPr>
          <w:rtl w:val="true"/>
        </w:rPr>
        <w:t xml:space="preserve">عدم مانع از صدق </w:t>
      </w:r>
      <w:r>
        <w:rPr>
          <w:rtl w:val="true"/>
        </w:rPr>
        <w:t>«</w:t>
      </w:r>
      <w:r>
        <w:rPr>
          <w:rtl w:val="true"/>
        </w:rPr>
        <w:t>شير</w:t>
      </w:r>
      <w:r>
        <w:rPr>
          <w:rtl w:val="true"/>
        </w:rPr>
        <w:t>»</w:t>
      </w:r>
      <w:bookmarkEnd w:id="3170"/>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شير در دهان طفل، مخلوط به غير مستهلك در شير نباشد كه مانع از صدق شير باشد</w:t>
      </w:r>
      <w:r>
        <w:rPr>
          <w:rFonts w:eastAsia="Amiri" w:cs="Amiri" w:ascii="Amiri" w:hAnsi="Amiri"/>
          <w:color w:val="111111"/>
          <w:sz w:val="28"/>
          <w:szCs w:val="28"/>
          <w:rtl w:val="true"/>
          <w:lang w:bidi="ar-SA"/>
        </w:rPr>
        <w:t>.</w:t>
      </w:r>
    </w:p>
    <w:p>
      <w:pPr>
        <w:pStyle w:val="Heading6"/>
        <w:numPr>
          <w:ilvl w:val="5"/>
          <w:numId w:val="1"/>
        </w:numPr>
        <w:rPr/>
      </w:pPr>
      <w:bookmarkStart w:id="3171" w:name="__RefHeading___Toc3599991_1067777946"/>
      <w:bookmarkStart w:id="3172" w:name="_Toc1316"/>
      <w:bookmarkEnd w:id="3171"/>
      <w:r>
        <w:rPr>
          <w:rtl w:val="true"/>
        </w:rPr>
        <w:t>شرط هشتم</w:t>
      </w:r>
      <w:r>
        <w:rPr>
          <w:rtl w:val="true"/>
        </w:rPr>
        <w:t xml:space="preserve">: </w:t>
      </w:r>
      <w:r>
        <w:rPr>
          <w:rtl w:val="true"/>
        </w:rPr>
        <w:t>حيات</w:t>
      </w:r>
      <w:bookmarkEnd w:id="317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شير دهنده و طفلْ هر دو زنده باشند، پس اعتبار به مرده در شير دهنده يا طفل نيست</w:t>
      </w:r>
      <w:r>
        <w:rPr>
          <w:rFonts w:eastAsia="IRNazanin" w:cs="IRNazanin"/>
          <w:color w:val="111111"/>
          <w:sz w:val="28"/>
          <w:szCs w:val="28"/>
          <w:rtl w:val="true"/>
          <w:lang w:bidi="fa-IR"/>
        </w:rPr>
        <w:t xml:space="preserve">. </w:t>
      </w:r>
      <w:bookmarkStart w:id="3173" w:name="pg10256_89857"/>
    </w:p>
    <w:p>
      <w:pPr>
        <w:pStyle w:val="Heading6"/>
        <w:numPr>
          <w:ilvl w:val="5"/>
          <w:numId w:val="1"/>
        </w:numPr>
        <w:rPr/>
      </w:pPr>
      <w:bookmarkStart w:id="3174" w:name="__RefHeading___Toc3599993_1067777946"/>
      <w:bookmarkStart w:id="3175" w:name="_Toc1317"/>
      <w:bookmarkEnd w:id="3173"/>
      <w:bookmarkEnd w:id="3174"/>
      <w:r>
        <w:rPr>
          <w:rtl w:val="true"/>
        </w:rPr>
        <w:t>شرط نهم</w:t>
      </w:r>
      <w:r>
        <w:rPr>
          <w:rtl w:val="true"/>
        </w:rPr>
        <w:t xml:space="preserve">: </w:t>
      </w:r>
      <w:r>
        <w:rPr>
          <w:rtl w:val="true"/>
        </w:rPr>
        <w:t>ايصال شير از طريق متعارف به معده</w:t>
      </w:r>
      <w:bookmarkEnd w:id="3175"/>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ايصال شير از طريق متعارف به محل معهود كه معدۀ طفل باشد، لازم است در نشر حرمت</w:t>
      </w:r>
      <w:r>
        <w:rPr>
          <w:rFonts w:eastAsia="IRNazanin" w:cs="IRNazanin"/>
          <w:color w:val="111111"/>
          <w:sz w:val="28"/>
          <w:szCs w:val="28"/>
          <w:rtl w:val="true"/>
          <w:lang w:bidi="fa-IR"/>
        </w:rPr>
        <w:t>.</w:t>
      </w:r>
    </w:p>
    <w:p>
      <w:pPr>
        <w:pStyle w:val="Heading6"/>
        <w:numPr>
          <w:ilvl w:val="5"/>
          <w:numId w:val="1"/>
        </w:numPr>
        <w:rPr/>
      </w:pPr>
      <w:bookmarkStart w:id="3176" w:name="__RefHeading___Toc3599995_1067777946"/>
      <w:bookmarkStart w:id="3177" w:name="_Toc1318"/>
      <w:bookmarkEnd w:id="3176"/>
      <w:r>
        <w:rPr>
          <w:rtl w:val="true"/>
        </w:rPr>
        <w:t>شرط دهم</w:t>
      </w:r>
      <w:r>
        <w:rPr>
          <w:rtl w:val="true"/>
        </w:rPr>
        <w:t xml:space="preserve">: </w:t>
      </w:r>
      <w:r>
        <w:rPr>
          <w:rtl w:val="true"/>
        </w:rPr>
        <w:t>ارتضاع از فحل واحد</w:t>
      </w:r>
      <w:bookmarkEnd w:id="3177"/>
    </w:p>
    <w:p>
      <w:pPr>
        <w:pStyle w:val="Heading6"/>
        <w:numPr>
          <w:ilvl w:val="5"/>
          <w:numId w:val="1"/>
        </w:numPr>
        <w:rPr/>
      </w:pPr>
      <w:bookmarkStart w:id="3178" w:name="__RefHeading___Toc3599997_1067777946"/>
      <w:bookmarkStart w:id="3179" w:name="_Toc1319"/>
      <w:bookmarkEnd w:id="3178"/>
      <w:r>
        <w:rPr>
          <w:rtl w:val="true"/>
        </w:rPr>
        <w:t>اشاره</w:t>
      </w:r>
      <w:bookmarkEnd w:id="3179"/>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ناشر از رضاعْ مركب شد از شير دو فحل، به مثل شبهه، يا ازدواج با دومى بعد از مفارقت اولى، تاثيرى در نشر حرمت نسبت به هيچ كس نمى كند، بلكه بايد فحل واحد به قدر موجب حرمت از شير او ارتضاع شود</w:t>
      </w:r>
      <w:r>
        <w:rPr>
          <w:rFonts w:eastAsia="IRNazanin" w:cs="IRNazanin"/>
          <w:color w:val="111111"/>
          <w:sz w:val="28"/>
          <w:szCs w:val="28"/>
          <w:rtl w:val="true"/>
          <w:lang w:bidi="fa-IR"/>
        </w:rPr>
        <w:t>.</w:t>
      </w:r>
    </w:p>
    <w:p>
      <w:pPr>
        <w:pStyle w:val="Heading6"/>
        <w:numPr>
          <w:ilvl w:val="5"/>
          <w:numId w:val="1"/>
        </w:numPr>
        <w:rPr/>
      </w:pPr>
      <w:bookmarkStart w:id="3180" w:name="__RefHeading___Toc3599999_1067777946"/>
      <w:bookmarkStart w:id="3181" w:name="_Toc1320"/>
      <w:bookmarkEnd w:id="3180"/>
      <w:r>
        <w:rPr>
          <w:rtl w:val="true"/>
        </w:rPr>
        <w:t>ارضاع ازواج متعدّدۀ يك فحل</w:t>
      </w:r>
      <w:bookmarkEnd w:id="3181"/>
    </w:p>
    <w:p>
      <w:pPr>
        <w:pStyle w:val="BookText"/>
        <w:rPr/>
      </w:pPr>
      <w:r>
        <w:rPr>
          <w:rFonts w:ascii="IRNazanin" w:hAnsi="IRNazanin" w:eastAsia="IRNazanin"/>
          <w:color w:val="111111"/>
          <w:sz w:val="28"/>
          <w:sz w:val="28"/>
          <w:szCs w:val="28"/>
          <w:rtl w:val="true"/>
          <w:lang w:bidi="fa-IR"/>
        </w:rPr>
        <w:t xml:space="preserve">اگر فحلْ واحد شد لكن ازواج او متعدد، و هركدام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شير دادند به قدر موجب نشر حرمت، تاثير در حرمت همه، از پدر رضاعى و مادر رضاعى و برادر و خواهرهاى رضاعى، مى نمايد؛ پس خواهر رضاعى اگر از شير فحل واحد باشد حرام است اگر چه مرضعه متعدد باشد؛ و اگر از شيرِ دو فحل باشد، حرام نيست اگر چه مرضعه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اولاد نسبى زن شير دهنده بر ولد رضاعى او حرام است اگر چه از دو شوهر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اتحاد فحل در خصوص مرتضعين كه هر دو اجنبى از مرضعه هستند، بدون فرق بين پسر و دختر، معتبر است، نه آنكه يكى نسبى باشد؛ پس بر مرتضع، پدر و مادر رضاعىِ مرضعه حرام است؛ و هم چنين خواهر رضاعى مرضعه و برادر رضاعى مرضعه، بر مرتضع حرام است، و هم چنين در ساير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اخوّتِ دو مرتضع بايد حفظ شود اتحاد فحل نه در مقام ديگر</w:t>
      </w:r>
      <w:r>
        <w:rPr>
          <w:rFonts w:eastAsia="IRNazanin" w:cs="IRNazanin"/>
          <w:color w:val="111111"/>
          <w:sz w:val="28"/>
          <w:szCs w:val="28"/>
          <w:rtl w:val="true"/>
          <w:lang w:bidi="fa-IR"/>
        </w:rPr>
        <w:t>.</w:t>
      </w:r>
    </w:p>
    <w:p>
      <w:pPr>
        <w:pStyle w:val="Heading6"/>
        <w:numPr>
          <w:ilvl w:val="5"/>
          <w:numId w:val="1"/>
        </w:numPr>
        <w:rPr/>
      </w:pPr>
      <w:bookmarkStart w:id="3182" w:name="__RefHeading___Toc3600001_1067777946"/>
      <w:bookmarkStart w:id="3183" w:name="_Toc1321"/>
      <w:bookmarkEnd w:id="3182"/>
      <w:r>
        <w:rPr>
          <w:rtl w:val="true"/>
        </w:rPr>
        <w:t>شرط يازدهم</w:t>
      </w:r>
      <w:r>
        <w:rPr>
          <w:rtl w:val="true"/>
        </w:rPr>
        <w:t xml:space="preserve">: </w:t>
      </w:r>
      <w:r>
        <w:rPr>
          <w:rtl w:val="true"/>
        </w:rPr>
        <w:t>تحقق رضاع در حولين مرتضع و لو بعد حولين ولد مرضعه باشد</w:t>
      </w:r>
      <w:bookmarkEnd w:id="318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است در نشر حرمت كه رضاع طفل در حولين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انكسار، تلفيق مى شود به عدد، يعنى سى روز در غير هر يك ماه هلالى در اثنا، </w:t>
      </w:r>
      <w:bookmarkStart w:id="3184" w:name="pg10256_89858"/>
    </w:p>
    <w:p>
      <w:pPr>
        <w:pStyle w:val="BookText"/>
        <w:rPr/>
      </w:pPr>
      <w:bookmarkEnd w:id="3184"/>
      <w:r>
        <w:rPr>
          <w:rFonts w:ascii="IRNazanin" w:hAnsi="IRNazanin" w:eastAsia="IRNazanin"/>
          <w:color w:val="111111"/>
          <w:sz w:val="28"/>
          <w:sz w:val="28"/>
          <w:szCs w:val="28"/>
          <w:rtl w:val="true"/>
          <w:lang w:bidi="fa-IR"/>
        </w:rPr>
        <w:t xml:space="preserve">يا پنجم تا پنجم و هكذا، به حسب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 آنها اقرب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انكسار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تاثير فطام، قبل از اكمال حولين است؛ پس رضاع در حولين، مؤثر است اگر چه بعد از فطام باشد؛ و بعد از حولين مؤثر نيست اگر چه قبل از فطام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است در نشر حرمت اينكه رضاع در حولينِ مرتضع باشد اگر چه بعد از حولين ولادت باشد بنابر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حولين و تمام رضاع، مقارنت آنها، ضرر به نشر حرمت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شك نمايد در اينكه رضاع در حولين يا بعد از آن بوده، حكم به نشر نمى شود، مگر با علم به تاريخ رضاع و شك در حولين، چنانچه در نظايرش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شك در تاريخ ولادت مرتضع، اظهر نشر حرمت است تا زمان يقين به تجاوز حولين ولادت او</w:t>
      </w:r>
      <w:r>
        <w:rPr>
          <w:rFonts w:eastAsia="Amiri" w:cs="Amiri" w:ascii="Amiri" w:hAnsi="Amiri"/>
          <w:color w:val="111111"/>
          <w:sz w:val="28"/>
          <w:szCs w:val="28"/>
          <w:rtl w:val="true"/>
          <w:lang w:bidi="ar-SA"/>
        </w:rPr>
        <w:t>.</w:t>
      </w:r>
    </w:p>
    <w:p>
      <w:pPr>
        <w:pStyle w:val="Heading5"/>
        <w:numPr>
          <w:ilvl w:val="4"/>
          <w:numId w:val="1"/>
        </w:numPr>
        <w:rPr/>
      </w:pPr>
      <w:bookmarkStart w:id="3185" w:name="__RefHeading___Toc3600003_1067777946"/>
      <w:bookmarkStart w:id="3186" w:name="_Toc1322"/>
      <w:bookmarkEnd w:id="3185"/>
      <w:r>
        <w:rPr>
          <w:rtl w:val="true"/>
        </w:rPr>
        <w:t>چند مسأله</w:t>
      </w:r>
      <w:bookmarkEnd w:id="3186"/>
    </w:p>
    <w:p>
      <w:pPr>
        <w:pStyle w:val="Heading6"/>
        <w:numPr>
          <w:ilvl w:val="5"/>
          <w:numId w:val="1"/>
        </w:numPr>
        <w:rPr/>
      </w:pPr>
      <w:bookmarkStart w:id="3187" w:name="__RefHeading___Toc3600005_1067777946"/>
      <w:bookmarkStart w:id="3188" w:name="_Toc1323"/>
      <w:bookmarkEnd w:id="3187"/>
      <w:r>
        <w:rPr>
          <w:rtl w:val="true"/>
        </w:rPr>
        <w:t>شك در تحققِ رضاع لازم</w:t>
      </w:r>
      <w:bookmarkEnd w:id="3188"/>
    </w:p>
    <w:p>
      <w:pPr>
        <w:pStyle w:val="BookText"/>
        <w:rPr/>
      </w:pPr>
      <w:r>
        <w:rPr>
          <w:rFonts w:ascii="IRNazanin" w:hAnsi="IRNazanin" w:eastAsia="IRNazanin"/>
          <w:color w:val="111111"/>
          <w:sz w:val="28"/>
          <w:sz w:val="28"/>
          <w:szCs w:val="28"/>
          <w:rtl w:val="true"/>
          <w:lang w:bidi="fa-IR"/>
        </w:rPr>
        <w:t>اگر شك نمايد در عدد رضاع يا در تحقق انبات، و از مراجعه به اهل خبره رفع شك نشد، يا آنكه شك كرد در اتمام يوم و ليله، اظهر عدم نشر حرمت است</w:t>
      </w:r>
      <w:r>
        <w:rPr>
          <w:rFonts w:eastAsia="IRNazanin" w:cs="IRNazanin"/>
          <w:color w:val="111111"/>
          <w:sz w:val="28"/>
          <w:szCs w:val="28"/>
          <w:rtl w:val="true"/>
          <w:lang w:bidi="fa-IR"/>
        </w:rPr>
        <w:t>.</w:t>
      </w:r>
    </w:p>
    <w:p>
      <w:pPr>
        <w:pStyle w:val="Heading6"/>
        <w:numPr>
          <w:ilvl w:val="5"/>
          <w:numId w:val="1"/>
        </w:numPr>
        <w:rPr/>
      </w:pPr>
      <w:bookmarkStart w:id="3189" w:name="__RefHeading___Toc3600007_1067777946"/>
      <w:bookmarkStart w:id="3190" w:name="_Toc1324"/>
      <w:bookmarkEnd w:id="3189"/>
      <w:r>
        <w:rPr>
          <w:rtl w:val="true"/>
        </w:rPr>
        <w:t>مستحبّات و مكروهات استرضاع</w:t>
      </w:r>
      <w:bookmarkEnd w:id="3190"/>
    </w:p>
    <w:p>
      <w:pPr>
        <w:pStyle w:val="BookText"/>
        <w:rPr/>
      </w:pPr>
      <w:r>
        <w:rPr>
          <w:rFonts w:ascii="IRNazanin" w:hAnsi="IRNazanin" w:eastAsia="IRNazanin"/>
          <w:color w:val="111111"/>
          <w:sz w:val="28"/>
          <w:sz w:val="28"/>
          <w:szCs w:val="28"/>
          <w:rtl w:val="true"/>
          <w:lang w:bidi="fa-IR"/>
        </w:rPr>
        <w:t>مستحب است اختيار عاقلۀ مسلمۀ جميله براى استرضاع، و اينكه ترك كند استرضاع كافره را، با اختلاف مراتب از مجوسيّه و مشركه و ذميّه، مگر در صورت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استرضاع، منع مى نمايد ذميّه را از شرب خمر و اكل گوشت 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تسليم طفل به آنها كه با خود به منزل خودشان ببرند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استرضاع زانيه كه ولادت از زنا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با تحليل متأخر مالك در صورت استحقاق تحليل با اذن و اجازه، رافع كراهت باشد</w:t>
      </w:r>
      <w:r>
        <w:rPr>
          <w:rFonts w:eastAsia="IRNazanin" w:cs="IRNazanin"/>
          <w:color w:val="111111"/>
          <w:sz w:val="28"/>
          <w:szCs w:val="28"/>
          <w:rtl w:val="true"/>
          <w:lang w:bidi="fa-IR"/>
        </w:rPr>
        <w:t xml:space="preserve">. </w:t>
      </w:r>
      <w:bookmarkStart w:id="3191" w:name="pg10256_89859"/>
    </w:p>
    <w:p>
      <w:pPr>
        <w:pStyle w:val="Heading6"/>
        <w:numPr>
          <w:ilvl w:val="5"/>
          <w:numId w:val="1"/>
        </w:numPr>
        <w:rPr/>
      </w:pPr>
      <w:bookmarkStart w:id="3192" w:name="__RefHeading___Toc3600009_1067777946"/>
      <w:bookmarkStart w:id="3193" w:name="_Toc1325"/>
      <w:bookmarkEnd w:id="3191"/>
      <w:bookmarkEnd w:id="3192"/>
      <w:r>
        <w:rPr>
          <w:rtl w:val="true"/>
        </w:rPr>
        <w:t>در احكام رضاعى كه جامع شروط تحريم است</w:t>
      </w:r>
      <w:bookmarkEnd w:id="3193"/>
    </w:p>
    <w:p>
      <w:pPr>
        <w:pStyle w:val="Heading6"/>
        <w:numPr>
          <w:ilvl w:val="5"/>
          <w:numId w:val="1"/>
        </w:numPr>
        <w:rPr/>
      </w:pPr>
      <w:bookmarkStart w:id="3194" w:name="__RefHeading___Toc3600011_1067777946"/>
      <w:bookmarkStart w:id="3195" w:name="_Toc1326"/>
      <w:bookmarkEnd w:id="3194"/>
      <w:r>
        <w:rPr>
          <w:rtl w:val="true"/>
        </w:rPr>
        <w:t>حرمت نكاح و افرادى كه نكاح با آنها حرام مى شود</w:t>
      </w:r>
      <w:bookmarkEnd w:id="3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حصول رضاعِ موجبِ نشر حرمت و شروط سابقۀ آن بين مرتضع و پدر و مادر رضاعى او، حرمت نكاح از طرفين ثابت مى شود؛ و هم چنين بين نسل مرتضع و ابوين رضاعى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مرضعهْ مادر، و فحلْ پدر، و پدر و مادرهاى ايشان اجداد و جدّاتِ مرتضع مى شود، و اولاد هر يك از اين پدر يا مادر، برادر و خواهر مرتضع مى شود در احكام، و برادر و خواهرهاى هر يك از ابوين، عم و عمه يا خال يا خالۀ مرتضع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رضاعيّۀ زوجه، و حليلۀ ابن رضاعى، و منكوحۀ اب رضاعى، و جمع بين دو خواهر رضاعى، محرم مى شوند، يعنى در مواردى كه نسب با مصاهرت، تحريم مى آورد و نسب تنزيلى و رضاعى است و مصاهرت حقيقى، نه عكس، نه آنكه هر دو رضاعى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 نقل اتفاق است بر حكم اوّل و عموم 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بنابر آنكه مستفادْ اين باشد كه رضاع، جاى نسب مى نشيند در همۀ احكام او، كه از آن جمله حكم مصاهرت باشد، و اين در حكم نكاح، احوط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عنوانى از عناوين نسبيّه، به واسطۀ رضاعْ تنزيل شد، نشر حرمت مربوطه به نسب به تنهايى يا با مصاهرت مربوطۀ به آن نسب، مى نمايد، وگرنه نمى نمايد مگر در موارد خاصه كه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كه عنوان نسبى عرفى حقيقى عبارت است از مادر و دختر و اصول و فروع آنها، و عمه و خاله نسبت به مرد، و مردها از آنها نسبت به زن، كه بايد يكى از آنها به سبب رضاع تنزيل شود تا حرمت به استقلال يا به انضمام به نحو متقدّم ثابت باشد</w:t>
      </w:r>
      <w:r>
        <w:rPr>
          <w:rFonts w:eastAsia="IRNazanin" w:cs="IRNazanin"/>
          <w:color w:val="111111"/>
          <w:sz w:val="28"/>
          <w:szCs w:val="28"/>
          <w:rtl w:val="true"/>
          <w:lang w:bidi="fa-IR"/>
        </w:rPr>
        <w:t>.</w:t>
      </w:r>
    </w:p>
    <w:p>
      <w:pPr>
        <w:pStyle w:val="Heading6"/>
        <w:numPr>
          <w:ilvl w:val="5"/>
          <w:numId w:val="1"/>
        </w:numPr>
        <w:rPr/>
      </w:pPr>
      <w:bookmarkStart w:id="3196" w:name="__RefHeading___Toc3600013_1067777946"/>
      <w:bookmarkStart w:id="3197" w:name="_Toc1327"/>
      <w:bookmarkEnd w:id="3196"/>
      <w:r>
        <w:rPr>
          <w:rtl w:val="true"/>
        </w:rPr>
        <w:t>محدودۀ حرمت منسوبين به فحل و مادر رضاعى</w:t>
      </w:r>
      <w:bookmarkEnd w:id="31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بر مرتضع، منسوب به فحل از اولاد نسبى و رضاعى او كه برادر و خواهر ابوينى يا ابى او مى شوند، در نسب يا در رضاع، و هم چنين اولاد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w:t>
      </w:r>
      <w:bookmarkStart w:id="3198" w:name="pg10256_89860"/>
    </w:p>
    <w:p>
      <w:pPr>
        <w:pStyle w:val="BookText"/>
        <w:rPr/>
      </w:pPr>
      <w:bookmarkEnd w:id="3198"/>
      <w:r>
        <w:rPr>
          <w:rFonts w:ascii="IRNazanin" w:hAnsi="IRNazanin" w:eastAsia="IRNazanin"/>
          <w:color w:val="111111"/>
          <w:sz w:val="28"/>
          <w:sz w:val="28"/>
          <w:szCs w:val="28"/>
          <w:rtl w:val="true"/>
          <w:lang w:bidi="fa-IR"/>
        </w:rPr>
        <w:t>است منسوب به مادر رضاعى از اولاد نسبى او، بر مرتضع؛ و حرام نيست اولاد رضاعى او، به سبب اشتراط اتحاد فحل چنانچه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برادرهاى نسبى امى كه حرام مى شوند، نسل آنها هم حرام است بر مرتضع، چه اولاد نسبى برادر امى نسبى كه ولد مرضعه هست نسباً، و چه اولاد رضاعى ولد نسبى مرضعه باشند؛ و اشتراط اتحاد فحل، در برادر و خواهرها است، چنانچه گذشت</w:t>
      </w:r>
      <w:r>
        <w:rPr>
          <w:rFonts w:eastAsia="IRNazanin" w:cs="IRNazanin"/>
          <w:color w:val="111111"/>
          <w:sz w:val="28"/>
          <w:szCs w:val="28"/>
          <w:rtl w:val="true"/>
          <w:lang w:bidi="fa-IR"/>
        </w:rPr>
        <w:t>.</w:t>
      </w:r>
    </w:p>
    <w:p>
      <w:pPr>
        <w:pStyle w:val="Heading6"/>
        <w:numPr>
          <w:ilvl w:val="5"/>
          <w:numId w:val="1"/>
        </w:numPr>
        <w:rPr/>
      </w:pPr>
      <w:bookmarkStart w:id="3199" w:name="__RefHeading___Toc3600015_1067777946"/>
      <w:bookmarkStart w:id="3200" w:name="_Toc1328"/>
      <w:bookmarkEnd w:id="3199"/>
      <w:r>
        <w:rPr>
          <w:rtl w:val="true"/>
        </w:rPr>
        <w:t>آنهايى كه بر پدر و جدّ مرتضع حرام مى شوند</w:t>
      </w:r>
      <w:bookmarkEnd w:id="32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 صاحب لبن نسباً و رضاعاً، و اولاد مرضعه نسباً، بر پدر مرتضع حرام مى شوند بنابر اظهر و احوط در نسبى از هر دو، يا هركدام، و احوط در رضاعى از اولاد صاحب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احوط بلكه اظهر الحاق پدرِ با واسطۀ مرتضع به پدر بلا واسطۀ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الحاق پدرِ رضاعى مرتضع به پدر نسبى او است، و عدم الحاق مادر او به پدر نسبى او است، مگر بنابر عموم منزله كه خواهد آمد ان شاء اللّٰه تعالى</w:t>
      </w:r>
      <w:r>
        <w:rPr>
          <w:rFonts w:eastAsia="IRNazanin" w:cs="IRNazanin"/>
          <w:color w:val="111111"/>
          <w:sz w:val="28"/>
          <w:szCs w:val="28"/>
          <w:rtl w:val="true"/>
          <w:lang w:bidi="fa-IR"/>
        </w:rPr>
        <w:t>.</w:t>
      </w:r>
    </w:p>
    <w:p>
      <w:pPr>
        <w:pStyle w:val="Heading6"/>
        <w:numPr>
          <w:ilvl w:val="5"/>
          <w:numId w:val="1"/>
        </w:numPr>
        <w:rPr/>
      </w:pPr>
      <w:bookmarkStart w:id="3201" w:name="__RefHeading___Toc3600017_1067777946"/>
      <w:bookmarkStart w:id="3202" w:name="_Toc1329"/>
      <w:bookmarkEnd w:id="3201"/>
      <w:r>
        <w:rPr>
          <w:rtl w:val="true"/>
        </w:rPr>
        <w:t>كسانى كه تناكح آنها جايز است</w:t>
      </w:r>
      <w:bookmarkEnd w:id="3202"/>
    </w:p>
    <w:p>
      <w:pPr>
        <w:pStyle w:val="BookText"/>
        <w:rPr/>
      </w:pPr>
      <w:r>
        <w:rPr>
          <w:rFonts w:ascii="IRNazanin" w:hAnsi="IRNazanin" w:eastAsia="IRNazanin"/>
          <w:color w:val="111111"/>
          <w:sz w:val="28"/>
          <w:sz w:val="28"/>
          <w:szCs w:val="28"/>
          <w:rtl w:val="true"/>
          <w:lang w:bidi="fa-IR"/>
        </w:rPr>
        <w:t>اظهر اختصاص نشر حرمت است به صورت تحقق يكى از عناوين نسبيۀ مذكورۀ محرمه به تنهايى يا با مصاهرت به نحو متقدّم؛ پس مانعى در نكاح بين برادر و خواهرهاى نسبى مرتضع با برادر و خواهرهاى رضاعى او نيست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شير بدهد زنى پسر يك طايفه و دختر يك طايفۀ ديگر را، مى تواند برادرها و خواهرهاى نسبى مرتضعها با هم تناكح نمايند و نشر حرمت مخصوص است به آن مواردى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مادر مرضعه بر پدر مرتضع حرام نمى شود؛ چنانكه ام الزوجه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خواهرهاى نسبى مرتضع بر فحلْ حرام نمى شود؛ و مادر مادر مرتضع بر صاحب شير حرام نمى شود؛ و مرضعه بر جدّ نسبىِ مرتضع حرام نمى شود؛ و مادر مرضعه مثل خود مرضعه و خواهر مرضعه بر پدر مرتضع حرام نمى شود؛ و مادر و خواهر صاحب شير بر پدر مرتضع حرام نمى شود</w:t>
      </w:r>
      <w:r>
        <w:rPr>
          <w:rFonts w:eastAsia="IRNazanin" w:cs="IRNazanin"/>
          <w:color w:val="111111"/>
          <w:sz w:val="28"/>
          <w:szCs w:val="28"/>
          <w:rtl w:val="true"/>
          <w:lang w:bidi="fa-IR"/>
        </w:rPr>
        <w:t xml:space="preserve">. </w:t>
      </w:r>
      <w:bookmarkStart w:id="3203" w:name="pg10256_89861"/>
    </w:p>
    <w:p>
      <w:pPr>
        <w:pStyle w:val="Heading6"/>
        <w:numPr>
          <w:ilvl w:val="5"/>
          <w:numId w:val="1"/>
        </w:numPr>
        <w:rPr/>
      </w:pPr>
      <w:bookmarkStart w:id="3204" w:name="__RefHeading___Toc3600019_1067777946"/>
      <w:bookmarkStart w:id="3205" w:name="_Toc1330"/>
      <w:bookmarkEnd w:id="3203"/>
      <w:bookmarkEnd w:id="3204"/>
      <w:r>
        <w:rPr>
          <w:rtl w:val="true"/>
        </w:rPr>
        <w:t>ابطال نكاح توسط رضاع كامل</w:t>
      </w:r>
      <w:bookmarkEnd w:id="320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رضاع با شروطش، كما اينكه مانع از نكاح صحيح مى شود، مبطل نكاح صحيح هم هست؛ و بر اين مترتّب مى شود حرمت زن پدر مرتضع بر او اگر شير داد او را جدّۀ امى او با شير جدّ يا غير او، زيرا زوجه از اولاد نسبى مرضعه است كه بر پدر مرتضع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شير داد او را يكى از زنهاى جدّ مرتضع، با شير جدّ او شير بدهد كه مرتضع از اولاد نسبى و رضاعى جدّ امى خودش است، و زوجه از اولاد فحل است، بر پدر مرتضع حرام مى شود</w:t>
      </w:r>
      <w:r>
        <w:rPr>
          <w:rFonts w:eastAsia="IRNazanin" w:cs="IRNazanin"/>
          <w:color w:val="111111"/>
          <w:sz w:val="28"/>
          <w:szCs w:val="28"/>
          <w:rtl w:val="true"/>
          <w:lang w:bidi="fa-IR"/>
        </w:rPr>
        <w:t>.</w:t>
      </w:r>
    </w:p>
    <w:p>
      <w:pPr>
        <w:pStyle w:val="Heading6"/>
        <w:numPr>
          <w:ilvl w:val="5"/>
          <w:numId w:val="1"/>
        </w:numPr>
        <w:rPr/>
      </w:pPr>
      <w:bookmarkStart w:id="3206" w:name="__RefHeading___Toc3600021_1067777946"/>
      <w:bookmarkStart w:id="3207" w:name="_Toc1331"/>
      <w:bookmarkEnd w:id="3206"/>
      <w:r>
        <w:rPr>
          <w:rtl w:val="true"/>
        </w:rPr>
        <w:t>مسألۀ ارضاعِ زوجۀ صغيرۀ شخصى توسط زوجۀ كبيرۀ او</w:t>
      </w:r>
      <w:bookmarkEnd w:id="3207"/>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داشت، يكى صغيره بود، كبيره او را شير داد با شير زوج، هر دو بر او حرام مى شوند، زيرا يكى دختر و يكى ام الزوجه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شير ديگرى بوده، حرام مى شوند هر دو با دخول به كبيره، وگرنه فقط كبيره حرام مى شود كه ام الزوجه است، و صغيره حرام است جمعاً، نه بانفراد بعد از تجديد عقد؛ پس حرمت جمع ثابت است در جميع صور؛ و هم چنين حرمت عينيّۀ صغيره در صورت ارتضاع به شير زوج؛ و در غير اين صورت كه ارتضاع به شير ديگرى است با دخول به كبيره و بدون آن نسبت به حرمت انفراديّۀ كبيره و صغيره، يا ارتضاع با شير زوج است نسبت به خود كبيره؛ پس در صورت ثانيه، حرمت نيست نسبت به صغيره؛ و امّا نسبت به كبيره در صورت اوّل و سيم بلكه دوّم ايضاً، پس احوط است در حكم نكاح، بلكه اظهر است در همۀ احكام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فرض عدم دخول به كبيره با آنكه شير از زوج باشد، به اين مى شود كه وطى به شبهه سبب ولادت شود و بعد عقد صحيح نمايد بدون دخول، يا آنكه پس از عقد و دخول، طلاق بدهد درحالى كه صاحب شير از او شده باشد، و پس از عدهْ عقد نمايد و هنوز دخول ننمايد كه رضاع حاصل شود</w:t>
      </w:r>
      <w:r>
        <w:rPr>
          <w:rFonts w:eastAsia="IRNazanin" w:cs="IRNazanin"/>
          <w:color w:val="111111"/>
          <w:sz w:val="28"/>
          <w:szCs w:val="28"/>
          <w:rtl w:val="true"/>
          <w:lang w:bidi="fa-IR"/>
        </w:rPr>
        <w:t xml:space="preserve">. </w:t>
      </w:r>
      <w:bookmarkStart w:id="3208" w:name="pg10256_89862"/>
    </w:p>
    <w:p>
      <w:pPr>
        <w:pStyle w:val="Heading6"/>
        <w:numPr>
          <w:ilvl w:val="5"/>
          <w:numId w:val="1"/>
        </w:numPr>
        <w:rPr/>
      </w:pPr>
      <w:bookmarkStart w:id="3209" w:name="__RefHeading___Toc3600023_1067777946"/>
      <w:bookmarkStart w:id="3210" w:name="_Toc1332"/>
      <w:bookmarkEnd w:id="3208"/>
      <w:bookmarkEnd w:id="3209"/>
      <w:r>
        <w:rPr>
          <w:rtl w:val="true"/>
        </w:rPr>
        <w:t>از فروع باطل شدن نكاح توسط رضاع</w:t>
      </w:r>
      <w:bookmarkEnd w:id="3210"/>
    </w:p>
    <w:p>
      <w:pPr>
        <w:pStyle w:val="BookText"/>
        <w:rPr/>
      </w:pPr>
      <w:r>
        <w:rPr>
          <w:rFonts w:ascii="IRNazanin" w:hAnsi="IRNazanin" w:eastAsia="IRNazanin"/>
          <w:color w:val="111111"/>
          <w:sz w:val="28"/>
          <w:sz w:val="28"/>
          <w:szCs w:val="28"/>
          <w:rtl w:val="true"/>
          <w:lang w:bidi="fa-IR"/>
        </w:rPr>
        <w:t xml:space="preserve">از فروع مبطل بودن رضاع، نكاح صحيح را، اين است كه اگر مرد تزويج كرد با صغيره اى پس از آن شير داد او را كسى كه مفسد مى شود رضاع صغيره نكاح او را، تزويج باطل مى شود، مثل اينكه مادر شوهر شير دهد او را و صغيره خواهر رضاعى شوهر بشود؛ يا آنكه زوجۀ ديگر شوهر، شير بدهد او را كه صغيره دختر او بشود به نحو متقدّم؛ يا آنكه جدّۀ شوهر شير بدهد او را كه صغيرهْ عمه يا خالۀ رضاعى شوهر بشود؛ يا خواهر شوهر شير بدهد او را، كه دختر رضاعى خواهر شوهر بشود؛ يا زن پدرِ شوهرِ شير بدهد او را، كه خواهر رضاعى پدرى شوهر بشود؛ يا زنِ برادر شير بدهد او را، كه دختر رضاعى برادر شوهر بشود در صورتى كه شير مرضعه در دو سال اخير از پدر يا برادرِ پدرى باشد، وگرنه ربيبۀ رضاعى پدر و برادر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 حرام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به يك سبب جمع بين دو نكاح محرم مى شود، پس ظاهرْ انحصار آن است به صورت صحّت نكاحِ هر كدام به تنهايى؛ و اگر يكى به تنهايى حرام باشد، نكاح غير او، تحريم جمع ندارد، كما اينكه اگر متقدّم صحيح يا فاسد باشد، دومى متأخر، فاسد مى شود در اوّل، و صحيح مى شود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شد بدون دخول، تحريم جمع به اين سبب كه رضاع باشد، اقتضاى تحريم بنت و فساد نكاح او را ندارد، چون نكاح مادر، منعقد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ظاهر مى شود حكم آن صورت كه كبيره دو زوجۀ صغيره را شير بدهد، در صورتى كه با شير زوج باشد يا با دخول به كبيره باشد، يا آنكه هيچ كدام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كه تحريم، متعلّق به جمع باشد فقط، اگر متعاقب باشد رضاع دو صغيره، پس از انفساخ عقد كبيره و صغيرۀ اوّل، مانعى از بقاى عقدِ صغيرۀ دوّم نيست</w:t>
      </w:r>
      <w:r>
        <w:rPr>
          <w:rFonts w:eastAsia="IRNazanin" w:cs="IRNazanin"/>
          <w:color w:val="111111"/>
          <w:sz w:val="28"/>
          <w:szCs w:val="28"/>
          <w:rtl w:val="true"/>
          <w:lang w:bidi="fa-IR"/>
        </w:rPr>
        <w:t>.</w:t>
      </w:r>
    </w:p>
    <w:p>
      <w:pPr>
        <w:pStyle w:val="Heading6"/>
        <w:numPr>
          <w:ilvl w:val="5"/>
          <w:numId w:val="1"/>
        </w:numPr>
        <w:rPr/>
      </w:pPr>
      <w:bookmarkStart w:id="3211" w:name="__RefHeading___Toc3600025_1067777946"/>
      <w:bookmarkStart w:id="3212" w:name="_Toc1333"/>
      <w:bookmarkEnd w:id="3211"/>
      <w:r>
        <w:rPr>
          <w:rtl w:val="true"/>
        </w:rPr>
        <w:t>فرض دو زوجۀ كبيره و يك صغيره و تحقق رضاع</w:t>
      </w:r>
      <w:bookmarkEnd w:id="321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زوجۀ كبيره داشت و يكى صغيره، به تعاقب شير دادند صغيره را، كبيره اى كه </w:t>
      </w:r>
      <w:bookmarkStart w:id="3213" w:name="pg10256_89863"/>
    </w:p>
    <w:p>
      <w:pPr>
        <w:pStyle w:val="BookText"/>
        <w:rPr/>
      </w:pPr>
      <w:bookmarkEnd w:id="3213"/>
      <w:r>
        <w:rPr>
          <w:rFonts w:ascii="IRNazanin" w:hAnsi="IRNazanin" w:eastAsia="IRNazanin"/>
          <w:color w:val="111111"/>
          <w:sz w:val="28"/>
          <w:sz w:val="28"/>
          <w:szCs w:val="28"/>
          <w:rtl w:val="true"/>
          <w:lang w:bidi="fa-IR"/>
        </w:rPr>
        <w:t xml:space="preserve">اوّل شير داده و صغيره حرام مى شوند با شروط متقدّمه، و كبيره اى كه بعد شير داده، حرام نمى شود، چون دختر را شير داده نه زن را؛ مگر آنكه فقط جمعْ حرام باشد نه بنت شده براى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 زوجۀ مدخول بها، به نحوى كه تجديد عقد بر صغيره جايز باشد، كه ممكن است با رضاع دوّم، تحريم عينى هر دو محقّق بشود؛ لكن گذشت كلام در مقتضاى تحريم جمع در صورتى كه مقتضى تحريمِ يكىِ بالخصوص، محقّق باشد</w:t>
      </w:r>
      <w:r>
        <w:rPr>
          <w:rFonts w:eastAsia="IRNazanin" w:cs="IRNazanin"/>
          <w:color w:val="111111"/>
          <w:sz w:val="28"/>
          <w:szCs w:val="28"/>
          <w:rtl w:val="true"/>
          <w:lang w:bidi="fa-IR"/>
        </w:rPr>
        <w:t>.</w:t>
      </w:r>
    </w:p>
    <w:p>
      <w:pPr>
        <w:pStyle w:val="Heading6"/>
        <w:numPr>
          <w:ilvl w:val="5"/>
          <w:numId w:val="1"/>
        </w:numPr>
        <w:rPr/>
      </w:pPr>
      <w:bookmarkStart w:id="3214" w:name="__RefHeading___Toc3600027_1067777946"/>
      <w:bookmarkStart w:id="3215" w:name="_Toc1334"/>
      <w:bookmarkEnd w:id="3214"/>
      <w:r>
        <w:rPr>
          <w:rtl w:val="true"/>
        </w:rPr>
        <w:t>ارضاع زوجۀ صغيره بعد از طلاق</w:t>
      </w:r>
      <w:bookmarkEnd w:id="3215"/>
    </w:p>
    <w:p>
      <w:pPr>
        <w:pStyle w:val="BookText"/>
        <w:rPr/>
      </w:pPr>
      <w:r>
        <w:rPr>
          <w:rFonts w:ascii="IRNazanin" w:hAnsi="IRNazanin" w:eastAsia="IRNazanin"/>
          <w:color w:val="111111"/>
          <w:sz w:val="28"/>
          <w:sz w:val="28"/>
          <w:szCs w:val="28"/>
          <w:rtl w:val="true"/>
          <w:lang w:bidi="fa-IR"/>
        </w:rPr>
        <w:t xml:space="preserve">و اگر بعد از طلاقِ بعد از دخول، شير داد زوجۀ صغيره را، احوط و اظهر حرمت هر دو است، يعنى ربيبه يا بنت و ام الزوجه، بنابر استفادۀ فرق بين زوال زوجيّت با رضاع مقصود فعلى يا با رضاع سابق زمانى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عمل است</w:t>
      </w:r>
      <w:r>
        <w:rPr>
          <w:rFonts w:eastAsia="IRNazanin" w:cs="IRNazanin"/>
          <w:color w:val="111111"/>
          <w:sz w:val="28"/>
          <w:szCs w:val="28"/>
          <w:rtl w:val="true"/>
          <w:lang w:bidi="fa-IR"/>
        </w:rPr>
        <w:t>.</w:t>
      </w:r>
    </w:p>
    <w:p>
      <w:pPr>
        <w:pStyle w:val="Heading6"/>
        <w:numPr>
          <w:ilvl w:val="5"/>
          <w:numId w:val="1"/>
        </w:numPr>
        <w:rPr/>
      </w:pPr>
      <w:bookmarkStart w:id="3216" w:name="__RefHeading___Toc3600029_1067777946"/>
      <w:bookmarkStart w:id="3217" w:name="_Toc1335"/>
      <w:bookmarkEnd w:id="3216"/>
      <w:r>
        <w:rPr>
          <w:rtl w:val="true"/>
        </w:rPr>
        <w:t>مسألۀ استحقاق مهر در فرض مسأله</w:t>
      </w:r>
      <w:bookmarkEnd w:id="3217"/>
    </w:p>
    <w:p>
      <w:pPr>
        <w:pStyle w:val="BookText"/>
        <w:rPr/>
      </w:pPr>
      <w:r>
        <w:rPr>
          <w:rFonts w:ascii="IRNazanin" w:hAnsi="IRNazanin" w:eastAsia="IRNazanin"/>
          <w:color w:val="111111"/>
          <w:sz w:val="28"/>
          <w:sz w:val="28"/>
          <w:szCs w:val="28"/>
          <w:rtl w:val="true"/>
          <w:lang w:bidi="fa-IR"/>
        </w:rPr>
        <w:t>در صورت بطلان نكاح كبيره به سبب ارضاع، مستحق مهر است اگر بعد از دخول بوده؛ وگرنه استحقاق ندارد در صورتى كه فسخ از جانب او بوده؛ و اگر صبيه خودش رضاع كرد بدون شعور كبيره، اظهر عدم استحقاق مهر است؛ و اگر متصدى ارضاعْ كبيره بوده به تنهايى، سقوط مهر مسمّى، خالى از تأمل نيست؛ و اگر تسميۀ مهر نشد، اظهر عدم استحقاق است در هر دو صورت</w:t>
      </w:r>
      <w:r>
        <w:rPr>
          <w:rFonts w:eastAsia="IRNazanin" w:cs="IRNazanin"/>
          <w:color w:val="111111"/>
          <w:sz w:val="28"/>
          <w:szCs w:val="28"/>
          <w:rtl w:val="true"/>
          <w:lang w:bidi="fa-IR"/>
        </w:rPr>
        <w:t>.</w:t>
      </w:r>
    </w:p>
    <w:p>
      <w:pPr>
        <w:pStyle w:val="Heading6"/>
        <w:numPr>
          <w:ilvl w:val="5"/>
          <w:numId w:val="1"/>
        </w:numPr>
        <w:rPr/>
      </w:pPr>
      <w:bookmarkStart w:id="3218" w:name="__RefHeading___Toc3600031_1067777946"/>
      <w:bookmarkStart w:id="3219" w:name="_Toc1336"/>
      <w:bookmarkEnd w:id="3218"/>
      <w:r>
        <w:rPr>
          <w:rtl w:val="true"/>
        </w:rPr>
        <w:t>حرمت ولد صغيرى كه زن مرضعه مطلّقه ارضاع نموده است</w:t>
      </w:r>
      <w:bookmarkEnd w:id="3219"/>
    </w:p>
    <w:p>
      <w:pPr>
        <w:pStyle w:val="BookText"/>
        <w:rPr/>
      </w:pPr>
      <w:r>
        <w:rPr>
          <w:rFonts w:ascii="IRNazanin" w:hAnsi="IRNazanin" w:eastAsia="IRNazanin"/>
          <w:color w:val="111111"/>
          <w:sz w:val="28"/>
          <w:sz w:val="28"/>
          <w:szCs w:val="28"/>
          <w:rtl w:val="true"/>
          <w:lang w:bidi="fa-IR"/>
        </w:rPr>
        <w:t xml:space="preserve">اگر طلاق داد زن شير دار را، پس از عده تزويج كرد با صغيرى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شير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شود بر او، زيرا ولد مرضعه مى شود</w:t>
      </w:r>
      <w:r>
        <w:rPr>
          <w:rFonts w:eastAsia="IRNazanin" w:cs="IRNazanin"/>
          <w:color w:val="111111"/>
          <w:sz w:val="28"/>
          <w:szCs w:val="28"/>
          <w:rtl w:val="true"/>
          <w:lang w:bidi="fa-IR"/>
        </w:rPr>
        <w:t>.</w:t>
      </w:r>
    </w:p>
    <w:p>
      <w:pPr>
        <w:pStyle w:val="Heading6"/>
        <w:numPr>
          <w:ilvl w:val="5"/>
          <w:numId w:val="1"/>
        </w:numPr>
        <w:rPr/>
      </w:pPr>
      <w:bookmarkStart w:id="3220" w:name="__RefHeading___Toc3600033_1067777946"/>
      <w:bookmarkStart w:id="3221" w:name="_Toc1337"/>
      <w:bookmarkEnd w:id="3220"/>
      <w:r>
        <w:rPr>
          <w:rtl w:val="true"/>
        </w:rPr>
        <w:t>ارضاع زوجۀ صغيره توسط كنيز</w:t>
      </w:r>
      <w:bookmarkEnd w:id="32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كنيزى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وطى نمود، پس از آن شير داد زوجۀ صغيرۀ او را، هر دو</w:t>
      </w:r>
      <w:bookmarkStart w:id="3222" w:name="pg10256_89864"/>
    </w:p>
    <w:p>
      <w:pPr>
        <w:pStyle w:val="BookText"/>
        <w:rPr/>
      </w:pPr>
      <w:bookmarkEnd w:id="3222"/>
      <w:r>
        <w:rPr>
          <w:rFonts w:ascii="IRNazanin" w:hAnsi="IRNazanin" w:eastAsia="IRNazanin"/>
          <w:color w:val="111111"/>
          <w:sz w:val="28"/>
          <w:sz w:val="28"/>
          <w:szCs w:val="28"/>
          <w:rtl w:val="true"/>
          <w:lang w:bidi="fa-IR"/>
        </w:rPr>
        <w:t>حرام مى شوند، زيرا يكى ام الزوجه و ديگرى ربيبه يا دختر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مهر صغيره ثابت باشد در صورتى كه فسخ از ناحيۀ مداخلۀ او نباشد، و گذشت در نظيرش؛ و بر تقدير ثبوت، رجوع به امۀ مملوكۀ خودش نمى شود؛ و بر تقدير رجوع، مطالبه بعد از عتق مى شود يا آنكه استيفاى از باب زكات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امۀ مملوكۀ غير، مزوّجۀ زوج صغيره باشد، در رجوع به مهر مسمّى يا مهر المثل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مكاتبۀ مطلقه، در تقدير رجوع و استحقاق آن، اقرب تبعيض در ثبوت در ذمّه است به نسبت؛ و تبعيت واقع عجز و عدم آن، در مشروطه است</w:t>
      </w:r>
      <w:r>
        <w:rPr>
          <w:rFonts w:eastAsia="IRNazanin" w:cs="IRNazanin"/>
          <w:color w:val="111111"/>
          <w:sz w:val="28"/>
          <w:szCs w:val="28"/>
          <w:rtl w:val="true"/>
          <w:lang w:bidi="fa-IR"/>
        </w:rPr>
        <w:t>.</w:t>
      </w:r>
    </w:p>
    <w:p>
      <w:pPr>
        <w:pStyle w:val="Heading6"/>
        <w:numPr>
          <w:ilvl w:val="5"/>
          <w:numId w:val="1"/>
        </w:numPr>
        <w:rPr/>
      </w:pPr>
      <w:bookmarkStart w:id="3223" w:name="__RefHeading___Toc3600035_1067777946"/>
      <w:bookmarkStart w:id="3224" w:name="_Toc1338"/>
      <w:bookmarkEnd w:id="3223"/>
      <w:r>
        <w:rPr>
          <w:rtl w:val="true"/>
        </w:rPr>
        <w:t>طلاق دو نفر، زوجۀ كبيره و صغيرۀ خود را و تزويج ديگرى</w:t>
      </w:r>
      <w:bookmarkEnd w:id="322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دو زن داشتند يكى كبيره و يكى صغيره، پس هر كدام طلاق داد زن خود را و مطلّقۀ ديگرى را تزويج نمود، حرام مى شود كبيره بر زوج صغيره كه تا زمان رضاعْ زوجۀ او بود، و حرام مى شود صغيره بر هر كه دخول كرده به كبيره، پس اگر هر دو دخول كرده اند، بر هر دو حرام مى شود؛ و اگر شير مال يكى بالخصوص باشد، به آن جهت كه صغيره دختر او مى شود بر او حرام است، بدون تقيّد به دخول به مادر</w:t>
      </w:r>
      <w:r>
        <w:rPr>
          <w:rFonts w:eastAsia="IRNazanin" w:cs="IRNazanin"/>
          <w:color w:val="111111"/>
          <w:sz w:val="28"/>
          <w:szCs w:val="28"/>
          <w:rtl w:val="true"/>
          <w:lang w:bidi="fa-IR"/>
        </w:rPr>
        <w:t>.</w:t>
      </w:r>
    </w:p>
    <w:p>
      <w:pPr>
        <w:pStyle w:val="Heading6"/>
        <w:numPr>
          <w:ilvl w:val="5"/>
          <w:numId w:val="1"/>
        </w:numPr>
        <w:rPr/>
      </w:pPr>
      <w:bookmarkStart w:id="3225" w:name="__RefHeading___Toc3600037_1067777946"/>
      <w:bookmarkStart w:id="3226" w:name="_Toc1339"/>
      <w:bookmarkEnd w:id="3225"/>
      <w:r>
        <w:rPr>
          <w:rtl w:val="true"/>
        </w:rPr>
        <w:t>اقرار به خواهر رضاعى بودن قبل از عقد و تكذيب آن</w:t>
      </w:r>
      <w:bookmarkEnd w:id="32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قبل از عقدْ اقرار به خواهر رضاعى بودن زنى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مى شود در مرحلۀ ظاهرْ به حرمت نكاح؛ و در عود حليت، بعد از تكذيب خود در اقرار متقدّم، با عدم تكذيب زن رجوع را، يا با تصديق او در رجوع از اقرار سابق، تأمل است؛ و اگر در حال اقرارِ مرد به خواهر رضاعى بودن زن، ايقاع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ظاهراً صحيح نيست</w:t>
      </w:r>
      <w:r>
        <w:rPr>
          <w:rFonts w:eastAsia="IRNazanin" w:cs="IRNazanin"/>
          <w:color w:val="111111"/>
          <w:sz w:val="28"/>
          <w:szCs w:val="28"/>
          <w:rtl w:val="true"/>
          <w:lang w:bidi="fa-IR"/>
        </w:rPr>
        <w:t>.</w:t>
      </w:r>
    </w:p>
    <w:p>
      <w:pPr>
        <w:pStyle w:val="Heading6"/>
        <w:numPr>
          <w:ilvl w:val="5"/>
          <w:numId w:val="1"/>
        </w:numPr>
        <w:rPr/>
      </w:pPr>
      <w:bookmarkStart w:id="3227" w:name="__RefHeading___Toc3600039_1067777946"/>
      <w:bookmarkStart w:id="3228" w:name="_Toc1340"/>
      <w:bookmarkEnd w:id="3227"/>
      <w:r>
        <w:rPr>
          <w:rtl w:val="true"/>
        </w:rPr>
        <w:t>اقرار بعد از عقد به خواهر رضاعى بودن</w:t>
      </w:r>
      <w:bookmarkEnd w:id="322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عقد، ادّعاى مذكور باشد، پس اگر اثبات كرد به بيّنه و نحو آن، ثابت مى شود مدّعاى زوج، و حاكم بر طبق ادّعاى او حكم مى كند؛ پس قبل از دخولْ مهر </w:t>
      </w:r>
      <w:bookmarkStart w:id="3229" w:name="pg10256_89865"/>
    </w:p>
    <w:p>
      <w:pPr>
        <w:pStyle w:val="BookText"/>
        <w:rPr/>
      </w:pPr>
      <w:bookmarkEnd w:id="3229"/>
      <w:r>
        <w:rPr>
          <w:rFonts w:ascii="Amiri" w:hAnsi="Amiri" w:eastAsia="Amiri" w:cs="Amiri"/>
          <w:color w:val="111111"/>
          <w:sz w:val="28"/>
          <w:sz w:val="28"/>
          <w:szCs w:val="28"/>
          <w:rtl w:val="true"/>
          <w:lang w:bidi="ar-SA"/>
        </w:rPr>
        <w:t>ثابت نيست، و بعد از دخول، محتمل است مهر المثل و حكم وطى به شبهه ثابت باشد در صورت عدم اثبات علم زوجه به حال، كه اثبات زنا از طرف او است و استحقاق مهر ندارد، بلكه اين احتمالْ قريب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زوج اثبات نكرد مدعاى خودش را، مهر كاملاً بر او است بعد از دخول، و احوط بر او تكميل مهر قبل از دخول، و بر زن تنصيف است، و افتراق مرد به مقتضاى اقرار او ثابت است؛ و چون مدعاى زوجْ ثابت نيست بلكه حكم بر طبق انكار زوجه مى شود، احتياج به طلاقْ ظاهر است؛ و بر تقدير طلاق زوج، با الزام حاكم يا بدون آن، با مباشرت حاكم يا زوج، به طلاق محكوم به صحّت، تنصيف مهر قبل از دخول، به واسطۀ حكم شرعى ظاهراً به صحّت طلاق، قريب است</w:t>
      </w:r>
      <w:r>
        <w:rPr>
          <w:rFonts w:eastAsia="IRNazanin" w:cs="IRNazanin"/>
          <w:color w:val="111111"/>
          <w:sz w:val="28"/>
          <w:szCs w:val="28"/>
          <w:rtl w:val="true"/>
          <w:lang w:bidi="fa-IR"/>
        </w:rPr>
        <w:t>.</w:t>
      </w:r>
    </w:p>
    <w:p>
      <w:pPr>
        <w:pStyle w:val="Heading6"/>
        <w:numPr>
          <w:ilvl w:val="5"/>
          <w:numId w:val="1"/>
        </w:numPr>
        <w:rPr/>
      </w:pPr>
      <w:bookmarkStart w:id="3230" w:name="__RefHeading___Toc3600041_1067777946"/>
      <w:bookmarkStart w:id="3231" w:name="_Toc1341"/>
      <w:bookmarkEnd w:id="3230"/>
      <w:r>
        <w:rPr>
          <w:rtl w:val="true"/>
        </w:rPr>
        <w:t>دعوى رضاع از جانب زوجه</w:t>
      </w:r>
      <w:bookmarkEnd w:id="3231"/>
    </w:p>
    <w:p>
      <w:pPr>
        <w:pStyle w:val="BookText"/>
        <w:rPr/>
      </w:pPr>
      <w:r>
        <w:rPr>
          <w:rFonts w:ascii="IRNazanin" w:hAnsi="IRNazanin" w:eastAsia="IRNazanin"/>
          <w:color w:val="111111"/>
          <w:sz w:val="28"/>
          <w:sz w:val="28"/>
          <w:szCs w:val="28"/>
          <w:rtl w:val="true"/>
          <w:lang w:bidi="fa-IR"/>
        </w:rPr>
        <w:t>و اگر دعوى رضاعْ موجب تحريم و افتراق از جانب زوجه باشد، بعد از عقد، پس با اثبات آن، افتراق حاصل مى شود، و مهر المثل را با دخول و جهلْ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اثبات نكرد و مرد تكذيب كرد او را، در ظاهر باقى بر زوجيّت است و در واقع بايد تمكين ننمايد، و به هر چه قدرت دارد، فداء براى طلاق بدهد تا در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اعتقادش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دخول، با جهل، اقلّ از مهر المثل و مسمّى را استحقاق دارد؛ و در صورت تصديق زوج، مهر المثل را مطلقاً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تكذيب زوج، و اثبات به حلف اوّل، يا بعد از نكول زوجۀ مدّعيه، اگر مهر را به زوجه داده بوده، حق مطالبه ندارد، به سبب ادّعاى زوجيّت و اثبات آن، مگر با طلاق قبل از دخول، كه استرجاع نصف مى نمايد؛ و اگر نداده است، زن استحقاق مطالبه ندارد، به سبب اعتراف به عدم زوجيّت، مگر آنكه بعد از دخول و جهل باشد، كه اقل از مهر المثل و مسمّى را مطالبه مى نمايد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عدم استحقاق به اعتراف زوج، و استحقاق به اثبات زوج به حلف اوّل يا نكول زوجۀ مدّعيه، اگر عين بود مهر، به حكم مجهول المالك مى شود؛ و هم چنين </w:t>
      </w:r>
      <w:bookmarkStart w:id="3232" w:name="pg10256_89866"/>
    </w:p>
    <w:p>
      <w:pPr>
        <w:pStyle w:val="BookText"/>
        <w:rPr/>
      </w:pPr>
      <w:bookmarkEnd w:id="3232"/>
      <w:r>
        <w:rPr>
          <w:rFonts w:ascii="IRNazanin" w:hAnsi="IRNazanin" w:eastAsia="IRNazanin"/>
          <w:color w:val="111111"/>
          <w:sz w:val="28"/>
          <w:sz w:val="28"/>
          <w:szCs w:val="28"/>
          <w:rtl w:val="true"/>
          <w:lang w:bidi="fa-IR"/>
        </w:rPr>
        <w:t>در صورت قبض و بقاى عين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شرع، عقد باقى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استحقاق مطالبۀ نفقه، با منع از تمكين زوج از جماع و ملحق به آن از قبل شرع، مثل استحقاق حايض، تأمل است</w:t>
      </w:r>
      <w:r>
        <w:rPr>
          <w:rFonts w:eastAsia="IRNazanin" w:cs="IRNazanin"/>
          <w:color w:val="111111"/>
          <w:sz w:val="28"/>
          <w:szCs w:val="28"/>
          <w:rtl w:val="true"/>
          <w:lang w:bidi="fa-IR"/>
        </w:rPr>
        <w:t>.</w:t>
      </w:r>
    </w:p>
    <w:p>
      <w:pPr>
        <w:pStyle w:val="Heading6"/>
        <w:numPr>
          <w:ilvl w:val="5"/>
          <w:numId w:val="1"/>
        </w:numPr>
        <w:rPr/>
      </w:pPr>
      <w:bookmarkStart w:id="3233" w:name="__RefHeading___Toc3600043_1067777946"/>
      <w:bookmarkStart w:id="3234" w:name="_Toc1342"/>
      <w:bookmarkEnd w:id="3233"/>
      <w:r>
        <w:rPr>
          <w:rtl w:val="true"/>
        </w:rPr>
        <w:t>شهادت در مسائل اختلافيه در خصوصيات موضوع</w:t>
      </w:r>
      <w:bookmarkEnd w:id="323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اختلافيه در خصوصيات موضوع حكم، شهادت در آنها قبول نمى شود مگر به تفصيل رافع شك نزد حاكم، مگر آنكه معلوم باشد مقلّد بودن شاهد براى حاكم، و خبير بودن او به مواقع اختلاف، كه اطلاق كافى است، به نحوى كه مفهوم، موضوع حكم باشد به يقين يا ظن ناشى از ظهور از نفس شهادت يا با ضميمۀ قراين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شهادت بر اقرار، اطلاق كافى است در صورت فهم اقرار به موضوع حرمت نزد حاكم بنابر احوط</w:t>
      </w:r>
      <w:r>
        <w:rPr>
          <w:rFonts w:eastAsia="Amiri" w:cs="Amiri" w:ascii="Amiri" w:hAnsi="Amiri"/>
          <w:color w:val="111111"/>
          <w:sz w:val="28"/>
          <w:szCs w:val="28"/>
          <w:rtl w:val="true"/>
          <w:lang w:bidi="ar-SA"/>
        </w:rPr>
        <w:t>.</w:t>
      </w:r>
    </w:p>
    <w:p>
      <w:pPr>
        <w:pStyle w:val="Heading6"/>
        <w:numPr>
          <w:ilvl w:val="5"/>
          <w:numId w:val="1"/>
        </w:numPr>
        <w:rPr/>
      </w:pPr>
      <w:bookmarkStart w:id="3235" w:name="__RefHeading___Toc3600045_1067777946"/>
      <w:bookmarkStart w:id="3236" w:name="_Toc1343"/>
      <w:bookmarkEnd w:id="3235"/>
      <w:r>
        <w:rPr>
          <w:rtl w:val="true"/>
        </w:rPr>
        <w:t>ارضاع زوج صغير بعد از طلاق و تزويج با كبير</w:t>
      </w:r>
      <w:bookmarkEnd w:id="3236"/>
    </w:p>
    <w:p>
      <w:pPr>
        <w:pStyle w:val="Heading6"/>
        <w:numPr>
          <w:ilvl w:val="5"/>
          <w:numId w:val="1"/>
        </w:numPr>
        <w:rPr/>
      </w:pPr>
      <w:bookmarkStart w:id="3237" w:name="__RefHeading___Toc3600047_1067777946"/>
      <w:bookmarkStart w:id="3238" w:name="_Toc1344"/>
      <w:bookmarkEnd w:id="3237"/>
      <w:r>
        <w:rPr>
          <w:rtl w:val="true"/>
        </w:rPr>
        <w:t>اشاره</w:t>
      </w:r>
      <w:bookmarkEnd w:id="323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كبيره با صغيرى تزويج كرد،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عقد كرد، بواسطۀ عيبى در زوج، يا به سبب عتق خودش كه مملوكه بوده، يا به سببى ديگر، پس از آن تزويج كرد با كبيرى و شير داد با لبن او صغير مذكور را، حرام مى شود بر شوهر، زيرا حليلۀ ابن رضاعى او بوده، بنابر عدم اعتبار بقاى مبدء در صدق مشتق، و حرام مى شود بر صغير، زيرا مادر رضاعى او است و منكوحۀ پدر رضاعى او است</w:t>
      </w:r>
      <w:r>
        <w:rPr>
          <w:rFonts w:eastAsia="IRNazanin" w:cs="IRNazanin"/>
          <w:color w:val="111111"/>
          <w:sz w:val="28"/>
          <w:szCs w:val="28"/>
          <w:rtl w:val="true"/>
          <w:lang w:bidi="fa-IR"/>
        </w:rPr>
        <w:t>.</w:t>
      </w:r>
    </w:p>
    <w:p>
      <w:pPr>
        <w:pStyle w:val="Heading6"/>
        <w:numPr>
          <w:ilvl w:val="5"/>
          <w:numId w:val="1"/>
        </w:numPr>
        <w:rPr/>
      </w:pPr>
      <w:bookmarkStart w:id="3239" w:name="__RefHeading___Toc3600049_1067777946"/>
      <w:bookmarkStart w:id="3240" w:name="_Toc1345"/>
      <w:bookmarkEnd w:id="3239"/>
      <w:r>
        <w:rPr>
          <w:rtl w:val="true"/>
        </w:rPr>
        <w:t>فرض عكس مسأله</w:t>
      </w:r>
      <w:bookmarkEnd w:id="324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كبيره اگر اوّل تزويج با كبير نموده، و بعد از وطى و حمل و ولادت، طلاق داد او را، بعد تزويج كرد با صغير، پس شير داد او را از لبن كبير، حرام مى شود بر كبير، چون حليلۀ پسر رضاعى او است بنابر آنچه ذكر شد، يا مطلقا، و بر صغير، چون مادر رضاعى او است و منكوحۀ پدر رضاعى او است بنابر آنچه ذكر شد، يا مطلقاً، به نحو متقدّم در محلش</w:t>
      </w:r>
      <w:r>
        <w:rPr>
          <w:rFonts w:eastAsia="IRNazanin" w:cs="IRNazanin"/>
          <w:color w:val="111111"/>
          <w:sz w:val="28"/>
          <w:szCs w:val="28"/>
          <w:rtl w:val="true"/>
          <w:lang w:bidi="fa-IR"/>
        </w:rPr>
        <w:t xml:space="preserve">. </w:t>
      </w:r>
      <w:bookmarkStart w:id="3241" w:name="pg10256_89867"/>
    </w:p>
    <w:p>
      <w:pPr>
        <w:pStyle w:val="Heading6"/>
        <w:numPr>
          <w:ilvl w:val="5"/>
          <w:numId w:val="1"/>
        </w:numPr>
        <w:rPr/>
      </w:pPr>
      <w:bookmarkStart w:id="3242" w:name="__RefHeading___Toc3600051_1067777946"/>
      <w:bookmarkStart w:id="3243" w:name="_Toc1346"/>
      <w:bookmarkEnd w:id="3241"/>
      <w:bookmarkEnd w:id="3242"/>
      <w:r>
        <w:rPr>
          <w:rtl w:val="true"/>
        </w:rPr>
        <w:t>شير دادن جدّه بعد از تزويج پدر پسر صغير خود را با دختر برادر</w:t>
      </w:r>
      <w:bookmarkEnd w:id="324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پسر صغير خود را با دختر برادر خود تزويج كرد به نحو صحيح، پس شير داد جدّۀ آنها يكى از آن دو را، منفسخ مى شود نكاح هر دو، زيرا مرتضع اگر پسر بود، پس زوج يا عم او يا خال زوجه است يا هر دو؛ و اگر دختر بود، زوجه يا عمۀ او و يا خالۀ زوج و يا هر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و عمه در جدّ ابى، و خال و خاله در جدّۀ امى، و هر دو در جدّۀ ابوينى است</w:t>
      </w:r>
      <w:r>
        <w:rPr>
          <w:rFonts w:eastAsia="IRNazanin" w:cs="IRNazanin"/>
          <w:color w:val="111111"/>
          <w:sz w:val="28"/>
          <w:szCs w:val="28"/>
          <w:rtl w:val="true"/>
          <w:lang w:bidi="fa-IR"/>
        </w:rPr>
        <w:t>.</w:t>
      </w:r>
    </w:p>
    <w:p>
      <w:pPr>
        <w:pStyle w:val="Heading6"/>
        <w:numPr>
          <w:ilvl w:val="5"/>
          <w:numId w:val="1"/>
        </w:numPr>
        <w:rPr/>
      </w:pPr>
      <w:bookmarkStart w:id="3244" w:name="__RefHeading___Toc3600053_1067777946"/>
      <w:bookmarkStart w:id="3245" w:name="_Toc1347"/>
      <w:bookmarkEnd w:id="3244"/>
      <w:r>
        <w:rPr>
          <w:rtl w:val="true"/>
        </w:rPr>
        <w:t>قبول شهادت زنها در رضاع</w:t>
      </w:r>
      <w:bookmarkEnd w:id="324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مى شود شهادت زنها به رضاع، در حال انفراد از مردها، و اجتماع با آنها، پس ثابت مى شود به شهادت دو مرد، و يك مرد و دو زن، و چهار زن، مثل ساير امورى كه عادتاً متعسّر است اطلاع مردها بر آنها، يا جايز نيست نظر آنها؛ و در قبول اقل از عدد مذكور، تأمل است، اگر چه موافق احتياط است در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شهادت ام زوج و ام زوجه و جدّۀ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شهادت مرضعه با سه زن ديگر قبول مى شود در صورت رجوع شهادت به فعل رضيع، و لكن اجرت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شهادت به ارضاع كه فعل او است و قبول از حيث فعل رضيع، تأمل است</w:t>
      </w:r>
      <w:r>
        <w:rPr>
          <w:rFonts w:eastAsia="IRNazanin" w:cs="IRNazanin"/>
          <w:color w:val="111111"/>
          <w:sz w:val="28"/>
          <w:szCs w:val="28"/>
          <w:rtl w:val="true"/>
          <w:lang w:bidi="fa-IR"/>
        </w:rPr>
        <w:t>.</w:t>
      </w:r>
    </w:p>
    <w:p>
      <w:pPr>
        <w:pStyle w:val="Heading4"/>
        <w:numPr>
          <w:ilvl w:val="3"/>
          <w:numId w:val="1"/>
        </w:numPr>
        <w:rPr/>
      </w:pPr>
      <w:bookmarkStart w:id="3246" w:name="__RefHeading___Toc3600055_1067777946"/>
      <w:bookmarkStart w:id="3247" w:name="_Toc1348"/>
      <w:bookmarkEnd w:id="3246"/>
      <w:r>
        <w:rPr/>
        <w:t>3</w:t>
      </w:r>
      <w:r>
        <w:rPr>
          <w:rtl w:val="true"/>
        </w:rPr>
        <w:t xml:space="preserve">. </w:t>
      </w:r>
      <w:r>
        <w:rPr>
          <w:rtl w:val="true"/>
        </w:rPr>
        <w:t>مصاهرت</w:t>
      </w:r>
      <w:bookmarkEnd w:id="3247"/>
    </w:p>
    <w:p>
      <w:pPr>
        <w:pStyle w:val="Heading5"/>
        <w:numPr>
          <w:ilvl w:val="4"/>
          <w:numId w:val="1"/>
        </w:numPr>
        <w:rPr/>
      </w:pPr>
      <w:bookmarkStart w:id="3248" w:name="__RefHeading___Toc3600057_1067777946"/>
      <w:bookmarkStart w:id="3249" w:name="_Toc1349"/>
      <w:bookmarkEnd w:id="3248"/>
      <w:r>
        <w:rPr>
          <w:rtl w:val="true"/>
        </w:rPr>
        <w:t>اشاره</w:t>
      </w:r>
      <w:bookmarkEnd w:id="3249"/>
    </w:p>
    <w:p>
      <w:pPr>
        <w:pStyle w:val="BookText"/>
        <w:rPr/>
      </w:pPr>
      <w:r>
        <w:rPr>
          <w:rFonts w:ascii="Amiri" w:hAnsi="Amiri" w:eastAsia="Amiri" w:cs="Amiri"/>
          <w:color w:val="111111"/>
          <w:sz w:val="28"/>
          <w:sz w:val="28"/>
          <w:szCs w:val="28"/>
          <w:rtl w:val="true"/>
          <w:lang w:bidi="ar-SA"/>
        </w:rPr>
        <w:t xml:space="preserve">سبب سوّم تحريم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قرابتى است كه از زناشويى حاصل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اشتباه آن، مثل وطى به شبهه، و مثل نظر و لمس، و ملحقات به آن، ذكر مى شود</w:t>
      </w:r>
      <w:r>
        <w:rPr>
          <w:rFonts w:eastAsia="Amiri" w:cs="Amiri" w:ascii="Amiri" w:hAnsi="Amiri"/>
          <w:color w:val="111111"/>
          <w:sz w:val="28"/>
          <w:szCs w:val="28"/>
          <w:rtl w:val="true"/>
          <w:lang w:bidi="ar-SA"/>
        </w:rPr>
        <w:t>.</w:t>
      </w:r>
    </w:p>
    <w:p>
      <w:pPr>
        <w:pStyle w:val="Heading5"/>
        <w:numPr>
          <w:ilvl w:val="4"/>
          <w:numId w:val="1"/>
        </w:numPr>
        <w:rPr/>
      </w:pPr>
      <w:bookmarkStart w:id="3250" w:name="__RefHeading___Toc3600059_1067777946"/>
      <w:bookmarkStart w:id="3251" w:name="_Toc1350"/>
      <w:bookmarkEnd w:id="3250"/>
      <w:r>
        <w:rPr>
          <w:rtl w:val="true"/>
        </w:rPr>
        <w:t>موارد حصول حرمت با نكاح صحيح</w:t>
      </w:r>
      <w:bookmarkEnd w:id="325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نزديكى نمايد با زنى به عقد صحيح دائم يا منقطع يا به ملك يمين يا به تحليل، حرام مى شود بر او مادر موطوئه، هر چه بالا برود از پدرى يا مادرى او، و دخترهاى موطوئه، هر چه پايين برود از طريق پسر يا دختر، ولادت آنها مقدم بر وطى </w:t>
      </w:r>
      <w:bookmarkStart w:id="3252" w:name="pg10256_89868"/>
    </w:p>
    <w:p>
      <w:pPr>
        <w:pStyle w:val="BookText"/>
        <w:rPr/>
      </w:pPr>
      <w:bookmarkEnd w:id="3252"/>
      <w:r>
        <w:rPr>
          <w:rFonts w:ascii="IRNazanin" w:hAnsi="IRNazanin" w:eastAsia="IRNazanin"/>
          <w:color w:val="111111"/>
          <w:sz w:val="28"/>
          <w:sz w:val="28"/>
          <w:szCs w:val="28"/>
          <w:rtl w:val="true"/>
          <w:lang w:bidi="fa-IR"/>
        </w:rPr>
        <w:t>باشد يا مؤخر از آن، چه در دامن باشند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موطوئه، حرام است پدر واطى، هر قدر بالا برود از طريق پدر يا مادر؛ و اولاد واطى، هر قدر پايين برود از طريق پسر يا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عقدْ مجرد از وطى باشد، حرام است زوجه بر پدر واطى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بالا برود، و بر اولاد واطى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پايين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زن حرام نمى شود مگر در حال اجتماع با زن در عقد، نه به حرمت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زن در حرمت او خلاف است، اقوى حرمت است اگر چه دخول به دختر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مملوكۀ اب يا ابن، بر ديگرى، به مجرّد ملك، حرام نمى شود، و بعد از وطى، بر ديگرى حرام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در وطى مذكور، در امور متقدمه كه مؤثر است، بين قبل و دبر نيست</w:t>
      </w:r>
      <w:r>
        <w:rPr>
          <w:rFonts w:eastAsia="Amiri" w:cs="Amiri" w:ascii="Amiri" w:hAnsi="Amiri"/>
          <w:color w:val="111111"/>
          <w:sz w:val="28"/>
          <w:szCs w:val="28"/>
          <w:rtl w:val="true"/>
          <w:lang w:bidi="ar-SA"/>
        </w:rPr>
        <w:t>.</w:t>
      </w:r>
    </w:p>
    <w:p>
      <w:pPr>
        <w:pStyle w:val="Heading5"/>
        <w:numPr>
          <w:ilvl w:val="4"/>
          <w:numId w:val="1"/>
        </w:numPr>
        <w:rPr/>
      </w:pPr>
      <w:bookmarkStart w:id="3253" w:name="__RefHeading___Toc3600061_1067777946"/>
      <w:bookmarkStart w:id="3254" w:name="_Toc1351"/>
      <w:bookmarkEnd w:id="3253"/>
      <w:r>
        <w:rPr>
          <w:rtl w:val="true"/>
        </w:rPr>
        <w:t>مملوكۀ پدر و پسر</w:t>
      </w:r>
      <w:bookmarkEnd w:id="3254"/>
    </w:p>
    <w:p>
      <w:pPr>
        <w:pStyle w:val="BookText"/>
        <w:rPr/>
      </w:pPr>
      <w:r>
        <w:rPr>
          <w:rFonts w:ascii="IRNazanin" w:hAnsi="IRNazanin" w:eastAsia="IRNazanin"/>
          <w:color w:val="111111"/>
          <w:sz w:val="28"/>
          <w:sz w:val="28"/>
          <w:szCs w:val="28"/>
          <w:rtl w:val="true"/>
          <w:lang w:bidi="fa-IR"/>
        </w:rPr>
        <w:t>و هيچ كدام از پدر و پسر نمى تواند مملوكۀ ديگر را وطى نمايد مگر با عقد يا ملك يا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با ناقل شرعى، تملّك نمايد مملوكۀ پسر خود را اگر صغير باشد، پس از آن مقاربت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كلمات، كفايت تقويم است در جواز وطى، و شايد محمول بر معاطات صحيحه باشد در تملك بعوض در ذمّه، بنابر صحّت آن به نحو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جريان در مملوكۀ بنت و در جدّ 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كبير و كبيره رعايت قواعد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بدون مملّك و عقد و شبهه، مبادرت به وطى شد، از پدر يا پسر، زانى است؛ و حكم نشر حرمت و عدم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فتاوىٰ‌، عدم مشروعيّت حد بر پدر است در مملوكۀ پسر، به خلاف پسر در وطى مملوكۀ پدر، و جزم به آن، محتاج به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شبهه ساقط مى شود حد مطلقاً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مملوكۀ پدر از پسرْ حامل شد به شبهه، منعتق مى شود ولد بر جدّ خودش، و در </w:t>
      </w:r>
      <w:bookmarkStart w:id="3255" w:name="pg10256_89869"/>
    </w:p>
    <w:p>
      <w:pPr>
        <w:pStyle w:val="BookText"/>
        <w:rPr/>
      </w:pPr>
      <w:bookmarkEnd w:id="3255"/>
      <w:r>
        <w:rPr>
          <w:rFonts w:ascii="IRNazanin" w:hAnsi="IRNazanin" w:eastAsia="IRNazanin"/>
          <w:color w:val="111111"/>
          <w:sz w:val="28"/>
          <w:sz w:val="28"/>
          <w:szCs w:val="28"/>
          <w:rtl w:val="true"/>
          <w:lang w:bidi="fa-IR"/>
        </w:rPr>
        <w:t>ثبوت قيمت ولد بر پدر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مملوكۀ پسر از پدر حامل شد به شبهه، منعتق نمى شود بر برادر كه مالك مادر است؛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فك پسرش از برادرش است در غير انثى، كه منعتق مى شود قهراً بر برادر، و بيان آن در محلش خواهد آمد ان شاء اللّٰه تعالى</w:t>
      </w:r>
      <w:r>
        <w:rPr>
          <w:rFonts w:eastAsia="IRNazanin" w:cs="IRNazanin"/>
          <w:color w:val="111111"/>
          <w:sz w:val="28"/>
          <w:szCs w:val="28"/>
          <w:rtl w:val="true"/>
          <w:lang w:bidi="fa-IR"/>
        </w:rPr>
        <w:t>.</w:t>
      </w:r>
    </w:p>
    <w:p>
      <w:pPr>
        <w:pStyle w:val="Heading5"/>
        <w:numPr>
          <w:ilvl w:val="4"/>
          <w:numId w:val="1"/>
        </w:numPr>
        <w:rPr/>
      </w:pPr>
      <w:bookmarkStart w:id="3256" w:name="__RefHeading___Toc3600063_1067777946"/>
      <w:bookmarkStart w:id="3257" w:name="_Toc1352"/>
      <w:bookmarkEnd w:id="3256"/>
      <w:r>
        <w:rPr>
          <w:rtl w:val="true"/>
        </w:rPr>
        <w:t>وطى به شبهۀ پدر، زوجۀ پسر را</w:t>
      </w:r>
      <w:bookmarkEnd w:id="3257"/>
    </w:p>
    <w:p>
      <w:pPr>
        <w:pStyle w:val="BookText"/>
        <w:rPr/>
      </w:pPr>
      <w:r>
        <w:rPr>
          <w:rFonts w:ascii="IRNazanin" w:hAnsi="IRNazanin" w:eastAsia="IRNazanin"/>
          <w:color w:val="111111"/>
          <w:sz w:val="28"/>
          <w:sz w:val="28"/>
          <w:szCs w:val="28"/>
          <w:rtl w:val="true"/>
          <w:lang w:bidi="fa-IR"/>
        </w:rPr>
        <w:t>اگر پدر به شبهه وطى كرد زوجۀ پسر را، حرام بر پسر نمى شود، بنابر آنچه خواهد آمد كه منكوحۀ اب كه معقودۀ او باشد حرام است بر پسر، نه مطلق موطوئۀ پدر به حلال؛ و هم چنين در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بر پدر است مهر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پسر مراجعت كرد به زن خود به وطئ شبهه، پس بنابر عدم حرمت، چيزى بر او نيست جز مسمّى؛ و لذا جايز است بدون شبهه؛ و اگر نشر حرمت نمايد وطى پدر به شبهه، و زن اجنبيه بالنسبه به پسر باشد، دو مهر است بر پسر، يكى مسمّى و يكى مهر وطى به شبهه</w:t>
      </w:r>
      <w:r>
        <w:rPr>
          <w:rFonts w:eastAsia="IRNazanin" w:cs="IRNazanin"/>
          <w:color w:val="111111"/>
          <w:sz w:val="28"/>
          <w:szCs w:val="28"/>
          <w:rtl w:val="true"/>
          <w:lang w:bidi="fa-IR"/>
        </w:rPr>
        <w:t>.</w:t>
      </w:r>
    </w:p>
    <w:p>
      <w:pPr>
        <w:pStyle w:val="Heading5"/>
        <w:numPr>
          <w:ilvl w:val="4"/>
          <w:numId w:val="1"/>
        </w:numPr>
        <w:rPr/>
      </w:pPr>
      <w:bookmarkStart w:id="3258" w:name="__RefHeading___Toc3600065_1067777946"/>
      <w:bookmarkStart w:id="3259" w:name="_Toc1353"/>
      <w:bookmarkEnd w:id="3258"/>
      <w:r>
        <w:rPr>
          <w:rtl w:val="true"/>
        </w:rPr>
        <w:t>حرمت خواهر زن</w:t>
      </w:r>
      <w:bookmarkEnd w:id="3259"/>
    </w:p>
    <w:p>
      <w:pPr>
        <w:pStyle w:val="BookText"/>
        <w:rPr/>
      </w:pPr>
      <w:r>
        <w:rPr>
          <w:rFonts w:ascii="IRNazanin" w:hAnsi="IRNazanin" w:eastAsia="IRNazanin"/>
          <w:color w:val="111111"/>
          <w:sz w:val="28"/>
          <w:sz w:val="28"/>
          <w:szCs w:val="28"/>
          <w:rtl w:val="true"/>
          <w:lang w:bidi="fa-IR"/>
        </w:rPr>
        <w:t>حرام است خواهر زوجه جمعاً، چه آنكه نسبتش به ابوين باشد يا به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اينكه جمع در نكاح جايز نيست، جمع در وطىِ به ملك هم جايز نيست</w:t>
      </w:r>
      <w:r>
        <w:rPr>
          <w:rFonts w:eastAsia="IRNazanin" w:cs="IRNazanin"/>
          <w:color w:val="111111"/>
          <w:sz w:val="28"/>
          <w:szCs w:val="28"/>
          <w:rtl w:val="true"/>
          <w:lang w:bidi="fa-IR"/>
        </w:rPr>
        <w:t>.</w:t>
      </w:r>
    </w:p>
    <w:p>
      <w:pPr>
        <w:pStyle w:val="Heading5"/>
        <w:numPr>
          <w:ilvl w:val="4"/>
          <w:numId w:val="1"/>
        </w:numPr>
        <w:rPr/>
      </w:pPr>
      <w:bookmarkStart w:id="3260" w:name="__RefHeading___Toc3600067_1067777946"/>
      <w:bookmarkStart w:id="3261" w:name="_Toc1354"/>
      <w:bookmarkEnd w:id="3260"/>
      <w:r>
        <w:rPr>
          <w:rtl w:val="true"/>
        </w:rPr>
        <w:t>حكم نكاح دختر خواهر و دختر برادر زوجه و بالعكس</w:t>
      </w:r>
      <w:bookmarkEnd w:id="3261"/>
    </w:p>
    <w:p>
      <w:pPr>
        <w:pStyle w:val="BookText"/>
        <w:rPr/>
      </w:pPr>
      <w:r>
        <w:rPr>
          <w:rFonts w:ascii="IRNazanin" w:hAnsi="IRNazanin" w:eastAsia="IRNazanin"/>
          <w:color w:val="111111"/>
          <w:sz w:val="28"/>
          <w:sz w:val="28"/>
          <w:szCs w:val="28"/>
          <w:rtl w:val="true"/>
          <w:lang w:bidi="fa-IR"/>
        </w:rPr>
        <w:t>و هم چنين حرام است دختر خواهر يا برادر زوجه كه عقد بشود بر زوجه كه عمه يا خالۀ دختر است، مگر با اذن زوجه؛ و اگر اذن داد، جايز و صحيح است عقد بر دختر؛ و عكس جايز است و صحيح است، حتّى در صورت جهل عمه و خاله به اينكه دختر برادر يا خواهر در زوجيّت زوج باقى هستند، و اختيار فسخ در صورت جهل، براى داخله نيست بنابر اقوى</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جواز جمع بين آنها در عقد واحد است بدون اذن، كه صدق نمى كند ادخال برادر يا خواهر زاده بر عمّه و خاله بدون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عدم حرمت جمع در وطى به </w:t>
      </w:r>
      <w:bookmarkStart w:id="3262" w:name="pg10256_89870"/>
    </w:p>
    <w:p>
      <w:pPr>
        <w:pStyle w:val="BookText"/>
        <w:rPr/>
      </w:pPr>
      <w:bookmarkEnd w:id="3262"/>
      <w:r>
        <w:rPr>
          <w:rFonts w:ascii="Amiri" w:hAnsi="Amiri" w:eastAsia="Amiri" w:cs="Amiri"/>
          <w:color w:val="111111"/>
          <w:sz w:val="28"/>
          <w:sz w:val="28"/>
          <w:szCs w:val="28"/>
          <w:rtl w:val="true"/>
          <w:lang w:bidi="ar-SA"/>
        </w:rPr>
        <w:t>ملك در يكى از آنها يا هر دو است، بلكه محرّمْ تزويج دختر بر عمه يا خالۀ مزوّجۀ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تحقق تزويج، فرقى بين اينكه مزوّجه، حرّه باشد يا امه نيست، و تحليلْ ملحق به ملك است، نه 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عدم فرق در عمه و خاله، و در برادر زاده و خواهر زاده، بين طبقۀ دانيه و عاليه، و قريبه و بعيده است</w:t>
      </w:r>
      <w:r>
        <w:rPr>
          <w:rFonts w:eastAsia="Amiri" w:cs="Amiri" w:ascii="Amiri" w:hAnsi="Amiri"/>
          <w:color w:val="111111"/>
          <w:sz w:val="28"/>
          <w:szCs w:val="28"/>
          <w:rtl w:val="true"/>
          <w:lang w:bidi="ar-SA"/>
        </w:rPr>
        <w:t>.</w:t>
      </w:r>
    </w:p>
    <w:p>
      <w:pPr>
        <w:pStyle w:val="Heading5"/>
        <w:numPr>
          <w:ilvl w:val="4"/>
          <w:numId w:val="1"/>
        </w:numPr>
        <w:rPr/>
      </w:pPr>
      <w:bookmarkStart w:id="3263" w:name="__RefHeading___Toc3600069_1067777946"/>
      <w:bookmarkStart w:id="3264" w:name="_Toc1355"/>
      <w:bookmarkEnd w:id="3263"/>
      <w:r>
        <w:rPr>
          <w:rtl w:val="true"/>
        </w:rPr>
        <w:t>بطلان عقد در صورت عدم اذن عمّه يا خاله</w:t>
      </w:r>
      <w:bookmarkEnd w:id="3264"/>
    </w:p>
    <w:p>
      <w:pPr>
        <w:pStyle w:val="BookText"/>
        <w:rPr/>
      </w:pPr>
      <w:r>
        <w:rPr>
          <w:rFonts w:ascii="IRNazanin" w:hAnsi="IRNazanin" w:eastAsia="IRNazanin"/>
          <w:color w:val="111111"/>
          <w:sz w:val="28"/>
          <w:sz w:val="28"/>
          <w:szCs w:val="28"/>
          <w:rtl w:val="true"/>
          <w:lang w:bidi="fa-IR"/>
        </w:rPr>
        <w:t>و اگر بدون اذن عمه يا خاله، عقد كرد بر دختر، پس از آن هم اجازه ندادند، باطل است نكاح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داد، اقرب صحّت نكاح دوّم است، مثل صورت سبق اذن؛ و احوط تجديد عقد با رضاى سه نفر، يا طلاق دختر است اگر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اهليت اذن، به جنون عمه و خاله و مثل آن، اقرب انتقال اذن مؤثر، به ولى آنها است</w:t>
      </w:r>
      <w:r>
        <w:rPr>
          <w:rFonts w:eastAsia="IRNazanin" w:cs="IRNazanin"/>
          <w:color w:val="111111"/>
          <w:sz w:val="28"/>
          <w:szCs w:val="28"/>
          <w:rtl w:val="true"/>
          <w:lang w:bidi="fa-IR"/>
        </w:rPr>
        <w:t>.</w:t>
      </w:r>
    </w:p>
    <w:p>
      <w:pPr>
        <w:pStyle w:val="Heading5"/>
        <w:numPr>
          <w:ilvl w:val="4"/>
          <w:numId w:val="1"/>
        </w:numPr>
        <w:rPr/>
      </w:pPr>
      <w:bookmarkStart w:id="3265" w:name="__RefHeading___Toc3600071_1067777946"/>
      <w:bookmarkStart w:id="3266" w:name="_Toc1356"/>
      <w:bookmarkEnd w:id="3265"/>
      <w:r>
        <w:rPr>
          <w:rtl w:val="true"/>
        </w:rPr>
        <w:t>حكم نشر حرمت به زنا</w:t>
      </w:r>
      <w:bookmarkEnd w:id="3266"/>
    </w:p>
    <w:p>
      <w:pPr>
        <w:pStyle w:val="BookText"/>
        <w:rPr/>
      </w:pPr>
      <w:r>
        <w:rPr>
          <w:rFonts w:ascii="IRNazanin" w:hAnsi="IRNazanin" w:eastAsia="IRNazanin"/>
          <w:color w:val="111111"/>
          <w:sz w:val="28"/>
          <w:sz w:val="28"/>
          <w:szCs w:val="28"/>
          <w:rtl w:val="true"/>
          <w:lang w:bidi="fa-IR"/>
        </w:rPr>
        <w:t>زناى طارى بر عقد صحيح، موجب حرمت معقوده نمى شود؛ پس زناى هر كدام از پسر و پدر به معقودۀ ديگرى، موجب حرمت نمى شود، چه موطوئۀ زوج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زناى هركدام از پدر و پسر با مملوكۀ موطوئۀ ديگرى، موجب حرمت بر مالك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 با مملوكۀ ديگرى كه موطوئۀ مالك نباشد، پس در آن اشكال است، اظهر عدم حرمت بر مالك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زنا سابق بر وطى صحيح با عقد يا ملك باشد، پس اگر با عمه و خاله باشد، احوط نشر حرمت است، و دختر عمه و خاله را در صورت مذكوره نمى تواند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غير آنها است، اظهر عدم نشر است، اگر چه نشر احوط است؛ پس دختر زنى را كه با او زنا نموده، يا مادر او را، نمى تواند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موطوئۀ اب به زنا نسبت به ازدواج پسر، يا موطوئۀ پسر به زنا نسبت به ازدواج پدر، بر حسب احتياط مذكور</w:t>
      </w:r>
      <w:r>
        <w:rPr>
          <w:rFonts w:eastAsia="IRNazanin" w:cs="IRNazanin"/>
          <w:color w:val="111111"/>
          <w:sz w:val="28"/>
          <w:szCs w:val="28"/>
          <w:rtl w:val="true"/>
          <w:lang w:bidi="fa-IR"/>
        </w:rPr>
        <w:t xml:space="preserve">. </w:t>
      </w:r>
      <w:bookmarkStart w:id="3267" w:name="pg10256_89871"/>
    </w:p>
    <w:p>
      <w:pPr>
        <w:pStyle w:val="BookText"/>
        <w:rPr/>
      </w:pPr>
      <w:bookmarkEnd w:id="3267"/>
      <w:r>
        <w:rPr>
          <w:rFonts w:ascii="IRNazanin" w:hAnsi="IRNazanin" w:eastAsia="IRNazanin"/>
          <w:color w:val="111111"/>
          <w:sz w:val="28"/>
          <w:sz w:val="28"/>
          <w:szCs w:val="28"/>
          <w:rtl w:val="true"/>
          <w:lang w:bidi="fa-IR"/>
        </w:rPr>
        <w:t>و بنابر نشر حرمت به زناى سابق، اگر زناى با مادر، بعد از عقد دختر باشد، كه مؤثر در رفع زوجيّت نيست، پس از آن اگر طلاق داد زوجه را، و بعد از عده يا در عدّۀ بائن عقد نمود، اظهر عدم تاثير زناى سابق است كه در وقت حدوثش بى اثر بوده است</w:t>
      </w:r>
      <w:r>
        <w:rPr>
          <w:rFonts w:eastAsia="IRNazanin" w:cs="IRNazanin"/>
          <w:color w:val="111111"/>
          <w:sz w:val="28"/>
          <w:szCs w:val="28"/>
          <w:rtl w:val="true"/>
          <w:lang w:bidi="fa-IR"/>
        </w:rPr>
        <w:t>.</w:t>
      </w:r>
    </w:p>
    <w:p>
      <w:pPr>
        <w:pStyle w:val="Heading5"/>
        <w:numPr>
          <w:ilvl w:val="4"/>
          <w:numId w:val="1"/>
        </w:numPr>
        <w:rPr/>
      </w:pPr>
      <w:bookmarkStart w:id="3268" w:name="__RefHeading___Toc3600073_1067777946"/>
      <w:bookmarkStart w:id="3269" w:name="_Toc1357"/>
      <w:bookmarkEnd w:id="3268"/>
      <w:r>
        <w:rPr>
          <w:rtl w:val="true"/>
        </w:rPr>
        <w:t>نشر حرمت با وطى به شبهه</w:t>
      </w:r>
      <w:bookmarkEnd w:id="3269"/>
    </w:p>
    <w:p>
      <w:pPr>
        <w:pStyle w:val="BookText"/>
        <w:rPr/>
      </w:pPr>
      <w:r>
        <w:rPr>
          <w:rFonts w:ascii="IRNazanin" w:hAnsi="IRNazanin" w:eastAsia="IRNazanin"/>
          <w:color w:val="111111"/>
          <w:sz w:val="28"/>
          <w:sz w:val="28"/>
          <w:szCs w:val="28"/>
          <w:rtl w:val="true"/>
          <w:lang w:bidi="fa-IR"/>
        </w:rPr>
        <w:t>و اما وطى به شبهه، پس نسب با او ثابت مى شود؛ و اگر لاحق بر عقد و وطى مملوكه باشد، مؤثّر در نشر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سابق بر عقد يا وطى مملوكه باشد، محل خلاف است، احوط نشر حرمت است؛ پس با وطى به شبهه، مادر و دختر موطوئه را نمى تواند ازدواج نمايد؛ و پدر و پسر، موطوئۀ ديگرى را نمى تواند عقد نمايد بر حسب احتياط مذكور</w:t>
      </w:r>
      <w:r>
        <w:rPr>
          <w:rFonts w:eastAsia="IRNazanin" w:cs="IRNazanin"/>
          <w:color w:val="111111"/>
          <w:sz w:val="28"/>
          <w:szCs w:val="28"/>
          <w:rtl w:val="true"/>
          <w:lang w:bidi="fa-IR"/>
        </w:rPr>
        <w:t>.</w:t>
      </w:r>
    </w:p>
    <w:p>
      <w:pPr>
        <w:pStyle w:val="Heading5"/>
        <w:numPr>
          <w:ilvl w:val="4"/>
          <w:numId w:val="1"/>
        </w:numPr>
        <w:rPr/>
      </w:pPr>
      <w:bookmarkStart w:id="3270" w:name="__RefHeading___Toc3600075_1067777946"/>
      <w:bookmarkStart w:id="3271" w:name="_Toc1358"/>
      <w:bookmarkEnd w:id="3270"/>
      <w:r>
        <w:rPr>
          <w:rtl w:val="true"/>
        </w:rPr>
        <w:t>عدم نشر حرمت با نظر و لمس</w:t>
      </w:r>
      <w:bookmarkEnd w:id="3271"/>
    </w:p>
    <w:p>
      <w:pPr>
        <w:pStyle w:val="BookText"/>
        <w:rPr/>
      </w:pPr>
      <w:r>
        <w:rPr>
          <w:rFonts w:ascii="IRNazanin" w:hAnsi="IRNazanin" w:eastAsia="IRNazanin"/>
          <w:color w:val="111111"/>
          <w:sz w:val="28"/>
          <w:sz w:val="28"/>
          <w:szCs w:val="28"/>
          <w:rtl w:val="true"/>
          <w:lang w:bidi="fa-IR"/>
        </w:rPr>
        <w:t>و اما منظوره و ملموسه، در صورتى كه نظر و لمس متعلق به حرام بر غير مالك باشد، پس بر پدر و پسر او، بر حسب آنچه مشهور است بر حسب فتوى و روايات،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اگر چه موافق احتياط است، خصوصاً در منظوره و ملموسۀ پدر نسبت به پسر، لكن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اختيار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است؛ و هم چنين نظر به اجنبيه؛ و همچنين نسبت به مادر منظوره يا ملموسه، و دختر او، چه سابق بر ملك با وطى باشد يا لاحق به آن، اگر چه محل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جماعتى بين اب و ابن، موجب اشدّيت احتياط است، و موجب ضعف در شهرت عمل به روايات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ربيبه با عدم دخول به مادر، نظر و لمس، به جاى دخول محسوب مى شوند به حسب احتياط مذكور در امه و حره، كه دختر امه مزوّجه يا حره باشد</w:t>
      </w:r>
      <w:r>
        <w:rPr>
          <w:rFonts w:eastAsia="IRNazanin" w:cs="IRNazanin"/>
          <w:color w:val="111111"/>
          <w:sz w:val="28"/>
          <w:szCs w:val="28"/>
          <w:rtl w:val="true"/>
          <w:lang w:bidi="fa-IR"/>
        </w:rPr>
        <w:t>.</w:t>
      </w:r>
    </w:p>
    <w:p>
      <w:pPr>
        <w:pStyle w:val="Heading5"/>
        <w:numPr>
          <w:ilvl w:val="4"/>
          <w:numId w:val="1"/>
        </w:numPr>
        <w:rPr/>
      </w:pPr>
      <w:bookmarkStart w:id="3272" w:name="__RefHeading___Toc3600077_1067777946"/>
      <w:bookmarkStart w:id="3273" w:name="_Toc1359"/>
      <w:bookmarkEnd w:id="3272"/>
      <w:r>
        <w:rPr>
          <w:rtl w:val="true"/>
        </w:rPr>
        <w:t>عدم نشر حرمت به واسطه نظر و لمس وجه و كفّين و آنچه عادتاً ظاهر مى شود</w:t>
      </w:r>
      <w:bookmarkEnd w:id="3273"/>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نشر حرمت به نظر و لمس، وجه و كفين و آنچه عادتاً ظاهر مى شود، ناشر </w:t>
      </w:r>
      <w:bookmarkStart w:id="3274" w:name="pg10256_89872"/>
    </w:p>
    <w:p>
      <w:pPr>
        <w:pStyle w:val="BookText"/>
        <w:rPr/>
      </w:pPr>
      <w:bookmarkEnd w:id="3274"/>
      <w:r>
        <w:rPr>
          <w:rFonts w:ascii="IRNazanin" w:hAnsi="IRNazanin" w:eastAsia="IRNazanin"/>
          <w:color w:val="111111"/>
          <w:sz w:val="28"/>
          <w:sz w:val="28"/>
          <w:szCs w:val="28"/>
          <w:rtl w:val="true"/>
          <w:lang w:bidi="fa-IR"/>
        </w:rPr>
        <w:t>نيست اگر چه با شهوت باشد؛ و هم چنين در صورتى كه نظر، مسبوق و مقارن با شهوت نباشد، بلكه براى احداث شهوت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فرض، فرقى بين مواضع بدن نيست اگر چه فى الجمله حرام باشد؛ و هم چنين در موضعى اگر براى معالجه و نحو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مصحوب شهوت در اين صورت، مثل مذكور در وجه و كفين باشد</w:t>
      </w:r>
      <w:r>
        <w:rPr>
          <w:rFonts w:eastAsia="IRNazanin" w:cs="IRNazanin"/>
          <w:color w:val="111111"/>
          <w:sz w:val="28"/>
          <w:szCs w:val="28"/>
          <w:rtl w:val="true"/>
          <w:lang w:bidi="fa-IR"/>
        </w:rPr>
        <w:t>.</w:t>
      </w:r>
    </w:p>
    <w:p>
      <w:pPr>
        <w:pStyle w:val="Heading5"/>
        <w:numPr>
          <w:ilvl w:val="4"/>
          <w:numId w:val="1"/>
        </w:numPr>
        <w:rPr/>
      </w:pPr>
      <w:bookmarkStart w:id="3275" w:name="__RefHeading___Toc3600079_1067777946"/>
      <w:bookmarkStart w:id="3276" w:name="_Toc1360"/>
      <w:bookmarkEnd w:id="3275"/>
      <w:r>
        <w:rPr>
          <w:rtl w:val="true"/>
        </w:rPr>
        <w:t>تساوى نسب و رضاع در حكم مصاهرت</w:t>
      </w:r>
      <w:bookmarkEnd w:id="3276"/>
    </w:p>
    <w:p>
      <w:pPr>
        <w:pStyle w:val="BookText"/>
        <w:rPr/>
      </w:pPr>
      <w:r>
        <w:rPr>
          <w:rFonts w:ascii="IRNazanin" w:hAnsi="IRNazanin" w:eastAsia="IRNazanin"/>
          <w:color w:val="111111"/>
          <w:sz w:val="28"/>
          <w:sz w:val="28"/>
          <w:szCs w:val="28"/>
          <w:rtl w:val="true"/>
          <w:lang w:bidi="fa-IR"/>
        </w:rPr>
        <w:t>و فرقى در حكم مصاهرت، بين نسب و رضاع نيست، و هم چنين فرقى بين امۀ مملوكه يا محلَّله نيست</w:t>
      </w:r>
      <w:r>
        <w:rPr>
          <w:rFonts w:eastAsia="IRNazanin" w:cs="IRNazanin"/>
          <w:color w:val="111111"/>
          <w:sz w:val="28"/>
          <w:szCs w:val="28"/>
          <w:rtl w:val="true"/>
          <w:lang w:bidi="fa-IR"/>
        </w:rPr>
        <w:t>.</w:t>
      </w:r>
    </w:p>
    <w:p>
      <w:pPr>
        <w:pStyle w:val="Heading5"/>
        <w:numPr>
          <w:ilvl w:val="4"/>
          <w:numId w:val="1"/>
        </w:numPr>
        <w:rPr/>
      </w:pPr>
      <w:bookmarkStart w:id="3277" w:name="__RefHeading___Toc3600081_1067777946"/>
      <w:bookmarkStart w:id="3278" w:name="_Toc1361"/>
      <w:bookmarkEnd w:id="3277"/>
      <w:r>
        <w:rPr>
          <w:rtl w:val="true"/>
        </w:rPr>
        <w:t>مسائل تحريم جمع</w:t>
      </w:r>
      <w:bookmarkEnd w:id="3278"/>
    </w:p>
    <w:p>
      <w:pPr>
        <w:pStyle w:val="Heading6"/>
        <w:numPr>
          <w:ilvl w:val="5"/>
          <w:numId w:val="1"/>
        </w:numPr>
        <w:rPr/>
      </w:pPr>
      <w:bookmarkStart w:id="3279" w:name="__RefHeading___Toc3600083_1067777946"/>
      <w:bookmarkStart w:id="3280" w:name="_Toc1362"/>
      <w:bookmarkEnd w:id="3279"/>
      <w:r>
        <w:rPr>
          <w:rtl w:val="true"/>
        </w:rPr>
        <w:t>جمع بين دو اخت در عقد</w:t>
      </w:r>
      <w:bookmarkEnd w:id="3280"/>
    </w:p>
    <w:p>
      <w:pPr>
        <w:pStyle w:val="Heading6"/>
        <w:numPr>
          <w:ilvl w:val="5"/>
          <w:numId w:val="1"/>
        </w:numPr>
        <w:rPr/>
      </w:pPr>
      <w:bookmarkStart w:id="3281" w:name="__RefHeading___Toc3600085_1067777946"/>
      <w:bookmarkStart w:id="3282" w:name="_Toc1363"/>
      <w:bookmarkEnd w:id="3281"/>
      <w:r>
        <w:rPr>
          <w:rtl w:val="true"/>
        </w:rPr>
        <w:t>اشاره</w:t>
      </w:r>
      <w:bookmarkEnd w:id="3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جمع بين دو خواهر كرد، عقد سابقهْ صحيح است، و عقد لاحقه كه فراغ از آن بعد از فراغ از عقد سابقه باشد، باطل است، چه آنكه خواهر پدرى يا مادرى باشند، نسبى يا رضاعى باشند، نكاح دائم يا منقطع يا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دومى عدّه داشته باشد، مى تواند اولى را وطى نمايد در عدّۀ دومى، اگر چه مكروه است</w:t>
      </w:r>
      <w:r>
        <w:rPr>
          <w:rFonts w:eastAsia="IRNazanin" w:cs="IRNazanin"/>
          <w:color w:val="111111"/>
          <w:sz w:val="28"/>
          <w:szCs w:val="28"/>
          <w:rtl w:val="true"/>
          <w:lang w:bidi="fa-IR"/>
        </w:rPr>
        <w:t>.</w:t>
      </w:r>
    </w:p>
    <w:p>
      <w:pPr>
        <w:pStyle w:val="Heading6"/>
        <w:numPr>
          <w:ilvl w:val="5"/>
          <w:numId w:val="1"/>
        </w:numPr>
        <w:rPr/>
      </w:pPr>
      <w:bookmarkStart w:id="3283" w:name="__RefHeading___Toc3600087_1067777946"/>
      <w:bookmarkStart w:id="3284" w:name="_Toc1364"/>
      <w:bookmarkEnd w:id="3283"/>
      <w:r>
        <w:rPr>
          <w:rtl w:val="true"/>
        </w:rPr>
        <w:t>جواز عقد در عدّۀ بائنۀ يكى</w:t>
      </w:r>
      <w:bookmarkEnd w:id="3284"/>
    </w:p>
    <w:p>
      <w:pPr>
        <w:pStyle w:val="BookText"/>
        <w:rPr/>
      </w:pPr>
      <w:r>
        <w:rPr>
          <w:rFonts w:ascii="IRNazanin" w:hAnsi="IRNazanin" w:eastAsia="IRNazanin"/>
          <w:color w:val="111111"/>
          <w:sz w:val="28"/>
          <w:sz w:val="28"/>
          <w:szCs w:val="28"/>
          <w:rtl w:val="true"/>
          <w:lang w:bidi="fa-IR"/>
        </w:rPr>
        <w:t>و آيا مى تواند در عدّه بائنۀ يكى، عقد نمايد ديگرى را، چه عده از طلاق باشد يا فسخ يا غير آنها، نه در عدۀ رجعيّه؛ يا آنكه بايد بعد از انقضاى عده، عقد نمايد خواهر ديگر را؟ مشهور در عدۀ منقطعه جواز است، و در ساير اقسام، خلافى در جواز نيست، و اظهر موافقت مشهور است در عدۀ متعه، اگر چه احوط تزويج بعد از گذشتن عدۀ آن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مشتبه شد عقد سابق و لاحق، پس اگر يكى معلوم التاريخ باشد، اظهر صحّت </w:t>
      </w:r>
      <w:bookmarkStart w:id="3285" w:name="pg10256_89873"/>
    </w:p>
    <w:p>
      <w:pPr>
        <w:pStyle w:val="BookText"/>
        <w:rPr/>
      </w:pPr>
      <w:bookmarkEnd w:id="3285"/>
      <w:r>
        <w:rPr>
          <w:rFonts w:ascii="IRNazanin" w:hAnsi="IRNazanin" w:eastAsia="IRNazanin"/>
          <w:color w:val="111111"/>
          <w:sz w:val="28"/>
          <w:sz w:val="28"/>
          <w:szCs w:val="28"/>
          <w:rtl w:val="true"/>
          <w:lang w:bidi="fa-IR"/>
        </w:rPr>
        <w:t>آن است؛ وگرنه پس تفصّى به طلاقِ هر دو مى شود براى تجديد عقد بر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يكى را طلاق داد و تجديد عقد بر ديگرى كرد، كه اگر دومى است، به عقد جديد بعد از طلاق ديگرى، حلال است؛ و اگر اولى است، به عقد اوّل حلال است و غير او حرام است؛ و هم چنين تجديد عقد بر مطلوبه، بعد از طلاق زوجۀ واقعيّه كه معلوم نيست و واقعاً معيّن است</w:t>
      </w:r>
      <w:r>
        <w:rPr>
          <w:rFonts w:eastAsia="IRNazanin" w:cs="IRNazanin"/>
          <w:color w:val="111111"/>
          <w:sz w:val="28"/>
          <w:szCs w:val="28"/>
          <w:rtl w:val="true"/>
          <w:lang w:bidi="fa-IR"/>
        </w:rPr>
        <w:t>.</w:t>
      </w:r>
    </w:p>
    <w:p>
      <w:pPr>
        <w:pStyle w:val="Heading6"/>
        <w:numPr>
          <w:ilvl w:val="5"/>
          <w:numId w:val="1"/>
        </w:numPr>
        <w:rPr/>
      </w:pPr>
      <w:bookmarkStart w:id="3286" w:name="__RefHeading___Toc3600089_1067777946"/>
      <w:bookmarkStart w:id="3287" w:name="_Toc1365"/>
      <w:bookmarkEnd w:id="3286"/>
      <w:r>
        <w:rPr>
          <w:rtl w:val="true"/>
        </w:rPr>
        <w:t>حكم مهر در مسأله</w:t>
      </w:r>
      <w:bookmarkEnd w:id="3287"/>
    </w:p>
    <w:p>
      <w:pPr>
        <w:pStyle w:val="BookText"/>
        <w:rPr/>
      </w:pPr>
      <w:r>
        <w:rPr>
          <w:rFonts w:ascii="IRNazanin" w:hAnsi="IRNazanin" w:eastAsia="IRNazanin"/>
          <w:color w:val="111111"/>
          <w:sz w:val="28"/>
          <w:sz w:val="28"/>
          <w:szCs w:val="28"/>
          <w:rtl w:val="true"/>
          <w:lang w:bidi="fa-IR"/>
        </w:rPr>
        <w:t>و مهريه قبل از دخول به آنها، ربع مجموع دو مهر، توزيع مى شود بر هر دو، در صورت تساوى از قدر و وصف؛ و در صورت اختلاف، نصف زايد بر مشترك، اختصاص داده مى شود به آنكه مهرش ازيد است، زيرا زيادتى مربوط به ديگرى نيست مگر به جهت مشتركه كه اقتضاى توزيع بقيه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دخول به هر دو كرده، براى هر دو، استحقاقِ مهر معيّنِ در عقد است با جهل زنها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 تجديد عقد بر يكى نمايد، از ديگرى با طلاق مفارقت مى نمايد، و پس از انقضاى عدۀ او تزويج مى نمايد، و عدۀ مقصوده لازم نيست ملاحظۀ انقضاى آن از حين 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طلاق مطلقه، بائن بود، لازم نيست ملاحظۀ انقضاى عده او در عقد بر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را طلاق داد، يكى به طلاق بائن و يكى به طلاق رجعى، و خواست تجديد عقد بر اولى نمايد، رعايت انقضاى عدۀ رجعيّه مى نمايد، نه بائن،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رجوع نمايد به رجعيّه در عده، يا با عقد بعد از عده، لازم نيست ملاحظۀ انقضاى عدّۀ بائن، و ملاحظۀ عدّۀ رجعيّه از وقت اصابت لازم نيست، چنانكه گذشت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وطى به شبهه، مهر المثل لازم باشد، پس با توافق با مسمّى، اشكالى نيست؛ و اگر مخالف شدند، احتياط براى طرفين اگر چه به صلح باشد، ترك نشود</w:t>
      </w:r>
      <w:r>
        <w:rPr>
          <w:rFonts w:eastAsia="IRNazanin" w:cs="IRNazanin"/>
          <w:color w:val="111111"/>
          <w:sz w:val="28"/>
          <w:szCs w:val="28"/>
          <w:rtl w:val="true"/>
          <w:lang w:bidi="fa-IR"/>
        </w:rPr>
        <w:t xml:space="preserve">. </w:t>
      </w:r>
      <w:bookmarkStart w:id="3288" w:name="pg10256_89874"/>
    </w:p>
    <w:p>
      <w:pPr>
        <w:pStyle w:val="BookText"/>
        <w:rPr/>
      </w:pPr>
      <w:bookmarkEnd w:id="3288"/>
      <w:r>
        <w:rPr>
          <w:rFonts w:ascii="IRNazanin" w:hAnsi="IRNazanin" w:eastAsia="IRNazanin"/>
          <w:color w:val="111111"/>
          <w:sz w:val="28"/>
          <w:sz w:val="28"/>
          <w:szCs w:val="28"/>
          <w:rtl w:val="true"/>
          <w:lang w:bidi="fa-IR"/>
        </w:rPr>
        <w:t>و اگر به عقد واحد دو خواهر را ازدواج كرد، اظهر صحّت عقد بر يكى است با انفراد از ديگرى بر حسب تعيين با اختيار لاحق، و احوط اختيار بعد از عقد جديد است بر مقصودۀ به اختيار</w:t>
      </w:r>
      <w:r>
        <w:rPr>
          <w:rFonts w:eastAsia="IRNazanin" w:cs="IRNazanin"/>
          <w:color w:val="111111"/>
          <w:sz w:val="28"/>
          <w:szCs w:val="28"/>
          <w:rtl w:val="true"/>
          <w:lang w:bidi="fa-IR"/>
        </w:rPr>
        <w:t>.</w:t>
      </w:r>
    </w:p>
    <w:p>
      <w:pPr>
        <w:pStyle w:val="Heading6"/>
        <w:numPr>
          <w:ilvl w:val="5"/>
          <w:numId w:val="1"/>
        </w:numPr>
        <w:rPr/>
      </w:pPr>
      <w:bookmarkStart w:id="3289" w:name="__RefHeading___Toc3600091_1067777946"/>
      <w:bookmarkStart w:id="3290" w:name="_Toc1366"/>
      <w:bookmarkEnd w:id="3289"/>
      <w:r>
        <w:rPr>
          <w:rtl w:val="true"/>
        </w:rPr>
        <w:t>جمع بين وطى امۀ مملوكه و ازدواج با خواهر او</w:t>
      </w:r>
      <w:bookmarkEnd w:id="3290"/>
    </w:p>
    <w:p>
      <w:pPr>
        <w:pStyle w:val="Heading6"/>
        <w:numPr>
          <w:ilvl w:val="5"/>
          <w:numId w:val="1"/>
        </w:numPr>
        <w:rPr/>
      </w:pPr>
      <w:bookmarkStart w:id="3291" w:name="__RefHeading___Toc3600093_1067777946"/>
      <w:bookmarkStart w:id="3292" w:name="_Toc1367"/>
      <w:bookmarkEnd w:id="3291"/>
      <w:r>
        <w:rPr>
          <w:rtl w:val="true"/>
        </w:rPr>
        <w:t>اشاره</w:t>
      </w:r>
      <w:bookmarkEnd w:id="32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وطى كرد امۀ مملوكۀ خود را، اظهر عدم جواز ازدواج با خواهر او است قبل از خروج موطوئه از ملك او؛ و اگر بعد از وطى عقد بر خواهر كرد قبل از خروج از ملك، اظهر بطلان نكاح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ازدواج كرد با يك خواهر، مانعى از خريدن خواهر ديگر نيست، لكن وطى دومى جايز نيست؛ و اگر وطى محرّم را انجام داد، اوّلى كه منكوحۀ او است، حرام نمى شود بر او</w:t>
      </w:r>
      <w:r>
        <w:rPr>
          <w:rFonts w:eastAsia="IRNazanin" w:cs="IRNazanin"/>
          <w:color w:val="111111"/>
          <w:sz w:val="28"/>
          <w:szCs w:val="28"/>
          <w:rtl w:val="true"/>
          <w:lang w:bidi="fa-IR"/>
        </w:rPr>
        <w:t>.</w:t>
      </w:r>
    </w:p>
    <w:p>
      <w:pPr>
        <w:pStyle w:val="Heading6"/>
        <w:numPr>
          <w:ilvl w:val="5"/>
          <w:numId w:val="1"/>
        </w:numPr>
        <w:rPr/>
      </w:pPr>
      <w:bookmarkStart w:id="3293" w:name="__RefHeading___Toc3600095_1067777946"/>
      <w:bookmarkStart w:id="3294" w:name="_Toc1368"/>
      <w:bookmarkEnd w:id="3293"/>
      <w:r>
        <w:rPr>
          <w:rtl w:val="true"/>
        </w:rPr>
        <w:t>تملّك دو اخت</w:t>
      </w:r>
      <w:bookmarkEnd w:id="3294"/>
    </w:p>
    <w:p>
      <w:pPr>
        <w:pStyle w:val="BookText"/>
        <w:rPr/>
      </w:pPr>
      <w:r>
        <w:rPr>
          <w:rFonts w:ascii="IRNazanin" w:hAnsi="IRNazanin" w:eastAsia="IRNazanin"/>
          <w:color w:val="111111"/>
          <w:sz w:val="28"/>
          <w:sz w:val="28"/>
          <w:szCs w:val="28"/>
          <w:rtl w:val="true"/>
          <w:lang w:bidi="fa-IR"/>
        </w:rPr>
        <w:t>اگر دو خواهر در ملك او باشند، پس وطى كرد يكى را، حرام است وطى ديگرى، تا آنكه اولى خارج شود از ملك او، اگر چه لازم نباشد مخرج از ملك بنابر اظهر، و اعتبار لزوم احوط است؛ و در هبه، اقباض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توقف حليت دومى بر خروج اولى از ملك است، پس تزويج و رهن، كافى نيست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وطى يك خواهر، ديگرى را هم وطى كرد، پس مقتضاى قاعده، موافق با منسوب به اكثر متأخرين، قصر حرمت بر دومى است تا خروج اولى از ملك؛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روايات معتبرۀ موافقۀ با عمل جماعتى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اولى هم حرام مى شود تا خروج دومى از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خروج، رعايت عدم نيّت عود به اولى در اخراج است در صورت وطى با علم به حرمت دومى موضوعاً و حكماً، به خلاف صورت جهل، كه نيّت مذكورهْ ضرر ندارد، اگر چه مستند تفصيل، مطلق و مقتضى احتياط است مطلقاً حتّى در صورت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تحريم اوّلى است، احوط است</w:t>
      </w:r>
      <w:r>
        <w:rPr>
          <w:rFonts w:eastAsia="IRNazanin" w:cs="IRNazanin"/>
          <w:color w:val="111111"/>
          <w:sz w:val="28"/>
          <w:szCs w:val="28"/>
          <w:rtl w:val="true"/>
          <w:lang w:bidi="fa-IR"/>
        </w:rPr>
        <w:t xml:space="preserve">. </w:t>
      </w:r>
      <w:bookmarkStart w:id="3295" w:name="pg10256_89875"/>
    </w:p>
    <w:p>
      <w:pPr>
        <w:pStyle w:val="Heading6"/>
        <w:numPr>
          <w:ilvl w:val="5"/>
          <w:numId w:val="1"/>
        </w:numPr>
        <w:rPr/>
      </w:pPr>
      <w:bookmarkStart w:id="3296" w:name="__RefHeading___Toc3600097_1067777946"/>
      <w:bookmarkStart w:id="3297" w:name="_Toc1369"/>
      <w:bookmarkEnd w:id="3295"/>
      <w:bookmarkEnd w:id="3296"/>
      <w:r>
        <w:rPr>
          <w:rtl w:val="true"/>
        </w:rPr>
        <w:t>جواز عقد حرّ بر كنيز غير</w:t>
      </w:r>
      <w:bookmarkEnd w:id="32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اظهر جواز عقد آزاد بر كنيز غير، با اذن مالك او است، با كراهت در صورت استطاعت مهر آزاد و نفقۀ او، و عدم خشيت 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خوف وقوع در زنا يا مطلق مشقت شديده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كراهت است، در صورت نبودن يكى از آنچه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تقدير اوّل، ترك ازدواج است؛ و اظهر عدم فرق بين دوام و انقطاع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قدرت بر نفقه، بنابر حرمت بدون دو شرط، بلكه با كراهت هم، جارى است، اگر چه احوط است، لكن اظهر عدم اعتبار زايد بر تمكّن از مهر حرّه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بر تقدير حرمت بدون دو شرط، كه قدرت بر مهر و خوف عنت باشد، فساد عقد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شرط موجود بود در حال عقد بر امه، پس انتفاى آنها بعد از عقد، بى اثر است؛ بلكه با طلاق رجعى مى تواند رجوع نمايد در عدّه، اگر چه دو شرطْ مفقود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قادر بر مهر حره، اگر ممكن شد براى او ازالۀ عنت، به وطى مملوكه، جايز نيست براى او ازدواج امه بنابر 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بر نكاح حره، بنابر تحريم، مانع از نكاح امه است؛ پس اگر مقدورْ ازدواج با حرّه باشد كه ممتنع يا ممنوع باشد وطى او، و ممكن نباشد دفع عنت با ساير استمتاعات، جايز است عقد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بودن زوجۀ غير كافيه به نحو مذكور، كه جايز است عقد بر امه با اذن زوجۀ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لحوق تحليل به ازدواج يا ملك يمين، تأمل است در فرض 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بنابر تحريم، عدم كفايت تمكّن از نكاح كتابيه، در رفع تحريم به سبب رفع خشيت عنت است</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نكاح كرد كتابيه را، جايز نيست بنابر احوط نكاح امۀ مؤمنه، بنابر تحريم، به واسطۀ زوال خشيت عنت، چنانچه گذشت</w:t>
      </w:r>
      <w:r>
        <w:rPr>
          <w:rFonts w:eastAsia="IRNazanin" w:cs="IRNazanin"/>
          <w:color w:val="111111"/>
          <w:sz w:val="28"/>
          <w:szCs w:val="28"/>
          <w:rtl w:val="true"/>
          <w:lang w:bidi="fa-IR"/>
        </w:rPr>
        <w:t xml:space="preserve">. </w:t>
      </w:r>
      <w:bookmarkStart w:id="3298" w:name="pg10256_89876"/>
    </w:p>
    <w:p>
      <w:pPr>
        <w:pStyle w:val="BookText"/>
        <w:rPr/>
      </w:pPr>
      <w:bookmarkEnd w:id="3298"/>
      <w:r>
        <w:rPr>
          <w:rFonts w:ascii="IRNazanin" w:hAnsi="IRNazanin" w:eastAsia="IRNazanin"/>
          <w:color w:val="111111"/>
          <w:sz w:val="28"/>
          <w:sz w:val="28"/>
          <w:szCs w:val="28"/>
          <w:rtl w:val="true"/>
          <w:lang w:bidi="fa-IR"/>
        </w:rPr>
        <w:t>و اگر مهر حره، به سبب زيادتى، مجحف به حال شخص باشد، اظهر جواز است اگر چه قايل به تحريم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اعتبار قدرت بر مهر، زائداً بر مستثنيات دين، و اعتبار عدم فقر، تأمل است، و احوط كفايت قدرت عقليّه با عدم اجحاف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مالى كه غايب است و بالفعل واصل نيست، و ممكن نيست استدانه تا زمان وصول، و خوف عنت است، سبب طول نمى شود؛ و جايز است نكاح امه، بنابر منع،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شد مال را به كمتر از ثمن المثل بفروشد، بدون اجحاف، و با عقلايى بودن معامله، اظهر و احوط تمكّن است از مهر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راضى شد حره به تأجيل مهر تا زمان ترقب قدرت، اظهر تمكّن است؛ و تا زمان عدم ترقب، خالى از تأمل و احتياط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ملحوظ در تمكّن، مجموع مهر است، اگر چه بعضى مُطالَب حاضر، و بعضى غير مطالَب و غايب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حصول تمكّن است از مهر، با تمكّن از التزام به دين، نسبت به زوجۀ حره يا غير او، با قرض كردن در صورت ترقّب وفاى در زمان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حرمت با عدم شرطين، پس جايز نيست بيش از يك كنيز را نكاح نمايد در صورت وجود دو شرط؛ و به همان يكى، زوال خشيت عنت مى شود؛ و در صورت فرض عدم زوال، نكاح دومى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جواز، ابتدائاً دو كنيز را مى تواند ازدواج نمايد، و سوّمى را نمى تواند ازدواج نمايد، بنابر آنچه خواهد مذكور شد، ان شاء اللّٰه</w:t>
      </w:r>
      <w:r>
        <w:rPr>
          <w:rFonts w:eastAsia="IRNazanin" w:cs="IRNazanin"/>
          <w:color w:val="111111"/>
          <w:sz w:val="28"/>
          <w:szCs w:val="28"/>
          <w:rtl w:val="true"/>
          <w:lang w:bidi="fa-IR"/>
        </w:rPr>
        <w:t>.</w:t>
      </w:r>
    </w:p>
    <w:p>
      <w:pPr>
        <w:pStyle w:val="Heading6"/>
        <w:numPr>
          <w:ilvl w:val="5"/>
          <w:numId w:val="1"/>
        </w:numPr>
        <w:rPr/>
      </w:pPr>
      <w:bookmarkStart w:id="3299" w:name="__RefHeading___Toc3600099_1067777946"/>
      <w:bookmarkStart w:id="3300" w:name="_Toc1370"/>
      <w:bookmarkEnd w:id="3299"/>
      <w:r>
        <w:rPr>
          <w:rtl w:val="true"/>
        </w:rPr>
        <w:t>اِذن زوجۀ حرّه، شرط ازدواج با امه</w:t>
      </w:r>
      <w:bookmarkEnd w:id="330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امه در صورت جواز، كه وجود دو شرط باشد، يا مطلقا، در وقتى جايز است كه حره در عقد زوج نباشد، وگرنه بايد با اذن او ازدواج نمايد امه را در صورتى كه وجود حرۀ منكوحه مانع از دو شرط نباشد يا قايل به جواز مطلق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اهليّت اذن، احوط ترك ازدواج 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مبادرت به عقد بدون اذن، اظهر موقوف بودن آن است بر اجازۀ لاحقه، مثل ساير موارد نكاح فضولى</w:t>
      </w:r>
      <w:r>
        <w:rPr>
          <w:rFonts w:eastAsia="IRNazanin" w:cs="IRNazanin"/>
          <w:color w:val="111111"/>
          <w:sz w:val="28"/>
          <w:szCs w:val="28"/>
          <w:rtl w:val="true"/>
          <w:lang w:bidi="fa-IR"/>
        </w:rPr>
        <w:t>.</w:t>
      </w:r>
      <w:bookmarkStart w:id="3301" w:name="pg10256_89877"/>
    </w:p>
    <w:p>
      <w:pPr>
        <w:pStyle w:val="BookText"/>
        <w:rPr/>
      </w:pPr>
      <w:bookmarkEnd w:id="3301"/>
      <w:r>
        <w:rPr>
          <w:rFonts w:ascii="IRNazanin" w:hAnsi="IRNazanin" w:eastAsia="IRNazanin"/>
          <w:color w:val="111111"/>
          <w:sz w:val="28"/>
          <w:sz w:val="28"/>
          <w:szCs w:val="28"/>
          <w:rtl w:val="true"/>
          <w:lang w:bidi="fa-IR"/>
        </w:rPr>
        <w:t>اگر ادخال كرد آزاد را بر كنيز معقوده، صحيح است عقد حره، و در صورت جهل او به سبق عقد كنيز، اختيار فسخ عقد بر خودش را دارد در زمان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 كرد در عقد واحد، بين آزاد و كنيز، صحيح است عقد آزاد، و موقوف است عقد كنيز به اجازه، در صورت عدم اذن سابق و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لحوق مبعّضه است به امه، پس موقوف است در صورت دخول بر حره، و موجب خيار است در صورت دخول حره بر آن 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دخول او بر امه، پس اقرب، رعايت تماثل و اشرف بودن يكى از آنها و معاملۀ آزاد با اشرف، و كنيز با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3302" w:name="__RefHeading___Toc3600101_1067777946"/>
      <w:bookmarkStart w:id="3303" w:name="_Toc1371"/>
      <w:bookmarkEnd w:id="3302"/>
      <w:r>
        <w:rPr>
          <w:rtl w:val="true"/>
        </w:rPr>
        <w:t>احكام نكاح صغيره</w:t>
      </w:r>
      <w:bookmarkEnd w:id="3303"/>
    </w:p>
    <w:p>
      <w:pPr>
        <w:pStyle w:val="Heading6"/>
        <w:numPr>
          <w:ilvl w:val="5"/>
          <w:numId w:val="1"/>
        </w:numPr>
        <w:rPr/>
      </w:pPr>
      <w:bookmarkStart w:id="3304" w:name="__RefHeading___Toc3600103_1067777946"/>
      <w:bookmarkStart w:id="3305" w:name="_Toc1372"/>
      <w:bookmarkEnd w:id="3304"/>
      <w:r>
        <w:rPr>
          <w:rtl w:val="true"/>
        </w:rPr>
        <w:t>سن زوجه براى دخول و مسألۀ افضا</w:t>
      </w:r>
      <w:bookmarkEnd w:id="3305"/>
    </w:p>
    <w:p>
      <w:pPr>
        <w:pStyle w:val="BookText"/>
        <w:rPr/>
      </w:pPr>
      <w:r>
        <w:rPr>
          <w:rFonts w:ascii="IRNazanin" w:hAnsi="IRNazanin" w:eastAsia="IRNazanin"/>
          <w:color w:val="111111"/>
          <w:sz w:val="28"/>
          <w:sz w:val="28"/>
          <w:szCs w:val="28"/>
          <w:rtl w:val="true"/>
          <w:lang w:bidi="fa-IR"/>
        </w:rPr>
        <w:t>حرام است وطى زوجه، قبل از بلوغ به نه سال، چه دائميّه باشد چه منقطعه، چه آزاد باشد يا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مملوكه به مزوجه، احوط است؛ و هم چنين الحاق وطى در 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صورت شك در سن، محكوم به عدم بلوغ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دخول به زوجه، چه دائميه باشد و چه منقطعه بنابر اظهر، قبل از بلوغ به نه سال، و منتهى شدن دخول به افضا،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وطى او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بعد از بلوغ، اگر چه بعد از اندمال جراحت باشد،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طلاق از حبالۀ زوجيّت او خارج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عقدْ منفسخ نمى شود، و هم چنين غير طلاق از اسباب بينونت</w:t>
      </w:r>
      <w:r>
        <w:rPr>
          <w:rFonts w:eastAsia="IRNazanin" w:cs="IRNazanin"/>
          <w:color w:val="111111"/>
          <w:sz w:val="28"/>
          <w:szCs w:val="28"/>
          <w:rtl w:val="true"/>
          <w:lang w:bidi="fa-IR"/>
        </w:rPr>
        <w:t>.</w:t>
      </w:r>
    </w:p>
    <w:p>
      <w:pPr>
        <w:pStyle w:val="Heading6"/>
        <w:numPr>
          <w:ilvl w:val="5"/>
          <w:numId w:val="1"/>
        </w:numPr>
        <w:rPr/>
      </w:pPr>
      <w:bookmarkStart w:id="3306" w:name="__RefHeading___Toc3600105_1067777946"/>
      <w:bookmarkStart w:id="3307" w:name="_Toc1373"/>
      <w:bookmarkEnd w:id="3306"/>
      <w:r>
        <w:rPr>
          <w:rtl w:val="true"/>
        </w:rPr>
        <w:t>تعريف و حكم افضا</w:t>
      </w:r>
      <w:bookmarkEnd w:id="330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رفع حاجز بين مسلك بول و حيض، بنابر مشهور 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ابديّه كه فرموده اند،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افضا نشد، يا آنكه افضاى به سبب دخول به كبيره شد، اين احكام مذكوره مرتّب نمى شود</w:t>
      </w:r>
      <w:r>
        <w:rPr>
          <w:rFonts w:eastAsia="IRNazanin" w:cs="IRNazanin"/>
          <w:color w:val="111111"/>
          <w:sz w:val="28"/>
          <w:szCs w:val="28"/>
          <w:rtl w:val="true"/>
          <w:lang w:bidi="fa-IR"/>
        </w:rPr>
        <w:t xml:space="preserve">. </w:t>
      </w:r>
      <w:bookmarkStart w:id="3308" w:name="pg10256_89878"/>
    </w:p>
    <w:p>
      <w:pPr>
        <w:pStyle w:val="BookText"/>
        <w:rPr/>
      </w:pPr>
      <w:bookmarkEnd w:id="3308"/>
      <w:r>
        <w:rPr>
          <w:rFonts w:ascii="Amiri" w:hAnsi="Amiri" w:eastAsia="Amiri" w:cs="Amiri"/>
          <w:color w:val="111111"/>
          <w:sz w:val="28"/>
          <w:sz w:val="28"/>
          <w:szCs w:val="28"/>
          <w:rtl w:val="true"/>
          <w:lang w:bidi="ar-SA"/>
        </w:rPr>
        <w:t>و استحقاق مهر ثابت است به افضا، در هر صورتى كه حكم به استحقاق مهر به دخول مى شود؛ و در مقدار، تابع مسمّى بودن مهر، يا نبودن و ثبوت مهر المثل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كنيزْ امر داير بين مهر المثل، يا عشر در بكر و نصف عُشر در ثيّب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افضاى به غير دخول، مهر ثابت نيست</w:t>
      </w:r>
      <w:r>
        <w:rPr>
          <w:rFonts w:eastAsia="Amiri" w:cs="Amiri" w:ascii="Amiri" w:hAnsi="Amiri"/>
          <w:color w:val="111111"/>
          <w:sz w:val="28"/>
          <w:szCs w:val="28"/>
          <w:rtl w:val="true"/>
          <w:lang w:bidi="ar-SA"/>
        </w:rPr>
        <w:t>.</w:t>
      </w:r>
    </w:p>
    <w:p>
      <w:pPr>
        <w:pStyle w:val="Heading6"/>
        <w:numPr>
          <w:ilvl w:val="5"/>
          <w:numId w:val="1"/>
        </w:numPr>
        <w:rPr/>
      </w:pPr>
      <w:bookmarkStart w:id="3309" w:name="__RefHeading___Toc3600107_1067777946"/>
      <w:bookmarkStart w:id="3310" w:name="_Toc1374"/>
      <w:bookmarkEnd w:id="3309"/>
      <w:r>
        <w:rPr>
          <w:rtl w:val="true"/>
        </w:rPr>
        <w:t>ديه در اِفضا</w:t>
      </w:r>
      <w:bookmarkEnd w:id="3310"/>
    </w:p>
    <w:p>
      <w:pPr>
        <w:pStyle w:val="BookText"/>
        <w:rPr/>
      </w:pPr>
      <w:r>
        <w:rPr>
          <w:rFonts w:ascii="IRNazanin" w:hAnsi="IRNazanin" w:eastAsia="IRNazanin"/>
          <w:color w:val="111111"/>
          <w:sz w:val="28"/>
          <w:sz w:val="28"/>
          <w:szCs w:val="28"/>
          <w:rtl w:val="true"/>
          <w:lang w:bidi="fa-IR"/>
        </w:rPr>
        <w:t xml:space="preserve">و ديۀ افضا ثابت است در جميع صور، مگر در زوجۀ كبيره؛ پس اگر آزاد باشد، نصف ديۀ يك مرد بر او است؛ و اگر كنيز باشد، قيمت او ثابت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ديۀ حره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ساقط است ديه، در صورت معاوضۀ صلحيّه بين آن و بقاى در زوجيّت، با منع شرعى از وطى</w:t>
      </w:r>
      <w:r>
        <w:rPr>
          <w:rFonts w:eastAsia="Amiri" w:cs="Amiri" w:ascii="Amiri" w:hAnsi="Amiri"/>
          <w:color w:val="111111"/>
          <w:sz w:val="28"/>
          <w:szCs w:val="28"/>
          <w:rtl w:val="true"/>
          <w:lang w:bidi="ar-SA"/>
        </w:rPr>
        <w:t>.</w:t>
      </w:r>
    </w:p>
    <w:p>
      <w:pPr>
        <w:pStyle w:val="Heading6"/>
        <w:numPr>
          <w:ilvl w:val="5"/>
          <w:numId w:val="1"/>
        </w:numPr>
        <w:rPr/>
      </w:pPr>
      <w:bookmarkStart w:id="3311" w:name="__RefHeading___Toc3600109_1067777946"/>
      <w:bookmarkStart w:id="3312" w:name="_Toc1375"/>
      <w:bookmarkEnd w:id="3311"/>
      <w:r>
        <w:rPr>
          <w:rtl w:val="true"/>
        </w:rPr>
        <w:t>عدم حصول حرمت در فرض افضاى كبيره و مملوكه و زانيه</w:t>
      </w:r>
      <w:bookmarkEnd w:id="3312"/>
    </w:p>
    <w:p>
      <w:pPr>
        <w:pStyle w:val="BookText"/>
        <w:rPr/>
      </w:pPr>
      <w:r>
        <w:rPr>
          <w:rFonts w:ascii="IRNazanin" w:hAnsi="IRNazanin" w:eastAsia="IRNazanin"/>
          <w:color w:val="111111"/>
          <w:sz w:val="28"/>
          <w:sz w:val="28"/>
          <w:szCs w:val="28"/>
          <w:rtl w:val="true"/>
          <w:lang w:bidi="fa-IR"/>
        </w:rPr>
        <w:t>و حرمت ابديه در زوجۀ كبيره نيست اگر چه افضا شود به دخول؛ و در صغيرۀ مفضاة به غير دخول نيست؛ و در مملوكۀ دخول كننده، و در اجنبيۀ زانيه يا موطوئه به شبهه نيست</w:t>
      </w:r>
      <w:r>
        <w:rPr>
          <w:rFonts w:eastAsia="IRNazanin" w:cs="IRNazanin"/>
          <w:color w:val="111111"/>
          <w:sz w:val="28"/>
          <w:szCs w:val="28"/>
          <w:rtl w:val="true"/>
          <w:lang w:bidi="fa-IR"/>
        </w:rPr>
        <w:t>.</w:t>
      </w:r>
    </w:p>
    <w:p>
      <w:pPr>
        <w:pStyle w:val="Heading6"/>
        <w:numPr>
          <w:ilvl w:val="5"/>
          <w:numId w:val="1"/>
        </w:numPr>
        <w:rPr/>
      </w:pPr>
      <w:bookmarkStart w:id="3313" w:name="__RefHeading___Toc3600111_1067777946"/>
      <w:bookmarkStart w:id="3314" w:name="_Toc1376"/>
      <w:bookmarkEnd w:id="3313"/>
      <w:r>
        <w:rPr>
          <w:rtl w:val="true"/>
        </w:rPr>
        <w:t>جهل به صغيره بودن و انكشاف كبر</w:t>
      </w:r>
      <w:bookmarkEnd w:id="3314"/>
    </w:p>
    <w:p>
      <w:pPr>
        <w:pStyle w:val="BookText"/>
        <w:rPr/>
      </w:pPr>
      <w:r>
        <w:rPr>
          <w:rFonts w:ascii="IRNazanin" w:hAnsi="IRNazanin" w:eastAsia="IRNazanin"/>
          <w:color w:val="111111"/>
          <w:sz w:val="28"/>
          <w:sz w:val="28"/>
          <w:szCs w:val="28"/>
          <w:rtl w:val="true"/>
          <w:lang w:bidi="fa-IR"/>
        </w:rPr>
        <w:t>و اگر به اعتقاد كبيره بودن، دخول كرد و افضا كرد، بعد معلوم شد صغيره بودن او، احوط الحاق به معلوم الصغر حين وطى است؛ و هم چنين در صورت علم به صغيره بودن حين وطى، و جهل به حرمت وطى به جهل موجب عذر</w:t>
      </w:r>
      <w:r>
        <w:rPr>
          <w:rFonts w:eastAsia="IRNazanin" w:cs="IRNazanin"/>
          <w:color w:val="111111"/>
          <w:sz w:val="28"/>
          <w:szCs w:val="28"/>
          <w:rtl w:val="true"/>
          <w:lang w:bidi="fa-IR"/>
        </w:rPr>
        <w:t>.</w:t>
      </w:r>
    </w:p>
    <w:p>
      <w:pPr>
        <w:pStyle w:val="Heading6"/>
        <w:numPr>
          <w:ilvl w:val="5"/>
          <w:numId w:val="1"/>
        </w:numPr>
        <w:rPr/>
      </w:pPr>
      <w:bookmarkStart w:id="3315" w:name="__RefHeading___Toc3600113_1067777946"/>
      <w:bookmarkStart w:id="3316" w:name="_Toc1377"/>
      <w:bookmarkEnd w:id="3315"/>
      <w:r>
        <w:rPr>
          <w:rtl w:val="true"/>
        </w:rPr>
        <w:t>حليّت وطى با اندمال جراحت</w:t>
      </w:r>
      <w:bookmarkEnd w:id="331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جراحتْ مندمل شد و صالحه براى وطى شد، دور نيست حليّت وطى او براى زوج، اگر چه حرمت احوط است</w:t>
      </w:r>
      <w:r>
        <w:rPr>
          <w:rFonts w:eastAsia="IRNazanin" w:cs="IRNazanin"/>
          <w:color w:val="111111"/>
          <w:sz w:val="28"/>
          <w:szCs w:val="28"/>
          <w:rtl w:val="true"/>
          <w:lang w:bidi="fa-IR"/>
        </w:rPr>
        <w:t xml:space="preserve">. </w:t>
      </w:r>
      <w:bookmarkStart w:id="3317" w:name="pg10256_89879"/>
    </w:p>
    <w:p>
      <w:pPr>
        <w:pStyle w:val="Heading6"/>
        <w:numPr>
          <w:ilvl w:val="5"/>
          <w:numId w:val="1"/>
        </w:numPr>
        <w:rPr/>
      </w:pPr>
      <w:bookmarkStart w:id="3318" w:name="__RefHeading___Toc3600115_1067777946"/>
      <w:bookmarkStart w:id="3319" w:name="_Toc1378"/>
      <w:bookmarkEnd w:id="3317"/>
      <w:bookmarkEnd w:id="3318"/>
      <w:r>
        <w:rPr>
          <w:rtl w:val="true"/>
        </w:rPr>
        <w:t>ثبوت ساير احكام زوجيّت با حرمت وطى</w:t>
      </w:r>
      <w:bookmarkEnd w:id="3319"/>
    </w:p>
    <w:p>
      <w:pPr>
        <w:pStyle w:val="BookText"/>
        <w:rPr/>
      </w:pPr>
      <w:r>
        <w:rPr>
          <w:rFonts w:ascii="Amiri" w:hAnsi="Amiri" w:eastAsia="Amiri" w:cs="Amiri"/>
          <w:color w:val="111111"/>
          <w:sz w:val="28"/>
          <w:sz w:val="28"/>
          <w:szCs w:val="28"/>
          <w:rtl w:val="true"/>
          <w:lang w:bidi="ar-SA"/>
        </w:rPr>
        <w:t xml:space="preserve">توارث و ساير احكام زوجيّت با حرمت وطى، ثابت است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نداده است، بلكه مطلقاً در بعض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اظهر جواز ساير استمتاعها است غير از وطى در قبل و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مثل حق قَسم، ملحق به رتقا و مثل آن است بنابر احتياط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 علم به تحريم، وطى نمود، عاصى است و تعزير مى شود، نه آنكه بر او حد جارى مى شود، مثل حايض؛ و ولد به اين دخول ملحق مى شود به هر دو، لكن هيچ كدام با احصان نمى شوند، چون تمكّن شرعى از وطى نيست، پس با زناى يكى، جلد است نه 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طلاق محرّمة الوطى، شرط زايدى نيست، و ثبوت ديهْ شرط طلاق نيست، و بر هر تقديرْ ديه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تقدير طلاق، رجوع در رجعى، و نكاح مستأنف در غير رجعى، يا بعد از انقضاى عده، جايز است، و داخل با آنها در زوجيّت مى شود مثل ما قبل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وقوع لعان و ظهار يا ايلاء با اين زوجيّت، در محل اين امور، مذكور مى شود ان شاء اللّٰه</w:t>
      </w:r>
      <w:r>
        <w:rPr>
          <w:rFonts w:eastAsia="Amiri" w:cs="Amiri" w:ascii="Amiri" w:hAnsi="Amiri"/>
          <w:color w:val="111111"/>
          <w:sz w:val="28"/>
          <w:szCs w:val="28"/>
          <w:rtl w:val="true"/>
          <w:lang w:bidi="ar-SA"/>
        </w:rPr>
        <w:t>.</w:t>
      </w:r>
    </w:p>
    <w:p>
      <w:pPr>
        <w:pStyle w:val="Heading6"/>
        <w:numPr>
          <w:ilvl w:val="5"/>
          <w:numId w:val="1"/>
        </w:numPr>
        <w:rPr/>
      </w:pPr>
      <w:bookmarkStart w:id="3320" w:name="__RefHeading___Toc3600117_1067777946"/>
      <w:bookmarkStart w:id="3321" w:name="_Toc1379"/>
      <w:bookmarkEnd w:id="3320"/>
      <w:r>
        <w:rPr>
          <w:rtl w:val="true"/>
        </w:rPr>
        <w:t>نفقۀ صغيره بعد از افضا</w:t>
      </w:r>
      <w:bookmarkEnd w:id="3321"/>
    </w:p>
    <w:p>
      <w:pPr>
        <w:pStyle w:val="BookText"/>
        <w:rPr/>
      </w:pPr>
      <w:r>
        <w:rPr>
          <w:rFonts w:ascii="Amiri" w:hAnsi="Amiri" w:eastAsia="Amiri" w:cs="Amiri"/>
          <w:color w:val="111111"/>
          <w:sz w:val="28"/>
          <w:sz w:val="28"/>
          <w:szCs w:val="28"/>
          <w:rtl w:val="true"/>
          <w:lang w:bidi="ar-SA"/>
        </w:rPr>
        <w:t xml:space="preserve">و نفقۀ صغيره بعد از افضا، با زوج است،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 و زوج زنده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جريان حكم، در كبيره بعد از افضاى زوج، تأمل است، و مشهور عدم جريان است، و احوط وجوب انفاق است بعد از طلاق و تزويج به غير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افضاى به غير وطى يا وطى غير زوجه، حكم به وجوب انفاق، مطلق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ثبوت حكم انفاق است در وطى صغيره با ظن كبيره بودن و افضا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اتحاد نفقه در اين مقام، با نفقۀ زوجه افضا نشده است</w:t>
      </w:r>
      <w:r>
        <w:rPr>
          <w:rFonts w:eastAsia="Amiri" w:cs="Amiri" w:ascii="Amiri" w:hAnsi="Amiri"/>
          <w:color w:val="111111"/>
          <w:sz w:val="28"/>
          <w:szCs w:val="28"/>
          <w:rtl w:val="true"/>
          <w:lang w:bidi="ar-SA"/>
        </w:rPr>
        <w:t xml:space="preserve">. </w:t>
      </w:r>
      <w:bookmarkStart w:id="3322" w:name="pg10256_89880"/>
    </w:p>
    <w:p>
      <w:pPr>
        <w:pStyle w:val="Heading5"/>
        <w:numPr>
          <w:ilvl w:val="4"/>
          <w:numId w:val="1"/>
        </w:numPr>
        <w:rPr/>
      </w:pPr>
      <w:bookmarkStart w:id="3323" w:name="__RefHeading___Toc3600119_1067777946"/>
      <w:bookmarkStart w:id="3324" w:name="_Toc1380"/>
      <w:bookmarkEnd w:id="3322"/>
      <w:bookmarkEnd w:id="3323"/>
      <w:r>
        <w:rPr>
          <w:rtl w:val="true"/>
        </w:rPr>
        <w:t>در مسائلى از تحريم عينى نكاح</w:t>
      </w:r>
      <w:bookmarkEnd w:id="3324"/>
    </w:p>
    <w:p>
      <w:pPr>
        <w:pStyle w:val="Heading6"/>
        <w:numPr>
          <w:ilvl w:val="5"/>
          <w:numId w:val="1"/>
        </w:numPr>
        <w:rPr/>
      </w:pPr>
      <w:bookmarkStart w:id="3325" w:name="__RefHeading___Toc3600121_1067777946"/>
      <w:bookmarkStart w:id="3326" w:name="_Toc1381"/>
      <w:bookmarkEnd w:id="3325"/>
      <w:r>
        <w:rPr>
          <w:rtl w:val="true"/>
        </w:rPr>
        <w:t>حرمت نكاح در عدّه</w:t>
      </w:r>
      <w:bookmarkEnd w:id="3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نكاح در عده، در اقسام نكاح و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ازدواج در عده كرد زنى را با علم به عدّه و حرمت، حرمت ابديّه به مجرّد عقد ثابت مى شود؛ و هم چنين با جهل به يكى از اين دو، با دخول به معقوده در يكى از دو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جهل بود و دخول به معقوده نكرده باشد، آن عقد باطل است و مى تواند بعد از عدّه، استيناف عقد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 جاهل، در عدّه، و دخول بعد از عدّه با جهل بود، اظهر عدم حرمت ابديه است و مى تواند استيناف عقد نمايد</w:t>
      </w:r>
      <w:r>
        <w:rPr>
          <w:rFonts w:eastAsia="IRNazanin" w:cs="IRNazanin"/>
          <w:color w:val="111111"/>
          <w:sz w:val="28"/>
          <w:szCs w:val="28"/>
          <w:rtl w:val="true"/>
          <w:lang w:bidi="fa-IR"/>
        </w:rPr>
        <w:t>.</w:t>
      </w:r>
    </w:p>
    <w:p>
      <w:pPr>
        <w:pStyle w:val="Heading6"/>
        <w:numPr>
          <w:ilvl w:val="5"/>
          <w:numId w:val="1"/>
        </w:numPr>
        <w:rPr/>
      </w:pPr>
      <w:bookmarkStart w:id="3327" w:name="__RefHeading___Toc3600123_1067777946"/>
      <w:bookmarkStart w:id="3328" w:name="_Toc1382"/>
      <w:bookmarkEnd w:id="3327"/>
      <w:r>
        <w:rPr>
          <w:rtl w:val="true"/>
        </w:rPr>
        <w:t>الحاق زن داراى شوهر به معتدّه</w:t>
      </w:r>
      <w:bookmarkEnd w:id="3328"/>
    </w:p>
    <w:p>
      <w:pPr>
        <w:pStyle w:val="BookText"/>
        <w:rPr/>
      </w:pPr>
      <w:r>
        <w:rPr>
          <w:rFonts w:ascii="IRNazanin" w:hAnsi="IRNazanin" w:eastAsia="IRNazanin"/>
          <w:color w:val="111111"/>
          <w:sz w:val="28"/>
          <w:sz w:val="28"/>
          <w:szCs w:val="28"/>
          <w:rtl w:val="true"/>
          <w:lang w:bidi="fa-IR"/>
        </w:rPr>
        <w:t>و الحاق صاحب شوهر به معتدّه، در موارد ثبوت حرمت ابديه، قوى است، يعنى در صورت علم به موضوع و حكم، حرمت ابديه ثابت، و هم چنين در صورت جهل با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دخول جاهل، اظهر عدم حرمت ابديه است، بلكه تجديد عقد بعد از طلاق شوهر و عدّۀ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در صورت جهل در حال عقد، با دخول بعد از طلاق شوهر و عدّۀ او، كه حرمت ابديه ثابت نيست، اگر چه عقد دوّم صحيح نبوده؛ و مثل آن است عقد در عدّۀ معتدّه با جهل، و دخول بعد از انقضاى عدّه، در عدم ثبوت حرمت ابديه؛ و هم چنين عقد جاهل، بر صاحب شوهر، با دخول در عدّۀ بائن او؛ يا آنكه عقد جاهل، در عدّۀ معتدّه بوده، و دخول بعد از آنكه صاحب شوهر شده بوده است، از روى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دور نيست حرمت ابديه در صورت عقد جاهل بر صاحب شوهر، با دخول در عدّۀ رجعيۀ آن شوهر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مدّت استبراى كنيز كه خريدارى شده، ملحق به عدّه در حكم اين مقام نيست بنابر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صورت اعتداد كنيز براى طلاق يا وفات، كه مشمول حكم مقام است</w:t>
      </w:r>
      <w:r>
        <w:rPr>
          <w:rFonts w:eastAsia="Amiri" w:cs="Amiri" w:ascii="Amiri" w:hAnsi="Amiri"/>
          <w:color w:val="111111"/>
          <w:sz w:val="28"/>
          <w:szCs w:val="28"/>
          <w:rtl w:val="true"/>
          <w:lang w:bidi="ar-SA"/>
        </w:rPr>
        <w:t xml:space="preserve">. </w:t>
      </w:r>
      <w:bookmarkStart w:id="3329" w:name="pg10256_89881"/>
    </w:p>
    <w:p>
      <w:pPr>
        <w:pStyle w:val="Heading6"/>
        <w:numPr>
          <w:ilvl w:val="5"/>
          <w:numId w:val="1"/>
        </w:numPr>
        <w:rPr/>
      </w:pPr>
      <w:bookmarkStart w:id="3330" w:name="__RefHeading___Toc3600125_1067777946"/>
      <w:bookmarkStart w:id="3331" w:name="_Toc1383"/>
      <w:bookmarkEnd w:id="3329"/>
      <w:bookmarkEnd w:id="3330"/>
      <w:r>
        <w:rPr>
          <w:rtl w:val="true"/>
        </w:rPr>
        <w:t>عقد بر زن با وفات واقعى و جهل ظاهرى به آن</w:t>
      </w:r>
      <w:bookmarkEnd w:id="3331"/>
    </w:p>
    <w:p>
      <w:pPr>
        <w:pStyle w:val="BookText"/>
        <w:rPr/>
      </w:pPr>
      <w:r>
        <w:rPr>
          <w:rFonts w:ascii="IRNazanin" w:hAnsi="IRNazanin" w:eastAsia="IRNazanin"/>
          <w:color w:val="111111"/>
          <w:sz w:val="28"/>
          <w:sz w:val="28"/>
          <w:szCs w:val="28"/>
          <w:rtl w:val="true"/>
          <w:lang w:bidi="fa-IR"/>
        </w:rPr>
        <w:t>و اگر عقد كرد بعد از وفات واقعى زوج، بر زوجه، با جهل زوجه يا جهل عاقد و معقوده به وفات، قبل از زمان اعتداد، پس عقدْ باطل و اقدام به آن حرام است، لكن چون معتدّه يا ذات بعل نيست، حرمت ابديه مشكل است، بلكه ترجيح با عدم آن است</w:t>
      </w:r>
      <w:r>
        <w:rPr>
          <w:rFonts w:eastAsia="IRNazanin" w:cs="IRNazanin"/>
          <w:color w:val="111111"/>
          <w:sz w:val="28"/>
          <w:szCs w:val="28"/>
          <w:rtl w:val="true"/>
          <w:lang w:bidi="fa-IR"/>
        </w:rPr>
        <w:t>.</w:t>
      </w:r>
    </w:p>
    <w:p>
      <w:pPr>
        <w:pStyle w:val="Heading6"/>
        <w:numPr>
          <w:ilvl w:val="5"/>
          <w:numId w:val="1"/>
        </w:numPr>
        <w:rPr/>
      </w:pPr>
      <w:bookmarkStart w:id="3332" w:name="__RefHeading___Toc3600127_1067777946"/>
      <w:bookmarkStart w:id="3333" w:name="_Toc1384"/>
      <w:bookmarkEnd w:id="3332"/>
      <w:r>
        <w:rPr>
          <w:rtl w:val="true"/>
        </w:rPr>
        <w:t>عقد در مدّت مسترابه در صورت انتقال به اعتداد به اقراء</w:t>
      </w:r>
      <w:bookmarkEnd w:id="3333"/>
    </w:p>
    <w:p>
      <w:pPr>
        <w:pStyle w:val="BookText"/>
        <w:rPr/>
      </w:pPr>
      <w:r>
        <w:rPr>
          <w:rFonts w:ascii="IRNazanin" w:hAnsi="IRNazanin" w:eastAsia="IRNazanin"/>
          <w:color w:val="111111"/>
          <w:sz w:val="28"/>
          <w:sz w:val="28"/>
          <w:szCs w:val="28"/>
          <w:rtl w:val="true"/>
          <w:lang w:bidi="fa-IR"/>
        </w:rPr>
        <w:t>و هم چنين عقد در مدت مسترابه، كه در اثنا به واسطۀ رؤيت دم، منتقل به اعتداد به اقراء بشود، كه ملحق به عقد در عدّه نيست و هم چنين ذات بعل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وطى به ملك يمين، نكاح در عده، يا دخول نيست؛ و هم چنين تحليل، اگر راجع به عقد نباشد و اباحۀ محضه باشد</w:t>
      </w:r>
      <w:r>
        <w:rPr>
          <w:rFonts w:eastAsia="IRNazanin" w:cs="IRNazanin"/>
          <w:color w:val="111111"/>
          <w:sz w:val="28"/>
          <w:szCs w:val="28"/>
          <w:rtl w:val="true"/>
          <w:lang w:bidi="fa-IR"/>
        </w:rPr>
        <w:t>.</w:t>
      </w:r>
    </w:p>
    <w:p>
      <w:pPr>
        <w:pStyle w:val="Heading6"/>
        <w:numPr>
          <w:ilvl w:val="5"/>
          <w:numId w:val="1"/>
        </w:numPr>
        <w:rPr/>
      </w:pPr>
      <w:bookmarkStart w:id="3334" w:name="__RefHeading___Toc3600129_1067777946"/>
      <w:bookmarkStart w:id="3335" w:name="_Toc1385"/>
      <w:bookmarkEnd w:id="3334"/>
      <w:r>
        <w:rPr>
          <w:rtl w:val="true"/>
        </w:rPr>
        <w:t>حكم الحاق ولد در فرض عقد در عدّه و حمل</w:t>
      </w:r>
      <w:bookmarkEnd w:id="33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عدّه، ازدواج و دخول كرد با جهل، پس حامل شد، ولد ملحق به او مى شود در صورتى كه از زمان وطى دومى تا ولادت، از شش ماه كمتر نباشد، و از وطى اولى تا ولادت، از بالاترين مدت حمل بيش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بالاترين مدت حمل، از وطى هر دو، بيش باشد، ملحق به هيچ كدام نمى شود؛ و در صورت اشتراك و امكان لحوق بهر كدام، تعين الحاق به دومى محل تأمل است؛ و چون عقد دومى باطل بوده، تفريق بين طرفين آن مى شود، و مهر المثل يا مسمّى براى زن كه جاهل بوده، ثابت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اتمام عدّۀ اولى، كه ايام وطى دومى داخل آن است، استيناف مى نمايد عده را براى دومى كه به شبهه وطى نموده است بنابر احوط و مشهور، و مهر المسمّى اوّلى ثابت است؛ و مهر دومى در صورت جهل زن به حكم يا موضوع عده، كه محتمل است مهر المثل يا مسمّى باشد، ثابت است، نه در صورت علم او، و با دخول نه بدون آن</w:t>
      </w:r>
      <w:r>
        <w:rPr>
          <w:rFonts w:eastAsia="IRNazanin" w:cs="IRNazanin"/>
          <w:color w:val="111111"/>
          <w:sz w:val="28"/>
          <w:szCs w:val="28"/>
          <w:rtl w:val="true"/>
          <w:lang w:bidi="fa-IR"/>
        </w:rPr>
        <w:t xml:space="preserve">. </w:t>
      </w:r>
      <w:bookmarkStart w:id="3336" w:name="pg10256_89882"/>
    </w:p>
    <w:p>
      <w:pPr>
        <w:pStyle w:val="Heading6"/>
        <w:numPr>
          <w:ilvl w:val="5"/>
          <w:numId w:val="1"/>
        </w:numPr>
        <w:rPr/>
      </w:pPr>
      <w:bookmarkStart w:id="3337" w:name="__RefHeading___Toc3600131_1067777946"/>
      <w:bookmarkStart w:id="3338" w:name="_Toc1386"/>
      <w:bookmarkEnd w:id="3336"/>
      <w:bookmarkEnd w:id="3337"/>
      <w:r>
        <w:rPr>
          <w:rtl w:val="true"/>
        </w:rPr>
        <w:t>لزوم علم موكّل در حصول حرمت</w:t>
      </w:r>
      <w:bookmarkEnd w:id="3338"/>
    </w:p>
    <w:p>
      <w:pPr>
        <w:pStyle w:val="BookText"/>
        <w:rPr/>
      </w:pPr>
      <w:r>
        <w:rPr>
          <w:rFonts w:ascii="IRNazanin" w:hAnsi="IRNazanin" w:eastAsia="IRNazanin"/>
          <w:color w:val="111111"/>
          <w:sz w:val="28"/>
          <w:sz w:val="28"/>
          <w:szCs w:val="28"/>
          <w:rtl w:val="true"/>
          <w:lang w:bidi="fa-IR"/>
        </w:rPr>
        <w:t>و بايد موكِّل عالم به حرمت باشد از موضوع و حكم؛ و كافى نيست علم وكيل، چه وكالت در مطلق نكاح باشد، يا نكاح خاص كه در واقع بر معتدّة بوده و وكيل مى دانسته نه موكّل، پس به مجرد عقد، حرام ابدى نمى شود</w:t>
      </w:r>
      <w:r>
        <w:rPr>
          <w:rFonts w:eastAsia="IRNazanin" w:cs="IRNazanin"/>
          <w:color w:val="111111"/>
          <w:sz w:val="28"/>
          <w:szCs w:val="28"/>
          <w:rtl w:val="true"/>
          <w:lang w:bidi="fa-IR"/>
        </w:rPr>
        <w:t>.</w:t>
      </w:r>
    </w:p>
    <w:p>
      <w:pPr>
        <w:pStyle w:val="Heading6"/>
        <w:numPr>
          <w:ilvl w:val="5"/>
          <w:numId w:val="1"/>
        </w:numPr>
        <w:rPr/>
      </w:pPr>
      <w:bookmarkStart w:id="3339" w:name="__RefHeading___Toc3600133_1067777946"/>
      <w:bookmarkStart w:id="3340" w:name="_Toc1387"/>
      <w:bookmarkEnd w:id="3339"/>
      <w:r>
        <w:rPr>
          <w:rtl w:val="true"/>
        </w:rPr>
        <w:t>عدم تحقق حرمت ابديّه در طفل و مجنون با عقد</w:t>
      </w:r>
      <w:bookmarkEnd w:id="3340"/>
    </w:p>
    <w:p>
      <w:pPr>
        <w:pStyle w:val="BookText"/>
        <w:rPr/>
      </w:pPr>
      <w:r>
        <w:rPr>
          <w:rFonts w:ascii="IRNazanin" w:hAnsi="IRNazanin" w:eastAsia="IRNazanin"/>
          <w:color w:val="111111"/>
          <w:sz w:val="28"/>
          <w:sz w:val="28"/>
          <w:szCs w:val="28"/>
          <w:rtl w:val="true"/>
          <w:lang w:bidi="fa-IR"/>
        </w:rPr>
        <w:t>و هم چنين علم ولى طفل و مجنون، موجب حرمت ابديه به نفس عقد نمى شود، و علم خود آنها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دخول با جهل در حال عقد، در تقديرى كه علم در حال عقد مؤثر باشد، معتبر است، پس در صورت دخول آنها هم، حرمت ابديه محقّق نمى شود</w:t>
      </w:r>
      <w:r>
        <w:rPr>
          <w:rFonts w:eastAsia="IRNazanin" w:cs="IRNazanin"/>
          <w:color w:val="111111"/>
          <w:sz w:val="28"/>
          <w:szCs w:val="28"/>
          <w:rtl w:val="true"/>
          <w:lang w:bidi="fa-IR"/>
        </w:rPr>
        <w:t>.</w:t>
      </w:r>
    </w:p>
    <w:p>
      <w:pPr>
        <w:pStyle w:val="Heading6"/>
        <w:numPr>
          <w:ilvl w:val="5"/>
          <w:numId w:val="1"/>
        </w:numPr>
        <w:rPr/>
      </w:pPr>
      <w:bookmarkStart w:id="3341" w:name="__RefHeading___Toc3600135_1067777946"/>
      <w:bookmarkStart w:id="3342" w:name="_Toc1388"/>
      <w:bookmarkEnd w:id="3341"/>
      <w:r>
        <w:rPr>
          <w:rtl w:val="true"/>
        </w:rPr>
        <w:t>عقد فضولى در عدّه</w:t>
      </w:r>
      <w:bookmarkEnd w:id="3342"/>
    </w:p>
    <w:p>
      <w:pPr>
        <w:pStyle w:val="BookText"/>
        <w:rPr/>
      </w:pPr>
      <w:r>
        <w:rPr>
          <w:rFonts w:ascii="IRNazanin" w:hAnsi="IRNazanin" w:eastAsia="IRNazanin"/>
          <w:color w:val="111111"/>
          <w:sz w:val="28"/>
          <w:sz w:val="28"/>
          <w:szCs w:val="28"/>
          <w:rtl w:val="true"/>
          <w:lang w:bidi="fa-IR"/>
        </w:rPr>
        <w:t>اگر فضولى عقد كرد از يكى از زوجين در عده، پس از آن دخول در عده واقع شد با جهل، اظهر حرمت ابديه است با وقوع اجازه در عده؛ و اگر بعد از آن واقع شد، خالى از تأمل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حرمت ابديه با علم در حين اجازه و عقد بدون دخول، تأمل است؛ و بر تقدير حرمت، فرقى بين اجازه در عده و بعد از عده، بنابر كشف نيست؛ و منشأ تأمل، نظر در تحقق عقد با علم است به سبب اجازۀ كاشفه</w:t>
      </w:r>
      <w:r>
        <w:rPr>
          <w:rFonts w:eastAsia="IRNazanin" w:cs="IRNazanin"/>
          <w:color w:val="111111"/>
          <w:sz w:val="28"/>
          <w:szCs w:val="28"/>
          <w:rtl w:val="true"/>
          <w:lang w:bidi="fa-IR"/>
        </w:rPr>
        <w:t>.</w:t>
      </w:r>
    </w:p>
    <w:p>
      <w:pPr>
        <w:pStyle w:val="Heading6"/>
        <w:numPr>
          <w:ilvl w:val="5"/>
          <w:numId w:val="1"/>
        </w:numPr>
        <w:rPr/>
      </w:pPr>
      <w:bookmarkStart w:id="3343" w:name="__RefHeading___Toc3600137_1067777946"/>
      <w:bookmarkStart w:id="3344" w:name="_Toc1389"/>
      <w:bookmarkEnd w:id="3343"/>
      <w:r>
        <w:rPr>
          <w:rtl w:val="true"/>
        </w:rPr>
        <w:t>ازدواج با زانيه</w:t>
      </w:r>
      <w:bookmarkEnd w:id="33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زنا كرد با زنى كه شوهر نداشت و در عدّه رجعيه نبود، بعد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نمايد، اظهر جواز است با كراهت، و احوط منع است مگر بعد از توبۀ زن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ازدواج با زانيه براى غير زانى جايز است؛ و هم چنين است حكم مشهورۀ به زنا نسبت به زانى و غير، در جواز و شدت كراهت، و احتياط مذكور قبل از توبه و رفع آن بعد از توبه</w:t>
      </w:r>
      <w:r>
        <w:rPr>
          <w:rFonts w:eastAsia="IRNazanin" w:cs="IRNazanin"/>
          <w:color w:val="111111"/>
          <w:sz w:val="28"/>
          <w:szCs w:val="28"/>
          <w:rtl w:val="true"/>
          <w:lang w:bidi="fa-IR"/>
        </w:rPr>
        <w:t xml:space="preserve">. </w:t>
      </w:r>
      <w:bookmarkStart w:id="3345" w:name="pg10256_89883"/>
    </w:p>
    <w:p>
      <w:pPr>
        <w:pStyle w:val="Heading6"/>
        <w:numPr>
          <w:ilvl w:val="5"/>
          <w:numId w:val="1"/>
        </w:numPr>
        <w:rPr/>
      </w:pPr>
      <w:bookmarkStart w:id="3346" w:name="__RefHeading___Toc3600139_1067777946"/>
      <w:bookmarkStart w:id="3347" w:name="_Toc1390"/>
      <w:bookmarkEnd w:id="3345"/>
      <w:bookmarkEnd w:id="3346"/>
      <w:r>
        <w:rPr>
          <w:rtl w:val="true"/>
        </w:rPr>
        <w:t>جواز نگهدارى زوجۀ زانيه</w:t>
      </w:r>
      <w:bookmarkEnd w:id="3347"/>
    </w:p>
    <w:p>
      <w:pPr>
        <w:pStyle w:val="BookText"/>
        <w:rPr/>
      </w:pPr>
      <w:r>
        <w:rPr>
          <w:rFonts w:ascii="IRNazanin" w:hAnsi="IRNazanin" w:eastAsia="IRNazanin"/>
          <w:color w:val="111111"/>
          <w:sz w:val="28"/>
          <w:sz w:val="28"/>
          <w:szCs w:val="28"/>
          <w:rtl w:val="true"/>
          <w:lang w:bidi="fa-IR"/>
        </w:rPr>
        <w:t>و اگر مردى زنش زنا كند، حرام نيست نگهدارى او، و واجب نيست طلاق او اگر چه إصرار نمايد، اگر چه اولى طلاق است</w:t>
      </w:r>
      <w:r>
        <w:rPr>
          <w:rFonts w:eastAsia="IRNazanin" w:cs="IRNazanin"/>
          <w:color w:val="111111"/>
          <w:sz w:val="28"/>
          <w:szCs w:val="28"/>
          <w:rtl w:val="true"/>
          <w:lang w:bidi="fa-IR"/>
        </w:rPr>
        <w:t>.</w:t>
      </w:r>
    </w:p>
    <w:p>
      <w:pPr>
        <w:pStyle w:val="Heading6"/>
        <w:numPr>
          <w:ilvl w:val="5"/>
          <w:numId w:val="1"/>
        </w:numPr>
        <w:rPr/>
      </w:pPr>
      <w:bookmarkStart w:id="3348" w:name="__RefHeading___Toc3600141_1067777946"/>
      <w:bookmarkStart w:id="3349" w:name="_Toc1391"/>
      <w:bookmarkEnd w:id="3348"/>
      <w:r>
        <w:rPr>
          <w:rtl w:val="true"/>
        </w:rPr>
        <w:t>حرمت ابديّه به زناى با زن صاحب شوهر يا در عدّۀ رجعيّه</w:t>
      </w:r>
      <w:bookmarkEnd w:id="3349"/>
    </w:p>
    <w:p>
      <w:pPr>
        <w:pStyle w:val="BookText"/>
        <w:rPr/>
      </w:pPr>
      <w:r>
        <w:rPr>
          <w:rFonts w:ascii="IRNazanin" w:hAnsi="IRNazanin" w:eastAsia="IRNazanin"/>
          <w:color w:val="111111"/>
          <w:sz w:val="28"/>
          <w:sz w:val="28"/>
          <w:szCs w:val="28"/>
          <w:rtl w:val="true"/>
          <w:lang w:bidi="fa-IR"/>
        </w:rPr>
        <w:t>اگر شخصى زنا كرد با زنى صاحب شوهر يا در عده رجعيۀ شوهر خودش، حرام مى شود بر زانى به حرمت ابديه، در موارد دخول شوهر و عدم آن، و علم زن و عدم آن، و علم زانى به شوهر داشتن يا اعتداد و جهل او، و دوام نكاح و انقطاع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حرمت، در كنيز موطوئۀ مالك و محللۀ غير مالك نيست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زنا در عدۀ بائن و عدۀ وفات و عدۀ وطى به شبهه، موجب حرمت ابديه نمى شود</w:t>
      </w:r>
      <w:r>
        <w:rPr>
          <w:rFonts w:eastAsia="IRNazanin" w:cs="IRNazanin"/>
          <w:color w:val="111111"/>
          <w:sz w:val="28"/>
          <w:szCs w:val="28"/>
          <w:rtl w:val="true"/>
          <w:lang w:bidi="fa-IR"/>
        </w:rPr>
        <w:t>.</w:t>
      </w:r>
    </w:p>
    <w:p>
      <w:pPr>
        <w:pStyle w:val="Heading6"/>
        <w:numPr>
          <w:ilvl w:val="5"/>
          <w:numId w:val="1"/>
        </w:numPr>
        <w:rPr/>
      </w:pPr>
      <w:bookmarkStart w:id="3350" w:name="__RefHeading___Toc3600143_1067777946"/>
      <w:bookmarkStart w:id="3351" w:name="_Toc1392"/>
      <w:bookmarkEnd w:id="3350"/>
      <w:r>
        <w:rPr>
          <w:rtl w:val="true"/>
        </w:rPr>
        <w:t>حرمت ابديّه مادر و خواهر و دختر موطوءِ به وطى قبل از عقد</w:t>
      </w:r>
      <w:bookmarkEnd w:id="33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وطى كرد غلامى را، حرام ابدى مى شود براى مرد، مادر موطوء و خواهر او و دختر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اختصاص حكم است به غلام زنده؛ و احوط تعميم حكم است به بالغ در طرف موطوء، و غير بالغ در طرف واطى، و به ادخالى كه موجب حدّ و غسل جنابت نمى شود، و به مادر هر چه بالا برود و دختر هر چه پايين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تعميم در اخير،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دختر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خنثاى مشكل، در ادخال او و ادخال به او، حرمت ابديّه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اين مقام، مربوط به تأثير ايقاب و ادخال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زنا و عدم آن گذشت در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موطوء حرام نيست مذكورات از وطى كننده</w:t>
      </w:r>
      <w:r>
        <w:rPr>
          <w:rFonts w:eastAsia="Amiri" w:cs="Amiri" w:ascii="Amiri" w:hAnsi="Amiri"/>
          <w:color w:val="111111"/>
          <w:sz w:val="28"/>
          <w:szCs w:val="28"/>
          <w:rtl w:val="true"/>
          <w:lang w:bidi="ar-SA"/>
        </w:rPr>
        <w:t>.</w:t>
      </w:r>
    </w:p>
    <w:p>
      <w:pPr>
        <w:pStyle w:val="Heading6"/>
        <w:numPr>
          <w:ilvl w:val="5"/>
          <w:numId w:val="1"/>
        </w:numPr>
        <w:rPr/>
      </w:pPr>
      <w:bookmarkStart w:id="3352" w:name="__RefHeading___Toc3600145_1067777946"/>
      <w:bookmarkStart w:id="3353" w:name="_Toc1393"/>
      <w:bookmarkEnd w:id="3352"/>
      <w:r>
        <w:rPr>
          <w:rtl w:val="true"/>
        </w:rPr>
        <w:t>عدم حرمت مذكورات در صورت تحقق ايقاب، بعد از عقد</w:t>
      </w:r>
      <w:bookmarkEnd w:id="335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ايقاب محرِّم، لاحق بر عقد باشد، مبطل آن عقد نمى شود بنابر اظهر، اگر چه ابطال آن به طلاق و نحو آن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بعد از ايقاب متأخر از عقد، </w:t>
      </w:r>
      <w:bookmarkStart w:id="3354" w:name="pg10256_89884"/>
    </w:p>
    <w:p>
      <w:pPr>
        <w:pStyle w:val="BookText"/>
        <w:rPr/>
      </w:pPr>
      <w:bookmarkEnd w:id="3354"/>
      <w:r>
        <w:rPr>
          <w:rFonts w:ascii="Amiri" w:hAnsi="Amiri" w:eastAsia="Amiri" w:cs="Amiri"/>
          <w:color w:val="111111"/>
          <w:sz w:val="28"/>
          <w:sz w:val="28"/>
          <w:szCs w:val="28"/>
          <w:rtl w:val="true"/>
          <w:lang w:bidi="ar-SA"/>
        </w:rPr>
        <w:t>طلاق داد زن را، اظهر جواز تجديد عقد است، و احوط منع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حرمت ابديّه مقصور است بر واطى، پس حرام نيست بر اولاد و والد واطى، مادر و خواهر و دختر موطوء بنابر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بين مادر و خواهر و دختر رضاعى و نسبى نيست</w:t>
      </w:r>
      <w:r>
        <w:rPr>
          <w:rFonts w:eastAsia="Amiri" w:cs="Amiri" w:ascii="Amiri" w:hAnsi="Amiri"/>
          <w:color w:val="111111"/>
          <w:sz w:val="28"/>
          <w:szCs w:val="28"/>
          <w:rtl w:val="true"/>
          <w:lang w:bidi="ar-SA"/>
        </w:rPr>
        <w:t>.</w:t>
      </w:r>
    </w:p>
    <w:p>
      <w:pPr>
        <w:pStyle w:val="Heading6"/>
        <w:numPr>
          <w:ilvl w:val="5"/>
          <w:numId w:val="1"/>
        </w:numPr>
        <w:rPr/>
      </w:pPr>
      <w:bookmarkStart w:id="3355" w:name="__RefHeading___Toc3600147_1067777946"/>
      <w:bookmarkStart w:id="3356" w:name="_Toc1394"/>
      <w:bookmarkEnd w:id="3355"/>
      <w:r>
        <w:rPr>
          <w:rtl w:val="true"/>
        </w:rPr>
        <w:t>حصول حرمت ابديّه براى مُحرم و محرمه با علم به حرمت</w:t>
      </w:r>
      <w:bookmarkEnd w:id="33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ازدواج نمايد زنى را با علم به حرمت، حرام ابدى مى شود بر او اگر چه دخول نكند، در هر صورت كه حرام باشد بر او ازدواج، در احرام حج يا عمره، واجب يا ندب، قبل از افساد يا بعد از آن، از جانب خودش حج يا عمره باشد يا به 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جاهل بود حرام نمى شود اگر چه دخول بنمايد بنابر اظهر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فرقى بين دوام و متعه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اعتبار صحّت ازدواج بر تقدير عدم احرام است در حرمت ابديه،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صحّت مثل ايجاب و قبول، و شروط آنها يعنى شروط عدم حرمت ابديه مثل نكاح در عده كه از قبيل اجتماع دو سبب حرمت ابديه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وطى در حال احرام بعد از تحقق زوجيّت، موجب حرمت زوجه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اتحاد حكم مرد و زن است، بلكه خالى از وجه نيست، يعنى آنكه زن محرِمه ازدواج نمايد با مرد غير محرِم، حرام ابدى مى شود بر آن مرد، مثل تزويج در عده يا تزويج ذات بعل، و ساير احكام احرام كه مشترك بين مرد و زن است، به قاعدۀ اشتراك و غير آن</w:t>
      </w:r>
      <w:r>
        <w:rPr>
          <w:rFonts w:eastAsia="Amiri" w:cs="Amiri" w:ascii="Amiri" w:hAnsi="Amiri"/>
          <w:color w:val="111111"/>
          <w:sz w:val="28"/>
          <w:szCs w:val="28"/>
          <w:rtl w:val="true"/>
          <w:lang w:bidi="ar-SA"/>
        </w:rPr>
        <w:t>.</w:t>
      </w:r>
    </w:p>
    <w:p>
      <w:pPr>
        <w:pStyle w:val="Heading6"/>
        <w:numPr>
          <w:ilvl w:val="5"/>
          <w:numId w:val="1"/>
        </w:numPr>
        <w:rPr/>
      </w:pPr>
      <w:bookmarkStart w:id="3357" w:name="__RefHeading___Toc3600149_1067777946"/>
      <w:bookmarkStart w:id="3358" w:name="_Toc1395"/>
      <w:bookmarkEnd w:id="3357"/>
      <w:r>
        <w:rPr>
          <w:rtl w:val="true"/>
        </w:rPr>
        <w:t>حرمت ذات بعل</w:t>
      </w:r>
      <w:bookmarkEnd w:id="33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نيست صاحب شوهر براى غير شوهر، مگر بعد از مفارقت او و انقضاى عدّه اگر صاحب عده باشد؛ و هم چنين كنيز تحليل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نيست بر غير،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مدت تحليل و عدّۀ آن</w:t>
      </w:r>
      <w:r>
        <w:rPr>
          <w:rFonts w:eastAsia="IRNazanin" w:cs="IRNazanin"/>
          <w:color w:val="111111"/>
          <w:sz w:val="28"/>
          <w:szCs w:val="28"/>
          <w:rtl w:val="true"/>
          <w:lang w:bidi="fa-IR"/>
        </w:rPr>
        <w:t>.</w:t>
      </w:r>
      <w:bookmarkStart w:id="3359" w:name="pg10256_89885"/>
    </w:p>
    <w:p>
      <w:pPr>
        <w:pStyle w:val="Heading4"/>
        <w:numPr>
          <w:ilvl w:val="3"/>
          <w:numId w:val="1"/>
        </w:numPr>
        <w:rPr/>
      </w:pPr>
      <w:bookmarkStart w:id="3360" w:name="__RefHeading___Toc3600151_1067777946"/>
      <w:bookmarkStart w:id="3361" w:name="_Toc1396"/>
      <w:bookmarkEnd w:id="3359"/>
      <w:bookmarkEnd w:id="3360"/>
      <w:r>
        <w:rPr/>
        <w:t>4</w:t>
      </w:r>
      <w:r>
        <w:rPr>
          <w:rtl w:val="true"/>
        </w:rPr>
        <w:t xml:space="preserve">. </w:t>
      </w:r>
      <w:r>
        <w:rPr>
          <w:rtl w:val="true"/>
        </w:rPr>
        <w:t>استيفاى عدد</w:t>
      </w:r>
      <w:bookmarkEnd w:id="3361"/>
    </w:p>
    <w:p>
      <w:pPr>
        <w:pStyle w:val="Heading5"/>
        <w:numPr>
          <w:ilvl w:val="4"/>
          <w:numId w:val="1"/>
        </w:numPr>
        <w:rPr/>
      </w:pPr>
      <w:bookmarkStart w:id="3362" w:name="__RefHeading___Toc3600153_1067777946"/>
      <w:bookmarkStart w:id="3363" w:name="_Toc1397"/>
      <w:bookmarkEnd w:id="3362"/>
      <w:r>
        <w:rPr>
          <w:rtl w:val="true"/>
        </w:rPr>
        <w:t>اشاره</w:t>
      </w:r>
      <w:bookmarkEnd w:id="3363"/>
    </w:p>
    <w:p>
      <w:pPr>
        <w:pStyle w:val="BookText"/>
        <w:rPr/>
      </w:pPr>
      <w:r>
        <w:rPr>
          <w:rFonts w:ascii="IRNazanin" w:hAnsi="IRNazanin" w:eastAsia="IRNazanin"/>
          <w:color w:val="111111"/>
          <w:sz w:val="28"/>
          <w:sz w:val="28"/>
          <w:szCs w:val="28"/>
          <w:rtl w:val="true"/>
          <w:lang w:bidi="fa-IR"/>
        </w:rPr>
        <w:t>چهارم از اسباب تحريم، استيفاى عدد است</w:t>
      </w:r>
      <w:r>
        <w:rPr>
          <w:rFonts w:eastAsia="IRNazanin" w:cs="IRNazanin"/>
          <w:color w:val="111111"/>
          <w:sz w:val="28"/>
          <w:szCs w:val="28"/>
          <w:rtl w:val="true"/>
          <w:lang w:bidi="fa-IR"/>
        </w:rPr>
        <w:t>.</w:t>
      </w:r>
    </w:p>
    <w:p>
      <w:pPr>
        <w:pStyle w:val="Heading5"/>
        <w:numPr>
          <w:ilvl w:val="4"/>
          <w:numId w:val="1"/>
        </w:numPr>
        <w:rPr/>
      </w:pPr>
      <w:bookmarkStart w:id="3364" w:name="__RefHeading___Toc3600155_1067777946"/>
      <w:bookmarkStart w:id="3365" w:name="_Toc1398"/>
      <w:bookmarkEnd w:id="3364"/>
      <w:r>
        <w:rPr>
          <w:rtl w:val="true"/>
        </w:rPr>
        <w:t>قسم اوّل حرمت اكثر از اربعۀ دائميّه</w:t>
      </w:r>
      <w:bookmarkEnd w:id="3365"/>
    </w:p>
    <w:p>
      <w:pPr>
        <w:pStyle w:val="Heading6"/>
        <w:numPr>
          <w:ilvl w:val="5"/>
          <w:numId w:val="1"/>
        </w:numPr>
        <w:rPr/>
      </w:pPr>
      <w:bookmarkStart w:id="3366" w:name="__RefHeading___Toc3600157_1067777946"/>
      <w:bookmarkStart w:id="3367" w:name="_Toc1399"/>
      <w:bookmarkEnd w:id="3366"/>
      <w:r>
        <w:rPr>
          <w:rtl w:val="true"/>
        </w:rPr>
        <w:t>اشاره</w:t>
      </w:r>
      <w:bookmarkEnd w:id="3367"/>
    </w:p>
    <w:p>
      <w:pPr>
        <w:pStyle w:val="BookText"/>
        <w:rPr/>
      </w:pPr>
      <w:r>
        <w:rPr>
          <w:rFonts w:ascii="IRNazanin" w:hAnsi="IRNazanin" w:eastAsia="IRNazanin"/>
          <w:color w:val="111111"/>
          <w:sz w:val="28"/>
          <w:sz w:val="28"/>
          <w:szCs w:val="28"/>
          <w:rtl w:val="true"/>
          <w:lang w:bidi="fa-IR"/>
        </w:rPr>
        <w:t>بر آزاد حرام است به عقد دائم بيش از چهار زن در آورد؛ و از كنيزها، بيش از دو در ضمن چهار، حرام است بر آزاد، پس جمع بين سه آزاد و دو كنيز نمى نمايد؛ و هم چنين دو آزاد و سه كنيز؛ بلكه تغيير چهار آزاد نمى شود الّا به مثل دو كنيز و دو آزاد، با رعايت شروط نكاح امه و شرط نكاح امه بر حرّه، بر حسب آنچه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اگر چهار كنيز را به عقد دائم در آورد يا دو آزاد را يا يك آزاد و دو كنيز را، زايد بر آنها به دوام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مردى كه بعض او آزاد است اين است كه در حق كنيزها مثل آزاد است، از دو كنيز بيش به عقد دائم نياورد؛ و مثل بنده است در حق آزادها، پس با از دو آزاد بيش ازدواج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زنى كه بعض او آزاد است، مثل آزاد است در حق بنده، پس بيش از دو را بنده نمى گيرد؛ و مثل كنيز است در حق آزاد، پس بيش از دو را آزاد نمى گيرد به عقد دائم، چنانچه مقتضاى تغليب جانب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تبعيض لاحق به تزويج، عمل به احتياط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عقد انقطاعى و ملك يمين، انحصارى در عدد در حق آزاد و بنده نيست اگر چه با انضمام به عدد معيّن در معقوده به دوام باشد، اگر چه در ملك يمين، نسبت به بنده، محتاج به اذن مولى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هم در حكم ملك يمين است، چه آنكه محلّل له آزاد باشد يا بنده</w:t>
      </w:r>
      <w:r>
        <w:rPr>
          <w:rFonts w:eastAsia="IRNazanin" w:cs="IRNazanin"/>
          <w:color w:val="111111"/>
          <w:sz w:val="28"/>
          <w:szCs w:val="28"/>
          <w:rtl w:val="true"/>
          <w:lang w:bidi="fa-IR"/>
        </w:rPr>
        <w:t>.</w:t>
      </w:r>
    </w:p>
    <w:p>
      <w:pPr>
        <w:pStyle w:val="Heading6"/>
        <w:numPr>
          <w:ilvl w:val="5"/>
          <w:numId w:val="1"/>
        </w:numPr>
        <w:rPr/>
      </w:pPr>
      <w:bookmarkStart w:id="3368" w:name="__RefHeading___Toc3600159_1067777946"/>
      <w:bookmarkStart w:id="3369" w:name="_Toc1400"/>
      <w:bookmarkEnd w:id="3368"/>
      <w:r>
        <w:rPr>
          <w:rtl w:val="true"/>
        </w:rPr>
        <w:t>چند مسأله</w:t>
      </w:r>
      <w:bookmarkEnd w:id="3369"/>
    </w:p>
    <w:p>
      <w:pPr>
        <w:pStyle w:val="Heading6"/>
        <w:numPr>
          <w:ilvl w:val="5"/>
          <w:numId w:val="1"/>
        </w:numPr>
        <w:rPr/>
      </w:pPr>
      <w:bookmarkStart w:id="3370" w:name="__RefHeading___Toc3600161_1067777946"/>
      <w:bookmarkStart w:id="3371" w:name="_Toc1401"/>
      <w:bookmarkEnd w:id="3370"/>
      <w:r>
        <w:rPr>
          <w:rtl w:val="true"/>
        </w:rPr>
        <w:t>اناطۀ جواز عقد به انقضاى عدّۀ رجعيۀ مطلّقۀ از اربعه</w:t>
      </w:r>
      <w:bookmarkEnd w:id="3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يكى از چهار زن را طلاق داد به طلاق رجعى، جايز نيست عقد دائم بر ديگرى،</w:t>
      </w:r>
      <w:bookmarkStart w:id="3372" w:name="pg10256_89886"/>
    </w:p>
    <w:p>
      <w:pPr>
        <w:pStyle w:val="BookText"/>
        <w:rPr/>
      </w:pPr>
      <w:bookmarkEnd w:id="3372"/>
      <w:r>
        <w:rPr>
          <w:rFonts w:ascii="IRNazanin" w:hAnsi="IRNazanin" w:eastAsia="IRNazanin"/>
          <w:color w:val="111111"/>
          <w:sz w:val="28"/>
          <w:sz w:val="28"/>
          <w:szCs w:val="28"/>
          <w:rtl w:val="true"/>
          <w:lang w:bidi="fa-IR"/>
        </w:rPr>
        <w:t>تا آنكه عدۀ رجعيه منقضى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عدۀ طلاق بائن باشد، جايز است عقد بر ديگرى قبل از انقضاى عده، اگر چه مكروه است بلكه خلاف احتياط است</w:t>
      </w:r>
      <w:r>
        <w:rPr>
          <w:rFonts w:eastAsia="IRNazanin" w:cs="IRNazanin"/>
          <w:color w:val="111111"/>
          <w:sz w:val="28"/>
          <w:szCs w:val="28"/>
          <w:rtl w:val="true"/>
          <w:lang w:bidi="fa-IR"/>
        </w:rPr>
        <w:t>.</w:t>
      </w:r>
    </w:p>
    <w:p>
      <w:pPr>
        <w:pStyle w:val="Heading6"/>
        <w:numPr>
          <w:ilvl w:val="5"/>
          <w:numId w:val="1"/>
        </w:numPr>
        <w:rPr/>
      </w:pPr>
      <w:bookmarkStart w:id="3373" w:name="__RefHeading___Toc3600163_1067777946"/>
      <w:bookmarkStart w:id="3374" w:name="_Toc1402"/>
      <w:bookmarkEnd w:id="3373"/>
      <w:r>
        <w:rPr>
          <w:rtl w:val="true"/>
        </w:rPr>
        <w:t>حكم انقضاى عدّۀ بائن در ازدواج با خواهر زن</w:t>
      </w:r>
      <w:bookmarkEnd w:id="3374"/>
    </w:p>
    <w:p>
      <w:pPr>
        <w:pStyle w:val="BookText"/>
        <w:rPr/>
      </w:pPr>
      <w:r>
        <w:rPr>
          <w:rFonts w:ascii="IRNazanin" w:hAnsi="IRNazanin" w:eastAsia="IRNazanin"/>
          <w:color w:val="111111"/>
          <w:sz w:val="28"/>
          <w:sz w:val="28"/>
          <w:szCs w:val="28"/>
          <w:rtl w:val="true"/>
          <w:lang w:bidi="fa-IR"/>
        </w:rPr>
        <w:t>و هم چنين است حكم در خواهر زن، كه پس از انقضاى عدۀ طلاق بائن يا متعه، مى تواند به عقد دائم در آورد بدون كراهت و مخالفت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صاحب عده نباشد، مثل غير مدخول بها، اشكالى در نكاح خواهر يا خامسه نيست</w:t>
      </w:r>
      <w:r>
        <w:rPr>
          <w:rFonts w:eastAsia="IRNazanin" w:cs="IRNazanin"/>
          <w:color w:val="111111"/>
          <w:sz w:val="28"/>
          <w:szCs w:val="28"/>
          <w:rtl w:val="true"/>
          <w:lang w:bidi="fa-IR"/>
        </w:rPr>
        <w:t>.</w:t>
      </w:r>
    </w:p>
    <w:p>
      <w:pPr>
        <w:pStyle w:val="Heading6"/>
        <w:numPr>
          <w:ilvl w:val="5"/>
          <w:numId w:val="1"/>
        </w:numPr>
        <w:rPr/>
      </w:pPr>
      <w:bookmarkStart w:id="3375" w:name="__RefHeading___Toc3600165_1067777946"/>
      <w:bookmarkStart w:id="3376" w:name="_Toc1403"/>
      <w:bookmarkEnd w:id="3375"/>
      <w:r>
        <w:rPr>
          <w:rtl w:val="true"/>
        </w:rPr>
        <w:t>تعقّب دو عقد بر طلاق يكى از اربعه</w:t>
      </w:r>
      <w:bookmarkEnd w:id="33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چهار زن را طلاق داد به طلاق بائن يا بعد از انقضاى عدۀ رجعى، پس از آن، دو زن را عقد نمود به دوام، پس با سبق يكى از دو عقد، عقد سابق صحيح است فقط؛ و با معيّت آنها، اظهر موقوفيت به اختيار يكى از آنها است؛ و در صورت ترتيب ذكرى در متن عقد، احوط تجديد عقد است بر آن زنى كه او را اختيار كرده باشد</w:t>
      </w:r>
      <w:r>
        <w:rPr>
          <w:rFonts w:eastAsia="IRNazanin" w:cs="IRNazanin"/>
          <w:color w:val="111111"/>
          <w:sz w:val="28"/>
          <w:szCs w:val="28"/>
          <w:rtl w:val="true"/>
          <w:lang w:bidi="fa-IR"/>
        </w:rPr>
        <w:t>.</w:t>
      </w:r>
    </w:p>
    <w:p>
      <w:pPr>
        <w:pStyle w:val="Heading6"/>
        <w:numPr>
          <w:ilvl w:val="5"/>
          <w:numId w:val="1"/>
        </w:numPr>
        <w:rPr/>
      </w:pPr>
      <w:bookmarkStart w:id="3377" w:name="__RefHeading___Toc3600167_1067777946"/>
      <w:bookmarkStart w:id="3378" w:name="_Toc1404"/>
      <w:bookmarkEnd w:id="3377"/>
      <w:r>
        <w:rPr>
          <w:rtl w:val="true"/>
        </w:rPr>
        <w:t>عقد با يك حرّه و عقد با دو حرّه و سه حرّه و جهل به تاريخ</w:t>
      </w:r>
      <w:bookmarkEnd w:id="33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آزادى ازدواج كرد در عقدى با يك آزاد، و در عقدى با دو آزاد، و در عقدى با سه آزاد، و مشتبه شد بر او سابق و لاحق، و تاريخ هيچ كدام معلوم نبود، و زن ادّعاى علم نكرد، محتمل محكوميّت به حكم عقد بر جميع در يك دفعه است، كه اختيار مى كند چهار از آنها را، و رها مى كند بقيّه را؛ و احوط تجديد عقد بر مختارها بعد از طلاق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صورت ادّعاى يكى از متروكاتها سبق عقد خودش را، در تخلص از او است به طلاق او قبل از اختيار بقيّه به عقد بعد از طلاق بعد از اختيار</w:t>
      </w:r>
      <w:r>
        <w:rPr>
          <w:rFonts w:eastAsia="IRNazanin" w:cs="IRNazanin"/>
          <w:color w:val="111111"/>
          <w:sz w:val="28"/>
          <w:szCs w:val="28"/>
          <w:rtl w:val="true"/>
          <w:lang w:bidi="fa-IR"/>
        </w:rPr>
        <w:t>.</w:t>
      </w:r>
    </w:p>
    <w:p>
      <w:pPr>
        <w:pStyle w:val="Heading5"/>
        <w:numPr>
          <w:ilvl w:val="4"/>
          <w:numId w:val="1"/>
        </w:numPr>
        <w:rPr/>
      </w:pPr>
      <w:bookmarkStart w:id="3379" w:name="__RefHeading___Toc3600169_1067777946"/>
      <w:bookmarkStart w:id="3380" w:name="_Toc1405"/>
      <w:bookmarkEnd w:id="3379"/>
      <w:r>
        <w:rPr>
          <w:rtl w:val="true"/>
        </w:rPr>
        <w:t>قسم دوّم طلاق سه مرتبه</w:t>
      </w:r>
      <w:bookmarkEnd w:id="3380"/>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آزاد را سه مرتبه طلاق داد و در بين، ديگرى عقد نكرد آن را، حرام مى شود بر </w:t>
      </w:r>
      <w:bookmarkStart w:id="3381" w:name="pg10256_89887"/>
    </w:p>
    <w:p>
      <w:pPr>
        <w:pStyle w:val="BookText"/>
        <w:rPr/>
      </w:pPr>
      <w:bookmarkEnd w:id="3381"/>
      <w:r>
        <w:rPr>
          <w:rFonts w:ascii="IRNazanin" w:hAnsi="IRNazanin" w:eastAsia="IRNazanin"/>
          <w:color w:val="111111"/>
          <w:sz w:val="28"/>
          <w:sz w:val="28"/>
          <w:szCs w:val="28"/>
          <w:rtl w:val="true"/>
          <w:lang w:bidi="fa-IR"/>
        </w:rPr>
        <w:t>طلاق دهنده، هر دو قسم نكاح يعنى دوام و متعه، تا آنكه به نكاح دائم شوهر ديگرى در آيد و مقاربت با او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طلاق مقدمْ رجعى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احكام رجعى را دارند، و طلاق سوّم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اينكه شوهر آزاد باشد يا مملوك، نيست در اعتبار عدد خاصِّ طلاق در حرمت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زن كنيز باشد، اگر چه مرد آزاد باشد، به طلاق دوّم احتياج به محلّل پيدا مى كند، و طلاق دوّم كنيز به منزلۀ سوّم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كنيز به طلاق دوّم كه بين آن دو، نكاح شوهر ديگر فاصله نباشد، حرام مى شود تا آنكه به نكاح شوهر ديگرى در آيد، اگر چه شوهر اوّل عبد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شوهر اوّل قبل از محلل، حرام است مقاربت با او، اگر چه به ملك يمين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نيست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طلاقهاى موجب تحريم، للعدّه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كامل شد نُه طلاق، كه همه واجد شروط طلاق بودند، و همۀ طلاقها غير از سومى و ششمى و نهمى كه بائن هستند، بعد از رجوع در عده و وطى بودند، و بعد از طلاق سوّم و ششم، شوهر ديگرى او را به عقد دائم خود در آورد و مقاربت نمود، و بعد شوهر اولى او را اختيار كرد به عقد دائم، بعد از طلاق نهم با اين ترتيب، حرام ابدى مى شود بر شوهر اوّل كه نُه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 شش طلاق كنيز، به ترتيب نُه طلاق آزاد، مقام نُه طلاق در ايجاب حرمت ابديه، وجه 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مغايرت سه طلاق كه ثالث آنها موجب تحريم است، با نُه طلاق كه تاسع آنها موجب حرمت ابديه است، مى باشد؛ پس رجوع در عده و وطى، در نُه طلاق معتبر است به نحو متقدّم، و در سه طلاقِ موجبِ احتياج به محلل، معتبر نيست</w:t>
      </w:r>
      <w:r>
        <w:rPr>
          <w:rFonts w:eastAsia="IRNazanin" w:cs="IRNazanin"/>
          <w:color w:val="111111"/>
          <w:sz w:val="28"/>
          <w:szCs w:val="28"/>
          <w:rtl w:val="true"/>
          <w:lang w:bidi="fa-IR"/>
        </w:rPr>
        <w:t>.</w:t>
      </w:r>
    </w:p>
    <w:p>
      <w:pPr>
        <w:pStyle w:val="Heading4"/>
        <w:numPr>
          <w:ilvl w:val="3"/>
          <w:numId w:val="1"/>
        </w:numPr>
        <w:rPr/>
      </w:pPr>
      <w:bookmarkStart w:id="3382" w:name="__RefHeading___Toc3600171_1067777946"/>
      <w:bookmarkStart w:id="3383" w:name="_Toc1406"/>
      <w:bookmarkEnd w:id="3382"/>
      <w:r>
        <w:rPr/>
        <w:t>5</w:t>
      </w:r>
      <w:r>
        <w:rPr>
          <w:rtl w:val="true"/>
        </w:rPr>
        <w:t xml:space="preserve">. </w:t>
      </w:r>
      <w:r>
        <w:rPr>
          <w:rtl w:val="true"/>
        </w:rPr>
        <w:t>لعان</w:t>
      </w:r>
      <w:bookmarkEnd w:id="338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لعان با شروط آن سبب مى شود از براى حرمت ابديۀ زن لعان كننده بر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خرساء يا صمّاء شد، قذف او موجب لعان نمى شود، به واسطۀ فقد شرط آن، و موجب حرمت ابديّه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خرس عارضى به مثل بريده شدن زبان، تأمل است، و حرمت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اعتبار ايجاب لعان در تقدير نبودن آفت مذكوره، </w:t>
      </w:r>
      <w:bookmarkStart w:id="3384" w:name="pg10256_89888"/>
    </w:p>
    <w:p>
      <w:pPr>
        <w:pStyle w:val="BookText"/>
        <w:rPr/>
      </w:pPr>
      <w:bookmarkEnd w:id="3384"/>
      <w:r>
        <w:rPr>
          <w:rFonts w:ascii="IRNazanin" w:hAnsi="IRNazanin" w:eastAsia="IRNazanin"/>
          <w:color w:val="111111"/>
          <w:sz w:val="28"/>
          <w:sz w:val="28"/>
          <w:szCs w:val="28"/>
          <w:rtl w:val="true"/>
          <w:lang w:bidi="fa-IR"/>
        </w:rPr>
        <w:t>تأمل است، احوط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ثبوت حكم، در غير قذف به زناى صاحب آفت مذكوره، يعنى نفى ولد، خالى از تأمل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صاحب آفت، ثابت نيست براى زوج اگر صاحب عيب مذكور باشد و زوجه او را قذف به زنا نمايد</w:t>
      </w:r>
      <w:r>
        <w:rPr>
          <w:rFonts w:eastAsia="IRNazanin" w:cs="IRNazanin"/>
          <w:color w:val="111111"/>
          <w:sz w:val="28"/>
          <w:szCs w:val="28"/>
          <w:rtl w:val="true"/>
          <w:lang w:bidi="fa-IR"/>
        </w:rPr>
        <w:t>.</w:t>
      </w:r>
    </w:p>
    <w:p>
      <w:pPr>
        <w:pStyle w:val="Heading4"/>
        <w:numPr>
          <w:ilvl w:val="3"/>
          <w:numId w:val="1"/>
        </w:numPr>
        <w:rPr/>
      </w:pPr>
      <w:bookmarkStart w:id="3385" w:name="__RefHeading___Toc3600173_1067777946"/>
      <w:bookmarkStart w:id="3386" w:name="_Toc1407"/>
      <w:bookmarkEnd w:id="3385"/>
      <w:r>
        <w:rPr/>
        <w:t>6</w:t>
      </w:r>
      <w:r>
        <w:rPr>
          <w:rtl w:val="true"/>
        </w:rPr>
        <w:t xml:space="preserve">. </w:t>
      </w:r>
      <w:r>
        <w:rPr>
          <w:rtl w:val="true"/>
        </w:rPr>
        <w:t>كفر</w:t>
      </w:r>
      <w:bookmarkEnd w:id="3386"/>
    </w:p>
    <w:p>
      <w:pPr>
        <w:pStyle w:val="Heading5"/>
        <w:numPr>
          <w:ilvl w:val="4"/>
          <w:numId w:val="1"/>
        </w:numPr>
        <w:rPr/>
      </w:pPr>
      <w:bookmarkStart w:id="3387" w:name="__RefHeading___Toc3600175_1067777946"/>
      <w:bookmarkStart w:id="3388" w:name="_Toc1408"/>
      <w:bookmarkEnd w:id="3387"/>
      <w:r>
        <w:rPr>
          <w:rtl w:val="true"/>
        </w:rPr>
        <w:t>اشاره</w:t>
      </w:r>
      <w:bookmarkEnd w:id="3388"/>
    </w:p>
    <w:p>
      <w:pPr>
        <w:pStyle w:val="BookText"/>
        <w:rPr/>
      </w:pPr>
      <w:r>
        <w:rPr>
          <w:rFonts w:ascii="Amiri" w:hAnsi="Amiri" w:eastAsia="Amiri" w:cs="Amiri"/>
          <w:color w:val="111111"/>
          <w:sz w:val="28"/>
          <w:sz w:val="28"/>
          <w:szCs w:val="28"/>
          <w:rtl w:val="true"/>
          <w:lang w:bidi="ar-SA"/>
        </w:rPr>
        <w:t>سبب ششم از براى حرمت ابديه، كفر است</w:t>
      </w:r>
      <w:r>
        <w:rPr>
          <w:rFonts w:eastAsia="Amiri" w:cs="Amiri" w:ascii="Amiri" w:hAnsi="Amiri"/>
          <w:color w:val="111111"/>
          <w:sz w:val="28"/>
          <w:szCs w:val="28"/>
          <w:rtl w:val="true"/>
          <w:lang w:bidi="ar-SA"/>
        </w:rPr>
        <w:t>.</w:t>
      </w:r>
    </w:p>
    <w:p>
      <w:pPr>
        <w:pStyle w:val="Heading5"/>
        <w:numPr>
          <w:ilvl w:val="4"/>
          <w:numId w:val="1"/>
        </w:numPr>
        <w:rPr/>
      </w:pPr>
      <w:bookmarkStart w:id="3389" w:name="__RefHeading___Toc3600177_1067777946"/>
      <w:bookmarkStart w:id="3390" w:name="_Toc1409"/>
      <w:bookmarkEnd w:id="3389"/>
      <w:r>
        <w:rPr>
          <w:rtl w:val="true"/>
        </w:rPr>
        <w:t>احكام ازدواج با كفّار</w:t>
      </w:r>
      <w:bookmarkEnd w:id="3390"/>
    </w:p>
    <w:p>
      <w:pPr>
        <w:pStyle w:val="Heading6"/>
        <w:numPr>
          <w:ilvl w:val="5"/>
          <w:numId w:val="1"/>
        </w:numPr>
        <w:rPr/>
      </w:pPr>
      <w:bookmarkStart w:id="3391" w:name="__RefHeading___Toc3600179_1067777946"/>
      <w:bookmarkStart w:id="3392" w:name="_Toc1410"/>
      <w:bookmarkEnd w:id="3391"/>
      <w:r>
        <w:rPr>
          <w:rtl w:val="true"/>
        </w:rPr>
        <w:t>حكم نكاح با كتابيّه</w:t>
      </w:r>
      <w:bookmarkEnd w:id="3392"/>
    </w:p>
    <w:p>
      <w:pPr>
        <w:pStyle w:val="BookText"/>
        <w:rPr/>
      </w:pPr>
      <w:r>
        <w:rPr>
          <w:rFonts w:ascii="IRNazanin" w:hAnsi="IRNazanin" w:eastAsia="IRNazanin"/>
          <w:color w:val="111111"/>
          <w:sz w:val="28"/>
          <w:sz w:val="28"/>
          <w:szCs w:val="28"/>
          <w:rtl w:val="true"/>
          <w:lang w:bidi="fa-IR"/>
        </w:rPr>
        <w:t>جايز نيست تزويج غير كتابيّات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يهود و نصارى از كتابيّات، پس جايز است نكاح آنها به نحو انقطاع، و وطى آنها به ملك يمين؛ و اما نكاح دائم آنها، پس اظهر جواز</w:t>
      </w:r>
      <w:r>
        <w:rPr>
          <w:rStyle w:val="FootnoteAnchor"/>
          <w:rtl w:val="true"/>
        </w:rPr>
        <w:footnoteReference w:id="13"/>
      </w:r>
      <w:r>
        <w:rPr>
          <w:rFonts w:ascii="IRNazanin" w:hAnsi="IRNazanin" w:eastAsia="IRNazanin"/>
          <w:color w:val="111111"/>
          <w:sz w:val="28"/>
          <w:sz w:val="28"/>
          <w:szCs w:val="28"/>
          <w:rtl w:val="true"/>
          <w:lang w:bidi="fa-IR"/>
        </w:rPr>
        <w:t>نكاح است به نحو دوام با كراهت مختلفۀ به حسب مراتب، در صورت وجود مسلمۀ حرّة و قدرت بر او و وجود مسلمۀ امه و وطى او و نحو اينها، اگر چه احوط اقتصار بر تمتع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وطى مجوسيّه به ملك يمين مانعى ندارد؛ و به عقد، احتمال لحوق به اهل كتابِ معلوم دارد، و احوط ترك عقد است مطلقا</w:t>
      </w:r>
      <w:r>
        <w:rPr>
          <w:rFonts w:eastAsia="Amiri" w:cs="Amiri" w:ascii="Amiri" w:hAnsi="Amiri"/>
          <w:color w:val="111111"/>
          <w:sz w:val="28"/>
          <w:szCs w:val="28"/>
          <w:rtl w:val="true"/>
          <w:lang w:bidi="ar-SA"/>
        </w:rPr>
        <w:t>.</w:t>
      </w:r>
    </w:p>
    <w:p>
      <w:pPr>
        <w:pStyle w:val="Heading6"/>
        <w:numPr>
          <w:ilvl w:val="5"/>
          <w:numId w:val="1"/>
        </w:numPr>
        <w:rPr/>
      </w:pPr>
      <w:bookmarkStart w:id="3393" w:name="__RefHeading___Toc3600181_1067777946"/>
      <w:bookmarkStart w:id="3394" w:name="_Toc1411"/>
      <w:bookmarkEnd w:id="3393"/>
      <w:r>
        <w:rPr>
          <w:rtl w:val="true"/>
        </w:rPr>
        <w:t>حكم ارتداد زن و شوهر يا يكى از از آن دو</w:t>
      </w:r>
      <w:bookmarkEnd w:id="339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يكى از زن و شوهر يا هر دو، يك دفعه و با هم بعد از اسلام مرتد شدند، احترامى براى صاحب ارتداد نيست و باقى نمى شود بر نكاح زن مسلمه و باقى نمى شود بر نكاحش مرد مسلمان، و باقى نمى شود بر نكاح همديگر، در صورتى كه كفر ايشان بعد از اسلام است، اگر چه به كفر اهل كتاب كافر بشوند، چه آنكه ارتداد فطرى باشد يا ملّى، كه در غير اين حكم، با همديگر فرق دارند</w:t>
      </w:r>
      <w:r>
        <w:rPr>
          <w:rFonts w:eastAsia="IRNazanin" w:cs="IRNazanin"/>
          <w:color w:val="111111"/>
          <w:sz w:val="28"/>
          <w:szCs w:val="28"/>
          <w:rtl w:val="true"/>
          <w:lang w:bidi="fa-IR"/>
        </w:rPr>
        <w:t xml:space="preserve">. </w:t>
      </w:r>
      <w:bookmarkStart w:id="3395" w:name="pg10256_89889"/>
    </w:p>
    <w:p>
      <w:pPr>
        <w:pStyle w:val="BookText"/>
        <w:rPr/>
      </w:pPr>
      <w:bookmarkEnd w:id="3395"/>
      <w:r>
        <w:rPr>
          <w:rFonts w:ascii="IRNazanin" w:hAnsi="IRNazanin" w:eastAsia="IRNazanin"/>
          <w:color w:val="111111"/>
          <w:sz w:val="28"/>
          <w:sz w:val="28"/>
          <w:szCs w:val="28"/>
          <w:rtl w:val="true"/>
          <w:lang w:bidi="fa-IR"/>
        </w:rPr>
        <w:t>پس اگر ارتداد قبل از دخول باشد، به مجرّد حصول ارتداد، نكاح منفسخ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تعميم اين حكم به جميع اقسام و احوال، مقتضاى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ارتداد زوج، احوط تمام مهر است بر زوج در صورتى كه تسميۀ صحيحه باشد؛ و اگر نباشد، به مهر المثل يا متعه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ارتداد زوجه، سقوط مهر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ارتداد هر دو در يك دفعه، احوط صلح است، در اقتضاءِ سقوط همه و اقتضاء احتياطى ثبوت همه، كه اجتماع مقتضيها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ارتداد بعد از دخول بود، مهر ساقط نمى شود؛ پس اگر ارتداد ملى بود، چه از زوج باشد يا از زوجه، موقوف است انفساخ، به انقضاى عدۀ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عدهْ مرتد رجوع به اسلام بنمايد باقى است نكاح، وگرنه كشف انفساخ از حين ارتداد مى شود؛ و هم چنين اگر ارتداد زوجه فطرى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ارتداد زوجْ فطرى باشد، بينونت فى الحال به مجرّد ارتداد حاصل مى شود، و توبه اش قبول نمى شود، بلكه كشته مى شود و اموالش تقسيم مى شود بين ورثۀ او، و زوجهْ عدۀ وفات مى گيرد</w:t>
      </w:r>
      <w:r>
        <w:rPr>
          <w:rFonts w:eastAsia="IRNazanin" w:cs="IRNazanin"/>
          <w:color w:val="111111"/>
          <w:sz w:val="28"/>
          <w:szCs w:val="28"/>
          <w:rtl w:val="true"/>
          <w:lang w:bidi="fa-IR"/>
        </w:rPr>
        <w:t>.</w:t>
      </w:r>
    </w:p>
    <w:p>
      <w:pPr>
        <w:pStyle w:val="Heading6"/>
        <w:numPr>
          <w:ilvl w:val="5"/>
          <w:numId w:val="1"/>
        </w:numPr>
        <w:rPr/>
      </w:pPr>
      <w:bookmarkStart w:id="3396" w:name="__RefHeading___Toc3600183_1067777946"/>
      <w:bookmarkStart w:id="3397" w:name="_Toc1412"/>
      <w:bookmarkEnd w:id="3396"/>
      <w:r>
        <w:rPr>
          <w:rtl w:val="true"/>
        </w:rPr>
        <w:t>اسلام زوج كتابيّه و زوجۀ كتابى</w:t>
      </w:r>
      <w:bookmarkEnd w:id="3397"/>
    </w:p>
    <w:p>
      <w:pPr>
        <w:pStyle w:val="BookText"/>
        <w:rPr/>
      </w:pPr>
      <w:r>
        <w:rPr>
          <w:rFonts w:ascii="IRNazanin" w:hAnsi="IRNazanin" w:eastAsia="IRNazanin"/>
          <w:color w:val="111111"/>
          <w:sz w:val="28"/>
          <w:sz w:val="28"/>
          <w:szCs w:val="28"/>
          <w:rtl w:val="true"/>
          <w:lang w:bidi="fa-IR"/>
        </w:rPr>
        <w:t>زوج كتابيه اگر اسلام اختيار كرد، نكاح او باقى است، چه آنكه قبل از دخول باشد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الحاق زوج مجوسيه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آنكه زوج كتابى باشد يا غير كتابى، در صورت اعتقاد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مقتضاى دين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نكاح 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زوجۀ كتابى اسلام اختيار كرد قبل از دخول، نكاح منفسخ مى شود و تمام مهر را مستحق نيست، و احوط اداى نصف است يا مصالحۀ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زوجۀ كافر غير كتابى هم همين حكم را دارد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اسلام زوجه، بعد از دخول بود، پس اگر زوجْ مسلمان شد قبل از انقضاى عدۀ طلاق، باقى است نكاح ايشان، وگرنه متبيّن مى شود انفساخ از حين اسلام زوجه، </w:t>
      </w:r>
      <w:bookmarkStart w:id="3398" w:name="pg10256_89890"/>
    </w:p>
    <w:p>
      <w:pPr>
        <w:pStyle w:val="BookText"/>
        <w:rPr/>
      </w:pPr>
      <w:bookmarkEnd w:id="3398"/>
      <w:r>
        <w:rPr>
          <w:rFonts w:ascii="IRNazanin" w:hAnsi="IRNazanin" w:eastAsia="IRNazanin"/>
          <w:color w:val="111111"/>
          <w:sz w:val="28"/>
          <w:sz w:val="28"/>
          <w:szCs w:val="28"/>
          <w:rtl w:val="true"/>
          <w:lang w:bidi="fa-IR"/>
        </w:rPr>
        <w:t>و اين حكم ثابت است براى كافر غير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مسلمان شدند با هم، باقى است نكاح، مثل صورت اسلام كتابى</w:t>
      </w:r>
      <w:r>
        <w:rPr>
          <w:rFonts w:eastAsia="IRNazanin" w:cs="IRNazanin"/>
          <w:color w:val="111111"/>
          <w:sz w:val="28"/>
          <w:szCs w:val="28"/>
          <w:rtl w:val="true"/>
          <w:lang w:bidi="fa-IR"/>
        </w:rPr>
        <w:t>.</w:t>
      </w:r>
    </w:p>
    <w:p>
      <w:pPr>
        <w:pStyle w:val="Heading6"/>
        <w:numPr>
          <w:ilvl w:val="5"/>
          <w:numId w:val="1"/>
        </w:numPr>
        <w:rPr/>
      </w:pPr>
      <w:bookmarkStart w:id="3399" w:name="__RefHeading___Toc3600185_1067777946"/>
      <w:bookmarkStart w:id="3400" w:name="_Toc1413"/>
      <w:bookmarkEnd w:id="3399"/>
      <w:r>
        <w:rPr>
          <w:rtl w:val="true"/>
        </w:rPr>
        <w:t>حكم اسلام متعقّب بر شرك</w:t>
      </w:r>
      <w:bookmarkEnd w:id="3400"/>
    </w:p>
    <w:p>
      <w:pPr>
        <w:pStyle w:val="BookText"/>
        <w:rPr/>
      </w:pPr>
      <w:r>
        <w:rPr>
          <w:rFonts w:ascii="IRNazanin" w:hAnsi="IRNazanin" w:eastAsia="IRNazanin"/>
          <w:color w:val="111111"/>
          <w:sz w:val="28"/>
          <w:sz w:val="28"/>
          <w:szCs w:val="28"/>
          <w:rtl w:val="true"/>
          <w:lang w:bidi="fa-IR"/>
        </w:rPr>
        <w:t>و اگر زوجين وثنى و مانند آن بودند، يكى از ايشان اسلام اختيار كرد قبل از دخول، نكاح منفسخ مى شود فى الحال، و استحقاق جميع مهر يا نصف آن، در اسلام زوجه محتمل است؛ و بعد از دخول، موقوف است بقاى نكاح، بر اسلام ديگرى قبل از انقضاى عدۀ طلاق</w:t>
      </w:r>
      <w:r>
        <w:rPr>
          <w:rFonts w:eastAsia="IRNazanin" w:cs="IRNazanin"/>
          <w:color w:val="111111"/>
          <w:sz w:val="28"/>
          <w:szCs w:val="28"/>
          <w:rtl w:val="true"/>
          <w:lang w:bidi="fa-IR"/>
        </w:rPr>
        <w:t>.</w:t>
      </w:r>
    </w:p>
    <w:p>
      <w:pPr>
        <w:pStyle w:val="Heading6"/>
        <w:numPr>
          <w:ilvl w:val="5"/>
          <w:numId w:val="1"/>
        </w:numPr>
        <w:rPr/>
      </w:pPr>
      <w:bookmarkStart w:id="3401" w:name="__RefHeading___Toc3600187_1067777946"/>
      <w:bookmarkStart w:id="3402" w:name="_Toc1414"/>
      <w:bookmarkEnd w:id="3401"/>
      <w:r>
        <w:rPr>
          <w:rtl w:val="true"/>
        </w:rPr>
        <w:t>انتقال زوجۀ ذمّى به دين ديگر</w:t>
      </w:r>
      <w:bookmarkEnd w:id="3402"/>
    </w:p>
    <w:p>
      <w:pPr>
        <w:pStyle w:val="BookText"/>
        <w:rPr/>
      </w:pPr>
      <w:r>
        <w:rPr>
          <w:rFonts w:ascii="IRNazanin" w:hAnsi="IRNazanin" w:eastAsia="IRNazanin"/>
          <w:color w:val="111111"/>
          <w:sz w:val="28"/>
          <w:sz w:val="28"/>
          <w:szCs w:val="28"/>
          <w:rtl w:val="true"/>
          <w:lang w:bidi="fa-IR"/>
        </w:rPr>
        <w:t xml:space="preserve">اگر زوجۀ ذمى منتقل شد به دين ديگر غير از اسلام، پس اگر در دين طرفين و در اسلام، ابقاى نكاح آنها با خصوصيت منتقل عنه واليه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براى آن باشد كه انتقال بعد از بعثت قبول نمى شود حتى در حكم مناكحه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الحال منفسخ مى شود؛ و اگر ابقا مى شود، مثل آن است كه انتقالى نبوده، اگر چه در ساير احكام، مثل عدم انتقال نباشد، مثل وجوب قتل</w:t>
      </w:r>
      <w:r>
        <w:rPr>
          <w:rFonts w:eastAsia="IRNazanin" w:cs="IRNazanin"/>
          <w:color w:val="111111"/>
          <w:sz w:val="28"/>
          <w:szCs w:val="28"/>
          <w:rtl w:val="true"/>
          <w:lang w:bidi="fa-IR"/>
        </w:rPr>
        <w:t>.</w:t>
      </w:r>
    </w:p>
    <w:p>
      <w:pPr>
        <w:pStyle w:val="Heading5"/>
        <w:numPr>
          <w:ilvl w:val="4"/>
          <w:numId w:val="1"/>
        </w:numPr>
        <w:rPr/>
      </w:pPr>
      <w:bookmarkStart w:id="3403" w:name="__RefHeading___Toc3600189_1067777946"/>
      <w:bookmarkStart w:id="3404" w:name="_Toc1415"/>
      <w:bookmarkEnd w:id="3403"/>
      <w:r>
        <w:rPr>
          <w:rtl w:val="true"/>
        </w:rPr>
        <w:t>احكام اختيار زوجات</w:t>
      </w:r>
      <w:bookmarkEnd w:id="3404"/>
    </w:p>
    <w:p>
      <w:pPr>
        <w:pStyle w:val="Heading6"/>
        <w:numPr>
          <w:ilvl w:val="5"/>
          <w:numId w:val="1"/>
        </w:numPr>
        <w:rPr/>
      </w:pPr>
      <w:bookmarkStart w:id="3405" w:name="__RefHeading___Toc3600191_1067777946"/>
      <w:bookmarkStart w:id="3406" w:name="_Toc1416"/>
      <w:bookmarkEnd w:id="3405"/>
      <w:r>
        <w:rPr>
          <w:rtl w:val="true"/>
        </w:rPr>
        <w:t>حكم اسلام آوردن كسى كه ازيد از مقدار جايز، زوجه دارد</w:t>
      </w:r>
      <w:bookmarkEnd w:id="340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آورد ذمى يا وثنى و آنكه در حكم او است درحالى كه ازيد از مقدار جايز براى مسلم، كتابيات در عقد دائم او باشد، اقتصار مى كند و اختيارِ مقدار جايز مى نمايد، بدون تجديد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جواز نكاح آن در اسلام بدون شرطى، يا با شرط حاصل به نحوى كه در ابتداى نكاح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 آزاد، يا دو آزاد و دو كنيز، يا سه آزاد و يك كنيز در صورتى كه مسلمْ آزاد باشد؛ و اگر بنده باشد استدامه مى نمايد دو آزاد را يا يك آزاد و دو كنيز را يا چهار كنيز را، و مفارقت مى نمايد بقيه را بدون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متأخّر از آنها و متقدّم در عقد، و مدخول بها و غير او نيست</w:t>
      </w:r>
      <w:r>
        <w:rPr>
          <w:rFonts w:eastAsia="IRNazanin" w:cs="IRNazanin"/>
          <w:color w:val="111111"/>
          <w:sz w:val="28"/>
          <w:szCs w:val="28"/>
          <w:rtl w:val="true"/>
          <w:lang w:bidi="fa-IR"/>
        </w:rPr>
        <w:t xml:space="preserve">. </w:t>
      </w:r>
      <w:bookmarkStart w:id="3407" w:name="pg10256_89891"/>
    </w:p>
    <w:p>
      <w:pPr>
        <w:pStyle w:val="BookText"/>
        <w:rPr/>
      </w:pPr>
      <w:bookmarkEnd w:id="3407"/>
      <w:r>
        <w:rPr>
          <w:rFonts w:ascii="IRNazanin" w:hAnsi="IRNazanin" w:eastAsia="IRNazanin"/>
          <w:color w:val="111111"/>
          <w:sz w:val="28"/>
          <w:sz w:val="28"/>
          <w:szCs w:val="28"/>
          <w:rtl w:val="true"/>
          <w:lang w:bidi="fa-IR"/>
        </w:rPr>
        <w:t>و اگر بالخصوص بعضى از آنها محرّم باشند، عيناً يا جمعاً از غير ناحيۀ عدد، رعايت مقتضاى اسلام در بارۀ محرّم ها مى نمايد</w:t>
      </w:r>
      <w:r>
        <w:rPr>
          <w:rFonts w:eastAsia="IRNazanin" w:cs="IRNazanin"/>
          <w:color w:val="111111"/>
          <w:sz w:val="28"/>
          <w:szCs w:val="28"/>
          <w:rtl w:val="true"/>
          <w:lang w:bidi="fa-IR"/>
        </w:rPr>
        <w:t>.</w:t>
      </w:r>
    </w:p>
    <w:p>
      <w:pPr>
        <w:pStyle w:val="Heading6"/>
        <w:numPr>
          <w:ilvl w:val="5"/>
          <w:numId w:val="1"/>
        </w:numPr>
        <w:rPr/>
      </w:pPr>
      <w:bookmarkStart w:id="3408" w:name="__RefHeading___Toc3600193_1067777946"/>
      <w:bookmarkStart w:id="3409" w:name="_Toc1417"/>
      <w:bookmarkEnd w:id="3408"/>
      <w:r>
        <w:rPr>
          <w:rtl w:val="true"/>
        </w:rPr>
        <w:t>حكم ازدواج فاسد در نزد مسلمين بعد از اسلام آوردن زوج</w:t>
      </w:r>
      <w:bookmarkEnd w:id="3409"/>
    </w:p>
    <w:p>
      <w:pPr>
        <w:pStyle w:val="BookText"/>
        <w:rPr/>
      </w:pPr>
      <w:r>
        <w:rPr>
          <w:rFonts w:ascii="IRNazanin" w:hAnsi="IRNazanin" w:eastAsia="IRNazanin"/>
          <w:color w:val="111111"/>
          <w:sz w:val="28"/>
          <w:sz w:val="28"/>
          <w:szCs w:val="28"/>
          <w:rtl w:val="true"/>
          <w:lang w:bidi="fa-IR"/>
        </w:rPr>
        <w:t>و آنچه صحيح است نزد غير مسلمين و فاسد است نزد مسلمين از نكاح، پس بعد از اسلام زوج، اگر مفسد باقى است، محكوم به فساد است، و اگر نه محكوم به صحّت است؛ مثل آنكه قبل از اسلام، بيش از چهار زن داشته و بعد از اسلام، زايد وفات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تجديد عقد است اگر قبل از اسلام، عقد در عدۀ غير كرده بوده با اعتقاد جواز در دين خودشان، و بعد از عده مسلمان شد؛ و هم چنين متعه بدون مهر، با اعتقاد جواز در دين خودشان قبل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نيست اسلام آن چهار كه اختيار مى شوند، بنابر آنچه ذكر شد از جواز ازدواج با كتابيّه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وثنى باشند، منفسخ مى شود نكاح آنها در حال اسلام زوج اگر قبل از دخول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دخول، اسلام زوج واقع شد، پس اگر قبل از انقضاى عده، زنها مسلمان شدند، باقى بر نكاح مى شوند به عدد مذكور، وگرنه نكاح معلوم الانفساخ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زن با زوج مسلمان شدند، و بقيّه كتابى بودند، اظهر بقاى تخيير است در ابقاى كتابيات، اگر چه اولى و احوط اختيار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اختيار، مبطل عقد زايد بر غير مختاره است، پس با عدم دخول به غير مختاره، ثابت است مسمّى از مهر يا نصف آن، به تردّدى كه در غير طلاق گذشت؛ و با دخول، تمام مسمّى ثابت است براى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عدد كتابيات بعد از اسلام زوج، از قدر محلَّل زايد نبود، باقى است نكاح آنها</w:t>
      </w:r>
      <w:r>
        <w:rPr>
          <w:rFonts w:eastAsia="IRNazanin" w:cs="IRNazanin"/>
          <w:color w:val="111111"/>
          <w:sz w:val="28"/>
          <w:szCs w:val="28"/>
          <w:rtl w:val="true"/>
          <w:lang w:bidi="fa-IR"/>
        </w:rPr>
        <w:t>.</w:t>
      </w:r>
    </w:p>
    <w:p>
      <w:pPr>
        <w:pStyle w:val="Heading6"/>
        <w:numPr>
          <w:ilvl w:val="5"/>
          <w:numId w:val="1"/>
        </w:numPr>
        <w:rPr/>
      </w:pPr>
      <w:bookmarkStart w:id="3410" w:name="__RefHeading___Toc3600195_1067777946"/>
      <w:bookmarkStart w:id="3411" w:name="_Toc1418"/>
      <w:bookmarkEnd w:id="3410"/>
      <w:r>
        <w:rPr>
          <w:rtl w:val="true"/>
        </w:rPr>
        <w:t>جواز و عدم جواز اجبار زوجۀ كتابيّه بر غسل و غير آن</w:t>
      </w:r>
      <w:bookmarkEnd w:id="341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براى مسلم نيست اجبار زوجۀ كتابيّه بر غسل از حيض و جنابت، بنابر عدم اشتراط </w:t>
      </w:r>
      <w:bookmarkStart w:id="3412" w:name="pg10256_89892"/>
    </w:p>
    <w:p>
      <w:pPr>
        <w:pStyle w:val="BookText"/>
        <w:rPr/>
      </w:pPr>
      <w:bookmarkEnd w:id="3412"/>
      <w:r>
        <w:rPr>
          <w:rFonts w:ascii="IRNazanin" w:hAnsi="IRNazanin" w:eastAsia="IRNazanin"/>
          <w:color w:val="111111"/>
          <w:sz w:val="28"/>
          <w:sz w:val="28"/>
          <w:szCs w:val="28"/>
          <w:rtl w:val="true"/>
          <w:lang w:bidi="fa-IR"/>
        </w:rPr>
        <w:t>وطى به غسل از حيض، اگر چه احوط اجبار به اتيان به ممكن از غسل است بنابر اشتراط وطى حايض به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زوج مسلم است اجبار زوجۀ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ازالۀ منفّرات و صوارف از مقاربت، و در مانع از كمال تأمل است؛ و هم چنين منع از خروج به كنايس و بيع، بلكه مطلق خروج به سوى ارحام</w:t>
      </w:r>
      <w:r>
        <w:rPr>
          <w:rFonts w:eastAsia="IRNazanin" w:cs="IRNazanin"/>
          <w:color w:val="111111"/>
          <w:sz w:val="28"/>
          <w:szCs w:val="28"/>
          <w:rtl w:val="true"/>
          <w:lang w:bidi="fa-IR"/>
        </w:rPr>
        <w:t>.</w:t>
      </w:r>
    </w:p>
    <w:p>
      <w:pPr>
        <w:pStyle w:val="Heading6"/>
        <w:numPr>
          <w:ilvl w:val="5"/>
          <w:numId w:val="1"/>
        </w:numPr>
        <w:rPr/>
      </w:pPr>
      <w:bookmarkStart w:id="3413" w:name="__RefHeading___Toc3600197_1067777946"/>
      <w:bookmarkStart w:id="3414" w:name="_Toc1419"/>
      <w:bookmarkEnd w:id="3413"/>
      <w:r>
        <w:rPr>
          <w:rtl w:val="true"/>
        </w:rPr>
        <w:t>كيفيّت اختيار</w:t>
      </w:r>
      <w:bookmarkEnd w:id="3414"/>
    </w:p>
    <w:p>
      <w:pPr>
        <w:pStyle w:val="BookText"/>
        <w:rPr/>
      </w:pPr>
      <w:r>
        <w:rPr>
          <w:rFonts w:ascii="Amiri" w:hAnsi="Amiri" w:eastAsia="Amiri" w:cs="Amiri"/>
          <w:color w:val="111111"/>
          <w:sz w:val="28"/>
          <w:sz w:val="28"/>
          <w:szCs w:val="28"/>
          <w:rtl w:val="true"/>
          <w:lang w:bidi="ar-SA"/>
        </w:rPr>
        <w:t xml:space="preserve">و محقّق مى شود اختيار، به قول دالّ بر ابقاى زن بر نكاح سابق،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آنها از اقوال و افعال دالّۀ بر اين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ترتيب عدد را اختيار نمود، چهار مقدم باقى، و بقيه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پنج نفر را اختيار كرد، بقيه خارج مى شوند و باقى مى ماند اختيار در غير يكى از پنج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اختيار فراق زايد بر چهار كرد، باقى مى ماند چهار در عقد</w:t>
      </w:r>
      <w:r>
        <w:rPr>
          <w:rFonts w:eastAsia="IRNazanin" w:cs="IRNazanin"/>
          <w:color w:val="111111"/>
          <w:sz w:val="28"/>
          <w:szCs w:val="28"/>
          <w:rtl w:val="true"/>
          <w:lang w:bidi="fa-IR"/>
        </w:rPr>
        <w:t>.</w:t>
      </w:r>
    </w:p>
    <w:p>
      <w:pPr>
        <w:pStyle w:val="Heading6"/>
        <w:numPr>
          <w:ilvl w:val="5"/>
          <w:numId w:val="1"/>
        </w:numPr>
        <w:rPr/>
      </w:pPr>
      <w:bookmarkStart w:id="3415" w:name="__RefHeading___Toc3600199_1067777946"/>
      <w:bookmarkStart w:id="3416" w:name="_Toc1420"/>
      <w:bookmarkEnd w:id="3415"/>
      <w:r>
        <w:rPr>
          <w:rtl w:val="true"/>
        </w:rPr>
        <w:t>محدودۀ تأثير طلاق و</w:t>
      </w:r>
      <w:r>
        <w:rPr>
          <w:rtl w:val="true"/>
        </w:rPr>
        <w:t>...</w:t>
      </w:r>
      <w:bookmarkEnd w:id="3416"/>
    </w:p>
    <w:p>
      <w:pPr>
        <w:pStyle w:val="BookText"/>
        <w:rPr/>
      </w:pPr>
      <w:r>
        <w:rPr>
          <w:rFonts w:ascii="IRNazanin" w:hAnsi="IRNazanin" w:eastAsia="IRNazanin"/>
          <w:color w:val="111111"/>
          <w:sz w:val="28"/>
          <w:sz w:val="28"/>
          <w:szCs w:val="28"/>
          <w:rtl w:val="true"/>
          <w:lang w:bidi="fa-IR"/>
        </w:rPr>
        <w:t>و اگر به يكى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كاشف بود از سبق اختيار به سبب دال بر او، از چهار محسوب مى شود و طلاق داده مى شود، و بقيه به مفارقتِ لازمه خارج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كشف از اختيار قلبىِ سابق، تأمّل است، و احوط در صورت بقاى قصد، تجديد اختيار 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كاشف نبود، مثل صورت جهل به عدم احتياج مفارقت به طلاق و هم چنين صورت علم به عدم صحّت طلاق به واسطۀ عدم شرط صحّت، اظهر حصول مفارقت او است اگر چه واجد شروط طلاق نباشد، و چهار منحصر در غير او مى شود، نه آنكه اين طلاق اگر چه فاسد است، كاشف از سبق اختيار است و آنكه بقيّۀ زايد بر چهار، خارج مى شوند از زوجيّت</w:t>
      </w:r>
      <w:r>
        <w:rPr>
          <w:rFonts w:eastAsia="IRNazanin" w:cs="IRNazanin"/>
          <w:color w:val="111111"/>
          <w:sz w:val="28"/>
          <w:szCs w:val="28"/>
          <w:rtl w:val="true"/>
          <w:lang w:bidi="fa-IR"/>
        </w:rPr>
        <w:t>.</w:t>
      </w:r>
    </w:p>
    <w:p>
      <w:pPr>
        <w:pStyle w:val="Heading6"/>
        <w:numPr>
          <w:ilvl w:val="5"/>
          <w:numId w:val="1"/>
        </w:numPr>
        <w:rPr/>
      </w:pPr>
      <w:bookmarkStart w:id="3417" w:name="__RefHeading___Toc3600201_1067777946"/>
      <w:bookmarkStart w:id="3418" w:name="_Toc1421"/>
      <w:bookmarkEnd w:id="3417"/>
      <w:r>
        <w:rPr>
          <w:rtl w:val="true"/>
        </w:rPr>
        <w:t>الحاق فسخ به عيب، به طلاق</w:t>
      </w:r>
      <w:bookmarkEnd w:id="3418"/>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دور نيست الحاق فسخ به عيب، به طلاق در صور متقدمه و لوازم مذكورۀ آنها از </w:t>
      </w:r>
      <w:bookmarkStart w:id="3419" w:name="pg10256_89893"/>
    </w:p>
    <w:p>
      <w:pPr>
        <w:pStyle w:val="BookText"/>
        <w:rPr/>
      </w:pPr>
      <w:bookmarkEnd w:id="3419"/>
      <w:r>
        <w:rPr>
          <w:rFonts w:ascii="IRNazanin" w:hAnsi="IRNazanin" w:eastAsia="IRNazanin"/>
          <w:color w:val="111111"/>
          <w:sz w:val="28"/>
          <w:sz w:val="28"/>
          <w:szCs w:val="28"/>
          <w:rtl w:val="true"/>
          <w:lang w:bidi="fa-IR"/>
        </w:rPr>
        <w:t>كشف از اختيار و تاثير فسخ در زوال نكاح و استلزام مفارقت از بقيۀ زايد بر چهار، يا كشف از مفارقت مفسوخ عليها و اختيار بقيۀ در ضمن چهار، و آنچه در صورت احتياط ذكر شد</w:t>
      </w:r>
      <w:r>
        <w:rPr>
          <w:rFonts w:eastAsia="IRNazanin" w:cs="IRNazanin"/>
          <w:color w:val="111111"/>
          <w:sz w:val="28"/>
          <w:szCs w:val="28"/>
          <w:rtl w:val="true"/>
          <w:lang w:bidi="fa-IR"/>
        </w:rPr>
        <w:t>.</w:t>
      </w:r>
    </w:p>
    <w:p>
      <w:pPr>
        <w:pStyle w:val="Heading6"/>
        <w:numPr>
          <w:ilvl w:val="5"/>
          <w:numId w:val="1"/>
        </w:numPr>
        <w:rPr/>
      </w:pPr>
      <w:bookmarkStart w:id="3420" w:name="__RefHeading___Toc3600203_1067777946"/>
      <w:bookmarkStart w:id="3421" w:name="_Toc1422"/>
      <w:bookmarkEnd w:id="3420"/>
      <w:r>
        <w:rPr>
          <w:rtl w:val="true"/>
        </w:rPr>
        <w:t>حكم ظهار و ايلاء در كاشفيّت از اختيار</w:t>
      </w:r>
      <w:bookmarkEnd w:id="3421"/>
    </w:p>
    <w:p>
      <w:pPr>
        <w:pStyle w:val="BookText"/>
        <w:rPr/>
      </w:pPr>
      <w:r>
        <w:rPr>
          <w:rFonts w:ascii="IRNazanin" w:hAnsi="IRNazanin" w:eastAsia="IRNazanin"/>
          <w:color w:val="111111"/>
          <w:sz w:val="28"/>
          <w:sz w:val="28"/>
          <w:szCs w:val="28"/>
          <w:rtl w:val="true"/>
          <w:lang w:bidi="fa-IR"/>
        </w:rPr>
        <w:t>و اما ظهار و ايلاء، پس از ملتفت به آنها و لوازم شرعيّۀ آنها، كاشف از اختيار است؛ و در تحقق ظهار و ايلاء و صحّت آنها واقعاً، تأمل است؛ منشأ آن، احتمال تحقق اختيار به نفس اين دو امر است، نه سابق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حسب قراين، كشف از مفارقت مى نمايند و زوجيّت در غير اينها منحصر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كدام از طلاق و ظهار و ايلاء، كاشف از اختيار يا مفارقت نباشد، با اختيار يا مفارقت متأخّره، در زمان صحّت اينها، كاشف از سبق زوجيّت يا مفارقت و مقارنت آنها با اسلام مى شوند، و كاشف از صحّت آنها در صورت اختيار كاشف از زوجيّت، يا عدم صحّت آنها در صورت مفارقت كاشفه از عدم زوجيّت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قذف كرد يكى و اختيار كرد نصاب از غير را، حد قذف ثابت است، و با بيّنه ساقط مى شود نه با لعان، چون اجنبيه است</w:t>
      </w:r>
      <w:r>
        <w:rPr>
          <w:rFonts w:eastAsia="IRNazanin" w:cs="IRNazanin"/>
          <w:color w:val="111111"/>
          <w:sz w:val="28"/>
          <w:szCs w:val="28"/>
          <w:rtl w:val="true"/>
          <w:lang w:bidi="fa-IR"/>
        </w:rPr>
        <w:t>.</w:t>
      </w:r>
    </w:p>
    <w:p>
      <w:pPr>
        <w:pStyle w:val="Heading6"/>
        <w:numPr>
          <w:ilvl w:val="5"/>
          <w:numId w:val="1"/>
        </w:numPr>
        <w:rPr/>
      </w:pPr>
      <w:bookmarkStart w:id="3422" w:name="__RefHeading___Toc3600205_1067777946"/>
      <w:bookmarkStart w:id="3423" w:name="_Toc1423"/>
      <w:bookmarkEnd w:id="3422"/>
      <w:r>
        <w:rPr>
          <w:rtl w:val="true"/>
        </w:rPr>
        <w:t>طلاق يا ظهار يا ايلاء يا قذف در حال كفر زوجات</w:t>
      </w:r>
      <w:bookmarkEnd w:id="3423"/>
    </w:p>
    <w:p>
      <w:pPr>
        <w:pStyle w:val="BookText"/>
        <w:rPr/>
      </w:pPr>
      <w:r>
        <w:rPr>
          <w:rFonts w:ascii="IRNazanin" w:hAnsi="IRNazanin" w:eastAsia="IRNazanin"/>
          <w:color w:val="111111"/>
          <w:sz w:val="28"/>
          <w:sz w:val="28"/>
          <w:szCs w:val="28"/>
          <w:rtl w:val="true"/>
          <w:lang w:bidi="fa-IR"/>
        </w:rPr>
        <w:t>و اگر طلاق داد يا ظهار يا ايلاء يا قذف كرد بعد از اسلام در حال كفر آنها به مثل وثنى بودن، پس اگر زنها تا انقضاى عده، كافر بودند، حكمى براى مذكورات نيست، به جهت وقوع بر غير زوجه و بر كافره، و فقط تعزير ثابت است، و با بيّنه ساقط مى شود</w:t>
      </w:r>
      <w:r>
        <w:rPr>
          <w:rFonts w:eastAsia="IRNazanin" w:cs="IRNazanin"/>
          <w:color w:val="111111"/>
          <w:sz w:val="28"/>
          <w:szCs w:val="28"/>
          <w:rtl w:val="true"/>
          <w:lang w:bidi="fa-IR"/>
        </w:rPr>
        <w:t>.</w:t>
      </w:r>
    </w:p>
    <w:p>
      <w:pPr>
        <w:pStyle w:val="Heading6"/>
        <w:numPr>
          <w:ilvl w:val="5"/>
          <w:numId w:val="1"/>
        </w:numPr>
        <w:rPr/>
      </w:pPr>
      <w:bookmarkStart w:id="3424" w:name="__RefHeading___Toc3600207_1067777946"/>
      <w:bookmarkStart w:id="3425" w:name="_Toc1424"/>
      <w:bookmarkEnd w:id="3424"/>
      <w:r>
        <w:rPr>
          <w:rtl w:val="true"/>
        </w:rPr>
        <w:t>حكم مذكورات بعد از اختيار اسلام در عدّه</w:t>
      </w:r>
      <w:bookmarkEnd w:id="3425"/>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عده، اسلام اختيار كردند، محتمل است طلاق صحيح باشد، به جهت كشف اسلام در عده از زوجيّت در حال اسلام زوج، در صورتى كه ازيد از نصاب نباشد، يا نصاب فما دون نصاب را طلاق داده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طلاق متعقّب به اسلام در عده، </w:t>
      </w:r>
      <w:bookmarkStart w:id="3426" w:name="pg10256_89894"/>
    </w:p>
    <w:p>
      <w:pPr>
        <w:pStyle w:val="BookText"/>
        <w:rPr/>
      </w:pPr>
      <w:bookmarkEnd w:id="3426"/>
      <w:r>
        <w:rPr>
          <w:rFonts w:ascii="Amiri" w:hAnsi="Amiri" w:eastAsia="Amiri" w:cs="Amiri"/>
          <w:color w:val="111111"/>
          <w:sz w:val="28"/>
          <w:sz w:val="28"/>
          <w:szCs w:val="28"/>
          <w:rtl w:val="true"/>
          <w:lang w:bidi="ar-SA"/>
        </w:rPr>
        <w:t>اختيار مطلقات مى شود با شرط سابق در كشف طلاق از اختيار و صحّت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است صحّت طلاق، مراعى به اسلام در عده و اختيار مطلقات بعد از اسلام آنها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اوّل كه مبنى بر كشف اسلام در عده از صحّت اختيار سابق است، اظهر است با شرط 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فرض، زايد بر نصاب بودند و همه را طلاق داد، اسلام در عده، كاشف از صحّت طلاق در نصاب مى شود، و متعين با اختيار بعدى يا قرعه مى شود، لكن احتياط در تجديد طلاق معيّن، و طلاق، يا تجديد عقد بر غير آنها در صورت ارادۀ آنها،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صحّت ظهار و ايلاء، موقوف بر اختيار خصوص آنهايى است كه واقع كرده شده بر آنها، و اگر خود آنها اختيار نباشد، يا آنكه اختيار آنها در ضمن جميع باشد، موقوف است اختيار نصاب، بر اختيار ديگر، يا قرعه، يا آنچه ذكر شد</w:t>
      </w:r>
      <w:r>
        <w:rPr>
          <w:rFonts w:eastAsia="IRNazanin" w:cs="IRNazanin"/>
          <w:color w:val="111111"/>
          <w:sz w:val="28"/>
          <w:szCs w:val="28"/>
          <w:rtl w:val="true"/>
          <w:lang w:bidi="fa-IR"/>
        </w:rPr>
        <w:t>.</w:t>
      </w:r>
    </w:p>
    <w:p>
      <w:pPr>
        <w:pStyle w:val="Heading6"/>
        <w:numPr>
          <w:ilvl w:val="5"/>
          <w:numId w:val="1"/>
        </w:numPr>
        <w:rPr/>
      </w:pPr>
      <w:bookmarkStart w:id="3427" w:name="__RefHeading___Toc3600209_1067777946"/>
      <w:bookmarkStart w:id="3428" w:name="_Toc1425"/>
      <w:bookmarkEnd w:id="3427"/>
      <w:r>
        <w:rPr>
          <w:rtl w:val="true"/>
        </w:rPr>
        <w:t>تعزير بر قذف</w:t>
      </w:r>
      <w:bookmarkEnd w:id="3428"/>
    </w:p>
    <w:p>
      <w:pPr>
        <w:pStyle w:val="BookText"/>
        <w:rPr/>
      </w:pPr>
      <w:r>
        <w:rPr>
          <w:rFonts w:ascii="IRNazanin" w:hAnsi="IRNazanin" w:eastAsia="IRNazanin"/>
          <w:color w:val="111111"/>
          <w:sz w:val="28"/>
          <w:sz w:val="28"/>
          <w:szCs w:val="28"/>
          <w:rtl w:val="true"/>
          <w:lang w:bidi="fa-IR"/>
        </w:rPr>
        <w:t>و قذف موجب تعزير است، و با بيّنه ساقط مى شود فقط، زيرا مصادف با كفر زن بوده، مگر آنكه اختيار كند مقذوفه را، كه تعزير مى شود، و با هر يك از لعان و بيّنه ساقط مى شود</w:t>
      </w:r>
      <w:r>
        <w:rPr>
          <w:rFonts w:eastAsia="IRNazanin" w:cs="IRNazanin"/>
          <w:color w:val="111111"/>
          <w:sz w:val="28"/>
          <w:szCs w:val="28"/>
          <w:rtl w:val="true"/>
          <w:lang w:bidi="fa-IR"/>
        </w:rPr>
        <w:t>.</w:t>
      </w:r>
    </w:p>
    <w:p>
      <w:pPr>
        <w:pStyle w:val="Heading6"/>
        <w:numPr>
          <w:ilvl w:val="5"/>
          <w:numId w:val="1"/>
        </w:numPr>
        <w:rPr/>
      </w:pPr>
      <w:bookmarkStart w:id="3429" w:name="__RefHeading___Toc3600211_1067777946"/>
      <w:bookmarkStart w:id="3430" w:name="_Toc1426"/>
      <w:bookmarkEnd w:id="3429"/>
      <w:r>
        <w:rPr>
          <w:rtl w:val="true"/>
        </w:rPr>
        <w:t>الفاظ و افعال دالّه بر اختيار</w:t>
      </w:r>
      <w:bookmarkEnd w:id="3430"/>
    </w:p>
    <w:p>
      <w:pPr>
        <w:pStyle w:val="BookText"/>
        <w:rPr/>
      </w:pPr>
      <w:r>
        <w:rPr>
          <w:rFonts w:ascii="IRNazanin" w:hAnsi="IRNazanin" w:eastAsia="IRNazanin"/>
          <w:color w:val="111111"/>
          <w:sz w:val="28"/>
          <w:sz w:val="28"/>
          <w:szCs w:val="28"/>
          <w:rtl w:val="true"/>
          <w:lang w:bidi="fa-IR"/>
        </w:rPr>
        <w:t>و الفاظى كه دلالتش بر طلاق و هر امرى كه مترتّب بر زوجيّت است تام است اگر چه به نحو كنايۀ صحيحه باشد، كشف از اختيار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حصول اختيار است با تعليق، مگر آنكه معلّق عليه، معلوم الحصول بالفعل باشد واقعاً و در نظر اختياركننده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افعالى كه ظاهر آنها اختيار است مثل وطى در وقتى كه استمرار التفات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ادّعاى غفلت يا قرينه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اختيار محقّق مى شود، مثل رجوع و فسخ بيع و هم چنين تقبيل و لمس محرّم بر غير زوج</w:t>
      </w:r>
      <w:r>
        <w:rPr>
          <w:rFonts w:eastAsia="IRNazanin" w:cs="IRNazanin"/>
          <w:color w:val="111111"/>
          <w:sz w:val="28"/>
          <w:szCs w:val="28"/>
          <w:rtl w:val="true"/>
          <w:lang w:bidi="fa-IR"/>
        </w:rPr>
        <w:t xml:space="preserve">. </w:t>
      </w:r>
      <w:bookmarkStart w:id="3431" w:name="pg10256_89895"/>
    </w:p>
    <w:p>
      <w:pPr>
        <w:pStyle w:val="Heading6"/>
        <w:numPr>
          <w:ilvl w:val="5"/>
          <w:numId w:val="1"/>
        </w:numPr>
        <w:rPr/>
      </w:pPr>
      <w:bookmarkStart w:id="3432" w:name="__RefHeading___Toc3600213_1067777946"/>
      <w:bookmarkStart w:id="3433" w:name="_Toc1427"/>
      <w:bookmarkEnd w:id="3431"/>
      <w:bookmarkEnd w:id="3432"/>
      <w:r>
        <w:rPr>
          <w:rtl w:val="true"/>
        </w:rPr>
        <w:t>عقد خواهر در فرض مسأله</w:t>
      </w:r>
      <w:bookmarkEnd w:id="3433"/>
    </w:p>
    <w:p>
      <w:pPr>
        <w:pStyle w:val="BookText"/>
        <w:rPr/>
      </w:pPr>
      <w:r>
        <w:rPr>
          <w:rFonts w:ascii="Amiri" w:hAnsi="Amiri" w:eastAsia="Amiri" w:cs="Amiri"/>
          <w:color w:val="111111"/>
          <w:sz w:val="28"/>
          <w:sz w:val="28"/>
          <w:szCs w:val="28"/>
          <w:rtl w:val="true"/>
          <w:lang w:bidi="ar-SA"/>
        </w:rPr>
        <w:t>و عقد خواهر در صورت زايد بودن آن بر نصاب، اختيار فسخ عقد سابق خواهر او است، با قراين لازمه در كشف فسخ و كشف سبق فسخ، و عقد جديد صحيح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كاشف از سبق فسخ نبود، فسخ حاصل مى شود، و عقدْ غير صحيح است بنابر احتياط؛ و مناسب، تجديد عقد است بعد از عده، بر خواهر معقودۀ بعد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منحصر كرد مختارها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زن معيّن، بقيه خارج مى شوند از زوجيّت، و عده مى گيرند از فسخ</w:t>
      </w:r>
      <w:r>
        <w:rPr>
          <w:rFonts w:eastAsia="IRNazanin" w:cs="IRNazanin"/>
          <w:color w:val="111111"/>
          <w:sz w:val="28"/>
          <w:szCs w:val="28"/>
          <w:rtl w:val="true"/>
          <w:lang w:bidi="fa-IR"/>
        </w:rPr>
        <w:t>.</w:t>
      </w:r>
    </w:p>
    <w:p>
      <w:pPr>
        <w:pStyle w:val="Heading6"/>
        <w:numPr>
          <w:ilvl w:val="5"/>
          <w:numId w:val="1"/>
        </w:numPr>
        <w:rPr/>
      </w:pPr>
      <w:bookmarkStart w:id="3434" w:name="__RefHeading___Toc3600215_1067777946"/>
      <w:bookmarkStart w:id="3435" w:name="_Toc1428"/>
      <w:bookmarkEnd w:id="3434"/>
      <w:r>
        <w:rPr>
          <w:rtl w:val="true"/>
        </w:rPr>
        <w:t>اسلام اربعه و عدم اسلام اربعه ديگر</w:t>
      </w:r>
      <w:bookmarkEnd w:id="3435"/>
    </w:p>
    <w:p>
      <w:pPr>
        <w:pStyle w:val="BookText"/>
        <w:rPr/>
      </w:pPr>
      <w:r>
        <w:rPr>
          <w:rFonts w:ascii="IRNazanin" w:hAnsi="IRNazanin" w:eastAsia="IRNazanin"/>
          <w:color w:val="111111"/>
          <w:sz w:val="28"/>
          <w:sz w:val="28"/>
          <w:szCs w:val="28"/>
          <w:rtl w:val="true"/>
          <w:lang w:bidi="fa-IR"/>
        </w:rPr>
        <w:t>اگر چهار زن به او ملحق شدند در اسلام، و چهار ديگر ملحق نشدند، و اوايل را براى زوجيّت اختيار و تعيين كرد، متعيّن مى شود زوجيّت ايشان، و بقيه خارج مى شوند</w:t>
      </w:r>
      <w:r>
        <w:rPr>
          <w:rFonts w:eastAsia="IRNazanin" w:cs="IRNazanin"/>
          <w:color w:val="111111"/>
          <w:sz w:val="28"/>
          <w:szCs w:val="28"/>
          <w:rtl w:val="true"/>
          <w:lang w:bidi="fa-IR"/>
        </w:rPr>
        <w:t>.</w:t>
      </w:r>
    </w:p>
    <w:p>
      <w:pPr>
        <w:pStyle w:val="Heading6"/>
        <w:numPr>
          <w:ilvl w:val="5"/>
          <w:numId w:val="1"/>
        </w:numPr>
        <w:rPr/>
      </w:pPr>
      <w:bookmarkStart w:id="3436" w:name="__RefHeading___Toc3600217_1067777946"/>
      <w:bookmarkStart w:id="3437" w:name="_Toc1429"/>
      <w:bookmarkEnd w:id="3436"/>
      <w:r>
        <w:rPr>
          <w:rtl w:val="true"/>
        </w:rPr>
        <w:t>فرض تعيين اوايل يا اواخر براى فسخ</w:t>
      </w:r>
      <w:bookmarkEnd w:id="3437"/>
    </w:p>
    <w:p>
      <w:pPr>
        <w:pStyle w:val="BookText"/>
        <w:rPr/>
      </w:pPr>
      <w:r>
        <w:rPr>
          <w:rFonts w:ascii="IRNazanin" w:hAnsi="IRNazanin" w:eastAsia="IRNazanin"/>
          <w:color w:val="111111"/>
          <w:sz w:val="28"/>
          <w:sz w:val="28"/>
          <w:szCs w:val="28"/>
          <w:rtl w:val="true"/>
          <w:lang w:bidi="fa-IR"/>
        </w:rPr>
        <w:t>و اگر تعيين كرد اوايل را براى فسخ، محتمل است مراعى بودن انفساخ به اسلام ديگرها اگر وثنى باشند، كه متعيّن براى زوجيّت مى شوند، بلكه خالى از وجه نيست؛ به خلاف صورتى كه بقيهْ كتابى باشند، كه فعلاً متعين براى زوجيّت به فسخ اوايل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متخلفات را تعيين براى فسخ نمود، اختيار اوايل حاصل مى شود، چه آنكه در عده اسلام بياورند كه به تأثير فسخ مفارقت حاصل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متخلّفات كتابى باشند فعلاً، فسخ آنها مؤثر در مفارقت آنها و اختيار اوايل است</w:t>
      </w:r>
      <w:r>
        <w:rPr>
          <w:rFonts w:eastAsia="IRNazanin" w:cs="IRNazanin"/>
          <w:color w:val="111111"/>
          <w:sz w:val="28"/>
          <w:szCs w:val="28"/>
          <w:rtl w:val="true"/>
          <w:lang w:bidi="fa-IR"/>
        </w:rPr>
        <w:t>.</w:t>
      </w:r>
    </w:p>
    <w:p>
      <w:pPr>
        <w:pStyle w:val="Heading6"/>
        <w:numPr>
          <w:ilvl w:val="5"/>
          <w:numId w:val="1"/>
        </w:numPr>
        <w:rPr/>
      </w:pPr>
      <w:bookmarkStart w:id="3438" w:name="__RefHeading___Toc3600219_1067777946"/>
      <w:bookmarkStart w:id="3439" w:name="_Toc1430"/>
      <w:bookmarkEnd w:id="3438"/>
      <w:r>
        <w:rPr>
          <w:rtl w:val="true"/>
        </w:rPr>
        <w:t>فوريّت اختيار</w:t>
      </w:r>
      <w:bookmarkEnd w:id="3439"/>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فوريت اختيار است در مقابل اضرار و تعطيل؛ و در صورت امتناع، الزام مى كند بر آن حاكم؛ و اگر مفيد نشد، ولايت حاكم بر اختيار از زوج با ملاحظۀ مصالح زوج،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ولى مجنون و صغير، به نحو معتبر اگر چه به تبعيت صغير باشد براى پدرش كه مسلمان شده است، اگر صبر تا بلوغ يا برء، منافى فوريت باشد</w:t>
      </w:r>
      <w:r>
        <w:rPr>
          <w:rFonts w:eastAsia="IRNazanin" w:cs="IRNazanin"/>
          <w:color w:val="111111"/>
          <w:sz w:val="28"/>
          <w:szCs w:val="28"/>
          <w:rtl w:val="true"/>
          <w:lang w:bidi="fa-IR"/>
        </w:rPr>
        <w:t xml:space="preserve">. </w:t>
      </w:r>
      <w:bookmarkStart w:id="3440" w:name="pg10256_89896"/>
    </w:p>
    <w:p>
      <w:pPr>
        <w:pStyle w:val="Heading5"/>
        <w:numPr>
          <w:ilvl w:val="4"/>
          <w:numId w:val="1"/>
        </w:numPr>
        <w:rPr/>
      </w:pPr>
      <w:bookmarkStart w:id="3441" w:name="__RefHeading___Toc3600221_1067777946"/>
      <w:bookmarkStart w:id="3442" w:name="_Toc1431"/>
      <w:bookmarkEnd w:id="3440"/>
      <w:bookmarkEnd w:id="3441"/>
      <w:r>
        <w:rPr>
          <w:rtl w:val="true"/>
        </w:rPr>
        <w:t>مسائل اختلاف زوجين در دين</w:t>
      </w:r>
      <w:bookmarkEnd w:id="3442"/>
    </w:p>
    <w:p>
      <w:pPr>
        <w:pStyle w:val="Heading6"/>
        <w:numPr>
          <w:ilvl w:val="5"/>
          <w:numId w:val="1"/>
        </w:numPr>
        <w:rPr/>
      </w:pPr>
      <w:bookmarkStart w:id="3443" w:name="__RefHeading___Toc3600223_1067777946"/>
      <w:bookmarkStart w:id="3444" w:name="_Toc1432"/>
      <w:bookmarkEnd w:id="3443"/>
      <w:r>
        <w:rPr>
          <w:rtl w:val="true"/>
        </w:rPr>
        <w:t>اسلامِ بعد از نكاح با ام و بنت</w:t>
      </w:r>
      <w:bookmarkEnd w:id="3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ازدواج كرد با مادر و دختر، و دخول كرد به هر دو، يا به خصوص مادر، و هر دو كتابى بودند، پس از آن شوهر مسلمان شد، هر دو حرام ابدى مى شوند بر شوهر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دخول به خصوص دختر كرده است، نكاح او باقى است، و مادر او حرام ابدى مى شود كه ام الزوجه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صورت عدم دخول به هيچ كدام، مادر حرام مى شود، و دختر نكاح او باقى است، بدون حاجت به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آورد در حالى كه مالك كنيزى و مادر او بود، پس اگر هر دو را در حال كفر وطى نموده بوده، هر دو حرام ابدى مى شوند بنابراين كه حكم در دو وطى صحيح مسلم، همين باشد، اگر چه متأخر وطى به شبهه باشد؛ و اگر يكى از آنها موطوئه باشد، ديگرى حرام است ابداً وطى او؛ و اگر هيچ كدام را وطى نكرده بوده، مخيّر است در وطى يكى از آنها</w:t>
      </w:r>
      <w:r>
        <w:rPr>
          <w:rFonts w:eastAsia="IRNazanin" w:cs="IRNazanin"/>
          <w:color w:val="111111"/>
          <w:sz w:val="28"/>
          <w:szCs w:val="28"/>
          <w:rtl w:val="true"/>
          <w:lang w:bidi="fa-IR"/>
        </w:rPr>
        <w:t>.</w:t>
      </w:r>
    </w:p>
    <w:p>
      <w:pPr>
        <w:pStyle w:val="Heading6"/>
        <w:numPr>
          <w:ilvl w:val="5"/>
          <w:numId w:val="1"/>
        </w:numPr>
        <w:rPr/>
      </w:pPr>
      <w:bookmarkStart w:id="3445" w:name="__RefHeading___Toc3600225_1067777946"/>
      <w:bookmarkStart w:id="3446" w:name="_Toc1433"/>
      <w:bookmarkEnd w:id="3445"/>
      <w:r>
        <w:rPr>
          <w:rtl w:val="true"/>
        </w:rPr>
        <w:t>اسلامِ بعد از نكاح دو اخت</w:t>
      </w:r>
      <w:bookmarkEnd w:id="3446"/>
    </w:p>
    <w:p>
      <w:pPr>
        <w:pStyle w:val="BookText"/>
        <w:rPr/>
      </w:pPr>
      <w:r>
        <w:rPr>
          <w:rFonts w:ascii="IRNazanin" w:hAnsi="IRNazanin" w:eastAsia="IRNazanin"/>
          <w:color w:val="111111"/>
          <w:sz w:val="28"/>
          <w:sz w:val="28"/>
          <w:szCs w:val="28"/>
          <w:rtl w:val="true"/>
          <w:lang w:bidi="fa-IR"/>
        </w:rPr>
        <w:t>و اگر اسلام آورد درحالى كه ازدواج به دو خواهر داشته، اختيار مى نمايد يكى از آن دو را، اگر چه هر دو يا يكى از آنها موطوئه باشند</w:t>
      </w:r>
      <w:r>
        <w:rPr>
          <w:rFonts w:eastAsia="IRNazanin" w:cs="IRNazanin"/>
          <w:color w:val="111111"/>
          <w:sz w:val="28"/>
          <w:szCs w:val="28"/>
          <w:rtl w:val="true"/>
          <w:lang w:bidi="fa-IR"/>
        </w:rPr>
        <w:t>.</w:t>
      </w:r>
    </w:p>
    <w:p>
      <w:pPr>
        <w:pStyle w:val="Heading6"/>
        <w:numPr>
          <w:ilvl w:val="5"/>
          <w:numId w:val="1"/>
        </w:numPr>
        <w:rPr/>
      </w:pPr>
      <w:bookmarkStart w:id="3447" w:name="__RefHeading___Toc3600227_1067777946"/>
      <w:bookmarkStart w:id="3448" w:name="_Toc1434"/>
      <w:bookmarkEnd w:id="3447"/>
      <w:r>
        <w:rPr>
          <w:rtl w:val="true"/>
        </w:rPr>
        <w:t>اسلامِ بعد از نكاح با زن و عمه يا خالۀ او</w:t>
      </w:r>
      <w:bookmarkEnd w:id="344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اسلام آورد درحالى كه جمع كرده بوده سابقاً تا زمان تحقق اسلام بين زنى با عمه يا خالۀ او، پس با رضايت عمه يا خاله، و لو در حال كفر، مانعى ندارد؛ و با عدم رضايت، اختيار مى نمايد بعد از اسلام، يكى از آنها را، با وطى آنها، يا بدون آن، يا مختلف</w:t>
      </w:r>
      <w:r>
        <w:rPr>
          <w:rFonts w:eastAsia="IRNazanin" w:cs="IRNazanin"/>
          <w:color w:val="111111"/>
          <w:sz w:val="28"/>
          <w:szCs w:val="28"/>
          <w:rtl w:val="true"/>
          <w:lang w:bidi="fa-IR"/>
        </w:rPr>
        <w:t xml:space="preserve">. </w:t>
      </w:r>
      <w:bookmarkStart w:id="3449" w:name="pg10256_89897"/>
    </w:p>
    <w:p>
      <w:pPr>
        <w:pStyle w:val="Heading6"/>
        <w:numPr>
          <w:ilvl w:val="5"/>
          <w:numId w:val="1"/>
        </w:numPr>
        <w:rPr/>
      </w:pPr>
      <w:bookmarkStart w:id="3450" w:name="__RefHeading___Toc3600229_1067777946"/>
      <w:bookmarkStart w:id="3451" w:name="_Toc1435"/>
      <w:bookmarkEnd w:id="3449"/>
      <w:bookmarkEnd w:id="3450"/>
      <w:r>
        <w:rPr>
          <w:rtl w:val="true"/>
        </w:rPr>
        <w:t>اسلامِ بعد از نكاح با حرّه و امه</w:t>
      </w:r>
      <w:bookmarkEnd w:id="3451"/>
    </w:p>
    <w:p>
      <w:pPr>
        <w:pStyle w:val="BookText"/>
        <w:rPr/>
      </w:pPr>
      <w:r>
        <w:rPr>
          <w:rFonts w:ascii="IRNazanin" w:hAnsi="IRNazanin" w:eastAsia="IRNazanin"/>
          <w:color w:val="111111"/>
          <w:sz w:val="28"/>
          <w:sz w:val="28"/>
          <w:szCs w:val="28"/>
          <w:rtl w:val="true"/>
          <w:lang w:bidi="fa-IR"/>
        </w:rPr>
        <w:t xml:space="preserve">و اگر اسلام آورد درحالى كه جمع بين حره و امه كرده بود در ازدواج، پس با رضاى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حال كفر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باقى است نكاح هر دو؛ و بدون رضاى حره، منفسخ مى شود عقد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براى مسلم، اين جمع اتفاق بيفتد، مثل اينكه يكى از دو زن او اسير و امه شده باشد، كه بدون رضايت حره به بقاى زوجيّت امه، منفسخ مى شود نكاح امه</w:t>
      </w:r>
      <w:r>
        <w:rPr>
          <w:rFonts w:eastAsia="IRNazanin" w:cs="IRNazanin"/>
          <w:color w:val="111111"/>
          <w:sz w:val="28"/>
          <w:szCs w:val="28"/>
          <w:rtl w:val="true"/>
          <w:lang w:bidi="fa-IR"/>
        </w:rPr>
        <w:t>.</w:t>
      </w:r>
    </w:p>
    <w:p>
      <w:pPr>
        <w:pStyle w:val="Heading6"/>
        <w:numPr>
          <w:ilvl w:val="5"/>
          <w:numId w:val="1"/>
        </w:numPr>
        <w:rPr/>
      </w:pPr>
      <w:bookmarkStart w:id="3452" w:name="__RefHeading___Toc3600231_1067777946"/>
      <w:bookmarkStart w:id="3453" w:name="_Toc1436"/>
      <w:bookmarkEnd w:id="3452"/>
      <w:r>
        <w:rPr>
          <w:rtl w:val="true"/>
        </w:rPr>
        <w:t>اسلام مشركِ داراى زوجاتِ حرّه و كنيز</w:t>
      </w:r>
      <w:bookmarkEnd w:id="34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اسلام اختيار كرد مشرك، درحالى كه در عقد او يك آزاد و سه كنيز باشد، و همه وثنى بودند و با او اسلام آوردند، اختيار مى نمايد با آزاد، دو كنيز را در صورتى كه آزاد راضى باشد؛ و در صورت عدم رضاى آزاد، باطل مى شود نكاح كنيزها بنابراين كه حكم مسلم عاقد به عقد واحد بر چهار، چنين باشد، و گذشت بيان آن در محلش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آزاد اسلام اختيار كرد، درحالى كه چهار كنيز در نكاح او بودند، دو نفر از آنها را اختيار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آزاد و ذميه در نكاح او بودند، هر چهار باقى بر نكاح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زنهاى غير كتابى اسلام اختيار كردند قبل از انقضاى عده، از چهار كنيز، دو نفر را اختيار مى نمايد، و چهار حره نكاح آنها باقى مى شود، مثل صورت اسلام با زوج</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زنها بيش از چهار بودند، پس از اسلام زوج بعضى از آنها اسلام آوردند، مى تواند اختيار نمايد، يا صبر نمايد؛ پس اگر ملحق شدند بقيه، و مجموع از چهار بيش نبودند، عقد بر آنها باقى و ثابت است؛ و اگر بيش از چهار باشند، چهار از آنها را اختيار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اختيار كرد سبقت كننده ها را به اسلام تا چهار نفر، اختيارى در بقيه ندارد اگر چه ملحق به او بشوند در اسلام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كتابى بودن همه يا وثنى بودن همه يا مختلفات نيست، در اينكه با اختيار چهار كتابيه يا مسلمه اختيارى در بقيه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 بر تعجيل اختيار قبل از انقضاى عده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دخول بقيه در اسلام، مى تواند چهار را، از لاحقات يا سابقات يا به نحو مختلف، اختيار نمايد</w:t>
      </w:r>
      <w:r>
        <w:rPr>
          <w:rFonts w:eastAsia="IRNazanin" w:cs="IRNazanin"/>
          <w:color w:val="111111"/>
          <w:sz w:val="28"/>
          <w:szCs w:val="28"/>
          <w:rtl w:val="true"/>
          <w:lang w:bidi="fa-IR"/>
        </w:rPr>
        <w:t xml:space="preserve">. </w:t>
      </w:r>
      <w:bookmarkStart w:id="3454" w:name="pg10256_89898"/>
    </w:p>
    <w:p>
      <w:pPr>
        <w:pStyle w:val="Heading6"/>
        <w:numPr>
          <w:ilvl w:val="5"/>
          <w:numId w:val="1"/>
        </w:numPr>
        <w:rPr/>
      </w:pPr>
      <w:bookmarkStart w:id="3455" w:name="__RefHeading___Toc3600233_1067777946"/>
      <w:bookmarkStart w:id="3456" w:name="_Toc1437"/>
      <w:bookmarkEnd w:id="3454"/>
      <w:bookmarkEnd w:id="3455"/>
      <w:r>
        <w:rPr>
          <w:rtl w:val="true"/>
        </w:rPr>
        <w:t>اسلام عبدِ داراى چهار حرّۀ وثنيّه</w:t>
      </w:r>
      <w:bookmarkEnd w:id="34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اسلام آورد بنده درحالى كه در نكاح او چهار آزاد وثنيّه باشد، پس دو نفر از آنها با شوهر مسلمان شد، پس از آن آزاد شد، و بقيۀ زنها به او ملحق شدند در اسلام، فقط دو زن را مى تواند اختيار نمايد، اگر لحوق متأخرها در عده باشد، چه آنكه همان دو زن سابق را اختيار نمايد يا نه، اگر چه حكم مذكور خالى از تأملِ موجبِ احتياط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همۀ آنها قبل از شوهر اسلام آوردند، پس از آن آزاد شد، پس از آن اسلام اختيار كرد، همه در نكاح او باقى مى مانند، لكن كشف اسلام متأخر در عده، از زوجيّت در حين اسلام زنها، دليل دارد؛ و از زوجيّت خاصه كه اثر عتق در زمان اسلام آنها است با تأخر عتق، بى دليل است؛ پس اين صورت هم مورد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باقى است زوجيّت همۀ چهار، اگر بعد از عتق شوهر و اسلام او، زنها همه در عده اسلام اختيار كردند، اگر عتق قبل از اسلام يا با آن بود؛ به خلاف صورت تأخر عتق از اسلام، كه مورد احتياط است چنانكه گذشت</w:t>
      </w:r>
      <w:r>
        <w:rPr>
          <w:rFonts w:eastAsia="IRNazanin" w:cs="IRNazanin"/>
          <w:color w:val="111111"/>
          <w:sz w:val="28"/>
          <w:szCs w:val="28"/>
          <w:rtl w:val="true"/>
          <w:lang w:bidi="fa-IR"/>
        </w:rPr>
        <w:t>.</w:t>
      </w:r>
    </w:p>
    <w:p>
      <w:pPr>
        <w:pStyle w:val="Heading6"/>
        <w:numPr>
          <w:ilvl w:val="5"/>
          <w:numId w:val="1"/>
        </w:numPr>
        <w:rPr/>
      </w:pPr>
      <w:bookmarkStart w:id="3457" w:name="__RefHeading___Toc3600235_1067777946"/>
      <w:bookmarkStart w:id="3458" w:name="_Toc1438"/>
      <w:bookmarkEnd w:id="3457"/>
      <w:r>
        <w:rPr>
          <w:rtl w:val="true"/>
        </w:rPr>
        <w:t>فسخ بودن اختلاف دينى و مسألۀ مهر</w:t>
      </w:r>
      <w:bookmarkEnd w:id="34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دينى زوجين، فسخ است نه طلاق، و احكام طلاق ثابت نمى شود مگر با دليل خاص؛ پس اگر فسخ به سببى از جانب زن شد به سبب اختلاف در دين و قبل از دخول بود، استحقاق مهر بر شوهر ندارد؛ و اگر از جانب شوهر شد، نصف مهر بر او ثابت است بنابر احوط، بلكه احوط تمام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وجوب مخالفت در دين و حرمت آن، در جهت مذكوره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دخول واقع شود اختلاف موجب انفساخ، تمام مهر ثابت است</w:t>
      </w:r>
      <w:r>
        <w:rPr>
          <w:rFonts w:eastAsia="IRNazanin" w:cs="IRNazanin"/>
          <w:color w:val="111111"/>
          <w:sz w:val="28"/>
          <w:szCs w:val="28"/>
          <w:rtl w:val="true"/>
          <w:lang w:bidi="fa-IR"/>
        </w:rPr>
        <w:t>.</w:t>
      </w:r>
    </w:p>
    <w:p>
      <w:pPr>
        <w:pStyle w:val="Heading6"/>
        <w:numPr>
          <w:ilvl w:val="5"/>
          <w:numId w:val="1"/>
        </w:numPr>
        <w:rPr/>
      </w:pPr>
      <w:bookmarkStart w:id="3459" w:name="__RefHeading___Toc3600237_1067777946"/>
      <w:bookmarkStart w:id="3460" w:name="_Toc1439"/>
      <w:bookmarkEnd w:id="3459"/>
      <w:r>
        <w:rPr>
          <w:rtl w:val="true"/>
        </w:rPr>
        <w:t>معيّت يا اختلاف در اختيار اسلام</w:t>
      </w:r>
      <w:bookmarkEnd w:id="346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هم مسلمان بشوند به مقارنت آخر شهادتين از ايشان، نكاح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تاريخ هر دو مجهول باشد و اختلاف در بقاى زوجيّت و انفساخ باشد، حكم به بقاى </w:t>
      </w:r>
      <w:bookmarkStart w:id="3461" w:name="pg10256_89899"/>
    </w:p>
    <w:p>
      <w:pPr>
        <w:pStyle w:val="BookText"/>
        <w:rPr/>
      </w:pPr>
      <w:bookmarkEnd w:id="3461"/>
      <w:r>
        <w:rPr>
          <w:rFonts w:ascii="IRNazanin" w:hAnsi="IRNazanin" w:eastAsia="IRNazanin"/>
          <w:color w:val="111111"/>
          <w:sz w:val="28"/>
          <w:sz w:val="28"/>
          <w:szCs w:val="28"/>
          <w:rtl w:val="true"/>
          <w:lang w:bidi="fa-IR"/>
        </w:rPr>
        <w:t>زوجيّت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عدم اقتران باشد و اختلاف در استحقاق مهر قبل از دخول بعد از اتفاق در انفساخ نكاح باشد، اظهر عدم استحقاق مهر است، اگر چه اداى نصف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معلوم التاريخ باشد، حكم عدم ديگرى تا زمان تحقق معلوم التاريخ، مرتّب مى شود بنابر اظهر؛ لكن احتياط، در عمل به قول زوجه مطلقاً،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مهرِ مسمّى، فاسد بود به مثل مجهوليّت، مهر المثل ثابت است با دخول، و نصف آن با عدم دخول، بر حسب احتياط متقدّم، در صورتى كه فسخ از جانب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ثابت نيست در صورت سبق زن به موجب انفساخ، اگر چه خالى از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تحقق قبض مهر، كه مستحق بوده در دين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احوط عدم مراجعه بر مستحق است بعد از قبض در حال كفر، و عدم مطالبۀ مستحِق است بعد از اسلام و قبل از قبض؛ و هم چنين در صورت عدم تسميۀ مهر، يعنى ثبوت مهر المثل با دخول، و عدم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حسب احتياط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دخول</w:t>
      </w:r>
      <w:r>
        <w:rPr>
          <w:rFonts w:eastAsia="IRNazanin" w:cs="IRNazanin"/>
          <w:color w:val="111111"/>
          <w:sz w:val="28"/>
          <w:szCs w:val="28"/>
          <w:rtl w:val="true"/>
          <w:lang w:bidi="fa-IR"/>
        </w:rPr>
        <w:t>.</w:t>
      </w:r>
    </w:p>
    <w:p>
      <w:pPr>
        <w:pStyle w:val="Heading6"/>
        <w:numPr>
          <w:ilvl w:val="5"/>
          <w:numId w:val="1"/>
        </w:numPr>
        <w:rPr/>
      </w:pPr>
      <w:bookmarkStart w:id="3462" w:name="__RefHeading___Toc3600239_1067777946"/>
      <w:bookmarkStart w:id="3463" w:name="_Toc1440"/>
      <w:bookmarkEnd w:id="3462"/>
      <w:r>
        <w:rPr>
          <w:rtl w:val="true"/>
        </w:rPr>
        <w:t>اگر مهر زن ذمّى مسلمان شده خمر يا خنزير باشد</w:t>
      </w:r>
      <w:bookmarkEnd w:id="3463"/>
    </w:p>
    <w:p>
      <w:pPr>
        <w:pStyle w:val="BookText"/>
        <w:rPr/>
      </w:pPr>
      <w:r>
        <w:rPr>
          <w:rFonts w:ascii="IRNazanin" w:hAnsi="IRNazanin" w:eastAsia="IRNazanin"/>
          <w:color w:val="111111"/>
          <w:sz w:val="28"/>
          <w:sz w:val="28"/>
          <w:szCs w:val="28"/>
          <w:rtl w:val="true"/>
          <w:lang w:bidi="fa-IR"/>
        </w:rPr>
        <w:t>اگر ذمى مسلمان شد و دخول كرده بود و مهر زن خمر يا خنزير بود، پس اگر اقباض نموده بوده در حال كفر، چيزى بر او نيست؛ و اگر اقباض نكرده بوده آيا ساقط است رأساً، يا مهر المثل ثابت است، يا قيمت صداق نزد مستحلّين ثابت است‌؟ اظهر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بعضى مقبوض و بعضى غير مقبوض باشد، قيمت غير مقبوض، به نسبت آن از مجموع قيمت مهريّه، بر او لازم است، بدون فرق بين اختلاف وزنِ معدوداتى كه مجموع آنها صداق قرار داده شده، يا عدم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قيمت مجموع و بعض، در معدودات به عدد، و در مكيل و موزون به تقدير بآنها است</w:t>
      </w:r>
      <w:r>
        <w:rPr>
          <w:rFonts w:eastAsia="IRNazanin" w:cs="IRNazanin"/>
          <w:color w:val="111111"/>
          <w:sz w:val="28"/>
          <w:szCs w:val="28"/>
          <w:rtl w:val="true"/>
          <w:lang w:bidi="fa-IR"/>
        </w:rPr>
        <w:t>.</w:t>
      </w:r>
    </w:p>
    <w:p>
      <w:pPr>
        <w:pStyle w:val="Heading6"/>
        <w:numPr>
          <w:ilvl w:val="5"/>
          <w:numId w:val="1"/>
        </w:numPr>
        <w:rPr/>
      </w:pPr>
      <w:bookmarkStart w:id="3464" w:name="__RefHeading___Toc3600241_1067777946"/>
      <w:bookmarkStart w:id="3465" w:name="_Toc1441"/>
      <w:bookmarkEnd w:id="3464"/>
      <w:r>
        <w:rPr>
          <w:rtl w:val="true"/>
        </w:rPr>
        <w:t>احكام حرمت وطى بعد از ارتداد زوج يا زوجه</w:t>
      </w:r>
      <w:bookmarkEnd w:id="34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مرتد شد زوج، حرام مى شود وطى زوجۀ مسلمه؛ و لكن اگر در عده مسلمان</w:t>
      </w:r>
      <w:bookmarkStart w:id="3466" w:name="pg10256_89900"/>
    </w:p>
    <w:p>
      <w:pPr>
        <w:pStyle w:val="BookText"/>
        <w:rPr/>
      </w:pPr>
      <w:bookmarkEnd w:id="3466"/>
      <w:r>
        <w:rPr>
          <w:rFonts w:ascii="IRNazanin" w:hAnsi="IRNazanin" w:eastAsia="IRNazanin"/>
          <w:color w:val="111111"/>
          <w:sz w:val="28"/>
          <w:sz w:val="28"/>
          <w:szCs w:val="28"/>
          <w:rtl w:val="true"/>
          <w:lang w:bidi="fa-IR"/>
        </w:rPr>
        <w:t>شد و ارتداد او ملى بود، بقاى نكاح مكشوف مى شود؛ و اگر مسلمان نشد، انفساخ آن مكشوف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فيما بين، وطى به شبهه اتفاق افتاد بدون علم طرفين به حرمت آن، و در عده مسلمان نشد، به واسطۀ كشف انفساخ از حين ارتداد، محتمل است مهر ديگرى براى وطى به شبهه بر او ثابت باشد؛ به خلاف صورت تعقّب وطى جاهل، به اسلامِ در عده، كه چيزى بر او نيست، به جهت كاشفيّت اسلام از مصادفت وطى با زوجيّت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ارتداد مرد، فطرى بود، انفساخِ به آن قطعى است، و وطى بعد از آن به شبهه، موجب مهر ديگرى است، و اثرى براى رجوع به اسلام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ارتداد زن هم مثل ارتداد مرد است نسبت به اسلام قبل از انقضاى عده و حكم وطى به شبهه، بدون فرق در آن بين ملّى و فطرى بنابر آنچه ذكر شده از قبول توبۀ او اگر چه فطرى باشد ارتداد او</w:t>
      </w:r>
      <w:r>
        <w:rPr>
          <w:rFonts w:eastAsia="IRNazanin" w:cs="IRNazanin"/>
          <w:color w:val="111111"/>
          <w:sz w:val="28"/>
          <w:szCs w:val="28"/>
          <w:rtl w:val="true"/>
          <w:lang w:bidi="fa-IR"/>
        </w:rPr>
        <w:t>.</w:t>
      </w:r>
    </w:p>
    <w:p>
      <w:pPr>
        <w:pStyle w:val="Heading6"/>
        <w:numPr>
          <w:ilvl w:val="5"/>
          <w:numId w:val="1"/>
        </w:numPr>
        <w:rPr/>
      </w:pPr>
      <w:bookmarkStart w:id="3467" w:name="__RefHeading___Toc3600243_1067777946"/>
      <w:bookmarkStart w:id="3468" w:name="_Toc1442"/>
      <w:bookmarkEnd w:id="3467"/>
      <w:r>
        <w:rPr>
          <w:rtl w:val="true"/>
        </w:rPr>
        <w:t>اسلام شخص داراى اربعه</w:t>
      </w:r>
      <w:bookmarkEnd w:id="34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اسلام آورد در حالى كه با او بود چهار زن وثنيه يا به حكم آن و دخول نكرده بود، نكاح آنها منفسخ مى شود؛ و اگر دخول كرده بود به همه، موقوف مى شود بينونت به انقضاى عده با كفر آنها، و در عده نمى تواند پنجم را ازدواج نمايد، و نه خواهر يكى از آنها را به نحوى كه معاملۀ زوجيّت با آنها نمايد؛ بلى اگر ازدواج كرد و عده با كفر آن چهار گذشت، كشف مى شود صحّت اين ازدواج اخير از زمان تحقق ازدواج آنها، وگرنه كشف مى شود بطلان اين ازدواج هاى اخير</w:t>
      </w:r>
      <w:r>
        <w:rPr>
          <w:rFonts w:eastAsia="IRNazanin" w:cs="IRNazanin"/>
          <w:color w:val="111111"/>
          <w:sz w:val="28"/>
          <w:szCs w:val="28"/>
          <w:rtl w:val="true"/>
          <w:lang w:bidi="fa-IR"/>
        </w:rPr>
        <w:t>.</w:t>
      </w:r>
    </w:p>
    <w:p>
      <w:pPr>
        <w:pStyle w:val="Heading6"/>
        <w:numPr>
          <w:ilvl w:val="5"/>
          <w:numId w:val="1"/>
        </w:numPr>
        <w:rPr/>
      </w:pPr>
      <w:bookmarkStart w:id="3469" w:name="__RefHeading___Toc3600245_1067777946"/>
      <w:bookmarkStart w:id="3470" w:name="_Toc1443"/>
      <w:bookmarkEnd w:id="3469"/>
      <w:r>
        <w:rPr>
          <w:rtl w:val="true"/>
        </w:rPr>
        <w:t>اسلام وثنيّه و نكاح زوج او با اخت وى</w:t>
      </w:r>
      <w:bookmarkEnd w:id="3470"/>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وثنيه اسلام اختيار كرد، پس زوج او ازدواج با خواهر او كرد قبل از اسلام خودش و عده منقضى شد با كفر زوج، ازدواج دوّم صحيح است، يعنى مانعى در اسلام ندارد اگر مانعى در دين او نباشد</w:t>
      </w:r>
      <w:r>
        <w:rPr>
          <w:rFonts w:eastAsia="IRNazanin" w:cs="IRNazanin"/>
          <w:color w:val="111111"/>
          <w:sz w:val="28"/>
          <w:szCs w:val="28"/>
          <w:rtl w:val="true"/>
          <w:lang w:bidi="fa-IR"/>
        </w:rPr>
        <w:t xml:space="preserve">. </w:t>
      </w:r>
      <w:bookmarkStart w:id="3471" w:name="pg10256_89901"/>
    </w:p>
    <w:p>
      <w:pPr>
        <w:pStyle w:val="BookText"/>
        <w:rPr/>
      </w:pPr>
      <w:bookmarkEnd w:id="3471"/>
      <w:r>
        <w:rPr>
          <w:rFonts w:ascii="IRNazanin" w:hAnsi="IRNazanin" w:eastAsia="IRNazanin"/>
          <w:color w:val="111111"/>
          <w:sz w:val="28"/>
          <w:sz w:val="28"/>
          <w:szCs w:val="28"/>
          <w:rtl w:val="true"/>
          <w:lang w:bidi="fa-IR"/>
        </w:rPr>
        <w:t>و اگر زوجين هر دو اسلام آوردند با هم در عدۀ اوّلى، مخيّر است در اختيار زوجۀ اوّل يا دوّم، مثل صورت ازدواج دومى در حال كفر اولى كه متعقّب به اسلام همه باشد كه ايضاً مخيّر است در اين صورت</w:t>
      </w:r>
      <w:r>
        <w:rPr>
          <w:rFonts w:eastAsia="IRNazanin" w:cs="IRNazanin"/>
          <w:color w:val="111111"/>
          <w:sz w:val="28"/>
          <w:szCs w:val="28"/>
          <w:rtl w:val="true"/>
          <w:lang w:bidi="fa-IR"/>
        </w:rPr>
        <w:t>.</w:t>
      </w:r>
    </w:p>
    <w:p>
      <w:pPr>
        <w:pStyle w:val="Heading6"/>
        <w:numPr>
          <w:ilvl w:val="5"/>
          <w:numId w:val="1"/>
        </w:numPr>
        <w:rPr/>
      </w:pPr>
      <w:bookmarkStart w:id="3472" w:name="__RefHeading___Toc3600247_1067777946"/>
      <w:bookmarkStart w:id="3473" w:name="_Toc1444"/>
      <w:bookmarkEnd w:id="3472"/>
      <w:r>
        <w:rPr>
          <w:rtl w:val="true"/>
        </w:rPr>
        <w:t>مورد ديگر تخيير</w:t>
      </w:r>
      <w:bookmarkEnd w:id="3473"/>
    </w:p>
    <w:p>
      <w:pPr>
        <w:pStyle w:val="BookText"/>
        <w:rPr/>
      </w:pPr>
      <w:r>
        <w:rPr>
          <w:rFonts w:ascii="IRNazanin" w:hAnsi="IRNazanin" w:eastAsia="IRNazanin"/>
          <w:color w:val="111111"/>
          <w:sz w:val="28"/>
          <w:sz w:val="28"/>
          <w:szCs w:val="28"/>
          <w:rtl w:val="true"/>
          <w:lang w:bidi="fa-IR"/>
        </w:rPr>
        <w:t>و هم چنين تخيير ثابت است در صورتى كه اسلام آورد زوج در عدّه زوجۀ مسلمۀ اولى و اسلام آورد زوجۀ ثانيه بعد از انقضاى اين عدّه و قبل از انقضاى عدّۀ اسلام زوج، كه حكم مى شود به زوجيّت اولى از زمان اسلام او، به سبب اسلام زوج در عدّۀ او، و به زوجيّت دومى از زمان اسلام زوج به اسلام دومى در عدّۀ خودش از اسلام زوج، پس مخيّر است در اختيار هر يك از اختين در زمان ظهور زوجيّت هر دو به اسلام دومى؛ به خلاف آنكه اسلام دومى بعد از انقضاى عدّۀ خودش از زوج باشد كه متعيّن است زوجيّت اولى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دخول به چهار كرده بود و همه مسلمان شدند، پس ازدواج كرد با پنجمى و دخول به آن كرد پس از آن اسلام آورد در عدّۀ چهار، و پنجمى اسلام نياورد مگر بعد از انقضاى عدّۀ چهار و قبل از انقضاى عدّۀ خودش از زوج، كه اختيار مى نمايد چهار از پنج را بعد از ظهور زوجيّت همه با قطع نظر از زيادتى</w:t>
      </w:r>
      <w:r>
        <w:rPr>
          <w:rFonts w:eastAsia="IRNazanin" w:cs="IRNazanin"/>
          <w:color w:val="111111"/>
          <w:sz w:val="28"/>
          <w:szCs w:val="28"/>
          <w:rtl w:val="true"/>
          <w:lang w:bidi="fa-IR"/>
        </w:rPr>
        <w:t>.</w:t>
      </w:r>
    </w:p>
    <w:p>
      <w:pPr>
        <w:pStyle w:val="Heading6"/>
        <w:numPr>
          <w:ilvl w:val="5"/>
          <w:numId w:val="1"/>
        </w:numPr>
        <w:rPr/>
      </w:pPr>
      <w:bookmarkStart w:id="3474" w:name="__RefHeading___Toc3600249_1067777946"/>
      <w:bookmarkStart w:id="3475" w:name="_Toc1445"/>
      <w:bookmarkEnd w:id="3474"/>
      <w:r>
        <w:rPr>
          <w:rtl w:val="true"/>
        </w:rPr>
        <w:t>اسلام يكى از وثنيين و ارتداد وى</w:t>
      </w:r>
      <w:bookmarkEnd w:id="347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زوجين وثنى بودند و دخول واقع شده بوده پس از آن زوجْ مسلمان شد، پس از آن مرتد شد، و عدّۀ زن، از زمان اسلام مَرد، از او منقضى شد، با كفر زن مكشوف مى شود كه بينونت از زمان اسلام مرد حاصل شده بوده است و نكاح منفسخ بوده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اين عدّه، زن اسلام اختيار كرد، مكشوف مى شود كه با اسلام مَرْد بينونت و انفساخ حاصل نشده بوده، بلكه با ارتداد مرد بينونت ظاهريّه بوده است، و از حين </w:t>
      </w:r>
      <w:bookmarkStart w:id="3476" w:name="pg10256_89902"/>
    </w:p>
    <w:p>
      <w:pPr>
        <w:pStyle w:val="BookText"/>
        <w:rPr/>
      </w:pPr>
      <w:bookmarkEnd w:id="3476"/>
      <w:r>
        <w:rPr>
          <w:rFonts w:ascii="IRNazanin" w:hAnsi="IRNazanin" w:eastAsia="IRNazanin"/>
          <w:color w:val="111111"/>
          <w:sz w:val="28"/>
          <w:sz w:val="28"/>
          <w:szCs w:val="28"/>
          <w:rtl w:val="true"/>
          <w:lang w:bidi="fa-IR"/>
        </w:rPr>
        <w:t>ارتداد مرد، عدّه مى گيرد؛ و اگر مرد در اين عدّه برگشت به اسلام، كشف مى شود عدم انفساخ به ارتداد مرد؛ و اگر عدّۀ ارتداد گذشت و مرد مسلمان نشد، بينونت و انفساخ از زمان ارتداد مرد واقعيت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مذكور جارى است در اسلام زن بعد از دخول و ارتداد او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احكام زوجيّت با ارتداد يكى مرتّب نمى شود، چه آنكه غير مرتد مسلمان باشد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ارتداد، نكاح ابتدايى او صحيح نيست؛ فقط نكاح سابق با رجوع به اسلام در عدّۀ آن، باقى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زن كافرى مسلمان شد و كافر نكاحى با زن مسلمه اى ايقاع كرد، پس از آن در عدّۀ اولى مسلمان شد، رجوع به زن اوّل مى كند به سبب بقاى نكاح او، لكن نكاح دومى صحيح نمى شود چون اسلام مطلق كشف نمى شود، بلكه بعض احكام آن، كه بقاى زوجيّت سابقه است واقعاً با اسلام در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مى شود</w:t>
      </w:r>
      <w:r>
        <w:rPr>
          <w:rFonts w:eastAsia="IRNazanin" w:cs="IRNazanin"/>
          <w:color w:val="111111"/>
          <w:sz w:val="28"/>
          <w:szCs w:val="28"/>
          <w:rtl w:val="true"/>
          <w:lang w:bidi="fa-IR"/>
        </w:rPr>
        <w:t>].</w:t>
      </w:r>
    </w:p>
    <w:p>
      <w:pPr>
        <w:pStyle w:val="Heading6"/>
        <w:numPr>
          <w:ilvl w:val="5"/>
          <w:numId w:val="1"/>
        </w:numPr>
        <w:rPr/>
      </w:pPr>
      <w:bookmarkStart w:id="3477" w:name="__RefHeading___Toc3600251_1067777946"/>
      <w:bookmarkStart w:id="3478" w:name="_Toc1446"/>
      <w:bookmarkEnd w:id="3477"/>
      <w:r>
        <w:rPr>
          <w:rtl w:val="true"/>
        </w:rPr>
        <w:t>عدم ابطال اختيار، با موت زدن بعد از اسلام او</w:t>
      </w:r>
      <w:bookmarkEnd w:id="347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زنها بعد از اسلام همه، وفات كرد، يا همه وفات كردند قبل از اختيار شوهر، باطل نمى شود اختيار او، بلكه مى تواند هر كدام را اختيار نمايد؛ و در صورت اختيار، وارث او مى شود كه در ضمن ازيد نصاب مسلمان شده بوده اند</w:t>
      </w:r>
      <w:r>
        <w:rPr>
          <w:rFonts w:eastAsia="IRNazanin" w:cs="IRNazanin"/>
          <w:color w:val="111111"/>
          <w:sz w:val="28"/>
          <w:szCs w:val="28"/>
          <w:rtl w:val="true"/>
          <w:lang w:bidi="fa-IR"/>
        </w:rPr>
        <w:t>.</w:t>
      </w:r>
    </w:p>
    <w:p>
      <w:pPr>
        <w:pStyle w:val="Heading6"/>
        <w:numPr>
          <w:ilvl w:val="5"/>
          <w:numId w:val="1"/>
        </w:numPr>
        <w:rPr/>
      </w:pPr>
      <w:bookmarkStart w:id="3479" w:name="__RefHeading___Toc3600253_1067777946"/>
      <w:bookmarkStart w:id="3480" w:name="_Toc1447"/>
      <w:bookmarkEnd w:id="3479"/>
      <w:r>
        <w:rPr>
          <w:rtl w:val="true"/>
        </w:rPr>
        <w:t>حكم ميراث و عدّه در صورت وفات زوج قبل از اختيار</w:t>
      </w:r>
      <w:bookmarkEnd w:id="348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زوج با آنها وفات كرد قبل از اختيار، احوط مصالحۀ ورثۀ زوجات است با مثل قرعه يا تنصيف حق احتمالى، در صورتى كه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مثلاً؛ و احوط بر زوج، اختيار است، در صورت سبق وفات آنها دفعتاً يا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مقارنت وفات زوج با وفات آنها هر طور كه باشد، با ملاحظۀ تقارن موت متوارثين نسبت به ارث زنها يا از زنها، احتياط به صلح در ورثه ترك نشود به نحو متقدّم</w:t>
      </w:r>
      <w:r>
        <w:rPr>
          <w:rFonts w:eastAsia="IRNazanin" w:cs="IRNazanin"/>
          <w:color w:val="111111"/>
          <w:sz w:val="28"/>
          <w:szCs w:val="28"/>
          <w:rtl w:val="true"/>
          <w:lang w:bidi="fa-IR"/>
        </w:rPr>
        <w:t xml:space="preserve">. </w:t>
      </w:r>
      <w:bookmarkStart w:id="3481" w:name="pg10256_89903"/>
    </w:p>
    <w:p>
      <w:pPr>
        <w:pStyle w:val="Heading6"/>
        <w:numPr>
          <w:ilvl w:val="5"/>
          <w:numId w:val="1"/>
        </w:numPr>
        <w:rPr/>
      </w:pPr>
      <w:bookmarkStart w:id="3482" w:name="__RefHeading___Toc3600255_1067777946"/>
      <w:bookmarkStart w:id="3483" w:name="_Toc1448"/>
      <w:bookmarkEnd w:id="3481"/>
      <w:bookmarkEnd w:id="3482"/>
      <w:r>
        <w:rPr>
          <w:rtl w:val="true"/>
        </w:rPr>
        <w:t>وفات زوج قبل از اختيار</w:t>
      </w:r>
      <w:bookmarkEnd w:id="3483"/>
    </w:p>
    <w:p>
      <w:pPr>
        <w:pStyle w:val="BookText"/>
        <w:rPr/>
      </w:pPr>
      <w:r>
        <w:rPr>
          <w:rFonts w:ascii="IRNazanin" w:hAnsi="IRNazanin" w:eastAsia="IRNazanin"/>
          <w:color w:val="111111"/>
          <w:sz w:val="28"/>
          <w:sz w:val="28"/>
          <w:szCs w:val="28"/>
          <w:rtl w:val="true"/>
          <w:lang w:bidi="fa-IR"/>
        </w:rPr>
        <w:t>اگر زوج وفات كرد قبل از اختيار زنها، پس اگر وارث از ايشان با قرعه تعيين شد، صاحب عده هم با آن تعيين مى شود؛ وگرنه، پس اگر تعيين وارث با قرعه توظيف نبوده بلكه از روى مصالحه در ارث بوده چنانكه محتمل است، احوط ثبوت عده بر همه است؛ پس با عدم دخول و با ذمى بودن زنها يا آنكه مقترن بود اسلام زوج با اسلام آنها، عدۀ وفات مى گيرند، و اگر اسلام آنها متأخر از اسلام زوج بود، زوجيّت آنها منفسخ مى شود به اسلام مرد با عدم دخول، و با دخول، عدۀ زنها، ابعد الاجلين است كه در حامل، بين عدۀ وفات و وضع حمل؛ و در غير حامل، بين عدۀ طلاق كه سه طهر يا سه ماه باشد و عدۀ وفات كه چهار ماه و ده روز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عدۀ وفات، از حين وفات است، و عدۀ حايل كه به اقراء هم بوده، از وقت اسلام هر دو، يا سابق از آنها در اسلام، يا از حين وفات، محل تردد و احتياط است</w:t>
      </w:r>
      <w:r>
        <w:rPr>
          <w:rFonts w:eastAsia="Amiri" w:cs="Amiri" w:ascii="Amiri" w:hAnsi="Amiri"/>
          <w:color w:val="111111"/>
          <w:sz w:val="28"/>
          <w:szCs w:val="28"/>
          <w:rtl w:val="true"/>
          <w:lang w:bidi="ar-SA"/>
        </w:rPr>
        <w:t>.</w:t>
      </w:r>
    </w:p>
    <w:p>
      <w:pPr>
        <w:pStyle w:val="Heading6"/>
        <w:numPr>
          <w:ilvl w:val="5"/>
          <w:numId w:val="1"/>
        </w:numPr>
        <w:rPr/>
      </w:pPr>
      <w:bookmarkStart w:id="3484" w:name="__RefHeading___Toc3600257_1067777946"/>
      <w:bookmarkStart w:id="3485" w:name="_Toc1449"/>
      <w:bookmarkEnd w:id="3484"/>
      <w:r>
        <w:rPr>
          <w:rtl w:val="true"/>
        </w:rPr>
        <w:t>حكم نفقۀ زوجات قبل از اختيار</w:t>
      </w:r>
      <w:bookmarkEnd w:id="348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 و زنهاى او با هم اسلام آوردند، يا آنكه زنها كتابيه بودند، بنابر جواز بقا، لازم است اختيار مفارقت هر زنى كه از چهار محسوب نمى شود نمايد، يا آنكه نفقۀ همۀ آنها را بدهد بنابر احوط در صورتى كه تقصيرى از زن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صورت اسلام زنها و بقاى زوج بر كفر خود، كه به اسلام و اختيار، تعيين زوجه مى نمايد، يا انفاق به همه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احوط در صورت عدم انفاق، دَين بودن نفقه است مگر آنكه با اختيار غير، كشف شود عدم زوجيّت از زمان اختلاف 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صورتى كه زوج، اسلام اختيار نمايد و زنها وثنيّه بودند، در سقوط نفقۀ قبل از اسلامِ زنها، تأمل است؛ و اظهر انكشاف دَين بودن است در صورت اسلام آنها در عده</w:t>
      </w:r>
      <w:r>
        <w:rPr>
          <w:rFonts w:eastAsia="Amiri" w:cs="Amiri" w:ascii="Amiri" w:hAnsi="Amiri"/>
          <w:color w:val="111111"/>
          <w:sz w:val="28"/>
          <w:szCs w:val="28"/>
          <w:rtl w:val="true"/>
          <w:lang w:bidi="ar-SA"/>
        </w:rPr>
        <w:t>.</w:t>
      </w:r>
    </w:p>
    <w:p>
      <w:pPr>
        <w:pStyle w:val="Heading6"/>
        <w:numPr>
          <w:ilvl w:val="5"/>
          <w:numId w:val="1"/>
        </w:numPr>
        <w:rPr/>
      </w:pPr>
      <w:bookmarkStart w:id="3486" w:name="__RefHeading___Toc3600259_1067777946"/>
      <w:bookmarkStart w:id="3487" w:name="_Toc1450"/>
      <w:bookmarkEnd w:id="3486"/>
      <w:r>
        <w:rPr>
          <w:rtl w:val="true"/>
        </w:rPr>
        <w:t>اختلاف در سابق به اسلام</w:t>
      </w:r>
      <w:bookmarkEnd w:id="348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اختلاف در سابق به اسلام بود بعد از اتفاق در عدم اقتران، بنابر سقوط نفقۀ وثنيه </w:t>
      </w:r>
      <w:bookmarkStart w:id="3488" w:name="pg10256_89904"/>
    </w:p>
    <w:p>
      <w:pPr>
        <w:pStyle w:val="BookText"/>
        <w:rPr/>
      </w:pPr>
      <w:bookmarkEnd w:id="3488"/>
      <w:r>
        <w:rPr>
          <w:rFonts w:ascii="IRNazanin" w:hAnsi="IRNazanin" w:eastAsia="IRNazanin"/>
          <w:color w:val="111111"/>
          <w:sz w:val="28"/>
          <w:sz w:val="28"/>
          <w:szCs w:val="28"/>
          <w:rtl w:val="true"/>
          <w:lang w:bidi="fa-IR"/>
        </w:rPr>
        <w:t>در عده قبل از زمان اسلام او، پس قول زوج در عدم وجوب نفقه مقدم است، يا قول زوجه در عدم تحقق مسقط؟ تأمل است، احوط وجوب نفقه است، مگر در صورت اتّفاق در تاريخ اسلام زوج، كه حكم عدم اسلام زوجه در زمان اسلام زوج،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سبق اسلام بر وطى و تأخر آن بود، اظهر بقاى نكاح است مگر با اتفاق در تاريخ وطى، كه حكم عدم اسلامِ يكى در زمان وطى، انفساخ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مدّعى تقارن اسلام زوجين بود و مردْ مدّعى انفساخ به عدم اقتران، و دخول هم نبوده است به اتفاق، پس رجحان عدم اقتران بر عدم مخالفت، به واسطۀ ظهور عدم اقتران، بى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وثنيه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اسلام من به دو ماه اسلام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يك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اختلاف در نفقۀ يك ماه بود، اظهر استحقاق نفقه، به كاشفيت اسلام در عده است</w:t>
      </w:r>
      <w:r>
        <w:rPr>
          <w:rFonts w:eastAsia="IRNazanin" w:cs="IRNazanin"/>
          <w:color w:val="111111"/>
          <w:sz w:val="28"/>
          <w:szCs w:val="28"/>
          <w:rtl w:val="true"/>
          <w:lang w:bidi="fa-IR"/>
        </w:rPr>
        <w:t>.</w:t>
      </w:r>
    </w:p>
    <w:p>
      <w:pPr>
        <w:pStyle w:val="Heading6"/>
        <w:numPr>
          <w:ilvl w:val="5"/>
          <w:numId w:val="1"/>
        </w:numPr>
        <w:rPr/>
      </w:pPr>
      <w:bookmarkStart w:id="3489" w:name="__RefHeading___Toc3600261_1067777946"/>
      <w:bookmarkStart w:id="3490" w:name="_Toc1451"/>
      <w:bookmarkEnd w:id="3489"/>
      <w:r>
        <w:rPr>
          <w:rtl w:val="true"/>
        </w:rPr>
        <w:t>اختلاف در تحقق اسلام ديگرى</w:t>
      </w:r>
      <w:bookmarkEnd w:id="3490"/>
    </w:p>
    <w:p>
      <w:pPr>
        <w:pStyle w:val="BookText"/>
        <w:rPr/>
      </w:pPr>
      <w:r>
        <w:rPr>
          <w:rFonts w:ascii="IRNazanin" w:hAnsi="IRNazanin" w:eastAsia="IRNazanin"/>
          <w:color w:val="111111"/>
          <w:sz w:val="28"/>
          <w:sz w:val="28"/>
          <w:szCs w:val="28"/>
          <w:rtl w:val="true"/>
          <w:lang w:bidi="fa-IR"/>
        </w:rPr>
        <w:t>اگر اختلاف در تحقق اسلام ديگرى، در عده يا بعد از آن شد، كه مستلزم اختلاف در بقاى نكاح و استحقاق نفقه شد، اظهر بقاى نكاح و استحقاق نفقه است، و احوط تجديد عقد است بعد از طلاق و عده يا طلاق باين در صورت ارادۀ نكاح</w:t>
      </w:r>
      <w:r>
        <w:rPr>
          <w:rFonts w:eastAsia="IRNazanin" w:cs="IRNazanin"/>
          <w:color w:val="111111"/>
          <w:sz w:val="28"/>
          <w:szCs w:val="28"/>
          <w:rtl w:val="true"/>
          <w:lang w:bidi="fa-IR"/>
        </w:rPr>
        <w:t>.</w:t>
      </w:r>
    </w:p>
    <w:p>
      <w:pPr>
        <w:pStyle w:val="Heading6"/>
        <w:numPr>
          <w:ilvl w:val="5"/>
          <w:numId w:val="1"/>
        </w:numPr>
        <w:rPr/>
      </w:pPr>
      <w:bookmarkStart w:id="3491" w:name="__RefHeading___Toc3600263_1067777946"/>
      <w:bookmarkStart w:id="3492" w:name="_Toc1452"/>
      <w:bookmarkEnd w:id="3491"/>
      <w:r>
        <w:rPr>
          <w:rtl w:val="true"/>
        </w:rPr>
        <w:t>حكم ميراث بعد از وفات زوج قبل از اختيار</w:t>
      </w:r>
      <w:bookmarkEnd w:id="3492"/>
    </w:p>
    <w:p>
      <w:pPr>
        <w:pStyle w:val="BookText"/>
        <w:rPr/>
      </w:pPr>
      <w:r>
        <w:rPr>
          <w:rFonts w:ascii="IRNazanin" w:hAnsi="IRNazanin" w:eastAsia="IRNazanin"/>
          <w:color w:val="111111"/>
          <w:sz w:val="28"/>
          <w:sz w:val="28"/>
          <w:szCs w:val="28"/>
          <w:rtl w:val="true"/>
          <w:lang w:bidi="fa-IR"/>
        </w:rPr>
        <w:t>اگر زوج قبل از اختيار ممكن، وفات كرد و زنها بيش از چهار زن وارث بودند، احوط مصالحه در ميراث، با قرعه يا بدون آن، با تفاوت يا بدون آن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زوج وفات نمايد قبل از اختيار، و زنها باشند، كلام در ارث آنها يا قرعه يا صلح، همان است كه گذشت در موت زوجين، كه احوط مصالحه به قرعه با تقسيم بالسويه يا به تفاوت است، نسبت به كسانى كه ارث مى برند از مسلم، نسبت به </w:t>
      </w:r>
      <w:bookmarkStart w:id="3493" w:name="pg10256_89905"/>
    </w:p>
    <w:p>
      <w:pPr>
        <w:pStyle w:val="BookText"/>
        <w:rPr/>
      </w:pPr>
      <w:bookmarkEnd w:id="3493"/>
      <w:r>
        <w:rPr>
          <w:rFonts w:ascii="IRNazanin" w:hAnsi="IRNazanin" w:eastAsia="IRNazanin"/>
          <w:color w:val="111111"/>
          <w:sz w:val="28"/>
          <w:sz w:val="28"/>
          <w:szCs w:val="28"/>
          <w:rtl w:val="true"/>
          <w:lang w:bidi="fa-IR"/>
        </w:rPr>
        <w:t>خصوص حق وارثها؛ پس در صورتى كه چهار نفر وارث و چهار نفر غير وارث است، محتمل است نصف حق چهار زن بر چهار زن مسلمان توزيع شود به صلح يا تعيين دو نفر از آن چهار نفر با قرعه، و نصف ديگر مال ساير ورثه باشد، مگر آنكه با قرعه كه وظيفه باشد تعيين چهار زن بشود، و ملاحظۀ وارث و غير، نسبت به حق چهار زن بشود، و بقيه مخصوص ساير ورثۀ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قرعه، كيفيّت عده تعيين مى شود بنابر يكى از دو احتمال؛ و احتياط در اين مقام در مصالحه وارثها از زنها با ساير ورثه، ترك نشود</w:t>
      </w:r>
      <w:r>
        <w:rPr>
          <w:rFonts w:eastAsia="IRNazanin" w:cs="IRNazanin"/>
          <w:color w:val="111111"/>
          <w:sz w:val="28"/>
          <w:szCs w:val="28"/>
          <w:rtl w:val="true"/>
          <w:lang w:bidi="fa-IR"/>
        </w:rPr>
        <w:t>.</w:t>
      </w:r>
    </w:p>
    <w:p>
      <w:pPr>
        <w:pStyle w:val="Heading6"/>
        <w:numPr>
          <w:ilvl w:val="5"/>
          <w:numId w:val="1"/>
        </w:numPr>
        <w:rPr/>
      </w:pPr>
      <w:bookmarkStart w:id="3494" w:name="__RefHeading___Toc3600265_1067777946"/>
      <w:bookmarkStart w:id="3495" w:name="_Toc1453"/>
      <w:bookmarkEnd w:id="3494"/>
      <w:r>
        <w:rPr>
          <w:rtl w:val="true"/>
        </w:rPr>
        <w:t>اباق عبد بعد از ازدواج با اذن</w:t>
      </w:r>
      <w:bookmarkEnd w:id="349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اين است كه اباق عبد بعد از ازدواج به اذن مولى، به منزلۀ طلاق و ارتداد او است در بينونت زنِ او؛ پس اگر در عده رجوع كرد، باقى است نكاح، وگرنه منفسخ است از زمان اباق؛ و احوط تجديد عقد است با رجوع در عده، بعد از طلاق صحيح، كه بعد از آن عقد مؤثر مى شود</w:t>
      </w:r>
      <w:r>
        <w:rPr>
          <w:rFonts w:eastAsia="IRNazanin" w:cs="IRNazanin"/>
          <w:color w:val="111111"/>
          <w:sz w:val="28"/>
          <w:szCs w:val="28"/>
          <w:rtl w:val="true"/>
          <w:lang w:bidi="fa-IR"/>
        </w:rPr>
        <w:t>.</w:t>
      </w:r>
      <w:bookmarkStart w:id="3496" w:name="pg10256_89906"/>
    </w:p>
    <w:p>
      <w:pPr>
        <w:pStyle w:val="Heading3"/>
        <w:numPr>
          <w:ilvl w:val="2"/>
          <w:numId w:val="1"/>
        </w:numPr>
        <w:rPr/>
      </w:pPr>
      <w:bookmarkStart w:id="3497" w:name="__RefHeading___Toc3600267_1067777946"/>
      <w:bookmarkStart w:id="3498" w:name="_Toc1454"/>
      <w:bookmarkEnd w:id="3496"/>
      <w:bookmarkEnd w:id="3497"/>
      <w:r>
        <w:rPr>
          <w:rtl w:val="true"/>
        </w:rPr>
        <w:t>فصل چهارم لواحق عقد</w:t>
      </w:r>
      <w:bookmarkEnd w:id="3498"/>
    </w:p>
    <w:p>
      <w:pPr>
        <w:pStyle w:val="Heading4"/>
        <w:numPr>
          <w:ilvl w:val="3"/>
          <w:numId w:val="1"/>
        </w:numPr>
        <w:rPr/>
      </w:pPr>
      <w:bookmarkStart w:id="3499" w:name="__RefHeading___Toc3600269_1067777946"/>
      <w:bookmarkStart w:id="3500" w:name="_Toc1455"/>
      <w:bookmarkEnd w:id="3499"/>
      <w:r>
        <w:rPr/>
        <w:t>1</w:t>
      </w:r>
      <w:r>
        <w:rPr>
          <w:rtl w:val="true"/>
        </w:rPr>
        <w:t xml:space="preserve">. </w:t>
      </w:r>
      <w:r>
        <w:rPr>
          <w:rtl w:val="true"/>
        </w:rPr>
        <w:t>كفايت</w:t>
      </w:r>
      <w:bookmarkEnd w:id="3500"/>
    </w:p>
    <w:p>
      <w:pPr>
        <w:pStyle w:val="Heading5"/>
        <w:numPr>
          <w:ilvl w:val="4"/>
          <w:numId w:val="1"/>
        </w:numPr>
        <w:rPr/>
      </w:pPr>
      <w:bookmarkStart w:id="3501" w:name="__RefHeading___Toc3600271_1067777946"/>
      <w:bookmarkStart w:id="3502" w:name="_Toc1456"/>
      <w:bookmarkEnd w:id="3501"/>
      <w:r>
        <w:rPr>
          <w:rtl w:val="true"/>
        </w:rPr>
        <w:t>اشاره</w:t>
      </w:r>
      <w:bookmarkEnd w:id="3502"/>
    </w:p>
    <w:p>
      <w:pPr>
        <w:pStyle w:val="BookText"/>
        <w:rPr/>
      </w:pPr>
      <w:r>
        <w:rPr>
          <w:rFonts w:ascii="Amiri" w:hAnsi="Amiri" w:eastAsia="Amiri" w:cs="Amiri"/>
          <w:color w:val="111111"/>
          <w:sz w:val="28"/>
          <w:sz w:val="28"/>
          <w:szCs w:val="28"/>
          <w:rtl w:val="true"/>
          <w:lang w:bidi="ar-SA"/>
        </w:rPr>
        <w:t>مسلمه در نكاح غير مسلم نمى آيد، و مؤمن ازدواج با مسلمۀ غير مؤمنه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مؤمنه در نكاح غير مؤمن مى آيد يا نه‌؟ خلاف است، و اظهر جواز</w:t>
      </w:r>
      <w:r>
        <w:rPr>
          <w:rStyle w:val="FootnoteAnchor"/>
          <w:rtl w:val="true"/>
        </w:rPr>
        <w:footnoteReference w:id="14"/>
      </w:r>
      <w:r>
        <w:rPr>
          <w:rFonts w:ascii="Amiri" w:hAnsi="Amiri" w:eastAsia="Amiri" w:cs="Amiri"/>
          <w:color w:val="111111"/>
          <w:sz w:val="28"/>
          <w:sz w:val="28"/>
          <w:szCs w:val="28"/>
          <w:rtl w:val="true"/>
          <w:lang w:bidi="ar-SA"/>
        </w:rPr>
        <w:t>تزويج غير ناصب و غالى از غير مؤمنين است به مؤمنه، با كراهت مختلفه به مراتب دورى از ايمان به معنى اِثنا عشرى بودن</w:t>
      </w:r>
      <w:r>
        <w:rPr>
          <w:rFonts w:eastAsia="Amiri" w:cs="Amiri" w:ascii="Amiri" w:hAnsi="Amiri"/>
          <w:color w:val="111111"/>
          <w:sz w:val="28"/>
          <w:szCs w:val="28"/>
          <w:rtl w:val="true"/>
          <w:lang w:bidi="ar-SA"/>
        </w:rPr>
        <w:t>.</w:t>
      </w:r>
    </w:p>
    <w:p>
      <w:pPr>
        <w:pStyle w:val="Heading5"/>
        <w:numPr>
          <w:ilvl w:val="4"/>
          <w:numId w:val="1"/>
        </w:numPr>
        <w:rPr/>
      </w:pPr>
      <w:bookmarkStart w:id="3503" w:name="__RefHeading___Toc3600273_1067777946"/>
      <w:bookmarkStart w:id="3504" w:name="_Toc1457"/>
      <w:bookmarkEnd w:id="3503"/>
      <w:r>
        <w:rPr>
          <w:rtl w:val="true"/>
        </w:rPr>
        <w:t>مراد از نصب و غلوّ</w:t>
      </w:r>
      <w:bookmarkEnd w:id="3504"/>
    </w:p>
    <w:p>
      <w:pPr>
        <w:pStyle w:val="BookText"/>
        <w:rPr/>
      </w:pPr>
      <w:r>
        <w:rPr>
          <w:rFonts w:ascii="IRNazanin" w:hAnsi="IRNazanin" w:eastAsia="IRNazanin"/>
          <w:color w:val="111111"/>
          <w:sz w:val="28"/>
          <w:sz w:val="28"/>
          <w:szCs w:val="28"/>
          <w:rtl w:val="true"/>
          <w:lang w:bidi="fa-IR"/>
        </w:rPr>
        <w:t xml:space="preserve">و مراد از نصب و غلوّ، آن است كه موجب حكم به كفر به واسطۀ انكار ضرورى است، اگر چه به مثل سبّ و شتم بعض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ظاهر در عدم تدين به ضرورى است؛ اما اگر دانسته شد كه عداوت او شخصى است نه دينى، پس مقتضاى اطلاق حكم سبّ و مخالفت آن با نصوص قرآن همين است، لكن در صورت احتمال صدور از غفلت و نحو آن، خالى از تأمل نيست در حكم به كفر، نه در مثل وجوب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در بعض غير مؤمنين، حرمت تزويج به عنوان ثانوى بدون فساد، چنانچه در بعض مؤمنين اين مطلب عارض مى شود</w:t>
      </w:r>
      <w:r>
        <w:rPr>
          <w:rFonts w:eastAsia="IRNazanin" w:cs="IRNazanin"/>
          <w:color w:val="111111"/>
          <w:sz w:val="28"/>
          <w:szCs w:val="28"/>
          <w:rtl w:val="true"/>
          <w:lang w:bidi="fa-IR"/>
        </w:rPr>
        <w:t>.</w:t>
      </w:r>
    </w:p>
    <w:p>
      <w:pPr>
        <w:pStyle w:val="Heading5"/>
        <w:numPr>
          <w:ilvl w:val="4"/>
          <w:numId w:val="1"/>
        </w:numPr>
        <w:rPr/>
      </w:pPr>
      <w:bookmarkStart w:id="3505" w:name="__RefHeading___Toc3600275_1067777946"/>
      <w:bookmarkStart w:id="3506" w:name="_Toc1458"/>
      <w:bookmarkEnd w:id="3505"/>
      <w:r>
        <w:rPr>
          <w:rtl w:val="true"/>
        </w:rPr>
        <w:t>عدم شرطيّت تمكّن از نفقه در صحّت نكاح</w:t>
      </w:r>
      <w:bookmarkEnd w:id="350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تمكّن از نفقه، شرط كفايت و معتبر در صحّت نكاح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تسلط زن بر فسخ، </w:t>
      </w:r>
      <w:bookmarkStart w:id="3507" w:name="pg10256_89907"/>
    </w:p>
    <w:p>
      <w:pPr>
        <w:pStyle w:val="BookText"/>
        <w:rPr/>
      </w:pPr>
      <w:bookmarkEnd w:id="3507"/>
      <w:r>
        <w:rPr>
          <w:rFonts w:ascii="IRNazanin" w:hAnsi="IRNazanin" w:eastAsia="IRNazanin"/>
          <w:color w:val="111111"/>
          <w:sz w:val="28"/>
          <w:sz w:val="28"/>
          <w:szCs w:val="28"/>
          <w:rtl w:val="true"/>
          <w:lang w:bidi="fa-IR"/>
        </w:rPr>
        <w:t>با جهل به عجز زوج قبل از تزويج، تأمل است، و اظهر عدم تسلط است اگر عجز متجدد شد بعد از تزويج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انتساب به قومى كرد، بعد معلوم شد خلاف و تدليس با اشتراط آن در متن عقد، بلكه مطلق تدليس، پس در تسلط زوجه بر فسخ نكاح، تأمل است</w:t>
      </w:r>
      <w:r>
        <w:rPr>
          <w:rFonts w:eastAsia="IRNazanin" w:cs="IRNazanin"/>
          <w:color w:val="111111"/>
          <w:sz w:val="28"/>
          <w:szCs w:val="28"/>
          <w:rtl w:val="true"/>
          <w:lang w:bidi="fa-IR"/>
        </w:rPr>
        <w:t>.</w:t>
      </w:r>
    </w:p>
    <w:p>
      <w:pPr>
        <w:pStyle w:val="Heading5"/>
        <w:numPr>
          <w:ilvl w:val="4"/>
          <w:numId w:val="1"/>
        </w:numPr>
        <w:rPr/>
      </w:pPr>
      <w:bookmarkStart w:id="3508" w:name="__RefHeading___Toc3600277_1067777946"/>
      <w:bookmarkStart w:id="3509" w:name="_Toc1459"/>
      <w:bookmarkEnd w:id="3508"/>
      <w:r>
        <w:rPr>
          <w:rtl w:val="true"/>
        </w:rPr>
        <w:t>موارد كراهت ازدواج</w:t>
      </w:r>
      <w:bookmarkEnd w:id="3509"/>
    </w:p>
    <w:p>
      <w:pPr>
        <w:pStyle w:val="BookText"/>
        <w:rPr/>
      </w:pPr>
      <w:r>
        <w:rPr>
          <w:rFonts w:ascii="Amiri" w:hAnsi="Amiri" w:eastAsia="Amiri" w:cs="Amiri"/>
          <w:color w:val="111111"/>
          <w:sz w:val="28"/>
          <w:sz w:val="28"/>
          <w:szCs w:val="28"/>
          <w:rtl w:val="true"/>
          <w:lang w:bidi="ar-SA"/>
        </w:rPr>
        <w:t>مكروه است تزويج مثل شارب الخمر، و اهل زنا و لواط و اعظم از اينها، و مخالف در عقيدۀ ولايت</w:t>
      </w:r>
      <w:r>
        <w:rPr>
          <w:rStyle w:val="FootnoteAnchor"/>
          <w:rtl w:val="true"/>
        </w:rPr>
        <w:footnoteReference w:id="15"/>
      </w:r>
      <w:r>
        <w:rPr>
          <w:rFonts w:ascii="Amiri" w:hAnsi="Amiri" w:eastAsia="Amiri" w:cs="Amiri"/>
          <w:color w:val="111111"/>
          <w:sz w:val="28"/>
          <w:sz w:val="28"/>
          <w:szCs w:val="28"/>
          <w:rtl w:val="true"/>
          <w:lang w:bidi="ar-SA"/>
        </w:rPr>
        <w:t>در غير مستضعف و ابله و نزديك به ايمان، و معروفين به جفا و قساوت قلب و بى باكى در امور دين، و ازدواج زنهاى مبتلى به حماقت يا جنون، بلكه وطى كنيز مبتلى به جنون براى استيلاد</w:t>
      </w:r>
      <w:r>
        <w:rPr>
          <w:rFonts w:eastAsia="Amiri" w:cs="Amiri" w:ascii="Amiri" w:hAnsi="Amiri"/>
          <w:color w:val="111111"/>
          <w:sz w:val="28"/>
          <w:szCs w:val="28"/>
          <w:rtl w:val="true"/>
          <w:lang w:bidi="ar-SA"/>
        </w:rPr>
        <w:t>.</w:t>
      </w:r>
    </w:p>
    <w:p>
      <w:pPr>
        <w:pStyle w:val="Heading4"/>
        <w:numPr>
          <w:ilvl w:val="3"/>
          <w:numId w:val="1"/>
        </w:numPr>
        <w:rPr/>
      </w:pPr>
      <w:bookmarkStart w:id="3510" w:name="__RefHeading___Toc3600279_1067777946"/>
      <w:bookmarkStart w:id="3511" w:name="_Toc1460"/>
      <w:bookmarkEnd w:id="3510"/>
      <w:r>
        <w:rPr/>
        <w:t>2</w:t>
      </w:r>
      <w:r>
        <w:rPr>
          <w:rtl w:val="true"/>
        </w:rPr>
        <w:t xml:space="preserve">. </w:t>
      </w:r>
      <w:r>
        <w:rPr>
          <w:rtl w:val="true"/>
        </w:rPr>
        <w:t>ظهور زنا</w:t>
      </w:r>
      <w:bookmarkEnd w:id="3511"/>
    </w:p>
    <w:p>
      <w:pPr>
        <w:pStyle w:val="BookText"/>
        <w:rPr/>
      </w:pPr>
      <w:r>
        <w:rPr>
          <w:rFonts w:ascii="IRNazanin" w:hAnsi="IRNazanin" w:eastAsia="IRNazanin"/>
          <w:color w:val="111111"/>
          <w:sz w:val="28"/>
          <w:sz w:val="28"/>
          <w:szCs w:val="28"/>
          <w:rtl w:val="true"/>
          <w:lang w:bidi="fa-IR"/>
        </w:rPr>
        <w:t>اگر ازدواج كرد با زنى به اعتقاد عفت كامله، پس از آن معلوم شد كه زنا كرده بوده است، اگر چه اجراى حدّ بر او شده بوده است، اختيار فسخ نكاح و استرجاع مهر از ولىّ در صورت تدليس او ندارد بنابر اظهر در صورت استحقاق آن به دخول به زن، طلاق بدهد يا نه</w:t>
      </w:r>
      <w:r>
        <w:rPr>
          <w:rFonts w:eastAsia="IRNazanin" w:cs="IRNazanin"/>
          <w:color w:val="111111"/>
          <w:sz w:val="28"/>
          <w:szCs w:val="28"/>
          <w:rtl w:val="true"/>
          <w:lang w:bidi="fa-IR"/>
        </w:rPr>
        <w:t>.</w:t>
      </w:r>
    </w:p>
    <w:p>
      <w:pPr>
        <w:pStyle w:val="Heading4"/>
        <w:numPr>
          <w:ilvl w:val="3"/>
          <w:numId w:val="1"/>
        </w:numPr>
        <w:rPr/>
      </w:pPr>
      <w:bookmarkStart w:id="3512" w:name="__RefHeading___Toc3600281_1067777946"/>
      <w:bookmarkStart w:id="3513" w:name="_Toc1461"/>
      <w:bookmarkEnd w:id="3512"/>
      <w:r>
        <w:rPr/>
        <w:t>3</w:t>
      </w:r>
      <w:r>
        <w:rPr>
          <w:rtl w:val="true"/>
        </w:rPr>
        <w:t xml:space="preserve">. </w:t>
      </w:r>
      <w:r>
        <w:rPr>
          <w:rtl w:val="true"/>
        </w:rPr>
        <w:t>تعريض به خِطبه</w:t>
      </w:r>
      <w:bookmarkEnd w:id="3513"/>
    </w:p>
    <w:p>
      <w:pPr>
        <w:pStyle w:val="Heading5"/>
        <w:numPr>
          <w:ilvl w:val="4"/>
          <w:numId w:val="1"/>
        </w:numPr>
        <w:rPr/>
      </w:pPr>
      <w:bookmarkStart w:id="3514" w:name="__RefHeading___Toc3600283_1067777946"/>
      <w:bookmarkStart w:id="3515" w:name="_Toc1462"/>
      <w:bookmarkEnd w:id="3514"/>
      <w:r>
        <w:rPr>
          <w:rtl w:val="true"/>
        </w:rPr>
        <w:t>اشاره</w:t>
      </w:r>
      <w:bookmarkEnd w:id="3515"/>
    </w:p>
    <w:p>
      <w:pPr>
        <w:pStyle w:val="BookText"/>
        <w:rPr/>
      </w:pPr>
      <w:r>
        <w:rPr>
          <w:rFonts w:ascii="IRNazanin" w:hAnsi="IRNazanin" w:eastAsia="IRNazanin"/>
          <w:color w:val="111111"/>
          <w:sz w:val="28"/>
          <w:sz w:val="28"/>
          <w:szCs w:val="28"/>
          <w:rtl w:val="true"/>
          <w:lang w:bidi="fa-IR"/>
        </w:rPr>
        <w:t>جايز نيست تعريض به خِطبه به نحوى كه ذكر مى شود اگر چه به نحو معلَّق به طلاق و انقضاى عده باشد، به زنى كه صاحب شوهر است يا آنكه در عدۀ رجعيّۀ شوهر است، براى غير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شوهر جايز است تعريض و تصريح</w:t>
      </w:r>
      <w:r>
        <w:rPr>
          <w:rFonts w:eastAsia="IRNazanin" w:cs="IRNazanin"/>
          <w:color w:val="111111"/>
          <w:sz w:val="28"/>
          <w:szCs w:val="28"/>
          <w:rtl w:val="true"/>
          <w:lang w:bidi="fa-IR"/>
        </w:rPr>
        <w:t>.</w:t>
      </w:r>
    </w:p>
    <w:p>
      <w:pPr>
        <w:pStyle w:val="Heading5"/>
        <w:numPr>
          <w:ilvl w:val="4"/>
          <w:numId w:val="1"/>
        </w:numPr>
        <w:rPr/>
      </w:pPr>
      <w:bookmarkStart w:id="3516" w:name="__RefHeading___Toc3600285_1067777946"/>
      <w:bookmarkStart w:id="3517" w:name="_Toc1463"/>
      <w:bookmarkEnd w:id="3516"/>
      <w:r>
        <w:rPr>
          <w:rtl w:val="true"/>
        </w:rPr>
        <w:t>تعريض به مطلّقه سه طلاقه</w:t>
      </w:r>
      <w:bookmarkEnd w:id="351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است تعريض مطلّقه به سه طلاق، و معتدّۀ به عدّۀ بائنه حتّى عدّۀ مختلعه قبل از </w:t>
      </w:r>
      <w:bookmarkStart w:id="3518" w:name="pg10256_89908"/>
    </w:p>
    <w:p>
      <w:pPr>
        <w:pStyle w:val="BookText"/>
        <w:rPr/>
      </w:pPr>
      <w:bookmarkEnd w:id="3518"/>
      <w:r>
        <w:rPr>
          <w:rFonts w:ascii="IRNazanin" w:hAnsi="IRNazanin" w:eastAsia="IRNazanin"/>
          <w:color w:val="111111"/>
          <w:sz w:val="28"/>
          <w:sz w:val="28"/>
          <w:szCs w:val="28"/>
          <w:rtl w:val="true"/>
          <w:lang w:bidi="fa-IR"/>
        </w:rPr>
        <w:t>رجوع در بذل، در عدّة، از زوج و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معلّق به محلّل، از زوج با حاجت، تأمّل است؛ و هم چنين غير معلّق به انقضاى عدّه از غير زوج، اگر فى الحال جايز باشد عقد او بدون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جايز نيست براى هيچ كدام، مگر براى غير زوج بعد از عده، و هم چنين زوج بعد از عده و نكاح محلل، در فرض احتياج با عدم حرمت ابديّه</w:t>
      </w:r>
      <w:r>
        <w:rPr>
          <w:rFonts w:eastAsia="IRNazanin" w:cs="IRNazanin"/>
          <w:color w:val="111111"/>
          <w:sz w:val="28"/>
          <w:szCs w:val="28"/>
          <w:rtl w:val="true"/>
          <w:lang w:bidi="fa-IR"/>
        </w:rPr>
        <w:t>.</w:t>
      </w:r>
    </w:p>
    <w:p>
      <w:pPr>
        <w:pStyle w:val="Heading5"/>
        <w:numPr>
          <w:ilvl w:val="4"/>
          <w:numId w:val="1"/>
        </w:numPr>
        <w:rPr/>
      </w:pPr>
      <w:bookmarkStart w:id="3519" w:name="__RefHeading___Toc3600287_1067777946"/>
      <w:bookmarkStart w:id="3520" w:name="_Toc1464"/>
      <w:bookmarkEnd w:id="3519"/>
      <w:r>
        <w:rPr>
          <w:rtl w:val="true"/>
        </w:rPr>
        <w:t>تعريض به مطلّقۀ نُه طلاقه</w:t>
      </w:r>
      <w:bookmarkEnd w:id="3520"/>
    </w:p>
    <w:p>
      <w:pPr>
        <w:pStyle w:val="BookText"/>
        <w:rPr/>
      </w:pPr>
      <w:r>
        <w:rPr>
          <w:rFonts w:ascii="IRNazanin" w:hAnsi="IRNazanin" w:eastAsia="IRNazanin"/>
          <w:color w:val="111111"/>
          <w:sz w:val="28"/>
          <w:sz w:val="28"/>
          <w:szCs w:val="28"/>
          <w:rtl w:val="true"/>
          <w:lang w:bidi="fa-IR"/>
        </w:rPr>
        <w:t>و اما مطلّقه به نُه طلاق للعدّه كه در بين، دو شوهر ديگر كرده است كه حرام است ابداً بر زوج اولى، و هم چنين زنى كه ملاعنه كرده و يا آنكه به رضاعْ حرام شده، پس تعريض زوج اوّلى به خطبۀ او جايز نيست در غير عده هم؛ و جايز است براى غير زوج اولى در غير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در عده جايز نيست، نه براى زوج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غير او</w:t>
      </w:r>
      <w:r>
        <w:rPr>
          <w:rFonts w:eastAsia="IRNazanin" w:cs="IRNazanin"/>
          <w:color w:val="111111"/>
          <w:sz w:val="28"/>
          <w:szCs w:val="28"/>
          <w:rtl w:val="true"/>
          <w:lang w:bidi="fa-IR"/>
        </w:rPr>
        <w:t>.</w:t>
      </w:r>
    </w:p>
    <w:p>
      <w:pPr>
        <w:pStyle w:val="Heading5"/>
        <w:numPr>
          <w:ilvl w:val="4"/>
          <w:numId w:val="1"/>
        </w:numPr>
        <w:rPr/>
      </w:pPr>
      <w:bookmarkStart w:id="3521" w:name="__RefHeading___Toc3600289_1067777946"/>
      <w:bookmarkStart w:id="3522" w:name="_Toc1465"/>
      <w:bookmarkEnd w:id="3521"/>
      <w:r>
        <w:rPr>
          <w:rtl w:val="true"/>
        </w:rPr>
        <w:t>جواز تعريض در عدۀ بائن</w:t>
      </w:r>
      <w:bookmarkEnd w:id="3522"/>
    </w:p>
    <w:p>
      <w:pPr>
        <w:pStyle w:val="BookText"/>
        <w:rPr/>
      </w:pPr>
      <w:r>
        <w:rPr>
          <w:rFonts w:ascii="IRNazanin" w:hAnsi="IRNazanin" w:eastAsia="IRNazanin"/>
          <w:color w:val="111111"/>
          <w:sz w:val="28"/>
          <w:sz w:val="28"/>
          <w:szCs w:val="28"/>
          <w:rtl w:val="true"/>
          <w:lang w:bidi="fa-IR"/>
        </w:rPr>
        <w:t>زنى كه در عدۀ بائن هست از خلع يا فسخ، تعريض از زوج و غير او به نحو معلّق جايز است در عده، و تصريح از زوج جايز است در عده، مثل نكاح او، نه از غير زوج، مگر بعد از انقضاى عده چنانچه گذشت</w:t>
      </w:r>
      <w:r>
        <w:rPr>
          <w:rFonts w:eastAsia="IRNazanin" w:cs="IRNazanin"/>
          <w:color w:val="111111"/>
          <w:sz w:val="28"/>
          <w:szCs w:val="28"/>
          <w:rtl w:val="true"/>
          <w:lang w:bidi="fa-IR"/>
        </w:rPr>
        <w:t>.</w:t>
      </w:r>
    </w:p>
    <w:p>
      <w:pPr>
        <w:pStyle w:val="Heading5"/>
        <w:numPr>
          <w:ilvl w:val="4"/>
          <w:numId w:val="1"/>
        </w:numPr>
        <w:rPr/>
      </w:pPr>
      <w:bookmarkStart w:id="3523" w:name="__RefHeading___Toc3600291_1067777946"/>
      <w:bookmarkStart w:id="3524" w:name="_Toc1466"/>
      <w:bookmarkEnd w:id="3523"/>
      <w:r>
        <w:rPr>
          <w:rtl w:val="true"/>
        </w:rPr>
        <w:t>معناى تصريح و تعريض</w:t>
      </w:r>
      <w:bookmarkEnd w:id="352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لفظى كه دلالت بر تزويج نمايد براى خِطبه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لفظى كه دلالت عرفيه بر نكاح ندارد، بلكه محتمل است به نحو راجح،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راغبٍ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اين قبيل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تصريح به نكاح كرد و اهمال كرد ذكر خاطب را، يا بعكس، تعريض محسوب مى شود، پس چنين است اگر ظهور عرفى در يكى از نكاح و خطبه كنندۀ معيّن نداشته 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اقدام به تصريح حرام، اگر بعد از عده، به نحو واجد شرط، عقد كرد، صحيح است</w:t>
      </w:r>
      <w:r>
        <w:rPr>
          <w:rFonts w:eastAsia="IRNazanin" w:cs="IRNazanin"/>
          <w:color w:val="111111"/>
          <w:sz w:val="28"/>
          <w:szCs w:val="28"/>
          <w:rtl w:val="true"/>
          <w:lang w:bidi="fa-IR"/>
        </w:rPr>
        <w:t xml:space="preserve">. </w:t>
      </w:r>
      <w:bookmarkStart w:id="3525" w:name="pg10256_89909"/>
    </w:p>
    <w:p>
      <w:pPr>
        <w:pStyle w:val="Heading5"/>
        <w:numPr>
          <w:ilvl w:val="4"/>
          <w:numId w:val="1"/>
        </w:numPr>
        <w:rPr/>
      </w:pPr>
      <w:bookmarkStart w:id="3526" w:name="__RefHeading___Toc3600293_1067777946"/>
      <w:bookmarkStart w:id="3527" w:name="_Toc1467"/>
      <w:bookmarkEnd w:id="3525"/>
      <w:bookmarkEnd w:id="3526"/>
      <w:r>
        <w:rPr>
          <w:rtl w:val="true"/>
        </w:rPr>
        <w:t>حكم اجابت زن به خطبه مرد</w:t>
      </w:r>
      <w:bookmarkEnd w:id="3527"/>
    </w:p>
    <w:p>
      <w:pPr>
        <w:pStyle w:val="BookText"/>
        <w:rPr/>
      </w:pPr>
      <w:r>
        <w:rPr>
          <w:rFonts w:ascii="Amiri" w:hAnsi="Amiri" w:eastAsia="Amiri" w:cs="Amiri"/>
          <w:color w:val="111111"/>
          <w:sz w:val="28"/>
          <w:sz w:val="28"/>
          <w:szCs w:val="28"/>
          <w:rtl w:val="true"/>
          <w:lang w:bidi="ar-SA"/>
        </w:rPr>
        <w:t>و حكم اجابت زن، حكم خطبۀ مرد است در تعريض و تصريح بنابر اظهر</w:t>
      </w:r>
      <w:r>
        <w:rPr>
          <w:rFonts w:eastAsia="Amiri" w:cs="Amiri" w:ascii="Amiri" w:hAnsi="Amiri"/>
          <w:color w:val="111111"/>
          <w:sz w:val="28"/>
          <w:szCs w:val="28"/>
          <w:rtl w:val="true"/>
          <w:lang w:bidi="ar-SA"/>
        </w:rPr>
        <w:t>.</w:t>
      </w:r>
    </w:p>
    <w:p>
      <w:pPr>
        <w:pStyle w:val="Heading4"/>
        <w:numPr>
          <w:ilvl w:val="3"/>
          <w:numId w:val="1"/>
        </w:numPr>
        <w:rPr/>
      </w:pPr>
      <w:bookmarkStart w:id="3528" w:name="__RefHeading___Toc3600295_1067777946"/>
      <w:bookmarkStart w:id="3529" w:name="_Toc1468"/>
      <w:bookmarkEnd w:id="3528"/>
      <w:r>
        <w:rPr/>
        <w:t>4</w:t>
      </w:r>
      <w:r>
        <w:rPr>
          <w:rtl w:val="true"/>
        </w:rPr>
        <w:t xml:space="preserve">. </w:t>
      </w:r>
      <w:r>
        <w:rPr>
          <w:rtl w:val="true"/>
        </w:rPr>
        <w:t>خِطبه بر خِطبه</w:t>
      </w:r>
      <w:bookmarkEnd w:id="3529"/>
    </w:p>
    <w:p>
      <w:pPr>
        <w:pStyle w:val="BookText"/>
        <w:rPr/>
      </w:pPr>
      <w:r>
        <w:rPr>
          <w:rFonts w:ascii="IRNazanin" w:hAnsi="IRNazanin" w:eastAsia="IRNazanin"/>
          <w:color w:val="111111"/>
          <w:sz w:val="28"/>
          <w:sz w:val="28"/>
          <w:szCs w:val="28"/>
          <w:rtl w:val="true"/>
          <w:lang w:bidi="fa-IR"/>
        </w:rPr>
        <w:t>اگر خطبۀ مسلم، متعقّب به اجابت شد از ولى يا وكيل يا خودش اگر چه با سكوت دال بر اجابت باشد، مكروه است براى ديگرى خطبۀ آن مخطوبه، و محرّم نيست بنابر اظهر، در صورت عدم ايذاى محرم؛ و بر تقدير حرمت، عقد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خطبه متعقّب به رد شد، حرمت ندارد خطبۀ غير قطعاً، بلكه كراهت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متعقّب به هيچ كدام نباشد، دور نيست كراهت تا وقت ترقّب اجابت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خطبه بر خطبۀ ذمى، كراهت آن ثابت نيست، و حرمت آن منتفى است در صورت عدم ايجاب فتنه و نحو آن</w:t>
      </w:r>
      <w:r>
        <w:rPr>
          <w:rFonts w:eastAsia="Amiri" w:cs="Amiri" w:ascii="Amiri" w:hAnsi="Amiri"/>
          <w:color w:val="111111"/>
          <w:sz w:val="28"/>
          <w:szCs w:val="28"/>
          <w:rtl w:val="true"/>
          <w:lang w:bidi="ar-SA"/>
        </w:rPr>
        <w:t>.</w:t>
      </w:r>
    </w:p>
    <w:p>
      <w:pPr>
        <w:pStyle w:val="Heading4"/>
        <w:numPr>
          <w:ilvl w:val="3"/>
          <w:numId w:val="1"/>
        </w:numPr>
        <w:rPr/>
      </w:pPr>
      <w:bookmarkStart w:id="3530" w:name="__RefHeading___Toc3600297_1067777946"/>
      <w:bookmarkStart w:id="3531" w:name="_Toc1469"/>
      <w:bookmarkEnd w:id="3530"/>
      <w:r>
        <w:rPr/>
        <w:t>5</w:t>
      </w:r>
      <w:r>
        <w:rPr>
          <w:rtl w:val="true"/>
        </w:rPr>
        <w:t xml:space="preserve">. </w:t>
      </w:r>
      <w:r>
        <w:rPr>
          <w:rtl w:val="true"/>
        </w:rPr>
        <w:t>شرط طلاق بر محلّل</w:t>
      </w:r>
      <w:bookmarkEnd w:id="3531"/>
    </w:p>
    <w:p>
      <w:pPr>
        <w:pStyle w:val="BookText"/>
        <w:rPr/>
      </w:pPr>
      <w:r>
        <w:rPr>
          <w:rFonts w:ascii="IRNazanin" w:hAnsi="IRNazanin" w:eastAsia="IRNazanin"/>
          <w:color w:val="111111"/>
          <w:sz w:val="28"/>
          <w:sz w:val="28"/>
          <w:szCs w:val="28"/>
          <w:rtl w:val="true"/>
          <w:lang w:bidi="fa-IR"/>
        </w:rPr>
        <w:t>اگر زنى كه سه طلاق داده شده و بدون محلل حرام است بر زوج، تزويج كرد و شرط كرد بر محلّل كه به مجرد تحليل، نكاح مرتفع باشد، اظهر صحّت نكاح و بطلان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شرط طلاق داده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شرط طلاق دادن بعد از اصابۀ محلله، پس صحّت عقد و شرط با آن، 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اختيار فسخ مسمّى و رجوع به مهر المثل با دخول،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شرطى كه عقد با تبانى سابق بر شرط، واقع شده است به حيثيّتى كه سبق آن، قرينۀ دخول در عقد است، به حكم مذكور در ضمن عقد است بنابر اظهر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عقد صحيح شد، بعد از اصابت محلّل و فراق او و انقضاى عده، حلال مى شود زن بر شوهر اولى كه سه طلاق داده بوده؛ و اگر صحيح نبوده، كافى نيست وطى به شبهه در تحليل بر شوهر اولى</w:t>
      </w:r>
      <w:r>
        <w:rPr>
          <w:rFonts w:eastAsia="IRNazanin" w:cs="IRNazanin"/>
          <w:color w:val="111111"/>
          <w:sz w:val="28"/>
          <w:szCs w:val="28"/>
          <w:rtl w:val="true"/>
          <w:lang w:bidi="fa-IR"/>
        </w:rPr>
        <w:t xml:space="preserve">. </w:t>
      </w:r>
      <w:bookmarkStart w:id="3532" w:name="pg10256_89910"/>
    </w:p>
    <w:p>
      <w:pPr>
        <w:pStyle w:val="Heading4"/>
        <w:numPr>
          <w:ilvl w:val="3"/>
          <w:numId w:val="1"/>
        </w:numPr>
        <w:rPr/>
      </w:pPr>
      <w:bookmarkStart w:id="3533" w:name="__RefHeading___Toc3600299_1067777946"/>
      <w:bookmarkStart w:id="3534" w:name="_Toc1470"/>
      <w:bookmarkEnd w:id="3532"/>
      <w:bookmarkEnd w:id="3533"/>
      <w:r>
        <w:rPr/>
        <w:t>6</w:t>
      </w:r>
      <w:r>
        <w:rPr>
          <w:rtl w:val="true"/>
        </w:rPr>
        <w:t xml:space="preserve">. </w:t>
      </w:r>
      <w:r>
        <w:rPr>
          <w:rtl w:val="true"/>
        </w:rPr>
        <w:t>نكاح شِغار</w:t>
      </w:r>
      <w:bookmarkEnd w:id="3534"/>
    </w:p>
    <w:p>
      <w:pPr>
        <w:pStyle w:val="Heading5"/>
        <w:numPr>
          <w:ilvl w:val="4"/>
          <w:numId w:val="1"/>
        </w:numPr>
        <w:rPr/>
      </w:pPr>
      <w:bookmarkStart w:id="3535" w:name="__RefHeading___Toc3600301_1067777946"/>
      <w:bookmarkStart w:id="3536" w:name="_Toc1471"/>
      <w:bookmarkEnd w:id="3535"/>
      <w:r>
        <w:rPr>
          <w:rtl w:val="true"/>
        </w:rPr>
        <w:t>تعريف نكاح شغار</w:t>
      </w:r>
      <w:bookmarkEnd w:id="3536"/>
    </w:p>
    <w:p>
      <w:pPr>
        <w:pStyle w:val="BookText"/>
        <w:rPr/>
      </w:pPr>
      <w:r>
        <w:rPr>
          <w:rFonts w:ascii="IRNazanin" w:hAnsi="IRNazanin" w:eastAsia="IRNazanin"/>
          <w:color w:val="111111"/>
          <w:sz w:val="28"/>
          <w:sz w:val="28"/>
          <w:szCs w:val="28"/>
          <w:rtl w:val="true"/>
          <w:lang w:bidi="fa-IR"/>
        </w:rPr>
        <w:t xml:space="preserve">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و باطل است؛ و آن عبارت است از اينكه دو زن با دو مرد ازدواج نمايند، و مهر هركدام را تزويج ديگر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دَور،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نكاح، مهر آن، نكاح ديگر باشد، رعايت احتياط ترك نشود</w:t>
      </w:r>
      <w:r>
        <w:rPr>
          <w:rFonts w:eastAsia="IRNazanin" w:cs="IRNazanin"/>
          <w:color w:val="111111"/>
          <w:sz w:val="28"/>
          <w:szCs w:val="28"/>
          <w:rtl w:val="true"/>
          <w:lang w:bidi="fa-IR"/>
        </w:rPr>
        <w:t>.</w:t>
      </w:r>
    </w:p>
    <w:p>
      <w:pPr>
        <w:pStyle w:val="Heading5"/>
        <w:numPr>
          <w:ilvl w:val="4"/>
          <w:numId w:val="1"/>
        </w:numPr>
        <w:rPr/>
      </w:pPr>
      <w:bookmarkStart w:id="3537" w:name="__RefHeading___Toc3600303_1067777946"/>
      <w:bookmarkStart w:id="3538" w:name="_Toc1472"/>
      <w:bookmarkEnd w:id="3537"/>
      <w:r>
        <w:rPr>
          <w:rtl w:val="true"/>
        </w:rPr>
        <w:t>حكم صور مختلف كه برخى نكاح شغار است و برخى نكاح شغار نيست</w:t>
      </w:r>
      <w:bookmarkEnd w:id="3538"/>
    </w:p>
    <w:p>
      <w:pPr>
        <w:pStyle w:val="BookText"/>
        <w:rPr/>
      </w:pPr>
      <w:r>
        <w:rPr>
          <w:rFonts w:ascii="IRNazanin" w:hAnsi="IRNazanin" w:eastAsia="IRNazanin"/>
          <w:color w:val="111111"/>
          <w:sz w:val="28"/>
          <w:sz w:val="28"/>
          <w:szCs w:val="28"/>
          <w:rtl w:val="true"/>
          <w:lang w:bidi="fa-IR"/>
        </w:rPr>
        <w:t>اگر مهر در هر يك نكاح، غير از نكاح باشد، اگر چه نكاح با مهر، شرط و مشروط باشد، هر دو نكاح صحيح خواهد بود بنابر اظهر، مثل اينكه بعد از تبانى بر ازدواج دو زن به دو مرد با دو مهر و اشتراط هر نكاحى در ديگر، تزويج نمايد وكيل چهار نفر، هر زنى را به شوهرى به مهر معيّنى به نحو مذكور قبل از عقد، و قبول نمايد از جانب شوهرها؛ و هم چنين صحيح است اگر فقط در يك نكاح با مهر، نكاح ديگرى با مهر، شرط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شرط نكاح و مهر در صحّت اشتراط نيست اگر چه در نكاحْ ايجاب خيار نمى نمايد بنابر اظهر، و در مهر مى نمايد، و در تكليف به عمل به شرط، مشترك مى باشند؛ و هم چنين است اگر تزويج كرد شخصى را با مهرى، و شرط كرد كسى كه حق شرط كردن را دارد بر طرف خودش، كه فلان زن را تزويج به او كند و اسمى از مهر نبرد، در صحّت نكاح و شرط و عدم ايجاب خيار در نكاح بلكه در مهر فى الجمله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خودم را به تو تزويج كردم، مشروط بر اينكه دختر خودت را به من تزويج نمايى و مهر او تزويج دخترم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نكاحِ مشروط كه مهرش نكاح نيست صحيح، و نكاحى كه شرط است باطل است اگر واقع بشود با آنكه مهر در آن، نكاح باشد، بنابر احتياط متقدّم در صورت عدم دَور</w:t>
      </w:r>
      <w:r>
        <w:rPr>
          <w:rFonts w:eastAsia="IRNazanin" w:cs="IRNazanin"/>
          <w:color w:val="111111"/>
          <w:sz w:val="28"/>
          <w:szCs w:val="28"/>
          <w:rtl w:val="true"/>
          <w:lang w:bidi="fa-IR"/>
        </w:rPr>
        <w:t xml:space="preserve">. </w:t>
      </w:r>
      <w:bookmarkStart w:id="3539" w:name="pg10256_89911"/>
    </w:p>
    <w:p>
      <w:pPr>
        <w:pStyle w:val="BookText"/>
        <w:rPr/>
      </w:pPr>
      <w:bookmarkEnd w:id="3539"/>
      <w:r>
        <w:rPr>
          <w:rFonts w:ascii="IRNazanin" w:hAnsi="IRNazanin" w:eastAsia="IRNazanin"/>
          <w:color w:val="111111"/>
          <w:sz w:val="28"/>
          <w:sz w:val="28"/>
          <w:szCs w:val="28"/>
          <w:rtl w:val="true"/>
          <w:lang w:bidi="fa-IR"/>
        </w:rPr>
        <w:t>اگر شرط كرد در نكاح جاريه به كسى، تزويج او دختر خود را، با مهر بودن كنيز مزوجه، اظهر صحّت هر دو نكاح است، در صورتى كه در نكاحِ مشروط، تزويج دختر، مهر نباشد</w:t>
      </w:r>
      <w:r>
        <w:rPr>
          <w:rFonts w:eastAsia="IRNazanin" w:cs="IRNazanin"/>
          <w:color w:val="111111"/>
          <w:sz w:val="28"/>
          <w:szCs w:val="28"/>
          <w:rtl w:val="true"/>
          <w:lang w:bidi="fa-IR"/>
        </w:rPr>
        <w:t>.</w:t>
      </w:r>
    </w:p>
    <w:p>
      <w:pPr>
        <w:pStyle w:val="Heading5"/>
        <w:numPr>
          <w:ilvl w:val="4"/>
          <w:numId w:val="1"/>
        </w:numPr>
        <w:rPr/>
      </w:pPr>
      <w:bookmarkStart w:id="3540" w:name="__RefHeading___Toc3600305_1067777946"/>
      <w:bookmarkStart w:id="3541" w:name="_Toc1473"/>
      <w:bookmarkEnd w:id="3540"/>
      <w:r>
        <w:rPr>
          <w:rtl w:val="true"/>
        </w:rPr>
        <w:t>عدم صحّت نكاح شغار و عدم فرق بين نكاح دائم و منقطع</w:t>
      </w:r>
      <w:bookmarkEnd w:id="3541"/>
    </w:p>
    <w:p>
      <w:pPr>
        <w:pStyle w:val="BookText"/>
        <w:rPr/>
      </w:pPr>
      <w:r>
        <w:rPr>
          <w:rFonts w:ascii="Amiri" w:hAnsi="Amiri" w:eastAsia="Amiri" w:cs="Amiri"/>
          <w:color w:val="111111"/>
          <w:sz w:val="28"/>
          <w:sz w:val="28"/>
          <w:szCs w:val="28"/>
          <w:rtl w:val="true"/>
          <w:lang w:bidi="ar-SA"/>
        </w:rPr>
        <w:t>و در آن صورت كه نكاح مسمّى به شغار مى شود، حرام و فاسد است، و فرقى بين دائم و منقطع نيست</w:t>
      </w:r>
      <w:r>
        <w:rPr>
          <w:rFonts w:eastAsia="Amiri" w:cs="Amiri" w:ascii="Amiri" w:hAnsi="Amiri"/>
          <w:color w:val="111111"/>
          <w:sz w:val="28"/>
          <w:szCs w:val="28"/>
          <w:rtl w:val="true"/>
          <w:lang w:bidi="ar-SA"/>
        </w:rPr>
        <w:t>.</w:t>
      </w:r>
    </w:p>
    <w:p>
      <w:pPr>
        <w:pStyle w:val="Heading4"/>
        <w:numPr>
          <w:ilvl w:val="3"/>
          <w:numId w:val="1"/>
        </w:numPr>
        <w:rPr/>
      </w:pPr>
      <w:bookmarkStart w:id="3542" w:name="__RefHeading___Toc3600307_1067777946"/>
      <w:bookmarkStart w:id="3543" w:name="_Toc1474"/>
      <w:bookmarkEnd w:id="3542"/>
      <w:r>
        <w:rPr/>
        <w:t>7</w:t>
      </w:r>
      <w:r>
        <w:rPr>
          <w:rtl w:val="true"/>
        </w:rPr>
        <w:t xml:space="preserve">. </w:t>
      </w:r>
      <w:r>
        <w:rPr>
          <w:rtl w:val="true"/>
        </w:rPr>
        <w:t>ازدواجهاى مكروه</w:t>
      </w:r>
      <w:bookmarkEnd w:id="3543"/>
    </w:p>
    <w:p>
      <w:pPr>
        <w:pStyle w:val="Heading5"/>
        <w:numPr>
          <w:ilvl w:val="4"/>
          <w:numId w:val="1"/>
        </w:numPr>
        <w:rPr/>
      </w:pPr>
      <w:bookmarkStart w:id="3544" w:name="__RefHeading___Toc3600309_1067777946"/>
      <w:bookmarkStart w:id="3545" w:name="_Toc1475"/>
      <w:bookmarkEnd w:id="3544"/>
      <w:r>
        <w:rPr>
          <w:rtl w:val="true"/>
        </w:rPr>
        <w:t>ازدواج انسان با قابلۀ خود و يا دختر قابلۀ خود</w:t>
      </w:r>
      <w:bookmarkEnd w:id="3545"/>
    </w:p>
    <w:p>
      <w:pPr>
        <w:pStyle w:val="BookText"/>
        <w:rPr/>
      </w:pPr>
      <w:r>
        <w:rPr>
          <w:rFonts w:ascii="Amiri" w:hAnsi="Amiri" w:eastAsia="Amiri" w:cs="Amiri"/>
          <w:color w:val="111111"/>
          <w:sz w:val="28"/>
          <w:sz w:val="28"/>
          <w:szCs w:val="28"/>
          <w:rtl w:val="true"/>
          <w:lang w:bidi="ar-SA"/>
        </w:rPr>
        <w:t>مكروه است ازدواج مرد با قابلۀ خودش و دختر او؛ و در مربّيه اشدّ است اين كراهت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ثبوت كراهت براى قابله و دخترش است، و هم چنين ساير اولادش؛ و هم چنين نسبت به دختر كه تزويج نمايد با اولاد قابله، با اختلاف مراتب در تربيت، و در قرب به قابله</w:t>
      </w:r>
      <w:r>
        <w:rPr>
          <w:rFonts w:eastAsia="IRNazanin" w:cs="IRNazanin"/>
          <w:color w:val="111111"/>
          <w:sz w:val="28"/>
          <w:szCs w:val="28"/>
          <w:rtl w:val="true"/>
          <w:lang w:bidi="fa-IR"/>
        </w:rPr>
        <w:t>.</w:t>
      </w:r>
    </w:p>
    <w:p>
      <w:pPr>
        <w:pStyle w:val="Heading5"/>
        <w:numPr>
          <w:ilvl w:val="4"/>
          <w:numId w:val="1"/>
        </w:numPr>
        <w:rPr/>
      </w:pPr>
      <w:bookmarkStart w:id="3546" w:name="__RefHeading___Toc3600311_1067777946"/>
      <w:bookmarkStart w:id="3547" w:name="_Toc1476"/>
      <w:bookmarkEnd w:id="3546"/>
      <w:r>
        <w:rPr>
          <w:rtl w:val="true"/>
        </w:rPr>
        <w:t>كسان ديگرى كه ازدواج با آنها مكروه است</w:t>
      </w:r>
      <w:bookmarkEnd w:id="3547"/>
    </w:p>
    <w:p>
      <w:pPr>
        <w:pStyle w:val="BookText"/>
        <w:rPr/>
      </w:pPr>
      <w:r>
        <w:rPr>
          <w:rFonts w:ascii="IRNazanin" w:hAnsi="IRNazanin" w:eastAsia="IRNazanin"/>
          <w:color w:val="111111"/>
          <w:sz w:val="28"/>
          <w:sz w:val="28"/>
          <w:szCs w:val="28"/>
          <w:rtl w:val="true"/>
          <w:lang w:bidi="fa-IR"/>
        </w:rPr>
        <w:t>مكروه است بر شخص، تزويج پسر خودش با دختر زن خود كه بعد از مفارقت او، از شوهر بعدى صاحب آن دختر شده است؛ به خلاف صورتى كه از شوهر قبلى، صاحب دختر بوده و بعد از اختيار شوهر جديد، نكاح بين دختر سابق و پسر اين شوهر از زن ديگر، كراهت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كراهت نكاح بين دختر شوهر و پسر زن از شوهر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كراهت در نكاح بين اولاد شوهر و اولاد زن مع الواسطه از شوهر جديد، دور نيست، با اختلاف مراتب به مراتب قرب</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اظهر ثبوت كراهت در موطوئۀ دو نفر به سبب ملك است، كه مكروه </w:t>
      </w:r>
      <w:bookmarkStart w:id="3548" w:name="pg10256_89912"/>
    </w:p>
    <w:p>
      <w:pPr>
        <w:pStyle w:val="BookText"/>
        <w:rPr/>
      </w:pPr>
      <w:bookmarkEnd w:id="3548"/>
      <w:r>
        <w:rPr>
          <w:rFonts w:ascii="Amiri" w:hAnsi="Amiri" w:eastAsia="Amiri" w:cs="Amiri"/>
          <w:color w:val="111111"/>
          <w:sz w:val="28"/>
          <w:sz w:val="28"/>
          <w:szCs w:val="28"/>
          <w:rtl w:val="true"/>
          <w:lang w:bidi="ar-SA"/>
        </w:rPr>
        <w:t>است نكاح بين اولاد واطى متقدّم با اولاد واطى 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مكروه است ازدواج با زنى كه با مادرش هر دو زن يك مرد بوده اند قبل از پدر او يا بعد از او، نه با او كه منكوحۀ اب و حرام است</w:t>
      </w:r>
      <w:r>
        <w:rPr>
          <w:rFonts w:eastAsia="IRNazanin" w:cs="IRNazanin"/>
          <w:color w:val="111111"/>
          <w:sz w:val="28"/>
          <w:szCs w:val="28"/>
          <w:rtl w:val="true"/>
          <w:lang w:bidi="fa-IR"/>
        </w:rPr>
        <w:t>.</w:t>
      </w:r>
    </w:p>
    <w:p>
      <w:pPr>
        <w:pStyle w:val="Heading5"/>
        <w:numPr>
          <w:ilvl w:val="4"/>
          <w:numId w:val="1"/>
        </w:numPr>
        <w:rPr/>
      </w:pPr>
      <w:bookmarkStart w:id="3549" w:name="__RefHeading___Toc3600313_1067777946"/>
      <w:bookmarkStart w:id="3550" w:name="_Toc1477"/>
      <w:bookmarkEnd w:id="3549"/>
      <w:r>
        <w:rPr>
          <w:rtl w:val="true"/>
        </w:rPr>
        <w:t>كراهت ازدواج با زانيه قبل از توبه</w:t>
      </w:r>
      <w:bookmarkEnd w:id="3550"/>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مكروه است ازدواج با زانيه قبل از توبه</w:t>
      </w:r>
      <w:r>
        <w:rPr>
          <w:rFonts w:eastAsia="Amiri" w:cs="Amiri" w:ascii="Amiri" w:hAnsi="Amiri"/>
          <w:color w:val="111111"/>
          <w:sz w:val="28"/>
          <w:szCs w:val="28"/>
          <w:rtl w:val="true"/>
          <w:lang w:bidi="ar-SA"/>
        </w:rPr>
        <w:t>.</w:t>
      </w:r>
      <w:r>
        <w:rPr>
          <w:rStyle w:val="FootnoteAnchor"/>
          <w:rtl w:val="true"/>
        </w:rPr>
        <w:footnoteReference w:id="16"/>
      </w:r>
      <w:bookmarkStart w:id="3551" w:name="pg10256_89913"/>
    </w:p>
    <w:p>
      <w:pPr>
        <w:pStyle w:val="Heading2"/>
        <w:numPr>
          <w:ilvl w:val="1"/>
          <w:numId w:val="1"/>
        </w:numPr>
        <w:rPr/>
      </w:pPr>
      <w:bookmarkStart w:id="3552" w:name="__RefHeading___Toc3600315_1067777946"/>
      <w:bookmarkStart w:id="3553" w:name="_Toc1478"/>
      <w:bookmarkEnd w:id="3551"/>
      <w:bookmarkEnd w:id="3552"/>
      <w:r>
        <w:rPr>
          <w:rtl w:val="true"/>
        </w:rPr>
        <w:t>فهرست تفصيلى مطالب</w:t>
      </w:r>
      <w:bookmarkEnd w:id="3553"/>
    </w:p>
    <w:p>
      <w:pPr>
        <w:pStyle w:val="BookText"/>
        <w:rPr/>
      </w:pPr>
      <w:r>
        <w:rPr>
          <w:rFonts w:ascii="Amiri" w:hAnsi="Amiri" w:eastAsia="Amiri" w:cs="Amiri"/>
          <w:color w:val="111111"/>
          <w:sz w:val="28"/>
          <w:sz w:val="28"/>
          <w:szCs w:val="28"/>
          <w:rtl w:val="true"/>
          <w:lang w:bidi="ar-SA"/>
        </w:rPr>
        <w:t>كتاب رهن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رهن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تعريف رهن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نحوۀ ايجاب و قبول رهن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جريان معاطات در رهن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عدم اعتبار عربيّت در عقد رهن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افتراق و عدم افتراق قبول از ايجاب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اعتبار قبض در رهن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بعضى از موانع تحقّق رهن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اشتراط قبض به اذن راهن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حصول موت و 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عقد رهن و قبل از قبض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تعقّب اذن در يد عدوانى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حكم حضور راهن و مرتهن در مجلس عقد و قبض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بعضى از فروض اقرار بر رهن و رجوع از آن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اذن و شريك در مال مشاع در رهن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تصرّف عدوانى بدون اذن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توكيل شريك در قبض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منازعۀ مرتهن و شريك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رهن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جواز رهن كلىّ فى المعيّن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رهن عبد مدبّر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اشتراط قابليّت تملّك در رهن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اشتراط ملكيّت در رهن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تبرّع در رهن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جواز استعاره براى رهن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اشتراط استيثاق به بقاى رهن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رهن مملوك همراه با غير مملوك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رهن غرس يا بناى مشروع در ارض فراجيه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بعضى از فروض غير قابل رهن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بيع با احتمال مانع از تسليم و يا قلع به تسليم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نحوۀ ملكيّت معتبر در رهن، و جواز رهن با وجود خيار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صحّت رهن مرتدّ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رهن جانى خطأً يا عمداً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بعضى از صور اقرار راهن يا مرتهن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رهن چيزهاى فاسد شدنى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فساد طارى اتّفاقى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رهن امّ ولد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اعتبار استيثاق در رهن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حقى كه اخذ رهن براى آن جايز است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دينى كه رهن براى آن جايز است </w:t>
      </w:r>
      <w:r>
        <w:rPr>
          <w:rFonts w:eastAsia="Amiri" w:cs="Amiri" w:ascii="Amiri" w:hAnsi="Amiri"/>
          <w:color w:val="111111"/>
          <w:sz w:val="28"/>
          <w:szCs w:val="28"/>
          <w:lang w:bidi="ar-SA"/>
        </w:rPr>
        <w:t>26</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رهن در اعيان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لزوم لازم بودن دين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ديه اى كه تعلّق رهن به آن جايز است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رهن بر مال الجعاله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رهن بر مال الكتابة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رهن بر منفعت معين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تقارن دو رهن يا تعدّد دين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تعدّد مرتهن يا راهن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راهن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كمال راهن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نفوذ تصرّف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عدم اكراه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مملوك بودن مرهون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رهن دادن ولىّ طفل مال طفل را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مرتهن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شرايط قبول رهن براى طفل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شرايط رهن دادن و يا اقراض مال طفل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شرط در ضمن عقد رهن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مجهول شدن عين مرهونه بعد از وفات مرتهن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خريدن مرتهن، عين مرهونه را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اولويّت مرتهن از ساير غرما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تلف شدن عين مرهونه در دست مرتهن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تصرّف مرتهن در عين مرهونه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ميزان ضمان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عقد فضولى بر رهن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نفقۀ مرهون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استيفاى دين از عين مرهونه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جواز اشتراطِ گذاشتنِ رهن در نزد شخص ثالث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حكم معيّن بودن و عدم تعيين شخص ثالث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شرط عدالت قابض و يا قابض بودن عادل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اختلاف در تغيّر صفات شخص ثالث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سپردن به حاكم بدون اذن از مجموع متراهنين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امتناع از عمل به شرط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تسليم به عدلين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ظهور عيب در عين مرهونه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حكم صورتى كه بيع از سوى عدل صورت گرفته باشد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وفات راهن يا مرتهن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خيانت عدل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ظهور غصبيّت رهن بعد از تلف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ادّعاى دفع ثمن مرهون، به مرتهن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مربوط به راهن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تصرّفات جايزه و غير جايزه در مرهون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تصرّفات قبل از اجازه و لحوق اجازه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طلب شفعه از سوى مرتهن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صحّت عتق راهن با تعقّب به اجازه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عدم مانعيّت استيلاد كنيز از رهن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اذن مرتهن به بيع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اذن راهن به بيع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حلول دين و مطالبۀ دين توسط مرتهن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لزوم استيذان از مرتهن براى بيع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لزوم تحقّق اذن راهن در موارد بيع مرتهن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متعلّقه به رهن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لزوم رهن از طرف راهن و جواز از طرف مرتهن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انفكاك و تبعّض در رهن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وجوب رد عين بعد از اداى دين </w:t>
      </w:r>
      <w:r>
        <w:rPr>
          <w:rFonts w:eastAsia="Amiri" w:cs="Amiri" w:ascii="Amiri" w:hAnsi="Amiri"/>
          <w:color w:val="111111"/>
          <w:sz w:val="28"/>
          <w:szCs w:val="28"/>
          <w:lang w:bidi="ar-SA"/>
        </w:rPr>
        <w:t>55</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تملّك رهن در صورت عدم اداى دين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رهن مغصوب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فوايد عين مرهونه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رهن مال غير با اذن او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حكم تلف بعد از اذن مالك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جنايت عبد مرهونِ با اذن مالك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حكم رجوع مالك در صورت بيع مرهون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ميزان داخل بودن عين در عقد رهن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فروع مختلف ترتّب ضرر بر غرس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رهن ثمرۀ متعاقبه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فروع متعدّد جنايت عبد مرهون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جنايت عمدى عبد بر مولا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جنايت بر مورِّث مالك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جنايت بر عبد مولا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تحقيق در ثبوت عفو يا قصاص در مقام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عفو بدون مال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ازيديّت قيمت جنايت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فرض هدر بودن جنايت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تعدّد و عدم آن در رهن، دين و حق در جنايت عبد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جنايت عبد مرهون بر عبد ديگر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رهنيّت مجنىٌ عليه نزد غير مرتهن جانى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بطلان رهن در فرض قصاص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عفو بدون مال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اختلاف و اتحاد و قيمت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ضامن تلف عين مرهونه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رهن عصير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انقلاب در عصير مرهون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اختلاف متراهنين در زمان قبض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انقلاب به عصير قبل از قبض مشترى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بعضى از نتايج رهن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واقع در رهن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اختلاف در امساك رهن مشاع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وفات مرتهن و انتقال حق رهانت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تلف عين مرهونه با تفريط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اختلاف راهن و مرتهن در قيمت تالف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اختلاف در رهن بودن يا وديعه بودن مال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اختلاف در تقديم رجوع بر بيع و تأخّر آن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اختلاف در انتفاع و اتلاف عين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الزام بر وفاى به عين رهن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ادّعاى رهنيّت توسط مرتهن و انكار راهن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اختلاف در دين متعلّق رهن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اختلاف در ردّ رهن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كتاب حَجر</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حَجر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تعريف حجر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محجوريّت صغير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تعريف بلوغ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علايم بلوغ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لحيه و شارب و انبات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مراد از احتلام و اماريّت معرضيّت نزول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اگر به بلوغ يقين و اطمينان حاصل نشود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خروج منى و تكوّن ولد از آن، از معرّفات قطع به بلوغ </w:t>
      </w:r>
      <w:r>
        <w:rPr>
          <w:rFonts w:eastAsia="Amiri" w:cs="Amiri" w:ascii="Amiri" w:hAnsi="Amiri"/>
          <w:color w:val="111111"/>
          <w:sz w:val="28"/>
          <w:szCs w:val="28"/>
          <w:lang w:bidi="ar-SA"/>
        </w:rPr>
        <w:t>84</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بلوغ و احكام آن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راههاى اثبات بلوغ به سن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راههاى اثبات بلوغ خنثىٰ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تحقق بلوغ به اوصاف منى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يقين به حركت و حبس از خروج، امارۀ بلوغ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نحوۀ قبول دعواى بلوغ به سبب احتلام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نحوۀ اماريّت حيض و حمل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اماريّت خروج معلوم المنويّة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فرعى ديگر دربارۀ اماريّت حمل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معنى رشد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نحوۀ اثبات رشد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محجوريّت سفيه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صحّت تصرفات غير ماليّه از سفيه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صحّت عقود سفيه و وكالت وى با اذن ولى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محجوريّت مملوك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محجوريّت مريض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منع وضعى در مريض از وصيت به اكثر از ثلث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منجّزات مريض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دلاليل مرجّح نفوذ منجّزات از اصل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ردّ دلايل نفوذ منجّزات از ثلث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حكم عقد و ايقاع مريض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بيع به كمتر از قيمت و هبه و وقف و امثال آن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خروج حكم انفاقات شخصى از محل بحث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خروج اداى ديون واجب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لحوق زمان خوف موت به مرض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اقرار مريض در مرض موت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صفت اتهام، و مرضىّ و مأمون بودن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احتساب ديه از متروكات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اناطۀ نفوذ اخراج از زايد، به اذن وارث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مانعيّت و عدم مانعيّت دين از مالكيّت ورثه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نحوۀ تعلق حق به تركه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كلّى فى المعين بودن تعلق حق به تركه و ثمرۀ آن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حَجر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عدم توقف محجوريّت مفلّس به حكم حاكم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مقتضاى اصل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بطلان معامله با سفيه بدون اجازه يا اذن ولى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تلف مال كسى در دست سفيه و حكم ضمان او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حكم اقتراض سفيه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اناطۀ حجر در وقتى به سفه در همان وقت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ولايت بر طفل و مجنون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ولايت در مال سفيه، مفلّس و مجنون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نحوۀ تصرّفات سفيه براى عبادات ماليّه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ايقاع حلف توسّط سفيه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حق عفو در قصاص براى سفيه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اختبار صبىّ براى شناخت رشد او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كتاب صلح</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صلح و شرايط آن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معناى صلح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برخى شرايط و كيفيات مورد بحث در صلح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اشتراط سبق نزاع يا عدم آن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استقلال يا تبعيّت صلح </w:t>
      </w:r>
      <w:r>
        <w:rPr>
          <w:rFonts w:eastAsia="Amiri" w:cs="Amiri" w:ascii="Amiri" w:hAnsi="Amiri"/>
          <w:color w:val="111111"/>
          <w:sz w:val="28"/>
          <w:szCs w:val="28"/>
          <w:lang w:bidi="ar-SA"/>
        </w:rPr>
        <w:t>108</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صحّت واقعيّه يا ظاهريۀ صلح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اناطۀ نفوذ صلح به عدم تحليل حرام و عدم تحريم حلال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عدم اعتبار علم، در صلح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ادامۀ كلام در صلح واقعيّه است يا ظاهريّه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صلح معاطاتى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صلح و بعض مسائل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تصالح بر بودن سرمايه براى يكى و سود و زيان براى ديگرى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نفوذ صلح با فرض فقدان خصوصيّات مذكوره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تصالح ادّعاى تمام دو درهم و ادّعاى يك درهم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حكم صور ديگر در مسأله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حكم تلف بعض مال مشترك در نزد ودعى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تفريط ودعى در فرض مسألۀ گذشته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تصالح در فرض اشتباه دو شىء گران و ارزان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ظهور عدم مالكيّت عدم ماليّت يكى از عوضين در صلح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ظهور عيب در يكى از عوضين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جواز صلح در منفعت و حقّ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جواز تصالح به ازيد از قيمت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تصالح در فرض اقرار و انكار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ادّعاى شراكت دو نفر و اقرار مدّعىٰ عليه به نفع يكى از آن دو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اگر اقرار براى يكى، به تحقّق سبب واحد مالكيت بر هر دو باشد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اگر ادّعاى هر دو نفر مالكيت به دو سبب باشد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عدم فرق بين وقوع صلح بعد و يا قبل از قبض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صورت اذن شريك و عمل به آن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حكم ربا در صلح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عدم دلالت طلب صلح بر اقرار بر مالكيّت مطلوب منه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كتاب تزاحم حقوق و املاك</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طُرُق نافذۀ عامّه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جواز اخراج روزنه و اجنحه و شرايط آن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حكم اخراج جناح در صورت امكان اشراف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حكم اخراج جناح در صورتِ تعارض نفع و ضرر در اخراج جناح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حكم اخراج جناح غير جايز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گشودن درها و ناودانها به طرف راههاى عمومى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احداث زيرزمين در راههاى عمومى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حكم تملّك زيرزمين احداث شده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احداث دكّه و بالوعه و كاشت درخت و دفن اموات در راههاى عمومى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حكم خاك اخذ شده از طرق عمومى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شرط جواز استطراق طرق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جواز فتح طريق مسدود شده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احداث ساقيه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رجوع در آنچه كه داخل راه نموده باشد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حكم نشستن در خيابانها و حكم نماز و تخلى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تبديل راه </w:t>
      </w:r>
      <w:r>
        <w:rPr>
          <w:rFonts w:eastAsia="Amiri" w:cs="Amiri" w:ascii="Amiri" w:hAnsi="Amiri"/>
          <w:color w:val="111111"/>
          <w:sz w:val="28"/>
          <w:szCs w:val="28"/>
          <w:lang w:bidi="ar-SA"/>
        </w:rPr>
        <w:t>128</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ترتب اتلاف بر تصرف در طريق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تغيير شارع عام براى جهت ديگر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حدّ راه در زمين مباح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طُرُق مرفوعۀ مختصه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تصرف در طرق مرفوعۀ مختصه به صاحبان خانه هاى مخصوصه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تصرف در طرق مرفوعۀ مختصه به صاحبان باب در اين طرق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رعايت صاحب اختصاص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حكم مسجد در طرق مرفوعه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فتح باب در طريق مرفوع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موارد جواز و عدم جواز فتح روزنه و شباك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مصالحه در اخراج جناح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اگر اخراج جناح مضر باشد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اگر اخراج غير مضرّ ولى بدون از بعض اهل طريق باشد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حكم امكان دادن استطراق از طريقى به طريق ديگر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حكم تصرف در ديوار بين دو خانه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رجوع مالك از اذن در تصرّف در ديوار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لزوم اذن جديد، در صورت تجديد وضع بر جدار مختص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مرجع تصميم گيرى در املاك عمومى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نزاع در ملكيّت ديوار بين دو خانه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صور مختلف اختلاف تداعى دو نفر در ملكيّت ديوار بين خانه هاى آنها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اگر ديوار متصل به بناى يكى از دو نفر بود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اگر مثلاً چوب يكى بر ديوار موضوع گذاشته شده بود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يكى ديگر از مرجّحات اختصاص ديوار به صاحب زمين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صورتِ تعارض مرجّحات و تساوى آنها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حكم زمين ديوارى كه در آن نزاع واقع شده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حكم نزاع در خُصّ و نظاير آن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حكم ديوار مشترك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تعمير يا ساخت ديوار اشتراكى منهدم شده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لزوم رفع خطر از ديوارى كه در معرض خراب شدن است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تخريب ديوار مشترك بدون اذن يا وجوب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متفرقۀ تزاحم املاك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اصلاح قنات مشترك و امثال آن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ساخت و تعمير دو بناى عالى و سافل منهدم شده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حكم ضمان در تخريب ديوارى كه در معرض هدم است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اختلاف صاحب خانۀ بالا و پايين در مالكيّت ديوار خانۀ پايينى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اختلاف در مالكيت سقف خانۀ پايين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اختلاف در مالكيّت سقف غرفه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حكم شاخه هاى وارد شده به ملك ديگرى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كج شدن ديوار به خانۀ همسايه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خاكى كه در ملك غير ريخته شود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حكم اخراج حيوانى كه داخل خانۀ شخصى شود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لزوم رفع اشغال از ملك غير </w:t>
      </w:r>
      <w:r>
        <w:rPr>
          <w:rFonts w:eastAsia="Amiri" w:cs="Amiri" w:ascii="Amiri" w:hAnsi="Amiri"/>
          <w:color w:val="111111"/>
          <w:sz w:val="28"/>
          <w:szCs w:val="28"/>
          <w:lang w:bidi="ar-SA"/>
        </w:rPr>
        <w:t>143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مصالحۀ صاحب شاخه هاى درخت با مالك هوا يا ديوار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تنازع صاحب خانه بالا با صاحب خانه پايين در راه پله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نزاع راكب حيوان و گيرندۀ لجام آن در ملكيّت آن حيوان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اختلاف گيرنده اكثر لباس با اقلّ لباس در ملكيت آن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نزاع دو نفر در حيوانى كه بارش مال يكى از آنها است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نزاع در غرفۀ بالاخانه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حكم مال غير بر جدار و ميزان ذو اليد بودن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كتاب الشركه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اقسام شركت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معنى شركت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ملك صاع از صبره معيّنه از مصاديق شركت مصطلح نيست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شركت عقديّه و غير عقديّه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حكم مزج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حكم اختلاط در تعدّى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اقسام محل شركت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اسباب شركت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مزج و خلط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اشتراك به سبب حيازت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شرايط شركت عقديّه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تصرّف در مال مشترك تابع اذن شريك است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شركت عقديّه در اعمال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شركت عقديّه بر وجوه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شركت عقديّه در مفاوضه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مسائل شركت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نحوۀ محاسبۀ سود و زيان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صحّت شرط زيادتى ربح با تساوى مال و عمل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صورت فساد عقد شركت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اجرت عامل با اشتراط زيادتى ربع و عدم آن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خارج بودن عمل از اصل شركت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اذن در تصرّف در شركت عقديّه و قهريّه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ثبوت ضمان در صورت تعدّى از مورد خاص معيّن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جواز رجوع در شركت عقديّه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تفصيل در نفوذ اشتراط تأجيل در عقد شركت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امين بودن شريك و مسموع بودن قول او باليمين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بطلان شركت به زوال اهليّت اذن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تعريف قسمت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قسمت مشتمل بر عدم ضرر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كيفيّت قسمت با قرعه در صورت اتفاق سهام و يا اختلاف آنها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مثال براى صورت اختلاف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عدم خصوصيت كتابت در قرعه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قسمت به افراز و قسمت به تعديل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اعتبار قرعه در لزوم قسمت در اعيان </w:t>
      </w:r>
      <w:r>
        <w:rPr>
          <w:rFonts w:eastAsia="Amiri" w:cs="Amiri" w:ascii="Amiri" w:hAnsi="Amiri"/>
          <w:color w:val="111111"/>
          <w:sz w:val="28"/>
          <w:szCs w:val="28"/>
          <w:lang w:bidi="ar-SA"/>
        </w:rPr>
        <w:t>162</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مشتمل بر ضرر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مهايات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حكم صورت امتناع قسمت و دوام تنازع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ميزان در عدم جواز اجبار بر قسمت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حكم تعارض ضرر يكى به قسمت و ضرر ديگرى به افراز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فرض متضرّر شدن هر دو از قسمت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اگر قسمت مستلزم رد عوض باشد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مرجع اجبار بر قسمت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ملاك ضرر موجب عدم اجبار بر قسمت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مجبور بر قسمت در مال محجور و محلّ اخذ اجرت قاسم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مسائل قسمت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اگر بعد از تقسيم تركه، بدهى ميّت معلوم شود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اگر قسمتى از مال مقسوم، مال غير باشد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ظهور مالكيّت غير به گونۀ اشاعه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عدم صحّت فسخ مگر با رضايت شركا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ظهور اشتباه و غلط در قسمت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ادعاى غلط در قسمت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اگر در وقت قسمت، تركه ميت عين مال بعض طلبكاران موجود باشد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جواز اخذ عين مال از محجور عليه و مفلس در مقام قسمت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موارد جواز و عدم جواز قسمت وقف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مسائلى از شركت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جايز بودن عقد شركت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امين بودن شريك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تأجيل شركت و حكم شرط عدم رجوع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لواحق شركت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جواز شركت در منفعت بين مالك دابّه و سقّا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اگر شركت فقط در عين آب بود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احكام وكالت در حيازت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جواز اختصاص عامل به سود بيشتر در مال مشترك به تنصيف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موارد تقديم قول خريدار يا شريك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فروض اختلاف در قبض ثمن توسط مشترى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اگر شريك مأذون از بايع نباشد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صحّت بيع دو شيء مختلف القيمه به ثمن واحد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بطلان شركت در ابدان و صحّت اجارۀ آن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حكم شركت در ما فى الذّمة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صحّت مالكيّت با حيازت اجير به نيّت مستأجر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كتاب مضاربه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مضاربه و شرايط آن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مراد از مضاربه و فرق آن با قرض و بضاعت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صيغۀ مضاربه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جريان معاطات در مضاربه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اعتبار هر چه در وحدت فعليّۀ معامله معتبر است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جايز بودن عقد مضاربه </w:t>
      </w:r>
      <w:r>
        <w:rPr>
          <w:rFonts w:eastAsia="Amiri" w:cs="Amiri" w:ascii="Amiri" w:hAnsi="Amiri"/>
          <w:color w:val="111111"/>
          <w:sz w:val="28"/>
          <w:szCs w:val="28"/>
          <w:lang w:bidi="ar-SA"/>
        </w:rPr>
        <w:t>182</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شروط ضمن عقد مضاربه و احكام آن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آنچه در عقد مضاربه معتبر است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موارد فسخ و عدم فسخ شرط به فسخ اصل مضاربه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بعضى از شروط جايز ضمن عقد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انصراف اطلاق اذن، به تجارات معموله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هزينۀ عامل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توزيع هزينه در مسافرتِ به دو مقصود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شرط نفقه و كمال نفقه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هزينۀ عود عامل بر فرض فسخ مضاربه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نفوذ تصرّف عامل، تابع مصلحت و يا اذن مالك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لزوم معاملۀ عامل به عين و مسأله خريد به ذمّه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نهى و امر مالك مال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جواز مضاربۀ عامل با عامل ديگر با اذن مالك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جواز توكيل عامل در اخذ دين و ايقاع عقد مضاربه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اصطياد با شبكه به عقد مضاربه فاسده و با شبكه مغصوبه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جواز تعدد عامل يا مالك در عقد مضاربه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نحوۀ جبران خسارت در مال المضاربه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حكم تحصيل مالى كه دين و در ذمۀ ديگران است با فسخ مالك يا عامل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حكم ايصال مال به مالك بعد از فسخ يا انفساخ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حكم سود و ضمان و نفقۀ در سفر در مضاربۀ فاسد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مضاربۀ فضولى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حكم نسيه به اذن مالك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دو مضاربه با دو مال از يك مالك و عامل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مضاربه دو نفر يا دو مال با يك عامل و فسخ يكى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مسائل تنازع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منازعۀ مالك با عامل در مقدار سرمايه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اختلاف در كمى و زيادى نصيب عامل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اختلاف در صدور اذن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اختلاف در ردّ مال به مالك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اختلاف در معاملۀ مالى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اختلاف در اقراض يا مقارضه و مضاربه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اخذ نتيجۀ مضاربه به ايقاع جعاله و يا به عقد شركت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جواز مضاربۀ ولى با مال صغير با مراعات غبطه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مضاربۀ وصىّ ميّت در ثلث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وفات عامل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تعميم مال القراض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صحّت مضاربه با اسكناس متداول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كتاب مزارعه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مزارعه و شرايط آن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تعريف مزارعه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عقد مزارعه </w:t>
      </w:r>
      <w:r>
        <w:rPr>
          <w:rFonts w:eastAsia="IRNazanin" w:cs="IRNazanin"/>
          <w:color w:val="111111"/>
          <w:sz w:val="28"/>
          <w:szCs w:val="28"/>
          <w:lang w:bidi="fa-IR"/>
        </w:rPr>
        <w:t>203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عقد مزارعه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شرط مباشرت در عقد مزارعه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اگر متعلق عقد، عمل شخص به نحو دخولِ اضافه و تقيّد باشد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 شروط مزارعه است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مشاع بودن نما، بين طرفين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كراهت اجارۀ زمين در صورت عوض قرار دادن گندم حاصل از همان زمين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مدّت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فرض مضىّ مدّت و عدم ادراك زرع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نقص فاحش حاصل به تفريط عامل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اتفاق طرفين بر ابقاى زرع بعد از مدّت اجاره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شرط استحقاق ابقا يا عدم قلع در عقد مزارعه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اگر عامل زراعت را ترك نمايد و يا به مالك تسليم نكند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ارش نقص زمين در فرض مسأله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انتفاع از زمين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انكشاف عدم امكان انتفاع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انقطاع آب در اثناى مدّت و عمل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اختيار تعيين نوع زرع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تعيين زرع مخصوص در ضمن عقد و تخلّف از آن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انكشاف عدم وجود آب در واقع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عدم تقييد عقد استيجار به زراعت در فرض مسأله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فرض عدم انقطاع آب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لزوم تعيين قدر، غرس يا زرع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استيجار براى درختى كه بعد از مدت قرارداد باقى مى ماند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جواز صور مختلف مزارعه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تنازع طرفين مزارعه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صور ديگر تنازع طرفين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محدودۀ اختيار مزارع و مستأجر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خراج سلطان و ديگر مؤونه ها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حكم فساد مزارعه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جواز خرص براى مالك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نحوۀ تأمين بذر و ساير نفقات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آنچه بعد از مدّت مزارعه باقى مى ماند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عدم خروج قبالۀ زمين از مزارعه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ضمان حقّ مستحقّين زكات در موارد قلع زرع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كتاب مساقات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مساقات و شرايط آن و فايده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تعريف مساقات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عقد مساقات و لزوم آن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صحّت مساقات قبل از ظهور ثمره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حكم مساقات با موت مالك يا عامل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در آنچه بر او مساقات واقع مى شود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احكام مربوط به تلف شدن ثمره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مدّت مساقات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مسئول عمل در مساقات </w:t>
      </w:r>
      <w:r>
        <w:rPr>
          <w:rFonts w:eastAsia="IRNazanin" w:cs="IRNazanin"/>
          <w:color w:val="111111"/>
          <w:sz w:val="28"/>
          <w:szCs w:val="28"/>
          <w:lang w:bidi="fa-IR"/>
        </w:rPr>
        <w:t>220</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تمام يا مقدارى از عمل بر مالك در مساقات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فسخ مالك در فرض كوتاهى عامل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شرط تشريك غير در عمل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شرط اخذ اجرت اجير از مالك يا خروج آن از حاصل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در فايده و ثمره است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لزوم اختصاص مقدارى از فايده به عامل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اشكال در اشتراط اختصاص حصّه اى از اصول به عامل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كراهت شرط انضمام مقدارى از طلا يا نقره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مساقات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حكم ثمره و اجرت در فرض فساد مساقات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حكم انحاى جعل اجرت از ثمره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اشتراط مساقات ديگر در ضمن عقد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صور مختلف تعدّد حصص و لزوم معلوميّت آن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فرار عامل از مساقات با فرض عدم تعيّن مباشرت در عقد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فرض تعيّن مباشرت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تقدم قول عامل در فرض ادّعاى خيانت يا سرقت يا تفريط از طرف مالك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انكشاف عدم مالكيّت مساقى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فرض جواز مساقات غير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ثبوت خراج زمين بر مالك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فرض غاصبيّت مساقى و رجوع مالك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زمان مملوكيّت فايده و وجوب زكات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دفع زمين براى كاشت درخت و تنصيف درختها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كتاب وديعه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وديعه و شرايط آن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تعريف وديعه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آنچه در عقد وديعه معتبر است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ضمان در وديعه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اكراه بر قبول وديعه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وجوب حفظ وديعه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دفع مال به غاصب جهت حفظ وديعه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صورت توقف حفظ وديعه بر كذب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عقد وديعه، از عقود جايزه است و بطلان آن به موت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لزوم حفظ وديعه به نحو مناسب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نحوۀ حفظ حيوان و شجر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تعيين موضع حفظِ وديعه و مسائل نقل وديعه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وديعه از طفل و مجنون و ايداع به آن دو و به معلوم الخيانة كبير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استيداع عبد و اَمَه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وظيفه ودعى در صورت ظهور امارۀ موت و احكام ضمان در صورت موت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وجوب رد وديعه در فرض مطالبۀ مالك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حكم رد وديعۀ كافر و فاسق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وديعۀ شخص غاصب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لزوم رد وديعۀ غصبى به مالك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اگر وديعه مخلوط با مال غصبى باشد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ضمان وديعه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با تفريط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حكم ضمان در فرض تفريط با جهل موضوعى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حكم ضمان در فرض ايداع دوّم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ايداع به اذن مالك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حكم ايداعِ دوّم با ضرورت يا مفهوم از اطلاق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ايداع در سفر و همراه بردن وديعه در سفر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فرض ضرورى بودن سفر جهت حفظ وديعه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وقوع تلف يا نقص در وديعه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با تعدّى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عدم بطلان وديعه با نيّت غصب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انكار وديعه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مخلوط كردن وديعه با غير آن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باز كردن بسته بندى امانت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از بين بردن قسمتى از وديعه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اجارۀ وديعه به صورت مخالف نظر مالك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باز كردن حرز و قفل وديعه و تصرّف در آن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سفر با وديعه در صورت خوف تلف آن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نحوۀ خروج از تكليف به حفظ وديعه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فرض توقف حفظ وديعه بر دفن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برگردان وديعه به حرز و بسته بندى اوّليّه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دفع وديعه به غير مالك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نحوه رفع تنازع مودِع و ودعى در ادّعا و انكار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ادّعاى تلف پس از انكار اصل وديعه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تعيين موضع و عدم آن توسط مودِع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اعتراف به وديعه و موت بعد از آن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ادّعاى مالكيّت وديعه توسط دو نفر و تصديق يكى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اقرار ودعى به اشتراك دو نفر مدّعى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تكذيب هر دو مدّعى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اقرار به مالكيّت يكى بدون تعيين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ادّعاى جهل به مالك توسط وديع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اختلاف در قيمت، بعد از تلف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فوت مودِع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كتاب عاريه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عاريه و شرايط معير و مستعير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تعريف عاريه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عدم لزوم عقد عاريه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شرايط مُعير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شرايط مستعير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ميزان در انتفاع به عقد عاريه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صورت ضمان و عدم آن در عاريه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اعتبار جواز تصرّف مستعير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استعارۀ از غاصب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در عين مستعاره است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صحّت اعارۀ زمين و محدودۀ جواز تصرّف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محدودۀ ضمان در صورت تخطّى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استعارۀ حيوان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استعارۀ زمين و اذن در استفاده و عدم آن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شرط قلع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اعارۀ زمين براى دفن </w:t>
      </w:r>
      <w:r>
        <w:rPr>
          <w:rFonts w:eastAsia="Amiri" w:cs="Amiri" w:ascii="Amiri" w:hAnsi="Amiri"/>
          <w:color w:val="111111"/>
          <w:sz w:val="28"/>
          <w:szCs w:val="28"/>
          <w:lang w:bidi="ar-SA"/>
        </w:rPr>
        <w:t>267</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انتفاعات غير زراعى در زمين مستعار براى زرع و </w:t>
      </w:r>
    </w:p>
    <w:p>
      <w:pPr>
        <w:pStyle w:val="BookText"/>
        <w:rPr/>
      </w:pPr>
      <w:r>
        <w:rPr>
          <w:rFonts w:ascii="IRNazanin" w:hAnsi="IRNazanin" w:eastAsia="IRNazanin"/>
          <w:color w:val="111111"/>
          <w:sz w:val="28"/>
          <w:sz w:val="28"/>
          <w:szCs w:val="28"/>
          <w:rtl w:val="true"/>
          <w:lang w:bidi="fa-IR"/>
        </w:rPr>
        <w:t xml:space="preserve">غرس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اعارۀ ديوار و رجوع در آن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اذن در غرس و انقلاع غير اختيارى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عدم لزوم استيفاى منافع مباشرتاً، و حكم اعارۀ عين يا اجارۀ آن به ديگرى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اعارۀ خانه و استفادۀ ديگران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اعارۀ مستعير بدون اذن معير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موارد ضمان در عاريه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بيع زمين مستعار و اشياى آن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روييدن اتفاقى بذر در زمين ديگرى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ورود دابّه در ملك غير و توقف اخراج بر ضرر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حصول نقص يا تلف در عاريۀ مشروط به ضمان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مقدار ضمان در صورت تعدّى و تفريط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اختلاف در اعاره و اجاره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اختلاف در خصوصيّت اعاره و اجاره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اختلاف در اشتراط ضمان در عاريه بعد از تلف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ضمان در فرض انتفاع غير مأذون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تقدم قول مستعير در ادّعاى تلف و عدم تفريط و تعدّى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ضمان مثل يا قيمت در تعدّى و تفريط و اعتبار قيمت روز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عوضيّت عاريه در قبال عاريه يا اشتراط آن در ضمن عقد عاريه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كتاب اجاره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اجاره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برخى از خصوصيات عقد اجاره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بيعِ عينِ متعلّق اجاره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اناطۀ بقاى اجاره به امكان انتفاع مقصود فى الجمله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موت موجر يا مستأجر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تشابه اجاره و اعاره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اجارۀ مشاع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عدم ضمان در عين مستأجره مگر با تعدّى و تفريط و يا شرط ضمان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مسألۀ ضمان بعد از انقضاى مدّت اجاره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خيار در اجاره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اجاره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متعاقدين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بودن اجرت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تملّك اجرت به نفس عقد اجاره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فرض توقف عمل بر تقديم اداى اجرت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لزوم تعجيل اداى اجرت به نحو متعارف در غير موارد مشروط به تأجيل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علم موجر به عيب سابق بر قبض در اُجرت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افلاس مستأجر يا عدم رد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اجاره دادن به غير توسّط مستأجر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فرض شرط نقص مقدار معيّنى از اجرت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شرطِ سقوط تمام اجرت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اجاره در تمام ماهها به مبلغى معيّن </w:t>
      </w:r>
      <w:r>
        <w:rPr>
          <w:rFonts w:eastAsia="Amiri" w:cs="Amiri" w:ascii="Amiri" w:hAnsi="Amiri"/>
          <w:color w:val="111111"/>
          <w:sz w:val="28"/>
          <w:szCs w:val="28"/>
          <w:lang w:bidi="ar-SA"/>
        </w:rPr>
        <w:t>286</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ترديد در اجرت و عمل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زمان مالكيت اجرت و استحقاق مطالبۀ آن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امتناع از تسليم عمل يا اجرت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فرض بطلان عقد اجاره و تعلّق اجرت المثل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مسألۀ ضمان در فرض علم يا جهل به فساد اجاره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كراهت استعمال اجير قبل از مقاطعۀ اجرت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كراهت تضمين اجير امين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مملوك بودن منفعت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اجاره دادن به غير توسّط مستأجر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اجاره به موجر اوّل و مسألۀ استيذان از او در تسليم عين به مستأجر دوّم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عرف، و موافقت اين قول با ظهور صحيحۀ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ظاهر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بودن منفعت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محدودۀ منافع متعلَّقِ اجاره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تعيين عمل به نحو رافع غرر و جهالت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شرط وسعت يا عدم و تخلّف از آن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در حكم اجير خاص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عدم جواز تفويت عمل در مدت معيّنه در اجير خاص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حكم اجارۀ دوّم اجير خاص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عمل اجير خاص براى غير بدون عوض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حيازت اجير خاص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حكم اجير مشترك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صحّت اجارۀ دوّم در فرض عدم قيد مباشرت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تملّك منفعت و اجرت به نفس عقد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تعيين ابتدا و انتهاى اجاره و عدم غرريت آن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صورت لزوم اجرت بر مستأجر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تلف عين مورد اجاره به آفت آسمانى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لزوم رفع جهالت در اجارۀ دابّه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جواز استيجار يك مركوب توسط دو نفر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ضمان در خروج از متعارف در اجارۀ دابّه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مسألۀ ضمان معلّم و پدر و مادر در تأديب كودك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لزوم مشاهدۀ عين مورد اجاره يا توصيف رافع غرر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لزوم و عدم لزوم تعيين مباشر در خياطت و اجارۀ زمين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لزوم تعيين زمين در حفر چاه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ثبوت رفع موانع حفر بر اجير براى حفر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استيجار مرضعه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فوت مرضعه يا طفل بعد از قرارداد اجاره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حكم اجاره در صورتى كه مرضعه صاحب ولد يا رضيع ديگرى باشد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فوت پدر مرتضع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حدوث اعسار براى پدر يا طفل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عدم لزوم تقسيط اجرت بر اجزاى مدّت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استيجار زمين براى نمازخانه و استيجار درهم و دينار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زياد بار كردن بر دابّه و صور مختلف آن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 بودن منفعت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 بر تسليم منفعت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عدم تسليم عين مورد اجاره توسط موجر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منع از تسليم يا انتفاع يا بقاى عين توسط شخص ثالث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انهدام مسكن مورد اجاره </w:t>
      </w:r>
      <w:r>
        <w:rPr>
          <w:rFonts w:eastAsia="Amiri" w:cs="Amiri" w:ascii="Amiri" w:hAnsi="Amiri"/>
          <w:color w:val="111111"/>
          <w:sz w:val="28"/>
          <w:szCs w:val="28"/>
          <w:lang w:bidi="ar-SA"/>
        </w:rPr>
        <w:t>304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اتحاد تعذّر شرعى با عقلى در حكم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دايرۀ اختيار زن در استيجار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فرض غصب شخص بعد از تعلّق ذمّۀ او به اجارۀ براى عمل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بقاى اجاره با فرض غصبِ عين بعد از قبض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حصول خوف عمومى و مانع از استيفاى منفعت يا تعريض مال به مخاطره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اجاره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فرض عيب غير معلوم و سابق بر عقد در عين مستأجرۀ خاصه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فرض عيب در عين تسليم شده با تعلّق اجاره به كلى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تعدّى مستأجر در عين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تقدّم قول مستأجر در فرض اختلاف در قيمت تالف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عدم جواز استيجار ثانى به اقل قيمت در اجارۀ براى عمل مگر در صُوَرى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حكم ضمان در فرض اجارۀ ثانيۀ جايزه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هزينۀ نگهدارى دابّه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ضمان در امور طبابت و صنعت و حمل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عدم استحقاق اجرت زيادتى در فرض زيادتى عمل برقرار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نفقۀ اجير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اجارۀ مملوك و اتلاف مال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حكم ضمان صاحب حمام نسبت به مال افراد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حكم ضمان اجير براى حفظ متاع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صحّت ابراء اجرت يا منفعت ثابت در ذمّه به خلاف منفعت عين خارجيّه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اجارۀ مملوك و عتق او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اجارۀ صبىّ توسط وصىّ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عدم بطلان اجاره در فرض وفات ولىّ به وصايت و ناظر وقف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وفات اجير در حين عمل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ضمان در فرض اذن در عملِ اجرت دار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هزينۀ مقدّمات عمل در اجاره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هزينۀ نگهدارى و تعميرات و لوازم انتفاع خانۀ مستأجَره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 تنازع است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صور مختلف اختلاف طرفين در وقوع اجاره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اختلاف در مقدار يا نوع متعلّق اجاره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تقدّم قول نافىِ رد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تقدّم قول مستأجر در اختلاف در مقدار اجرت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قبول قول سازنده در ادّعاى تلف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اختلاف مالك با خياط در نوع لباس سفارشى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اختلاف در استحقاق ارش يا اجرت خياطت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كتاب وكالت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 و عقد آن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تعريف وكالت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نحوۀ تحقّق وكالت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عقد وكالت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احوطيّت ترك فصل بين ايجاب و قبول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اعتبار تنجيز </w:t>
      </w:r>
      <w:r>
        <w:rPr>
          <w:rFonts w:eastAsia="Amiri" w:cs="Amiri" w:ascii="Amiri" w:hAnsi="Amiri"/>
          <w:color w:val="111111"/>
          <w:sz w:val="28"/>
          <w:szCs w:val="28"/>
          <w:lang w:bidi="ar-SA"/>
        </w:rPr>
        <w:t>322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عقلايى بودن و عدم ابهام و ترديد در متعلّق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جايز بودن عقد وكالت و عدم اعتبار اعلام فسخ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نفوذ تصرّفات وكيل قبل از علم يا بيّنه بر عزل توسط موكّل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لحوق اذن انشايى در تصرّف به توكيل عقدى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بطلان وكالت با موت يكى از طرفين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بطلان وكالت به جنون و اغما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بطلان وكالت به محجوريّت موكِّل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الحاق سكر و استرقاق موكّل كافر به جنون و اغما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عدم بطلان وكالت به نوم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حكم بطلان وكالت به سبب فسق در فرض اعتبار عدالت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بطلان وكالت به موت و تلف متعلّق آن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بطلان وكالت به فعل مورد وكالت يا منافى متعلّق وكالت توسّط موكّل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تلف قسمتى از مورد وكالت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كفايت بطلان واقعى در انعزال واقعى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نحوۀ فعل و قول عزل وكالت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دايرۀ اختيارات وكيل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حكم تخلّف وكيل از اختيارات خود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اختلاف موكّل و وكيل در اذن در معامله به مبلغى معيّن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اختلاف در عين مورد وكالت و جنس ثمن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استرجاع عين در صورت اختلاف و تقديم قول مالك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ضمان وكيل در بيع و شراء در صورت تسليم قبل از تسلّم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مقتضاى اطلاق وكالت در خريد اذن در تسليم با تسلّم است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لزوم رد به عيب و وكالت حقيقى بر خريد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صحّت و عدم صحّت وكالت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لزوم مشروعيّت فعل در صحّت وكالت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اعتبار عدم علم به تعلّق غرض به صورت فعل به مباشرت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موارد تعلّق غرض به مباشرت و عدم آن در عبادات و توصّليات و غير آن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نيابت در اجبار صيغه نذر و شبه آن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وكالت در التقاط مملّك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وكالت در شهادت و قضا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توكيل در رد اسلام و استنابه در اقرار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ساير موارد صحّت وكالت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ادّعاى ادا يا ابراء توسط منكر ديْن در اثناى دفاع وكيل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عدم قبول اقرار وكيل از طرف مدّعى يا منكر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اعتبار عدم سفاهت در توكيل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موكّل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بلوغ، عقل و اختيار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جواز توكيل صبىّ ده ساله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توكيل عبد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لزوم اذن موكّل در توكيل غير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حكم صُوَر مختلف عزل و انعزال وكيل دوّم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اخذ وكيل توسّط مملوك مأذون در تجارت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سفيه يا مفلس مى تواند توكيل نمايد در مثل طلاق </w:t>
      </w:r>
      <w:r>
        <w:rPr>
          <w:rFonts w:eastAsia="Amiri" w:cs="Amiri" w:ascii="Amiri" w:hAnsi="Amiri"/>
          <w:color w:val="111111"/>
          <w:sz w:val="28"/>
          <w:szCs w:val="28"/>
          <w:lang w:bidi="ar-SA"/>
        </w:rPr>
        <w:t>337</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توكيل مُحرِم و معتكف براى موارد محرّم بر آنها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توكيل جهت امور ولد صغير توسط اب و جدّ ابى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عبارت كلّى وكالت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وكيل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بلوغ و كمال عقل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عدم اعتبار عدالت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عدم جواز توكيل براى امرى كه مباشرت آن جايز نيست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صحت وكالت محجورٌ عليه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عدم جواز نيابت و وكالت مُحرِم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توكيل زن در طلاق و عقد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وكالت مملوك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عدم اعتبار عدالت در ايجاب و قبول نكاح و در ولىّ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وكالت كافر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اقتصار وكيل به مستفاد از عبارت موكِّل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مالكيّت موكّل در فرض بيع به مال او يا به قصد او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حكم خريدى كه براى موكّل واقع نشود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خريد براى موكّل و عدم امكان اثبات آن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تلفّظ به اسم موكّل و قصد معامله براى خود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اگر موكّل انكار وكالت نمايد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ادّعاى جهل بايع به اينكه ثمن مال موكّل بوده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صور مختلف قصد و ذكر مالك و عدم آن در معامله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توكيل دو نفر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وكالت از طرف دو نفر يا يكى با اصالت خودش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حكم بقاى توكيل زوجه يا عبد بعد از طلاق و عتق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حكم بقاى اذن در تصرّف بعد از طلاق و عتق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عدم ملازمۀ توكيل در حكومت با اذن در قبض و عكس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توكيل در قبض حق از شخص معيّن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عدم ملازمۀ توكيل در خريد معيب با توكيل در خريد صحيح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استحقاق اجرت و جُعْل در وكالت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انحاى استيفاى دين توسّط وكيل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امين بودن وكيل و عدم بطلان وكالت با فرض ضمان در تقدير تلف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حكم ضمان در وكيل در ايداع و يا در قضاى دين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وكالت مطلق در بيع متاع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اختلاف وكيل و موكّل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توكيل مديون در خريد و برائت ذمّۀ او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وكالت با آن ثابت مى شود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موارد اختلاف در شهادت بر وكالت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نفوذ علم حاكم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ادّعاى وكالت در گرفتن مال از بدهكار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اگر غريم دفع دين به وكيل نمود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وكالت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امين بودن وكيل و فرض مسموعيّت قول او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توكيل ثانى و احكام مترتّب بر آن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وجوب تسليم مال بر وكيل در صورت مطالبۀ موكل </w:t>
      </w:r>
      <w:r>
        <w:rPr>
          <w:rFonts w:eastAsia="Amiri" w:cs="Amiri" w:ascii="Amiri" w:hAnsi="Amiri"/>
          <w:color w:val="111111"/>
          <w:sz w:val="28"/>
          <w:szCs w:val="28"/>
          <w:lang w:bidi="ar-SA"/>
        </w:rPr>
        <w:t>356</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ادّعاى تلف از طرف وكيل بعد از اقرار مطالبۀ مالك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جواز تأخير در تسليم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عدم ضمان وكيل در ايداع مال و اداى دَيْن و ادّعا و عدم رد وديعه به او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ضامن بودن وكيل در صورت تعدّى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اذن در معاملۀ وكيل با خود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تنازع در وكالت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اختلاف در اصل وكالت يا تلف مال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اختلاف در رد مال به موكّل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قول وصى، ودعى، اب، جدّ و مستولى بر ضالّه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اختلاف در تصرّف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ادّعاى وكيل بودن توسط مشترى متاع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اجراى عقد نكاح به وكالت ادعايى و انكار وكالت توسط شخص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نزاع در مبلغ معامله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طرف مراجعه براى اخذ عوض در عقد وكالتى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مطالبۀ حق توسط وكيل و انكال مديون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شهادت وكيل به نفع موكّل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اقرار وكيل به قبض و تلف و تصديق غريم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علم موكّل به كذب وكيل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كتاب وقف</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وقف و شرايط آن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تعريف عقد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الفاظ وقف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شرطيّت قبض در لزوم و صحت وقف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وقف در مرض موت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آنچه داخل در وقف مى شود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در شرايط موقوف است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ضابط موقوف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لزوم داشتن منفعت محلّلۀ غير تالفۀ عين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وقف كلاب مملوكه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لزوم قدرت بر تسليم با تسلّم عين موقوفه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وقف درهم و دينار و زيور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وقف مال غير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وقف مشاع و مدبَّر و عين مستأجره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در شرايط واقف است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بلوغ و جواز تصرّف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ناظر امين قرار دادن براى وقف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عدم جواز عزل ناظر با فرض قبول موقوف عليه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استقلال و اشتراك در فرض جعل دو ناظر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وظيفه در صورت عدم تعيين ناظر توسّط واقف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در شرايط موقوف عليه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وقف بر معدوم در زمان وقف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صحّت وقف بر تمامى مصالح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وقف بر كافر و عاصى و كتابت كتب ضلال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وقف كفّار براى خودشان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وقف مؤمن و كافر بر فقرا و انصراف آن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وقف بر مسلمين و انصراف آن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وقف بر مؤمنين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وقف بر شيعه و اماميّه </w:t>
      </w:r>
      <w:r>
        <w:rPr>
          <w:rFonts w:eastAsia="Amiri" w:cs="Amiri" w:ascii="Amiri" w:hAnsi="Amiri"/>
          <w:color w:val="111111"/>
          <w:sz w:val="28"/>
          <w:szCs w:val="28"/>
          <w:lang w:bidi="ar-SA"/>
        </w:rPr>
        <w:t>372</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بر هاشميّين و علويّين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 بر همسايه ها و ميزان صدق همسايه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انتفاى مصلحت وقف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وقف بر وجوه برّ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وقف بر مرتدّ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عدم تعيين يا ترديد مصرف وقف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وقف بر اولاد و خويشان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وقف بر اقرب مردم به او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در شروط وقف است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دوام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اعتبار تنجيز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اعتبار قبض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وقف بر نفس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شرط انتفاع واقف و متعلّقين او در مدّتى يا مادام الحياة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وقف بر عنوانى و دخول واقف در آن عنوان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وقف بر جهتى و شرط عود در وقت احتياج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شرط اخراج واقف داخل در وقف را يا ادخال خارج از وقف را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شرط نقل از موقوف عليهم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وقف يك سال بر اولاد و يك سال بر علما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وقف بر اولاد اصاغر و شرط داخل شدن متولد از او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احتياط در قبض حاكم در وقف بر مصلحت يا بر فقرا و فقها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وقف مسجد و مقبره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وقف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خروج عين موقوفه از ملك واقف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نفقۀ موقوف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جنايت عبد موقوف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جنايت بر مملوك موقوف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مصارف وقف در راه خدا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مراد از موالى در وقف بر موالى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احكام وقف بر اولاد و شبيه آن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خرابى مسجد موقوف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وقف خانه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بعضى از موارد جواز بيع موقوف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قلع شدن نخلۀ موقوفه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وظيفه در صورت عدم امكان استفاده از موقوف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اجاره دادن بطن اوّل و انقراض آنها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عدم لزوم تتبع و استيعاب در وقف بر فقراى بلد يا علويين و يا پسران فلانى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امۀ موقوفه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كتاب صدقه</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تعريف صدقه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اعتبار ايجاب و قبول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صدقۀ غير عقديّه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اعتبار تحقق قبض با اذن مالك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اعتبار قصد قربت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صدقه به هاشمى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حكم صدقۀ بدون قصد قربت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392</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صدقه بر كافر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اخفا و اعلان در صدقه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كراهت تصدّق همۀ مال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اولويّت صدقه بر قريب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كتاب سكنى</w:t>
      </w:r>
    </w:p>
    <w:p>
      <w:pPr>
        <w:pStyle w:val="BookText"/>
        <w:rPr/>
      </w:pPr>
      <w:r>
        <w:rPr>
          <w:rFonts w:ascii="Amiri" w:hAnsi="Amiri" w:eastAsia="Amiri" w:cs="Amiri"/>
          <w:color w:val="111111"/>
          <w:sz w:val="28"/>
          <w:sz w:val="28"/>
          <w:szCs w:val="28"/>
          <w:rtl w:val="true"/>
          <w:lang w:bidi="ar-SA"/>
        </w:rPr>
        <w:t xml:space="preserve">عقد سُكنىٰ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نسبت سكنى به رُقبى و عُمرىٰ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الفاظ سُكنى و عُمرى و رُقبى و موارد لزوم و جواز آنها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فروعى از سكنى و عمرى و رقبى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عدم بطلان عُمرىٰ و رقبىٰ و سكناى موقّته، به بيع و بعضى از احكام بيع مذكور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نحوۀ تصرّف در اسكان مطلق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در حبس است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كتاب هبه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هبه و شرايط آن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عقد هبه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اعتبار ايجاب و قبول و شرايط متعاقدين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صحّت هبۀ كلّى ثابت در ذمّه و نحوۀ قبض در آن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صحّت هبۀ دين به مديون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اعتبار قبض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فوت واهب يا موهوبٌ له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اعتبار اذن واهب در قبض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هبۀ آنچه در يد موهوبٌ له است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هبۀ چيزى كه از يد واهب خارج است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هبۀ مشاع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هبۀ مرهون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هبۀ غير مقدور التسليم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هبۀ شيء معيّن به دو نفر و بالعكس و حكم رجوع در آن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جواز تفكيك در رجوع در هبه مجموع دو چيز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كراهت تفضيل بعض اولاد بر بعضى در هبه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موارد عدم جواز رجوع در هبه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مراد از قريب و رحم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رجوع در هبه به اجنبى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عدم جواز رجوع در هبۀ معوّضه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عدم جواز رجوع در هبه به تصرّف موجب تغيّر عين يا ناقل از ملك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استحباب هبه به ارحام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استحباب تسويه بين اولاد در هبه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جواز رجوع در هبۀ زوجين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هبه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بيع واهب بعد از هبه و قبض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عدم لزوم فوريّت در قبض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اختلاف بين واهب و موهوبٌ له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عدم ضمان در رجوع در هبه با فرض حصول عيب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حصول زيادتى در موهوب </w:t>
      </w:r>
      <w:r>
        <w:rPr>
          <w:rFonts w:eastAsia="Amiri" w:cs="Amiri" w:ascii="Amiri" w:hAnsi="Amiri"/>
          <w:color w:val="111111"/>
          <w:sz w:val="28"/>
          <w:szCs w:val="28"/>
          <w:lang w:bidi="ar-SA"/>
        </w:rPr>
        <w:t>413</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ذكر عوض در هبه و احكام انحاى اشتراط به عوض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شرط عدم بذل عوض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انكشاف عدم مالكيّت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جواز رجوع در فرض رنگ كردن لباس و امثال آن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هبۀ در مرض موت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كتاب سبق و رمايه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 اصطلاحات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تعريف سبق و رمايه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الفاظ مستعمله در اين باب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اسامى تيرها با توجه به اصابت به هدف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اقسام مرامات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و محاطّه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چيزهايى كه با آن مسابقه مشروع است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عوض و شروط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كيفيّت عقد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عوض در سبق و رمايه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معنى محلِّل و عدم اشتراط صحّت به آن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شروط عقد مسابقه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شروط عقد رمايه </w:t>
      </w:r>
      <w:r>
        <w:rPr>
          <w:rFonts w:eastAsia="Amiri" w:cs="Amiri" w:ascii="Amiri" w:hAnsi="Amiri"/>
          <w:color w:val="111111"/>
          <w:sz w:val="28"/>
          <w:szCs w:val="28"/>
          <w:lang w:bidi="ar-SA"/>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رمى</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تعيين قدر مسافت و غرض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چيزهايى كه در عقد رمى، شرط نيست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نحوۀ استحقاق عوض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كيفيت تعلق سبق در فرض اخراج سبق توسط متراهنين و ادخال محلِّل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شرط مبادرت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شرط محاطّه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مالكيّت سابق بر عوض با تماميّت مسابقه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جواز اشتراط اطعام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لوازم فساد عقد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تغيير عقد مسابقه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جواز عقد مسابقه بين دو طايفه و حزب و امثال آن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كتاب وصيّت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و شرايط وصيّت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وصيّت تمليكيّه و احتياج آن به ايجاب و قبول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كفايت معاطات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احوطيّت اعتبار قبول در تحقق تمليك به وصيّت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كفايت اشاره و كتابت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فرق بين وصيّت عهديّه و تمليكيّه و ابطال تمليكيّه به رد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مطلق قبول كافى است و لو قبل يا بعد موت باشد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گونه هاى مختلف رد موصىٰ له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تبعّض در قبول توسط موصىٰ له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رجوع موصى در بعض </w:t>
      </w:r>
      <w:r>
        <w:rPr>
          <w:rFonts w:eastAsia="IRNazanin" w:cs="IRNazanin"/>
          <w:color w:val="111111"/>
          <w:sz w:val="28"/>
          <w:szCs w:val="28"/>
          <w:lang w:bidi="fa-IR"/>
        </w:rPr>
        <w:t>435</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موصىٰ له قبل از قبول وصيّت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وصيّت به كنيز و حمل او و فوت موصىٰ له قبل از قبول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عدم جواز وصيت به صرف مال در معصيت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وصيت تمليكيّه جايز از طرفين است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الفاظ رجوع از وصيت و حكم وصيّت موصىٰ به، براى ديگرى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تعقّب وصيّت به مقدارى بعد از وصيّت به آن يا اقلّ از آن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تحقق رجوع از وصيّت به فعل منافى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دلالت خلط بر بطلان وصيت و عدم آن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اخذ به قرينه در تشخيص بقاى وصيت و عدم آن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موصىٖ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كامل بودن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صحّت وصيت ده ساله با شرايط ديگر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اجازۀ مالك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نفوذ وصيّت عهديّه سفيه و مملوك و مفلَّس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عدم نفوذ وصيّتِ بعد از اقدام به خودكشى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تعقّب وصيّت غير نافذه به اجازۀ ورثه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اثبات ولايت، به وصايت، توسّط پدر و جدّ پدرى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ولايت بر طفل بعد از پدر و جدّ پدرى در صورت عدم وصايت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عدم ولايت امّ بر صغير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موصىٰ به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متعلَّق وصيّت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شروط معتبر در متعلّق وصيّت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وصيّت به ثلث و اكثر از آن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تبعّض در اجازۀ وصيّت بر زايد از ثلث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نفوذ اجازۀ وارث در حيات موصى و بعد از آن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تنفيذ بودن اجازۀ در زايد بر ثلث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اجازه مفلَّس و مجنون و صبىّ و سفيه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اعتبار در ميزان ثلث، وقت وفات است نه وقت وصيّت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حكم اموال افزودۀ بعد از وصيّت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الحاق تلف و افزودۀ بعد از موت به قبل از موت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وصيّت به مضاربه در مال ورثه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محلّ اخراج در وصيّت به واجبات ماليّه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محلّ اخراج در وصيّت به واجبات بدنيّه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لزوم اعلام عدد فايت بر كسى كه مظنّۀ فوت دارد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كفايت و عدم كفايت ثلث به واجبات ماليّه و بدنيّۀ مورد وصيت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قصور ثلث از مورد وصيت به غير واجب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لزوم و عدم لزوم ملاحظۀ ترتيب در اختيار زايد بر ثلث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تضادّ بين وصاياى متعدّده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تنفيذ ثلث براى اوّلى و اناطۀ نفوذ زايد به اجازۀ ورثه در وصاياى مرتّبه </w:t>
      </w:r>
      <w:r>
        <w:rPr>
          <w:rFonts w:eastAsia="Amiri" w:cs="Amiri" w:ascii="Amiri" w:hAnsi="Amiri"/>
          <w:color w:val="111111"/>
          <w:sz w:val="28"/>
          <w:szCs w:val="28"/>
          <w:lang w:bidi="ar-SA"/>
        </w:rPr>
        <w:t>450</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اتحاد و عدم اتحاد متعلّق دو وصيّت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 حكم به رجوع و لزوم اتباع قرينۀ شارحه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موارد تعيين با قرعه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وصيت به مملوك مشترك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صور مختلف وصيت به يك خانه براى دو نفر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رجوع ورثه از اجازۀ نصف با ادّعاى ظن به كمى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ادّعاى گمان تطابق مورد اجازه با ثلث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تعيين موصىٰ به در ثلث و عدم تعيين آن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در فرض مسأله اگر بعض اموال، غايب باشد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وصيّت به معيّنِ مطابق با ثلث و فرض غايب بودن بعض در اين فرض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وصيّت به ثلث و ظهور عدم مالكيّت دو ثلث ديگر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وصيّت به لفظ مشترك بين حرام و حلال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وصيّت به مشترك بين منفعت محلّله و محرّمه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وصيّت به كلاب مملوكه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وصاياى مبهمه در لغت و عرف است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وصيّت به جزئى از مال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وصيّت به سهم و شيء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وصيّت به وجوه خاصۀ خير و فراموشى وصى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حكم ضمايم و ملحقات مورد وصيت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وصيّت به اخراج بعض ورثه از ميراث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وصيّت به لفظ مطلق و مال عظيم و كثير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مرتبۀ افضل در وصيت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ادّعاى موصىٰ له چيزى را در قصد و ارادۀ موصىٖ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احكام وصيت است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وصيت به حمل كنيز براى شخصى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وصيّت به حمل حيوانات و اشجار مثمره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وصيت به مال براى شخصى با توجّه به نوع حمل كنيز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وصيت به حمل معيّن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سقوط حملِ مورد وصيت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مقدار نفوذ وصيت به حمل دابّه و امه و شجرۀ متحقق در حال وصيت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وصيت به سكناى خانه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دخول ميوۀ موجود در حال وصيّت در وصيت به ميوۀ درخت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وصيّت به منفعت ابديّۀ عين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وصيت به خدمت عبد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سقى يا تعمير در وصيت به منافع مؤبّدۀ خانه و نخل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جواز تصرّف معاملى در آنچه وصيّت به منافع آن شده است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مالكيّت ورثه موصىٰ له بعد از موت او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در وصيت منافع، عين احكام امانت را دارد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بعض احكام عبد و امۀ مورد وصيت </w:t>
      </w:r>
      <w:r>
        <w:rPr>
          <w:rFonts w:eastAsia="Amiri" w:cs="Amiri" w:ascii="Amiri" w:hAnsi="Amiri"/>
          <w:color w:val="111111"/>
          <w:sz w:val="28"/>
          <w:szCs w:val="28"/>
          <w:lang w:bidi="ar-SA"/>
        </w:rPr>
        <w:t>464</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الفاظ وصيّت بر مصاديق متعارف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مشترك لفظى و مجازِ بدون قرينه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اختيار وارث در انتخاب مورد وصيت، در صورت تعدد مصداق و عدم تعيين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محفوظيّت وصيت به انتقال به بدل در صورت عدم قصد خصوصيّت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نحوۀ اثبات وصيّت مسلمان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حكم شهادت اهل ذمّه و كتاب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شرايط شهادت ذمّى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ضم ذمّى به عدل واحد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شهادت زن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شهادت يك مرد عادل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شهادت خنثى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فروع مربوط به طرف مذكور در باب شهادت بر وصيّت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قبول شهادت عبد بعد از عتق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شهادت وصىّ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وصيّت به عتق عبيد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عتق عبد در مرض موت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اطلاق و تقييد عتق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اگر رقبۀ مورد وصيّت يافت نشود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 احكام موصىٰ له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اشتراط وجود موصىٰ له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مستثنيات از اشتراط وجود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وصيت براى وارث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وصيّت براى غير مسلم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وصيّت براى مملوك غير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وصيّت به ثلث مال براى مملوك خودش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عتق منجّز در مرض موت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وصيت براى مكاتَب غير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وصيّت براى ام ولد خودش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حمل اطلاق وصيّت بر تساوى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وصيّت بر جماعت محصور و غير محصور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وصيّت براى اقربا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وصيّت براى قوم و عشيرۀ خود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وصيّت براى همسايه ها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وصيّت براى اهل بيت خودش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وصيّت براى حمل موجود در حال وصيت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وصيّت براى فقرا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اعتبار اتصاف به صفت در حال موت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وفات موصىٰ له قبل و بعد از قبول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وصيّت بدون تعيين مصرف و با آن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وصيت به مالى براى سبيل اللّٰه تعالى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وصيّت به ثلث بدون تعيين مصرف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استحباب وصيّت براى خويشان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وصيّت براى اقرب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وصايت و شروط وصىّ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تعريف وصايت و الفاظ آن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شروط وصىّ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عدم اعتبار عدالت در وصى و اعتبار اطمينان </w:t>
      </w:r>
      <w:r>
        <w:rPr>
          <w:rFonts w:eastAsia="Amiri" w:cs="Amiri" w:ascii="Amiri" w:hAnsi="Amiri"/>
          <w:color w:val="111111"/>
          <w:sz w:val="28"/>
          <w:szCs w:val="28"/>
          <w:lang w:bidi="ar-SA"/>
        </w:rPr>
        <w:t>485</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وصىّ عادل، فاسق شود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وصايت مملوك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اشتراط بلوغ وصىّ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انضمام صغير به كبير و احكام آن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اعتبار اسلام در وصىّ از جانب مسلم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عدم اشتراط ذكورت و بصر و وارث نبودن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مسائل مربوط به وصايت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وصيّت به دو نفر و مسألۀ استقلال و معيّت در تصرّف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جعل وصىّ و ناظر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نزاع دو وصى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عجز يا انعزال يكى از چند وصىّ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شرط انفراد وصىّ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عزل وصى و رد وصيّت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وصيّت به غير حاضر و لزوم اعلام به موصى در تحقق رد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رد وصيّت و تجديد آن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صورت عجز وصىّ از عمل به وصايت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ظهور خيانت از وصى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ظهور فسق از وصىّ بنابر اعتبار عدالت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عزل يا انعزال وصىّ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امين بودن وصىّ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استيفاى وصى دين خود را از مال موصىٖ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تقويم مال يتيم بر خود توسط وصىّ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اقتراض وصىّ از مال يتيم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استيفاى دين از مال موصى توسط وصى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اختصاص ولايت وصى به مورد وصايت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فرض اطلاق وصايت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تقييد يا اطلاق ولايت وصىّ در قيموميّت صغار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ولايت هر كدام از اب و جدّ ابى در نصب قيّم با فقد ديگرى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لزوم رعايت اعتدال در انفاق بر صغير توسط وصىّ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موارد جواز اخذ اجرت المثل عمل در اموال صغار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تعيين اجرت توسط موصى و ازيديّت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اجرت المثل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اجرت المثل در صرف ثلث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ايصاى وصى به غير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اختيار حاكم و عدول مؤمنين در ميّت بدون وصى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نفوذ وصايت پدر و جدّ پدرى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كفايت تحقق شروط وصى در حال موت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فقدان بعض شروط وصى بعد از فوت موصى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وصايت به ولايت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وصايت به اخراج ديون و حقوق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وصيّت براى اجنبى به مثل نصيب وارث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منجّزات مريض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خروج منجّزات از اصل تركه </w:t>
      </w:r>
      <w:r>
        <w:rPr>
          <w:rFonts w:eastAsia="Amiri" w:cs="Amiri" w:ascii="Amiri" w:hAnsi="Amiri"/>
          <w:color w:val="111111"/>
          <w:sz w:val="28"/>
          <w:szCs w:val="28"/>
          <w:lang w:bidi="ar-SA"/>
        </w:rPr>
        <w:t>500</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اقرار مريض غير متهم و متهم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تعدّد وصايا و منجّزات و عدم كفايت ثلث به آن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بيع مريض و عدم اجازۀ محابات ازيد از ثلث بنابر خروج منجّز از ثلث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بيع عبد به اقل قيمت و عدم اجازۀ محابات ازيد از ثلث بنابر خروج منجّز از ثلث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بيع چيزى با چيز نصف قيمت آن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معاملۀ قفيز با قفيزِ ثلث قيمت آن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ضابطۀ كلّى مسأله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عتق و ازدواج با كنيز در مرض موت و حكم امهار او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كتاب نكاح</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الدائم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العقد و أحكامه و آدابه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التعبير في الإيجاب و القبول بالماضى و الأمر و المستقبل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عدم اعتبار تقديم القبول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العقد العربى و الفارسى و غيرهما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عدم لزوم التوكيل في الأخرس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عدم الاعتبار بعبارة الصبى و المجنون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عدم اعتبار حضور العدلين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ادّعاء الزوجيّة و انكار المرأة و ادّعاء اختها الزوجيّة و انكار الرجل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لو عقد على امرأة و ادّعى الآخر زوجيّتها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لو زوج واحدة من نباته و لم يسمّهن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النظر إلى وجه الامرأة المراد نكاحها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النظر إلى نساء الكفّار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نساء أهل القرى و البوادى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جواز سماع صوت الأجنبيّة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نظر الرجل إلى زوجته و محارمه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ملازمة حرمة النظر إلى الامرأة مع حرمة التكشّف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حكم النظر إلى الوجه و الكفّين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نظر المرأة إلى الرجل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حرمة اللمس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المستثنيات من حرمة النظر و اللمس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عدم جواز النظر الى عورة المميّز و الكشف لديه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النظر إلى المجانس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عدم جواز نظر المالكة إلى الخصىّ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الاستمتاع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العزل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سن المرأة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حكم افضاء الصغيرة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كراهة مجيء المسافر عند الأهل في الليل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اولياى عقد نكاح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اولياى عقد نكاح </w:t>
      </w:r>
      <w:r>
        <w:rPr>
          <w:rFonts w:eastAsia="Amiri" w:cs="Amiri" w:ascii="Amiri" w:hAnsi="Amiri"/>
          <w:color w:val="111111"/>
          <w:sz w:val="28"/>
          <w:szCs w:val="28"/>
          <w:lang w:bidi="ar-SA"/>
        </w:rPr>
        <w:t>520</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جدّ پدرى و عدم اشتراط ولايت او به بقاى </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نفوذ عقد ولىّ بعد از كبير شدن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موارد عدم ولايت اب و جدّ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ولى بر مجنون در ازدواج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تزويج امه و عبد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محدودۀ ولايت حاكم در تزويج غير بالغ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عدم ولايت بر بالغ رشيد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ولايت وصى اب و جدّ در تزويج صغير و صغيره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بطلان عقد محجور به سبب تبذير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مسائل مربوط به اولياى عقد نكاح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تزويج به نفس در اذن در تزويج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تزويج زن به كمتر از مهر المثل توسط ولى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تولّى عقد توسط بالغۀ رشيده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اجازه در نكاح و كفايت سكوت بكر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فرض رقيّت يا كفر ولىّ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اسباب سلب ولايت و عود آن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نفوذ سبقت پدر يا جدّ در تزويج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ولايت جدّ مع الواسطه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اختلاف در سبقت و سابق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لزوم مصلحت در تزويج به مجنون يا معيوب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جواز عقد منقطع صغيره و غير آن براى اغراض غير استمتاع مثل محرميّت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لزوم اذن مالك در عقد كنيز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لزوم عقد توسط ابوين صغيرين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عقد فضولى در صغيرين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وفات يا جنون مجيز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نكول زوج از يمين بعد از اجازه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عقد فضولى بر دو مجنون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عقد فضولى بر دو بالغ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اذن مالك در نكاح عبد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تعيين زن و مقدار مهر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تعيين و عدم تعيين نوع نكاح و قدر و خصوصيّت مهر در نكاح عبد توسّط مالك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زايد بر مهر معيّن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نكاح و تصرّفات عبد مبعّض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اختيار تزويج امۀ مولّى عليه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استحباب استيذان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تزويج اخت توسط دو برادر با توكيل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عدم ولايت مادر در نكاح صغيره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تقدّم قول مدّعى صحّت با يمين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اسباب تحريم </w:t>
      </w:r>
      <w:r>
        <w:rPr>
          <w:rFonts w:eastAsia="Amiri" w:cs="Amiri" w:ascii="Amiri" w:hAnsi="Amiri"/>
          <w:color w:val="111111"/>
          <w:sz w:val="28"/>
          <w:szCs w:val="28"/>
          <w:lang w:bidi="ar-SA"/>
        </w:rPr>
        <w:t>535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افرادى كه ازدواج با آنها، به سبب نَسِب، حرام است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مراد از برخى از محرّمات به نسبت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راه ثبوت نسب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ميزان در ولد شبهه بودن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محرّمات به سبب ولادت از زنا </w:t>
      </w:r>
      <w:r>
        <w:rPr>
          <w:rFonts w:eastAsia="IRNazanin" w:cs="IRNazanin"/>
          <w:color w:val="111111"/>
          <w:sz w:val="28"/>
          <w:szCs w:val="28"/>
          <w:lang w:bidi="fa-IR"/>
        </w:rPr>
        <w:t>537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مولود بعد از طلاق و تحقّق وطى به شبهه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محدودۀ تأثير لعان در انتفاى نسب و آثار آن </w:t>
      </w:r>
      <w:r>
        <w:rPr>
          <w:rFonts w:eastAsia="Amiri" w:cs="Amiri" w:ascii="Amiri" w:hAnsi="Amiri"/>
          <w:color w:val="111111"/>
          <w:sz w:val="28"/>
          <w:szCs w:val="28"/>
          <w:lang w:bidi="ar-SA"/>
        </w:rPr>
        <w:t>538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شروط نشر حرمت به سبب رضاع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شير به سبب خاص شرعى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عدم نشر به واسطه وطى به شبهه و ارضاى خنثاى مشكل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عدم اشتراط بقاى زوجيّت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حكم انقطاع لبن در بين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حكم آمدن شير بدون ولادت و استمرار آن تا زمان حمل و ولادت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رضعات در حيات مرضعه باشد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اندازۀ لازم در رضاع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روييدن گوشت و سفت شدن استخوان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لزوم استناد اثر به شير خوردن به نحو استقلال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نحوۀ اثبات تحقق اثر و مقتضاى اصل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حدّ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حدّ اقل ده مرتبه رضاع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حدّ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 يك شبانه روز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رضاع به وسيلۀ مكيدن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بودن رضعه و عدم فاصله در خصوص تقدير عددى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نحوۀ تحقق يك مرتبه شير خوردن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دو رضعۀ ناقصه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درپى بودن شير دادن از يك شير دهنده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مانع از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شرط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شرط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ايصال شير از طريق متعارف به معده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ارتضاع از فحل واحد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ارضاع ازواج متعدّدۀ يك فحل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شرط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رضاع در حولين مرتضع و لو بعد حولين ولد مرضعه باشد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شك در تحققِ رضاع لازم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مستحبّات و مكروهات استرضاع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در احكام رضاعى كه جامع شروط تحريم است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حرمت نكاح و افرادى كه نكاح با آنها حرام مى شود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محدودۀ حرمت منسوبين به فحل و مادر رضاعى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آنهايى كه بر پدر و جدّ مرتضع حرام مى شوند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كسانى كه تناكح آنها جايز است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ابطال نكاح توسط رضاع كامل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مسألۀ ارضاعِ زوجۀ صغيرۀ شخصى توسط زوجۀ كبيرۀ او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از فروع باطل شدن نكاح توسط رضاع </w:t>
      </w:r>
      <w:r>
        <w:rPr>
          <w:rFonts w:eastAsia="Amiri" w:cs="Amiri" w:ascii="Amiri" w:hAnsi="Amiri"/>
          <w:color w:val="111111"/>
          <w:sz w:val="28"/>
          <w:szCs w:val="28"/>
          <w:lang w:bidi="ar-SA"/>
        </w:rPr>
        <w:t>550</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دو زوجۀ كبيره و يك صغيره و تحقق </w:t>
      </w:r>
    </w:p>
    <w:p>
      <w:pPr>
        <w:pStyle w:val="BookText"/>
        <w:rPr/>
      </w:pP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ارضاع زوجۀ صغيره بعد از طلاق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مسألۀ استحقاق مهر در فرض مسأله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حرمت ولد صغيرى كه زن مرضعه مطلّقه ارضاع نموده است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ارضاع زوجۀ صغيره توسط كنيز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طلاق دو نفر، زوجۀ كبيره و صغيرۀ خود را و تزويج ديگرى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اقرار به خواهر رضاعى بودن قبل از عقد و تكذيب آن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اقرار بعد از عقد به خواهر رضاعى بودن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دعوى رضاع از جانب زوجه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شهادت در مسائل اختلافيه در خصوصيات موضوع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ارضاع زوج صغير بعد از طلاق و تزويج با كبير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فرض عكس مسأله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شير دادن جدّه بعد از تزويج پدر پسر صغير خود را با دختر برادر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قبول شهادت زنها در رضاع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مصاهرت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موارد حصول حرمت با نكاح صحيح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مملوكۀ پدر و پسر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وطى به شبهۀ پدر، زوجۀ پسر را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حرمت خواهر زن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حكم نكاح دختر خواهر و دختر برادر زوجه و بالعكس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بطلان عقد در صورت عدم اذن عمّه يا خاله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حكم نشر حرمت به زنا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نشر حرمت با وطى به شبهه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عدم نشر حرمت با نظر و لمس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عدم نشر حرمت به واسطه نظر و لمس وجه و كفّين و آنچه عادتاً ظاهر مى شود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تساوى نسب و رضاع در حكم مصاهرت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مسائل تحريم جمع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جمع بين دو اخت در عقد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جواز عقد در عدّۀ بائنۀ يكى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حكم مهر در مسأله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جمع بين وطى امۀ مملوكه و ازدواج با خواهر او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تملّك دو اخت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جواز عقد حرّ بر كنيز غير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اِذن زوجۀ حرّه، شرط ازدواج با امه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احكام نكاح صغيره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سن زوجه براى دخول و مسألۀ افضا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تعريف و حكم افضا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ديه در اِفضا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عدم حصول حرمت در فرض افضاى كبيره و مملوكه و زانيه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جهل به صغيره بودن و انكشاف كبر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حليّت وطى با اندمال جراحت </w:t>
      </w:r>
      <w:r>
        <w:rPr>
          <w:rFonts w:eastAsia="Amiri" w:cs="Amiri" w:ascii="Amiri" w:hAnsi="Amiri"/>
          <w:color w:val="111111"/>
          <w:sz w:val="28"/>
          <w:szCs w:val="28"/>
          <w:lang w:bidi="ar-SA"/>
        </w:rPr>
        <w:t>566</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ساير احكام زوجيّت با حرمت وطى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نفقۀ صغيره بعد از افضا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در مسائلى از تحريم عينى نكاح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حرمت نكاح در عدّه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الحاق زن داراى شوهر به معتدّه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عقد بر زن با وفات واقعى و جهل ظاهرى به آن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عقد در مدّت مسترابه در صورت انتقال به اعتداد به اقراء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حكم الحاق ولد در فرض عقد در عدّه و حمل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لزوم علم موكّل در حصول حرمت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عدم تحقق حرمت ابديّه در طفل و مجنون با عقد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عقد فضولى در عدّه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ازدواج با زانيه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جواز نگهدارى زوجۀ زانيه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حرمت ابديّه به زناى با زن صاحب شوهر يا در عدّۀ رجعيّه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حرمت ابديّه مادر و خواهر و دختر موطوءِ به وطى قبل از عقد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عدم حرمت مذكورات در صورت تحقق ايقاب، بعد از عقد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حصول حرمت ابديّه براى مُحرم و محرمه با علم به حرمت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حرمت ذات بعل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استيفاى عدد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قسم اوّل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حرمت اكثر از اربعۀ دائميّه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اناطۀ جواز عقد به انقضاى عدّۀ رجعيۀ مطلّقۀ از اربعه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حكم انقضاى عدّۀ بائن در ازدواج با خواهر زن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تعقّب دو عقد بر طلاق يكى از اربعه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عقد با يك حرّه و عقد با دو حرّه و سه حرّه و جهل به تاريخ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طلاق سه مرتبه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لعان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احكام ازدواج با كفّار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حكم نكاح با كتابيّه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حكم ارتداد زن و شوهر يا يكى از از آن دو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اسلام زوج كتابيّه و زوجۀ كتابى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حكم اسلام متعقّب بر شرك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انتقال زوجۀ ذمّى به دين ديگر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احكام اختيار زوجات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حكم اسلام آوردن كسى كه ازيد از مقدار جايز، زوجه دارد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حكم ازدواج فاسد در نزد مسلمين بعد از اسلام آوردن زوج </w:t>
      </w:r>
      <w:r>
        <w:rPr>
          <w:rFonts w:eastAsia="Amiri" w:cs="Amiri" w:ascii="Amiri" w:hAnsi="Amiri"/>
          <w:color w:val="111111"/>
          <w:sz w:val="28"/>
          <w:szCs w:val="28"/>
          <w:lang w:bidi="ar-SA"/>
        </w:rPr>
        <w:t>579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و عدم جواز اجبار زوجۀ كتابيّه بر غسل و غير آن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كيفيّت اختيار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محدودۀ تأثير طلاق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الحاق فسخ به عيب، به طلاق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حكم ظهار و ايلاء در كاشفيّت از اختيار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طلاق يا ظهار يا ايلاء يا قذف در حال كفر زوجات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حكم مذكورات بعد از اختيار اسلام در عدّه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تعزير بر قذف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الفاظ و افعال دالّه بر اختيار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عقد خواهر در فرض مسأله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اسلام اربعه و عدم اسلام اربعه ديگر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فرض تعيين اوايل يا اواخر براى فسخ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فوريّت اختيار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مسائل اختلاف زوجين در دين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اسلامِ بعد از نكاح با ام و بنت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اسلامِ بعد از نكاح دو اخت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اسلامِ بعد از نكاح با زن و عمه يا خالۀ او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اسلامِ بعد از نكاح با حرّه و امه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اسلام مشركِ داراى زوجاتِ حرّه و كنيز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اسلام عبدِ داراى چهار حرّۀ وثنيّه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فسخ بودن اختلاف دينى و مسألۀ مهر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معيّت يا اختلاف در اختيار اسلام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اگر مهر زن ذمّى مسلمان شده خمر يا خنزير باشد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احكام حرمت وطى بعد از ارتداد زوج يا زوجه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اسلام شخص داراى اربعه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اسلام وثنيّه و نكاح زوج او با اخت وى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مورد ديگر تخيير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اسلام يكى از وثنيين و ارتداد وى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عدم ابطال اختيار، با موت زدن بعد از اسلام او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حكم ميراث و عدّه در صورت وفات زوج قبل از اختيار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وفات زوج قبل از اختيار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حكم نفقۀ زوجات قبل از اختيار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اختلاف در سابق به اسلام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اختلاف در تحقق اسلام ديگرى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حكم ميراث بعد از وفات زوج قبل از اختيار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اباق عبد بعد از ازدواج با اذن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عقد </w:t>
      </w:r>
      <w:r>
        <w:rPr>
          <w:rFonts w:eastAsia="IRNazanin" w:cs="IRNazanin"/>
          <w:color w:val="111111"/>
          <w:sz w:val="28"/>
          <w:szCs w:val="28"/>
          <w:lang w:bidi="fa-IR"/>
        </w:rPr>
        <w:t>594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كفايت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 xml:space="preserve">مراد از نصب و غلوّ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عدم شرطيّت تمكّن از نفقه در صحّت نكاح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موارد كراهت ازدواج </w:t>
      </w:r>
      <w:r>
        <w:rPr>
          <w:rFonts w:eastAsia="Amiri" w:cs="Amiri" w:ascii="Amiri" w:hAnsi="Amiri"/>
          <w:color w:val="111111"/>
          <w:sz w:val="28"/>
          <w:szCs w:val="28"/>
          <w:lang w:bidi="ar-SA"/>
        </w:rPr>
        <w:t>595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زنا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تعريض به خِطبه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تعريض به مطلّقه سه طلاقه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تعريض به مطلّقۀ نُه طلاقه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جواز تعريض در عدۀ بائن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معناى تصريح و تعريض </w:t>
      </w:r>
      <w:r>
        <w:rPr>
          <w:rFonts w:eastAsia="Amiri" w:cs="Amiri" w:ascii="Amiri" w:hAnsi="Amiri"/>
          <w:color w:val="111111"/>
          <w:sz w:val="28"/>
          <w:szCs w:val="28"/>
          <w:lang w:bidi="ar-SA"/>
        </w:rPr>
        <w:t>596</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اجابت زن به خطبه مرد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بر خِطبه </w:t>
      </w:r>
      <w:r>
        <w:rPr>
          <w:rFonts w:eastAsia="Amiri" w:cs="Amiri" w:ascii="Amiri" w:hAnsi="Amiri"/>
          <w:color w:val="111111"/>
          <w:sz w:val="28"/>
          <w:szCs w:val="28"/>
          <w:lang w:bidi="ar-SA"/>
        </w:rPr>
        <w:t>597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طلاق بر محلّل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نكاح شِغار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تعريف نكاح شغار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حكم صور مختلف كه برخى نكاح شغار است و برخى نكاح شغار نيست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عدم صحّت نكاح شغار و عدم فرق بين نكاح دائم و منقطع </w:t>
      </w:r>
      <w:r>
        <w:rPr>
          <w:rFonts w:eastAsia="Amiri" w:cs="Amiri" w:ascii="Amiri" w:hAnsi="Amiri"/>
          <w:color w:val="111111"/>
          <w:sz w:val="28"/>
          <w:szCs w:val="28"/>
          <w:lang w:bidi="ar-SA"/>
        </w:rPr>
        <w:t>599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ازدواجهاى مكروه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ازدواج انسان با قابلۀ خود و يا دختر قابلۀ خود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كسان ديگرى كه ازدواج با آنها مكروه است </w:t>
      </w:r>
      <w:r>
        <w:rPr>
          <w:rFonts w:eastAsia="IRNazanin" w:cs="IRNazanin"/>
          <w:color w:val="111111"/>
          <w:sz w:val="28"/>
          <w:szCs w:val="28"/>
          <w:lang w:bidi="fa-IR"/>
        </w:rPr>
        <w:t>599</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كراهت ازدواج با زانيه قبل از توبه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قعده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وجوباً تركه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تكليفاً در اذن از ولىّ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دائم با كتابيّه جايز نيست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مؤمنه به مخالف مطلقا جايز نيست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عدم جواز تزويج مؤمنه با مخالف مطلقا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ادامۀ كتاب نكاح در جلد سوّم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33.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697</Pages>
  <Words>27893</Words>
  <Characters>96123</Characters>
  <CharactersWithSpaces>122128</CharactersWithSpaces>
  <Paragraphs>1970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2026-08-21T03:58:38Z</dcterms:created>
  <dc:creator>ghaemiyeh.com</dc:creator>
  <dc:description/>
  <dc:language>en-US</dc:language>
  <cp:lastModifiedBy/>
  <dcterms:modified xsi:type="dcterms:W3CDTF">2026-08-21T07:28:55Z</dcterms:modified>
  <cp:revision>1</cp:revision>
  <dc:subject/>
  <dc:title>جامع المسائل تعلیق و شرح بر ذخیرة العباد نوشته علامه محقق شیخ محمدحسین غروی اصفهانی قدس سره و تکمیل آن تا پایان فقه جلد 3</dc:title>
</cp:coreProperties>
</file>

<file path=docProps/custom.xml><?xml version="1.0" encoding="utf-8"?>
<Properties xmlns="http://schemas.openxmlformats.org/officeDocument/2006/custom-properties" xmlns:vt="http://schemas.openxmlformats.org/officeDocument/2006/docPropsVTypes"/>
</file>