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چرایى گریه و سوگوارى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61416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461418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461420_287045965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6461422_2870459653">
            <w:r>
              <w:rPr>
                <w:webHidden/>
                <w:rStyle w:val="IndexLink"/>
                <w:rtl w:val="true"/>
              </w:rPr>
              <w:t>درآمد</w:t>
            </w:r>
            <w:r>
              <w:rPr>
                <w:rStyle w:val="IndexLink"/>
                <w:rtl w:val="true"/>
              </w:rPr>
              <w:tab/>
            </w:r>
            <w:r>
              <w:rPr>
                <w:rStyle w:val="IndexLink"/>
              </w:rPr>
              <w:t>11</w:t>
            </w:r>
          </w:hyperlink>
        </w:p>
        <w:p>
          <w:pPr>
            <w:pStyle w:val="Contents2"/>
            <w:tabs>
              <w:tab w:val="clear" w:pos="8743"/>
              <w:tab w:val="right" w:pos="9026" w:leader="dot"/>
            </w:tabs>
            <w:rPr/>
          </w:pPr>
          <w:hyperlink w:anchor="__RefHeading___Toc6461424_2870459653">
            <w:r>
              <w:rPr>
                <w:webHidden/>
                <w:rStyle w:val="IndexLink"/>
                <w:rtl w:val="true"/>
              </w:rPr>
              <w:t>توصيه بر گريه</w:t>
            </w:r>
            <w:r>
              <w:rPr>
                <w:rStyle w:val="IndexLink"/>
                <w:rtl w:val="true"/>
              </w:rPr>
              <w:tab/>
            </w:r>
            <w:r>
              <w:rPr>
                <w:rStyle w:val="IndexLink"/>
              </w:rPr>
              <w:t>12</w:t>
            </w:r>
          </w:hyperlink>
        </w:p>
        <w:p>
          <w:pPr>
            <w:pStyle w:val="Contents2"/>
            <w:tabs>
              <w:tab w:val="clear" w:pos="8743"/>
              <w:tab w:val="right" w:pos="9026" w:leader="dot"/>
            </w:tabs>
            <w:rPr/>
          </w:pPr>
          <w:hyperlink w:anchor="__RefHeading___Toc6461426_2870459653">
            <w:r>
              <w:rPr>
                <w:webHidden/>
                <w:rStyle w:val="IndexLink"/>
                <w:rtl w:val="true"/>
              </w:rPr>
              <w:t>سيره رسول الله صلى‌الله عليه و‌آله</w:t>
            </w:r>
            <w:r>
              <w:rPr>
                <w:rStyle w:val="IndexLink"/>
                <w:rtl w:val="true"/>
              </w:rPr>
              <w:tab/>
            </w:r>
            <w:r>
              <w:rPr>
                <w:rStyle w:val="IndexLink"/>
              </w:rPr>
              <w:t>16</w:t>
            </w:r>
          </w:hyperlink>
        </w:p>
        <w:p>
          <w:pPr>
            <w:pStyle w:val="Contents3"/>
            <w:tabs>
              <w:tab w:val="clear" w:pos="8459"/>
              <w:tab w:val="right" w:pos="9026" w:leader="dot"/>
            </w:tabs>
            <w:rPr/>
          </w:pPr>
          <w:hyperlink w:anchor="__RefHeading___Toc6461428_2870459653">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6461430_2870459653">
            <w:r>
              <w:rPr>
                <w:webHidden/>
                <w:rStyle w:val="IndexLink"/>
                <w:rtl w:val="true"/>
              </w:rPr>
              <w:t xml:space="preserve">الف </w:t>
            </w:r>
            <w:r>
              <w:rPr>
                <w:rStyle w:val="IndexLink"/>
                <w:rtl w:val="true"/>
              </w:rPr>
              <w:t xml:space="preserve">- </w:t>
            </w:r>
            <w:r>
              <w:rPr>
                <w:rStyle w:val="IndexLink"/>
                <w:rtl w:val="true"/>
              </w:rPr>
              <w:t>گريه بر عبدالمطلب</w:t>
            </w:r>
            <w:r>
              <w:rPr>
                <w:rStyle w:val="IndexLink"/>
                <w:rtl w:val="true"/>
              </w:rPr>
              <w:tab/>
            </w:r>
            <w:r>
              <w:rPr>
                <w:rStyle w:val="IndexLink"/>
              </w:rPr>
              <w:t>16</w:t>
            </w:r>
          </w:hyperlink>
        </w:p>
        <w:p>
          <w:pPr>
            <w:pStyle w:val="Contents3"/>
            <w:tabs>
              <w:tab w:val="clear" w:pos="8459"/>
              <w:tab w:val="right" w:pos="9026" w:leader="dot"/>
            </w:tabs>
            <w:rPr/>
          </w:pPr>
          <w:hyperlink w:anchor="__RefHeading___Toc6461432_2870459653">
            <w:r>
              <w:rPr>
                <w:webHidden/>
                <w:rStyle w:val="IndexLink"/>
                <w:rtl w:val="true"/>
              </w:rPr>
              <w:t xml:space="preserve">ب </w:t>
            </w:r>
            <w:r>
              <w:rPr>
                <w:rStyle w:val="IndexLink"/>
                <w:rtl w:val="true"/>
              </w:rPr>
              <w:t xml:space="preserve">- </w:t>
            </w:r>
            <w:r>
              <w:rPr>
                <w:rStyle w:val="IndexLink"/>
                <w:rtl w:val="true"/>
              </w:rPr>
              <w:t>گريه بر ابوطالب</w:t>
            </w:r>
            <w:r>
              <w:rPr>
                <w:rStyle w:val="IndexLink"/>
                <w:rtl w:val="true"/>
              </w:rPr>
              <w:tab/>
            </w:r>
            <w:r>
              <w:rPr>
                <w:rStyle w:val="IndexLink"/>
              </w:rPr>
              <w:t>17</w:t>
            </w:r>
          </w:hyperlink>
        </w:p>
        <w:p>
          <w:pPr>
            <w:pStyle w:val="Contents3"/>
            <w:tabs>
              <w:tab w:val="clear" w:pos="8459"/>
              <w:tab w:val="right" w:pos="9026" w:leader="dot"/>
            </w:tabs>
            <w:rPr/>
          </w:pPr>
          <w:hyperlink w:anchor="__RefHeading___Toc6461434_2870459653">
            <w:r>
              <w:rPr>
                <w:webHidden/>
                <w:rStyle w:val="IndexLink"/>
                <w:rtl w:val="true"/>
              </w:rPr>
              <w:t xml:space="preserve">ج </w:t>
            </w:r>
            <w:r>
              <w:rPr>
                <w:rStyle w:val="IndexLink"/>
                <w:rtl w:val="true"/>
              </w:rPr>
              <w:t xml:space="preserve">- </w:t>
            </w:r>
            <w:r>
              <w:rPr>
                <w:rStyle w:val="IndexLink"/>
                <w:rtl w:val="true"/>
              </w:rPr>
              <w:t>گريه بر آمنه</w:t>
            </w:r>
            <w:r>
              <w:rPr>
                <w:rStyle w:val="IndexLink"/>
                <w:rtl w:val="true"/>
              </w:rPr>
              <w:tab/>
            </w:r>
            <w:r>
              <w:rPr>
                <w:rStyle w:val="IndexLink"/>
              </w:rPr>
              <w:t>17</w:t>
            </w:r>
          </w:hyperlink>
        </w:p>
        <w:p>
          <w:pPr>
            <w:pStyle w:val="Contents3"/>
            <w:tabs>
              <w:tab w:val="clear" w:pos="8459"/>
              <w:tab w:val="right" w:pos="9026" w:leader="dot"/>
            </w:tabs>
            <w:rPr/>
          </w:pPr>
          <w:hyperlink w:anchor="__RefHeading___Toc6461436_2870459653">
            <w:r>
              <w:rPr>
                <w:webHidden/>
                <w:rStyle w:val="IndexLink"/>
                <w:rtl w:val="true"/>
              </w:rPr>
              <w:t xml:space="preserve">د </w:t>
            </w:r>
            <w:r>
              <w:rPr>
                <w:rStyle w:val="IndexLink"/>
                <w:rtl w:val="true"/>
              </w:rPr>
              <w:t xml:space="preserve">- </w:t>
            </w:r>
            <w:r>
              <w:rPr>
                <w:rStyle w:val="IndexLink"/>
                <w:rtl w:val="true"/>
              </w:rPr>
              <w:t>گريه بر ابراهيم</w:t>
            </w:r>
            <w:r>
              <w:rPr>
                <w:rStyle w:val="IndexLink"/>
                <w:rtl w:val="true"/>
              </w:rPr>
              <w:tab/>
            </w:r>
            <w:r>
              <w:rPr>
                <w:rStyle w:val="IndexLink"/>
              </w:rPr>
              <w:t>17</w:t>
            </w:r>
          </w:hyperlink>
        </w:p>
        <w:p>
          <w:pPr>
            <w:pStyle w:val="Contents3"/>
            <w:tabs>
              <w:tab w:val="clear" w:pos="8459"/>
              <w:tab w:val="right" w:pos="9026" w:leader="dot"/>
            </w:tabs>
            <w:rPr/>
          </w:pPr>
          <w:hyperlink w:anchor="__RefHeading___Toc6461438_2870459653">
            <w:r>
              <w:rPr>
                <w:webHidden/>
                <w:rStyle w:val="IndexLink"/>
                <w:rtl w:val="true"/>
              </w:rPr>
              <w:t xml:space="preserve">ه </w:t>
            </w:r>
            <w:r>
              <w:rPr>
                <w:rStyle w:val="IndexLink"/>
                <w:rtl w:val="true"/>
              </w:rPr>
              <w:t xml:space="preserve">- </w:t>
            </w:r>
            <w:r>
              <w:rPr>
                <w:rStyle w:val="IndexLink"/>
                <w:rtl w:val="true"/>
              </w:rPr>
              <w:t>گريه بر فاطمه بنت اسد</w:t>
            </w:r>
            <w:r>
              <w:rPr>
                <w:rStyle w:val="IndexLink"/>
                <w:rtl w:val="true"/>
              </w:rPr>
              <w:tab/>
            </w:r>
            <w:r>
              <w:rPr>
                <w:rStyle w:val="IndexLink"/>
              </w:rPr>
              <w:t>18</w:t>
            </w:r>
          </w:hyperlink>
        </w:p>
        <w:p>
          <w:pPr>
            <w:pStyle w:val="Contents3"/>
            <w:tabs>
              <w:tab w:val="clear" w:pos="8459"/>
              <w:tab w:val="right" w:pos="9026" w:leader="dot"/>
            </w:tabs>
            <w:rPr/>
          </w:pPr>
          <w:hyperlink w:anchor="__RefHeading___Toc6461440_2870459653">
            <w:r>
              <w:rPr>
                <w:webHidden/>
                <w:rStyle w:val="IndexLink"/>
                <w:rtl w:val="true"/>
              </w:rPr>
              <w:t xml:space="preserve">و </w:t>
            </w:r>
            <w:r>
              <w:rPr>
                <w:rStyle w:val="IndexLink"/>
                <w:rtl w:val="true"/>
              </w:rPr>
              <w:t xml:space="preserve">- </w:t>
            </w:r>
            <w:r>
              <w:rPr>
                <w:rStyle w:val="IndexLink"/>
                <w:rtl w:val="true"/>
              </w:rPr>
              <w:t>گريه بر حمزه</w:t>
            </w:r>
            <w:r>
              <w:rPr>
                <w:rStyle w:val="IndexLink"/>
                <w:rtl w:val="true"/>
              </w:rPr>
              <w:tab/>
            </w:r>
            <w:r>
              <w:rPr>
                <w:rStyle w:val="IndexLink"/>
              </w:rPr>
              <w:t>19</w:t>
            </w:r>
          </w:hyperlink>
        </w:p>
        <w:p>
          <w:pPr>
            <w:pStyle w:val="Contents3"/>
            <w:tabs>
              <w:tab w:val="clear" w:pos="8459"/>
              <w:tab w:val="right" w:pos="9026" w:leader="dot"/>
            </w:tabs>
            <w:rPr/>
          </w:pPr>
          <w:hyperlink w:anchor="__RefHeading___Toc6461442_2870459653">
            <w:r>
              <w:rPr>
                <w:webHidden/>
                <w:rStyle w:val="IndexLink"/>
                <w:rtl w:val="true"/>
              </w:rPr>
              <w:t xml:space="preserve">ز </w:t>
            </w:r>
            <w:r>
              <w:rPr>
                <w:rStyle w:val="IndexLink"/>
                <w:rtl w:val="true"/>
              </w:rPr>
              <w:t xml:space="preserve">- </w:t>
            </w:r>
            <w:r>
              <w:rPr>
                <w:rStyle w:val="IndexLink"/>
                <w:rtl w:val="true"/>
              </w:rPr>
              <w:t>گريه بر ياران</w:t>
            </w:r>
            <w:r>
              <w:rPr>
                <w:rStyle w:val="IndexLink"/>
                <w:rtl w:val="true"/>
              </w:rPr>
              <w:tab/>
            </w:r>
            <w:r>
              <w:rPr>
                <w:rStyle w:val="IndexLink"/>
              </w:rPr>
              <w:t>19</w:t>
            </w:r>
          </w:hyperlink>
        </w:p>
        <w:p>
          <w:pPr>
            <w:pStyle w:val="Contents2"/>
            <w:tabs>
              <w:tab w:val="clear" w:pos="8743"/>
              <w:tab w:val="right" w:pos="9026" w:leader="dot"/>
            </w:tabs>
            <w:rPr/>
          </w:pPr>
          <w:hyperlink w:anchor="__RefHeading___Toc6461444_2870459653">
            <w:r>
              <w:rPr>
                <w:webHidden/>
                <w:rStyle w:val="IndexLink"/>
                <w:rtl w:val="true"/>
              </w:rPr>
              <w:t>مَنِش اصحاب</w:t>
            </w:r>
            <w:r>
              <w:rPr>
                <w:rStyle w:val="IndexLink"/>
                <w:rtl w:val="true"/>
              </w:rPr>
              <w:tab/>
            </w:r>
            <w:r>
              <w:rPr>
                <w:rStyle w:val="IndexLink"/>
              </w:rPr>
              <w:t>21</w:t>
            </w:r>
          </w:hyperlink>
        </w:p>
        <w:p>
          <w:pPr>
            <w:pStyle w:val="Contents2"/>
            <w:tabs>
              <w:tab w:val="clear" w:pos="8743"/>
              <w:tab w:val="right" w:pos="9026" w:leader="dot"/>
            </w:tabs>
            <w:rPr/>
          </w:pPr>
          <w:hyperlink w:anchor="__RefHeading___Toc6461446_2870459653">
            <w:r>
              <w:rPr>
                <w:webHidden/>
                <w:rStyle w:val="IndexLink"/>
                <w:rtl w:val="true"/>
              </w:rPr>
              <w:t>افسانه تحريم</w:t>
            </w:r>
            <w:r>
              <w:rPr>
                <w:rStyle w:val="IndexLink"/>
                <w:rtl w:val="true"/>
              </w:rPr>
              <w:tab/>
            </w:r>
            <w:r>
              <w:rPr>
                <w:rStyle w:val="IndexLink"/>
              </w:rPr>
              <w:t>23</w:t>
            </w:r>
          </w:hyperlink>
        </w:p>
        <w:p>
          <w:pPr>
            <w:pStyle w:val="Contents3"/>
            <w:tabs>
              <w:tab w:val="clear" w:pos="8459"/>
              <w:tab w:val="right" w:pos="9026" w:leader="dot"/>
            </w:tabs>
            <w:rPr/>
          </w:pPr>
          <w:hyperlink w:anchor="__RefHeading___Toc6461448_2870459653">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6461450_2870459653">
            <w:r>
              <w:rPr>
                <w:webHidden/>
                <w:rStyle w:val="IndexLink"/>
                <w:rtl w:val="true"/>
              </w:rPr>
              <w:t xml:space="preserve">پرتو اوّل </w:t>
            </w:r>
            <w:r>
              <w:rPr>
                <w:rStyle w:val="IndexLink"/>
                <w:rtl w:val="true"/>
              </w:rPr>
              <w:t xml:space="preserve">: </w:t>
            </w:r>
            <w:r>
              <w:rPr>
                <w:rStyle w:val="IndexLink"/>
                <w:rtl w:val="true"/>
              </w:rPr>
              <w:t>روايات تحريم عزادارى</w:t>
            </w:r>
            <w:r>
              <w:rPr>
                <w:rStyle w:val="IndexLink"/>
                <w:rtl w:val="true"/>
              </w:rPr>
              <w:tab/>
            </w:r>
            <w:r>
              <w:rPr>
                <w:rStyle w:val="IndexLink"/>
              </w:rPr>
              <w:t>23</w:t>
            </w:r>
          </w:hyperlink>
        </w:p>
        <w:p>
          <w:pPr>
            <w:pStyle w:val="Contents3"/>
            <w:tabs>
              <w:tab w:val="clear" w:pos="8459"/>
              <w:tab w:val="right" w:pos="9026" w:leader="dot"/>
            </w:tabs>
            <w:rPr/>
          </w:pPr>
          <w:hyperlink w:anchor="__RefHeading___Toc6461452_2870459653">
            <w:r>
              <w:rPr>
                <w:webHidden/>
                <w:rStyle w:val="IndexLink"/>
                <w:rtl w:val="true"/>
              </w:rPr>
              <w:t xml:space="preserve">پرتو دوم </w:t>
            </w:r>
            <w:r>
              <w:rPr>
                <w:rStyle w:val="IndexLink"/>
                <w:rtl w:val="true"/>
              </w:rPr>
              <w:t xml:space="preserve">: </w:t>
            </w:r>
            <w:r>
              <w:rPr>
                <w:rStyle w:val="IndexLink"/>
                <w:rtl w:val="true"/>
              </w:rPr>
              <w:t>بررسى روايات تحريم</w:t>
            </w:r>
            <w:r>
              <w:rPr>
                <w:rStyle w:val="IndexLink"/>
                <w:rtl w:val="true"/>
              </w:rPr>
              <w:tab/>
            </w:r>
            <w:r>
              <w:rPr>
                <w:rStyle w:val="IndexLink"/>
              </w:rPr>
              <w:t>26</w:t>
            </w:r>
          </w:hyperlink>
        </w:p>
        <w:p>
          <w:pPr>
            <w:pStyle w:val="Contents2"/>
            <w:tabs>
              <w:tab w:val="clear" w:pos="8743"/>
              <w:tab w:val="right" w:pos="9026" w:leader="dot"/>
            </w:tabs>
            <w:rPr/>
          </w:pPr>
          <w:hyperlink w:anchor="__RefHeading___Toc6461454_2870459653">
            <w:r>
              <w:rPr>
                <w:webHidden/>
                <w:rStyle w:val="IndexLink"/>
                <w:rtl w:val="true"/>
              </w:rPr>
              <w:t>نتيجه بحث</w:t>
            </w:r>
            <w:r>
              <w:rPr>
                <w:rStyle w:val="IndexLink"/>
                <w:rtl w:val="true"/>
              </w:rPr>
              <w:tab/>
            </w:r>
            <w:r>
              <w:rPr>
                <w:rStyle w:val="IndexLink"/>
              </w:rPr>
              <w:t>33</w:t>
            </w:r>
          </w:hyperlink>
        </w:p>
        <w:p>
          <w:pPr>
            <w:pStyle w:val="Contents2"/>
            <w:tabs>
              <w:tab w:val="clear" w:pos="8743"/>
              <w:tab w:val="right" w:pos="9026" w:leader="dot"/>
            </w:tabs>
            <w:rPr/>
          </w:pPr>
          <w:hyperlink w:anchor="__RefHeading___Toc6461456_2870459653">
            <w:r>
              <w:rPr>
                <w:webHidden/>
                <w:rStyle w:val="IndexLink"/>
                <w:rtl w:val="true"/>
              </w:rPr>
              <w:t>كنكاشى در تاريخ</w:t>
            </w:r>
            <w:r>
              <w:rPr>
                <w:rStyle w:val="IndexLink"/>
                <w:rtl w:val="true"/>
              </w:rPr>
              <w:tab/>
            </w:r>
            <w:r>
              <w:rPr>
                <w:rStyle w:val="IndexLink"/>
              </w:rPr>
              <w:t>34</w:t>
            </w:r>
          </w:hyperlink>
        </w:p>
        <w:p>
          <w:pPr>
            <w:pStyle w:val="Contents3"/>
            <w:tabs>
              <w:tab w:val="clear" w:pos="8459"/>
              <w:tab w:val="right" w:pos="9026" w:leader="dot"/>
            </w:tabs>
            <w:rPr/>
          </w:pPr>
          <w:hyperlink w:anchor="__RefHeading___Toc6461458_2870459653">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6461460_2870459653">
            <w:r>
              <w:rPr>
                <w:webHidden/>
                <w:rStyle w:val="IndexLink"/>
              </w:rPr>
              <w:t>1</w:t>
            </w:r>
            <w:r>
              <w:rPr>
                <w:rStyle w:val="IndexLink"/>
                <w:rtl w:val="true"/>
              </w:rPr>
              <w:t xml:space="preserve"> - </w:t>
            </w:r>
            <w:r>
              <w:rPr>
                <w:rStyle w:val="IndexLink"/>
                <w:rtl w:val="true"/>
              </w:rPr>
              <w:t xml:space="preserve">عزادارى براى عبدالمؤمن </w:t>
            </w:r>
            <w:r>
              <w:rPr>
                <w:rStyle w:val="IndexLink"/>
                <w:rtl w:val="true"/>
              </w:rPr>
              <w:t>(</w:t>
            </w:r>
            <w:r>
              <w:rPr>
                <w:rStyle w:val="IndexLink"/>
                <w:rtl w:val="true"/>
              </w:rPr>
              <w:t xml:space="preserve">م </w:t>
            </w:r>
            <w:r>
              <w:rPr>
                <w:rStyle w:val="IndexLink"/>
              </w:rPr>
              <w:t>346</w:t>
            </w:r>
            <w:r>
              <w:rPr>
                <w:rStyle w:val="IndexLink"/>
                <w:rtl w:val="true"/>
              </w:rPr>
              <w:t xml:space="preserve"> </w:t>
            </w:r>
            <w:r>
              <w:rPr>
                <w:rStyle w:val="IndexLink"/>
                <w:rtl w:val="true"/>
              </w:rPr>
              <w:t>ق</w:t>
            </w:r>
            <w:r>
              <w:rPr>
                <w:rStyle w:val="IndexLink"/>
                <w:rtl w:val="true"/>
              </w:rPr>
              <w:t>.)</w:t>
              <w:tab/>
            </w:r>
            <w:r>
              <w:rPr>
                <w:rStyle w:val="IndexLink"/>
              </w:rPr>
              <w:t>36</w:t>
            </w:r>
          </w:hyperlink>
        </w:p>
        <w:p>
          <w:pPr>
            <w:pStyle w:val="Contents3"/>
            <w:tabs>
              <w:tab w:val="clear" w:pos="8459"/>
              <w:tab w:val="right" w:pos="9026" w:leader="dot"/>
            </w:tabs>
            <w:rPr/>
          </w:pPr>
          <w:hyperlink w:anchor="__RefHeading___Toc6461462_2870459653">
            <w:r>
              <w:rPr>
                <w:webHidden/>
                <w:rStyle w:val="IndexLink"/>
              </w:rPr>
              <w:t>2</w:t>
            </w:r>
            <w:r>
              <w:rPr>
                <w:rStyle w:val="IndexLink"/>
                <w:rtl w:val="true"/>
              </w:rPr>
              <w:t xml:space="preserve"> - </w:t>
            </w:r>
            <w:r>
              <w:rPr>
                <w:rStyle w:val="IndexLink"/>
                <w:rtl w:val="true"/>
              </w:rPr>
              <w:t xml:space="preserve">عزادارى براى جوينى </w:t>
            </w:r>
            <w:r>
              <w:rPr>
                <w:rStyle w:val="IndexLink"/>
                <w:rtl w:val="true"/>
              </w:rPr>
              <w:t>(</w:t>
            </w:r>
            <w:r>
              <w:rPr>
                <w:rStyle w:val="IndexLink"/>
                <w:rtl w:val="true"/>
              </w:rPr>
              <w:t xml:space="preserve">م </w:t>
            </w:r>
            <w:r>
              <w:rPr>
                <w:rStyle w:val="IndexLink"/>
              </w:rPr>
              <w:t>478</w:t>
            </w:r>
            <w:r>
              <w:rPr>
                <w:rStyle w:val="IndexLink"/>
                <w:rtl w:val="true"/>
              </w:rPr>
              <w:t>ق</w:t>
            </w:r>
            <w:r>
              <w:rPr>
                <w:rStyle w:val="IndexLink"/>
                <w:rtl w:val="true"/>
              </w:rPr>
              <w:t>.)</w:t>
              <w:tab/>
            </w:r>
            <w:r>
              <w:rPr>
                <w:rStyle w:val="IndexLink"/>
              </w:rPr>
              <w:t>36</w:t>
            </w:r>
          </w:hyperlink>
        </w:p>
        <w:p>
          <w:pPr>
            <w:pStyle w:val="Contents3"/>
            <w:tabs>
              <w:tab w:val="clear" w:pos="8459"/>
              <w:tab w:val="right" w:pos="9026" w:leader="dot"/>
            </w:tabs>
            <w:rPr/>
          </w:pPr>
          <w:hyperlink w:anchor="__RefHeading___Toc6461464_2870459653">
            <w:r>
              <w:rPr>
                <w:webHidden/>
                <w:rStyle w:val="IndexLink"/>
              </w:rPr>
              <w:t>3</w:t>
            </w:r>
            <w:r>
              <w:rPr>
                <w:rStyle w:val="IndexLink"/>
                <w:rtl w:val="true"/>
              </w:rPr>
              <w:t xml:space="preserve"> - </w:t>
            </w:r>
            <w:r>
              <w:rPr>
                <w:rStyle w:val="IndexLink"/>
                <w:rtl w:val="true"/>
              </w:rPr>
              <w:t xml:space="preserve">عزادارى براى ابن جوزى </w:t>
            </w:r>
            <w:r>
              <w:rPr>
                <w:rStyle w:val="IndexLink"/>
                <w:rtl w:val="true"/>
              </w:rPr>
              <w:t>(</w:t>
            </w:r>
            <w:r>
              <w:rPr>
                <w:rStyle w:val="IndexLink"/>
                <w:rtl w:val="true"/>
              </w:rPr>
              <w:t xml:space="preserve">م </w:t>
            </w:r>
            <w:r>
              <w:rPr>
                <w:rStyle w:val="IndexLink"/>
              </w:rPr>
              <w:t>597</w:t>
            </w:r>
            <w:r>
              <w:rPr>
                <w:rStyle w:val="IndexLink"/>
                <w:rtl w:val="true"/>
              </w:rPr>
              <w:t xml:space="preserve"> </w:t>
            </w:r>
            <w:r>
              <w:rPr>
                <w:rStyle w:val="IndexLink"/>
                <w:rtl w:val="true"/>
              </w:rPr>
              <w:t>ق</w:t>
            </w:r>
            <w:r>
              <w:rPr>
                <w:rStyle w:val="IndexLink"/>
                <w:rtl w:val="true"/>
              </w:rPr>
              <w:t>.)</w:t>
              <w:tab/>
            </w:r>
            <w:r>
              <w:rPr>
                <w:rStyle w:val="IndexLink"/>
              </w:rPr>
              <w:t>37</w:t>
            </w:r>
          </w:hyperlink>
        </w:p>
        <w:p>
          <w:pPr>
            <w:pStyle w:val="Contents2"/>
            <w:tabs>
              <w:tab w:val="clear" w:pos="8743"/>
              <w:tab w:val="right" w:pos="9026" w:leader="dot"/>
            </w:tabs>
            <w:rPr/>
          </w:pPr>
          <w:hyperlink w:anchor="__RefHeading___Toc6461466_2870459653">
            <w:r>
              <w:rPr>
                <w:webHidden/>
                <w:rStyle w:val="IndexLink"/>
                <w:rtl w:val="true"/>
              </w:rPr>
              <w:t>سخن پايانى</w:t>
            </w:r>
            <w:r>
              <w:rPr>
                <w:rStyle w:val="IndexLink"/>
                <w:rtl w:val="true"/>
              </w:rPr>
              <w:tab/>
            </w:r>
            <w:r>
              <w:rPr>
                <w:rStyle w:val="IndexLink"/>
              </w:rPr>
              <w:t>38</w:t>
            </w:r>
          </w:hyperlink>
        </w:p>
        <w:p>
          <w:pPr>
            <w:pStyle w:val="Contents2"/>
            <w:tabs>
              <w:tab w:val="clear" w:pos="8743"/>
              <w:tab w:val="right" w:pos="9026" w:leader="dot"/>
            </w:tabs>
            <w:rPr/>
          </w:pPr>
          <w:hyperlink w:anchor="__RefHeading___Toc6461468_2870459653">
            <w:r>
              <w:rPr>
                <w:webHidden/>
                <w:rStyle w:val="IndexLink"/>
                <w:rtl w:val="true"/>
              </w:rPr>
              <w:t>فهرست منابع</w:t>
            </w:r>
            <w:r>
              <w:rPr>
                <w:rStyle w:val="IndexLink"/>
                <w:rtl w:val="true"/>
              </w:rPr>
              <w:tab/>
            </w:r>
            <w:r>
              <w:rPr>
                <w:rStyle w:val="IndexLink"/>
              </w:rPr>
              <w:t>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97_76770"/>
      <w:bookmarkStart w:id="1" w:name="pg9497_76770"/>
      <w:bookmarkEnd w:id="1"/>
    </w:p>
    <w:p>
      <w:pPr>
        <w:pStyle w:val="Heading2"/>
        <w:numPr>
          <w:ilvl w:val="1"/>
          <w:numId w:val="1"/>
        </w:numPr>
        <w:rPr/>
      </w:pPr>
      <w:bookmarkStart w:id="2" w:name="pg9497_76770"/>
      <w:bookmarkStart w:id="3" w:name="__RefHeading___Toc646141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طبسی، نجم‌الدین،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چرایی گریه و سوگواری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نجم‌الدین طبسی؛ تدوین محمدباقر پورامینی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7528</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7528</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Najm Aldin Tabasi. Peason For Crying mourning</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سوگواریها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سوگواری‌ها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 xml:space="preserve">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پورامینی، محمدباقر،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BP260/1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15696</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IRNazanin" w:hAnsi="IRNazanin" w:eastAsia="IRNazanin"/>
          <w:color w:val="111111"/>
          <w:sz w:val="28"/>
          <w:sz w:val="28"/>
          <w:szCs w:val="28"/>
          <w:rtl w:val="true"/>
          <w:lang w:bidi="fa-IR"/>
        </w:rPr>
        <w:t xml:space="preserve">آدرس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معلم ، معلم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پلاك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تلفن و نمابر </w:t>
      </w:r>
      <w:r>
        <w:rPr>
          <w:rFonts w:eastAsia="IRNazanin" w:cs="IRNazanin"/>
          <w:color w:val="111111"/>
          <w:sz w:val="28"/>
          <w:szCs w:val="28"/>
          <w:lang w:bidi="fa-IR"/>
        </w:rPr>
        <w:t>7733413</w:t>
      </w:r>
      <w:r>
        <w:rPr>
          <w:rFonts w:eastAsia="IRNazanin" w:cs="IRNazanin"/>
          <w:color w:val="111111"/>
          <w:sz w:val="28"/>
          <w:szCs w:val="28"/>
          <w:rtl w:val="true"/>
          <w:lang w:bidi="fa-IR"/>
        </w:rPr>
        <w:t xml:space="preserve"> - </w:t>
      </w:r>
      <w:r>
        <w:rPr>
          <w:rFonts w:eastAsia="IRNazanin" w:cs="IRNazanin"/>
          <w:color w:val="111111"/>
          <w:sz w:val="28"/>
          <w:szCs w:val="28"/>
          <w:lang w:bidi="fa-IR"/>
        </w:rPr>
        <w:t>7744988</w:t>
      </w:r>
    </w:p>
    <w:p>
      <w:pPr>
        <w:pStyle w:val="BookText"/>
        <w:rPr/>
      </w:pPr>
      <w:r>
        <w:rPr>
          <w:rFonts w:eastAsia="Times New Roman" w:cs="Times New Roman" w:ascii="Times New Roman" w:hAnsi="Times New Roman"/>
          <w:color w:val="111111"/>
          <w:sz w:val="28"/>
          <w:szCs w:val="28"/>
          <w:lang w:val="en-US" w:bidi="en-US"/>
        </w:rPr>
        <w:t>WWW.Dalilpub.com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61418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چرايى گريه و سوگوارى</w:t>
      </w:r>
    </w:p>
    <w:p>
      <w:pPr>
        <w:pStyle w:val="BookText"/>
        <w:rPr/>
      </w:pPr>
      <w:r>
        <w:rPr>
          <w:rFonts w:ascii="Amiri" w:hAnsi="Amiri" w:eastAsia="Amiri" w:cs="Amiri"/>
          <w:color w:val="111111"/>
          <w:sz w:val="28"/>
          <w:sz w:val="28"/>
          <w:szCs w:val="28"/>
          <w:rtl w:val="true"/>
          <w:lang w:bidi="ar-SA"/>
        </w:rPr>
        <w:t>تاليف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الدّين طبسى</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پورامينى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497_76775"/>
      <w:bookmarkStart w:id="8" w:name="pg9497_76775"/>
      <w:bookmarkEnd w:id="8"/>
    </w:p>
    <w:p>
      <w:pPr>
        <w:pStyle w:val="Heading2"/>
        <w:numPr>
          <w:ilvl w:val="1"/>
          <w:numId w:val="1"/>
        </w:numPr>
        <w:rPr/>
      </w:pPr>
      <w:bookmarkStart w:id="9" w:name="pg9497_76775"/>
      <w:bookmarkStart w:id="10" w:name="__RefHeading___Toc6461420_2870459653"/>
      <w:bookmarkStart w:id="11" w:name="_Toc3"/>
      <w:bookmarkEnd w:id="9"/>
      <w:bookmarkEnd w:id="10"/>
      <w:r>
        <w:rPr>
          <w:rtl w:val="true"/>
        </w:rPr>
        <w:t>فهرست مطالب</w:t>
      </w:r>
      <w:bookmarkEnd w:id="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آمد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توصيه بر گريه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سيره رسول اللّه صلى‌الله‌عليه‌و‌آله‌وسلم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بر عبدالمطلب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بر أبوطالب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بر آمنه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بر ابراهيم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بر فاطمه بنت اسد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بر حمزه شهيد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بر ياران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منش أصحاب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اهل مكه بر پيامبر صلى‌الله‌عليه‌و‌آله‌وسلم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عايشه بر پيامبر صلى‌الله‌عليه‌و‌آله‌وسلم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عبداللّه بن رواحه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گريه عبداللّه بن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افسانه 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تحريم عزادارى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روايات تحريم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نتيجه 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كنكاشى در 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اهل مدينه بر امام حسين عليه‌السلام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مرثيه خوانى سبط بن الجوزى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ج عزادارى براى عبدالمؤمن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عزادارى براى جوينى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عزادارى براى ابن الجوزي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پايانى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bookmarkStart w:id="12" w:name="pg9497_76777"/>
    </w:p>
    <w:p>
      <w:pPr>
        <w:pStyle w:val="Heading2"/>
        <w:numPr>
          <w:ilvl w:val="1"/>
          <w:numId w:val="1"/>
        </w:numPr>
        <w:rPr/>
      </w:pPr>
      <w:bookmarkStart w:id="13" w:name="__RefHeading___Toc6461422_2870459653"/>
      <w:bookmarkStart w:id="14" w:name="_Toc4"/>
      <w:bookmarkEnd w:id="12"/>
      <w:bookmarkEnd w:id="13"/>
      <w:r>
        <w:rPr>
          <w:rtl w:val="true"/>
        </w:rPr>
        <w:t>درآمد</w:t>
      </w:r>
      <w:bookmarkEnd w:id="14"/>
    </w:p>
    <w:p>
      <w:pPr>
        <w:pStyle w:val="BookText"/>
        <w:rPr/>
      </w:pPr>
      <w:r>
        <w:rPr>
          <w:rFonts w:ascii="IRNazanin" w:hAnsi="IRNazanin" w:eastAsia="IRNazanin"/>
          <w:color w:val="111111"/>
          <w:sz w:val="28"/>
          <w:sz w:val="28"/>
          <w:szCs w:val="28"/>
          <w:rtl w:val="true"/>
          <w:lang w:bidi="fa-IR"/>
        </w:rPr>
        <w:t xml:space="preserve">گريستن بر مرده و همچنين سوگوارى و عزادارى بر او امرى برخاسته از احساس پاك و روح لطيف آدمى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ضمن تاييد گريه، بر آن تاكيد نموده است، سيره رسول گرامى صلى‌الله‌عليه‌و‌آله‌وسلم و همچنين سيره و منش اصحاب بزرگ ايشان تاييدى براين مدعاست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دفتر، باختصار درپى تبيين روايى گريستن و عزادارى است و در اين راستا، ضمن ارائه سيره پيامبر و اصحاب، نمونه‌هايى از گونه‌هاى ماتم سرايى در تاريخ اسلام را تقديم داشته، به نقد و بررسى روايات تحريم گريه مى‌پردازد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 الدين طبسى</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شهادت حضرت زهرا عليهاالسلام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bookmarkStart w:id="15" w:name="pg9497_76778"/>
    </w:p>
    <w:p>
      <w:pPr>
        <w:pStyle w:val="Heading2"/>
        <w:numPr>
          <w:ilvl w:val="1"/>
          <w:numId w:val="1"/>
        </w:numPr>
        <w:rPr/>
      </w:pPr>
      <w:bookmarkStart w:id="16" w:name="__RefHeading___Toc6461424_2870459653"/>
      <w:bookmarkStart w:id="17" w:name="_Toc5"/>
      <w:bookmarkEnd w:id="15"/>
      <w:bookmarkEnd w:id="16"/>
      <w:r>
        <w:rPr>
          <w:rtl w:val="true"/>
        </w:rPr>
        <w:t>توصيه بر گريه</w:t>
      </w:r>
      <w:bookmarkEnd w:id="17"/>
    </w:p>
    <w:p>
      <w:pPr>
        <w:pStyle w:val="BookText"/>
        <w:rPr/>
      </w:pPr>
      <w:r>
        <w:rPr>
          <w:rFonts w:ascii="IRNazanin" w:hAnsi="IRNazanin" w:eastAsia="IRNazanin"/>
          <w:color w:val="111111"/>
          <w:sz w:val="28"/>
          <w:sz w:val="28"/>
          <w:szCs w:val="28"/>
          <w:rtl w:val="true"/>
          <w:lang w:bidi="fa-IR"/>
        </w:rPr>
        <w:t>گريستن بر درگذشتگان و عزادارى بر ايشان امرى برخاسته از احساس است و هر مصيبت زده ايى را به سمت خود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اسلام حضرت محمد مصطفى صلى‌الله‌عليه‌و‌آلهچنين امرى را سزاوار و شايسته دانسته، بر گريه كردن توصيه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بن زيد مى‌گويد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فرزند دختر پيامبر درگذشت، دختر غم ديده آن حضرت، اين واقعه را به پدر خبر داد و از ايشان درخواست حضور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صلى‌الله‌عليه‌و‌آله نيز به همراه سعد بن عباده، معاذ بن جبل، ابى بن كعب، زيد بن ثابت و جمعى از ياران به منزل دختر غم ديده خويش رفت، پيامبر مهربان كودك را در بغل گرفت و بشدت گريست و اشكان مبارك سرازير گشت ؛ سعد با مشاهده گريه </w:t>
      </w:r>
    </w:p>
    <w:p>
      <w:pPr>
        <w:pStyle w:val="BookText"/>
        <w:rPr/>
      </w:pPr>
      <w:r>
        <w:rPr>
          <w:rFonts w:ascii="IRNazanin" w:hAnsi="IRNazanin" w:eastAsia="IRNazanin"/>
          <w:color w:val="111111"/>
          <w:sz w:val="28"/>
          <w:sz w:val="28"/>
          <w:szCs w:val="28"/>
          <w:rtl w:val="true"/>
          <w:lang w:bidi="fa-IR"/>
        </w:rPr>
        <w:t>پيامبر، با تعجب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گريه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در پاسخ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يجعلها فى قلوب عباده، انما يرحم اللّه من عبادة الرحماء ؛ ترحم بر اين كودك است كه خداوند در دل بندگان خود رحمت قرار مى‌دهد، و خداوند بندگان رحيم خود را مورد رحمت قرار مى‌دهد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پس از پايان نبرد احد رسول اكرم صلى‌الله‌عليه‌و‌آله راهى شهر مدينه شد، در آن هنگام زنان انصار در سوگ شهداى خويش مى‌گريستند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شنيدن مويه عزاداران، از شهادت و غربت عمويش حمزه ياد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حمزة لا بواكي له ؛ اما عمويم حمزة گريه كننده‌اى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پس از اندكى استراحت، صداى ناله زنان انصار را شنيدند كه براى حمزه مى‌گريستند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عبدالبر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امروز زنان انصار پيش از گريه بر </w:t>
      </w:r>
    </w:p>
    <w:p>
      <w:pPr>
        <w:pStyle w:val="BookText"/>
        <w:rPr/>
      </w:pPr>
      <w:r>
        <w:rPr>
          <w:rFonts w:ascii="IRNazanin" w:hAnsi="IRNazanin" w:eastAsia="IRNazanin"/>
          <w:color w:val="111111"/>
          <w:sz w:val="28"/>
          <w:sz w:val="28"/>
          <w:szCs w:val="28"/>
          <w:rtl w:val="true"/>
          <w:lang w:bidi="fa-IR"/>
        </w:rPr>
        <w:t>مردگان خويش، نخست بر حمزه مى‌گريند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همچنين پس از كشته شدن جعفر پسر ابى طالب در نبرد موته، پيامبر به خانه او رفت و با حضور خويش تسلى دل خاندان او گرديد، آن حضرت به هنگام خروج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مثل جعفر فلتبك البواكي ؛ سزاوار است بر مثل جعفر گريستن، پس گريه كنندگان بر همچون جعفر بگريند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ديدگاه‌هاى افراطى و دور از احساس و عاطفه كه با گريه كردن مخالفت مى‌كردند در نزد پيامبر جايگاهى نداشت و آن حضرت در برابر آن موضع‌گيرى مى‌فرمود؛ به گفته مورخان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رسول خدا صلى‌الله‌عليه‌و‌آله در تشييع جنازه يكى از مسلمانان حضور يافتند و عمر نيز به همراه ايشان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تا صداى گريه زنان را شنيد برآشفت و آنان را از گريستن 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رو به عمر كرده، چنين فرمود</w:t>
      </w:r>
      <w:r>
        <w:rPr>
          <w:rFonts w:eastAsia="IRNazanin" w:cs="IRNazanin"/>
          <w:color w:val="111111"/>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دعهُنَّ، فان العين دامعة و النفس مصابة و العهد قريب ؛ 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به آنان نداشته باش، بگذار بگريند، همانا كه چشم گريان است و نفس مصيبت زده است و پيوند با تازه درگذشته بسيار نزديك</w:t>
      </w:r>
      <w:r>
        <w:rPr>
          <w:rFonts w:eastAsia="IRNazanin" w:cs="IRNazanin"/>
          <w:color w:val="111111"/>
          <w:sz w:val="28"/>
          <w:szCs w:val="28"/>
          <w:rtl w:val="true"/>
          <w:lang w:bidi="fa-IR"/>
        </w:rPr>
        <w:t>.»</w:t>
      </w:r>
      <w:r>
        <w:rPr>
          <w:rStyle w:val="FootnoteAnchor"/>
          <w:rtl w:val="true"/>
        </w:rPr>
        <w:footnoteReference w:id="5"/>
      </w:r>
      <w:bookmarkStart w:id="18" w:name="pg9497_76782"/>
    </w:p>
    <w:p>
      <w:pPr>
        <w:pStyle w:val="Heading2"/>
        <w:numPr>
          <w:ilvl w:val="1"/>
          <w:numId w:val="1"/>
        </w:numPr>
        <w:rPr/>
      </w:pPr>
      <w:bookmarkStart w:id="19" w:name="__RefHeading___Toc6461426_2870459653"/>
      <w:bookmarkStart w:id="20" w:name="_Toc6"/>
      <w:bookmarkEnd w:id="18"/>
      <w:bookmarkEnd w:id="19"/>
      <w:r>
        <w:rPr>
          <w:rtl w:val="true"/>
        </w:rPr>
        <w:t>سيره رسول الله صلى‌الله عليه و‌آله</w:t>
      </w:r>
      <w:bookmarkEnd w:id="20"/>
    </w:p>
    <w:p>
      <w:pPr>
        <w:pStyle w:val="Heading3"/>
        <w:numPr>
          <w:ilvl w:val="2"/>
          <w:numId w:val="1"/>
        </w:numPr>
        <w:rPr/>
      </w:pPr>
      <w:bookmarkStart w:id="21" w:name="__RefHeading___Toc6461428_2870459653"/>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گريه در غم و اندوه از دست رفته را مى‌توان در آيينه حيات پيامبر اكرم صلى‌الله‌عليه‌و‌آله ديد ؛ مورخان گونه‌هاى مختلفى از گريستن آن حضرت را در فقدان خويشان و ياران عزيزش روايت كرده‌اند ؛ از جمله مى‌توان به موارد ذيل اشاره كرد</w:t>
      </w:r>
      <w:r>
        <w:rPr>
          <w:rFonts w:eastAsia="IRNazanin" w:cs="IRNazanin"/>
          <w:color w:val="111111"/>
          <w:sz w:val="28"/>
          <w:szCs w:val="28"/>
          <w:rtl w:val="true"/>
          <w:lang w:bidi="fa-IR"/>
        </w:rPr>
        <w:t>:</w:t>
      </w:r>
    </w:p>
    <w:p>
      <w:pPr>
        <w:pStyle w:val="Heading3"/>
        <w:numPr>
          <w:ilvl w:val="2"/>
          <w:numId w:val="1"/>
        </w:numPr>
        <w:rPr/>
      </w:pPr>
      <w:bookmarkStart w:id="23" w:name="__RefHeading___Toc6461430_2870459653"/>
      <w:bookmarkStart w:id="24" w:name="_Toc8"/>
      <w:bookmarkEnd w:id="23"/>
      <w:r>
        <w:rPr>
          <w:rtl w:val="true"/>
        </w:rPr>
        <w:t xml:space="preserve">الف </w:t>
      </w:r>
      <w:r>
        <w:rPr>
          <w:rtl w:val="true"/>
        </w:rPr>
        <w:t xml:space="preserve">- </w:t>
      </w:r>
      <w:r>
        <w:rPr>
          <w:rtl w:val="true"/>
        </w:rPr>
        <w:t>گريه بر عبدالمطلب</w:t>
      </w:r>
      <w:bookmarkEnd w:id="24"/>
    </w:p>
    <w:p>
      <w:pPr>
        <w:pStyle w:val="BookText"/>
        <w:rPr/>
      </w:pPr>
      <w:r>
        <w:rPr>
          <w:rFonts w:ascii="IRNazanin" w:hAnsi="IRNazanin" w:eastAsia="IRNazanin"/>
          <w:color w:val="111111"/>
          <w:sz w:val="28"/>
          <w:sz w:val="28"/>
          <w:szCs w:val="28"/>
          <w:rtl w:val="true"/>
          <w:lang w:bidi="fa-IR"/>
        </w:rPr>
        <w:t>پس از درگذشت حضرت عبدالمطلب، حضرت محمد صلى‌الله‌عليه‌و‌آله بر جد عزيزش گريست ؛ ام ايمن مى‌گويد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رأيت رسول اللّه يمشي تحت سريره و هو يبكي ؛ من پيامبر را ديدم كه در پى جنازه عبدالمطلب راه مى‌رفت در حاليكه مى‌گريست</w:t>
      </w:r>
      <w:r>
        <w:rPr>
          <w:rFonts w:eastAsia="IRNazanin" w:cs="IRNazanin"/>
          <w:color w:val="111111"/>
          <w:sz w:val="28"/>
          <w:szCs w:val="28"/>
          <w:rtl w:val="true"/>
          <w:lang w:bidi="fa-IR"/>
        </w:rPr>
        <w:t>.»</w:t>
      </w:r>
      <w:r>
        <w:rPr>
          <w:rStyle w:val="FootnoteAnchor"/>
          <w:rtl w:val="true"/>
        </w:rPr>
        <w:footnoteReference w:id="6"/>
      </w:r>
      <w:bookmarkStart w:id="25" w:name="pg9497_76783"/>
    </w:p>
    <w:p>
      <w:pPr>
        <w:pStyle w:val="Heading3"/>
        <w:numPr>
          <w:ilvl w:val="2"/>
          <w:numId w:val="1"/>
        </w:numPr>
        <w:rPr/>
      </w:pPr>
      <w:bookmarkStart w:id="26" w:name="__RefHeading___Toc6461432_2870459653"/>
      <w:bookmarkStart w:id="27" w:name="_Toc9"/>
      <w:bookmarkEnd w:id="25"/>
      <w:bookmarkEnd w:id="26"/>
      <w:r>
        <w:rPr>
          <w:rtl w:val="true"/>
        </w:rPr>
        <w:t xml:space="preserve">ب </w:t>
      </w:r>
      <w:r>
        <w:rPr>
          <w:rtl w:val="true"/>
        </w:rPr>
        <w:t xml:space="preserve">- </w:t>
      </w:r>
      <w:r>
        <w:rPr>
          <w:rtl w:val="true"/>
        </w:rPr>
        <w:t>گريه بر ابوطالب</w:t>
      </w:r>
      <w:bookmarkEnd w:id="27"/>
    </w:p>
    <w:p>
      <w:pPr>
        <w:pStyle w:val="BookText"/>
        <w:rPr/>
      </w:pPr>
      <w:r>
        <w:rPr>
          <w:rFonts w:ascii="IRNazanin" w:hAnsi="IRNazanin" w:eastAsia="IRNazanin"/>
          <w:color w:val="111111"/>
          <w:sz w:val="28"/>
          <w:sz w:val="28"/>
          <w:szCs w:val="28"/>
          <w:rtl w:val="true"/>
          <w:lang w:bidi="fa-IR"/>
        </w:rPr>
        <w:t>درگذشت حضرت ابوطالب، عموى با ايمان و حامى عزيز پيامبر، نيز بر آن حضرت بسيار گران آمد، حضرت على عليه‌السلاممى‌فرمايد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رحلت پدرم ابوطالب را به پيامبر دادم، ايشان گريست و 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فاغسله و كفّنه و واره غفراللّه له و رحمه؛ او را غسل دهيد و كفن كنيد و به خاك بسپاريد، خداوند او را بيامرزد و مورد رحمت خويش قرار دهد</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28" w:name="__RefHeading___Toc6461434_2870459653"/>
      <w:bookmarkStart w:id="29" w:name="_Toc10"/>
      <w:bookmarkEnd w:id="28"/>
      <w:r>
        <w:rPr>
          <w:rtl w:val="true"/>
        </w:rPr>
        <w:t xml:space="preserve">ج </w:t>
      </w:r>
      <w:r>
        <w:rPr>
          <w:rtl w:val="true"/>
        </w:rPr>
        <w:t xml:space="preserve">- </w:t>
      </w:r>
      <w:r>
        <w:rPr>
          <w:rtl w:val="true"/>
        </w:rPr>
        <w:t>گريه بر آمنه</w:t>
      </w:r>
      <w:bookmarkEnd w:id="29"/>
    </w:p>
    <w:p>
      <w:pPr>
        <w:pStyle w:val="BookText"/>
        <w:rPr/>
      </w:pPr>
      <w:r>
        <w:rPr>
          <w:rFonts w:ascii="IRNazanin" w:hAnsi="IRNazanin" w:eastAsia="IRNazanin"/>
          <w:color w:val="111111"/>
          <w:sz w:val="28"/>
          <w:sz w:val="28"/>
          <w:szCs w:val="28"/>
          <w:rtl w:val="true"/>
          <w:lang w:bidi="fa-IR"/>
        </w:rPr>
        <w:t>روزى پيامبر صلى‌الله‌عليه‌و‌آله قبر مادر عزيز خود آمنه را در ابواء زيارت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مورخان، آن حضرت در كنار قبر مادر گريست و همراه خود را نيز به گريستن انداخت </w:t>
      </w:r>
      <w:r>
        <w:rPr>
          <w:rFonts w:eastAsia="IRNazanin" w:cs="IRNazanin"/>
          <w:color w:val="111111"/>
          <w:sz w:val="28"/>
          <w:szCs w:val="28"/>
          <w:rtl w:val="true"/>
          <w:lang w:bidi="fa-IR"/>
        </w:rPr>
        <w:t>.</w:t>
      </w:r>
      <w:r>
        <w:rPr>
          <w:rStyle w:val="FootnoteAnchor"/>
          <w:rtl w:val="true"/>
        </w:rPr>
        <w:footnoteReference w:id="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6461436_2870459653"/>
      <w:bookmarkStart w:id="31" w:name="_Toc11"/>
      <w:bookmarkEnd w:id="30"/>
      <w:r>
        <w:rPr>
          <w:rtl w:val="true"/>
        </w:rPr>
        <w:t xml:space="preserve">د </w:t>
      </w:r>
      <w:r>
        <w:rPr>
          <w:rtl w:val="true"/>
        </w:rPr>
        <w:t xml:space="preserve">- </w:t>
      </w:r>
      <w:r>
        <w:rPr>
          <w:rtl w:val="true"/>
        </w:rPr>
        <w:t>گريه بر ابراهيم</w:t>
      </w:r>
      <w:bookmarkStart w:id="32" w:name="pg9497_76784"/>
      <w:bookmarkEnd w:id="31"/>
    </w:p>
    <w:p>
      <w:pPr>
        <w:pStyle w:val="BookText"/>
        <w:rPr/>
      </w:pPr>
      <w:bookmarkEnd w:id="32"/>
      <w:r>
        <w:rPr>
          <w:rFonts w:ascii="IRNazanin" w:hAnsi="IRNazanin" w:eastAsia="IRNazanin"/>
          <w:color w:val="111111"/>
          <w:sz w:val="28"/>
          <w:sz w:val="28"/>
          <w:szCs w:val="28"/>
          <w:rtl w:val="true"/>
          <w:lang w:bidi="fa-IR"/>
        </w:rPr>
        <w:t>ابراهيم تنها پسرى بود كه در مدينه نصيب رسول خدا صلى‌الله‌عليه‌و‌آله شد، اما در يك سالگى درگذشت و پدر را در غم فقدان خويش به سوگ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در ماتم فرزندش گريست، و در برابر پرسش ياران كه از علت گريه پيامبر بر مرده جويا شده بودند، چنين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تدمع العينان و يحزن القلب و لانقول مايسخط الربّ؛ اشك چشم جارى مى‌شود و دل غمگين مى‌گردد، ولى سخنى كه خدا را به سخط و غضب آورد بر لب نمى‌آورم</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33" w:name="__RefHeading___Toc6461438_2870459653"/>
      <w:bookmarkStart w:id="34" w:name="_Toc12"/>
      <w:bookmarkEnd w:id="33"/>
      <w:r>
        <w:rPr>
          <w:rtl w:val="true"/>
        </w:rPr>
        <w:t xml:space="preserve">ه </w:t>
      </w:r>
      <w:r>
        <w:rPr>
          <w:rtl w:val="true"/>
        </w:rPr>
        <w:t xml:space="preserve">- </w:t>
      </w:r>
      <w:r>
        <w:rPr>
          <w:rtl w:val="true"/>
        </w:rPr>
        <w:t>گريه بر فاطمه بنت اسد</w:t>
      </w:r>
      <w:bookmarkEnd w:id="34"/>
    </w:p>
    <w:p>
      <w:pPr>
        <w:pStyle w:val="BookText"/>
        <w:rPr/>
      </w:pPr>
      <w:r>
        <w:rPr>
          <w:rFonts w:ascii="IRNazanin" w:hAnsi="IRNazanin" w:eastAsia="IRNazanin"/>
          <w:color w:val="111111"/>
          <w:sz w:val="28"/>
          <w:sz w:val="28"/>
          <w:szCs w:val="28"/>
          <w:rtl w:val="true"/>
          <w:lang w:bidi="fa-IR"/>
        </w:rPr>
        <w:t>فاطمه بنت اسد، همسر حضرت ابوطالب و مادر حضرت على عليه‌السلام، در نزد پيامبر بسيار محبوب بود، همو در سرپرستى رسول خدا صلى‌الله‌عليه‌و‌آلهبسيار اهتمام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در سال سوم هجرى درگذشت، پيامبر كه او را همچون مادر خويش مى‌دانست از رحلت‌اش بسيار اندوهناك شد و گريست، مورخان مى‌گويند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عليها و تمرغ فى قبرها و بكى ؛ پيامبر بر او نماز خواند و در قبرش خوابيد و بر او گريست</w:t>
      </w:r>
      <w:r>
        <w:rPr>
          <w:rFonts w:eastAsia="IRNazanin" w:cs="IRNazanin"/>
          <w:color w:val="111111"/>
          <w:sz w:val="28"/>
          <w:szCs w:val="28"/>
          <w:rtl w:val="true"/>
          <w:lang w:bidi="fa-IR"/>
        </w:rPr>
        <w:t>.»</w:t>
      </w:r>
      <w:r>
        <w:rPr>
          <w:rStyle w:val="FootnoteAnchor"/>
          <w:rtl w:val="true"/>
        </w:rPr>
        <w:footnoteReference w:id="10"/>
      </w:r>
      <w:bookmarkStart w:id="35" w:name="pg9497_76785"/>
    </w:p>
    <w:p>
      <w:pPr>
        <w:pStyle w:val="Heading3"/>
        <w:numPr>
          <w:ilvl w:val="2"/>
          <w:numId w:val="1"/>
        </w:numPr>
        <w:rPr/>
      </w:pPr>
      <w:bookmarkStart w:id="36" w:name="__RefHeading___Toc6461440_2870459653"/>
      <w:bookmarkStart w:id="37" w:name="_Toc13"/>
      <w:bookmarkEnd w:id="35"/>
      <w:bookmarkEnd w:id="36"/>
      <w:r>
        <w:rPr>
          <w:rtl w:val="true"/>
        </w:rPr>
        <w:t xml:space="preserve">و </w:t>
      </w:r>
      <w:r>
        <w:rPr>
          <w:rtl w:val="true"/>
        </w:rPr>
        <w:t xml:space="preserve">- </w:t>
      </w:r>
      <w:r>
        <w:rPr>
          <w:rtl w:val="true"/>
        </w:rPr>
        <w:t>گريه بر حمزه</w:t>
      </w:r>
      <w:bookmarkEnd w:id="37"/>
    </w:p>
    <w:p>
      <w:pPr>
        <w:pStyle w:val="BookText"/>
        <w:rPr/>
      </w:pPr>
      <w:r>
        <w:rPr>
          <w:rFonts w:ascii="IRNazanin" w:hAnsi="IRNazanin" w:eastAsia="IRNazanin"/>
          <w:color w:val="111111"/>
          <w:sz w:val="28"/>
          <w:sz w:val="28"/>
          <w:szCs w:val="28"/>
          <w:rtl w:val="true"/>
          <w:lang w:bidi="fa-IR"/>
        </w:rPr>
        <w:t>حمزه فرزند عبدالمطلب، از چهره‌هاى برجسته و قهرمان اسلام بود كه در نبرد احد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در شهادت عموى خويش بسيار غمگين شد و او را سيدالشهداء ناميد و در فراقش گريست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رأى النبي حمزة قتيلا، بكى فلمّا راى ما مثّل به شهق ؛ پيامبر چون پيكر خونين حمزه را يافت گريست و چون از مثله كردن او آگاهى يافت با صداى بلند گريه سر داد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38" w:name="__RefHeading___Toc6461442_2870459653"/>
      <w:bookmarkStart w:id="39" w:name="_Toc14"/>
      <w:bookmarkEnd w:id="38"/>
      <w:r>
        <w:rPr>
          <w:rtl w:val="true"/>
        </w:rPr>
        <w:t xml:space="preserve">ز </w:t>
      </w:r>
      <w:r>
        <w:rPr>
          <w:rtl w:val="true"/>
        </w:rPr>
        <w:t xml:space="preserve">- </w:t>
      </w:r>
      <w:r>
        <w:rPr>
          <w:rtl w:val="true"/>
        </w:rPr>
        <w:t>گريه بر ياران</w:t>
      </w:r>
      <w:bookmarkEnd w:id="3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فقدان برخى از ياران همراه ، نيز قلب پيامبر را مى‌آزرد و اشك مباركش را جارى مى‌ساخت؛ رسول خدا صلى‌الله‌عليه‌و‌آله در حالى كه بر مرگ عثمان بن مظعون مى‌گريست، بر پيكر بى جان او بوسه زد</w:t>
      </w:r>
      <w:r>
        <w:rPr>
          <w:rFonts w:eastAsia="IRNazanin" w:cs="IRNazanin"/>
          <w:color w:val="111111"/>
          <w:sz w:val="28"/>
          <w:szCs w:val="28"/>
          <w:rtl w:val="true"/>
          <w:lang w:bidi="fa-IR"/>
        </w:rPr>
        <w:t>.</w:t>
      </w:r>
      <w:r>
        <w:rPr>
          <w:rStyle w:val="FootnoteAnchor"/>
          <w:rtl w:val="true"/>
        </w:rPr>
        <w:footnoteReference w:id="1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آن حضرت پس از غزوه حمراء الاسد، به ديدار خانواده سعد بن ربيع، يكى از شهداى نبرد احد رفت و در آن جا از حماسه و جانبازى سعد ياد كرد، خانواده سعد نيز با شنيدن سخنان پيامبر مى‌گريستند، رسول خدا نيز گريه كرد و آنان را از گريستن نهى نفرمود</w:t>
      </w:r>
      <w:r>
        <w:rPr>
          <w:rFonts w:eastAsia="IRNazanin" w:cs="IRNazanin"/>
          <w:color w:val="111111"/>
          <w:sz w:val="28"/>
          <w:szCs w:val="28"/>
          <w:rtl w:val="true"/>
          <w:lang w:bidi="fa-IR"/>
        </w:rPr>
        <w:t>.</w:t>
      </w:r>
      <w:r>
        <w:rPr>
          <w:rStyle w:val="FootnoteAnchor"/>
          <w:rtl w:val="true"/>
        </w:rPr>
        <w:footnoteReference w:id="13"/>
      </w:r>
      <w:bookmarkStart w:id="40" w:name="pg9497_76787"/>
    </w:p>
    <w:p>
      <w:pPr>
        <w:pStyle w:val="Heading2"/>
        <w:numPr>
          <w:ilvl w:val="1"/>
          <w:numId w:val="1"/>
        </w:numPr>
        <w:rPr/>
      </w:pPr>
      <w:bookmarkStart w:id="41" w:name="__RefHeading___Toc6461444_2870459653"/>
      <w:bookmarkStart w:id="42" w:name="_Toc15"/>
      <w:bookmarkEnd w:id="40"/>
      <w:bookmarkEnd w:id="41"/>
      <w:r>
        <w:rPr>
          <w:rtl w:val="true"/>
        </w:rPr>
        <w:t>مَنِش اصحاب</w:t>
      </w:r>
      <w:bookmarkEnd w:id="42"/>
    </w:p>
    <w:p>
      <w:pPr>
        <w:pStyle w:val="BookText"/>
        <w:rPr/>
      </w:pPr>
      <w:r>
        <w:rPr>
          <w:rFonts w:ascii="IRNazanin" w:hAnsi="IRNazanin" w:eastAsia="IRNazanin"/>
          <w:color w:val="111111"/>
          <w:sz w:val="28"/>
          <w:sz w:val="28"/>
          <w:szCs w:val="28"/>
          <w:rtl w:val="true"/>
          <w:lang w:bidi="fa-IR"/>
        </w:rPr>
        <w:t>در ميان ياران و اصحاب پيامبر، گريستن و سوگوارى بر درگذشته امرى رايج بود، در تاريخ نمونه‌هاى بسيارى از سوگوارى اصحاب بر درگذشتگان خود را ثبت كرده‌اند ؛ به عنوان مثال مى‌توان به موارد ذيل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سعيد بن مسيب، به هنگام فوت رسول گرامى اسلام، شهر مكه از شدت ناله و گريه مردم به لرزه درآمد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عايشه مى‌گويد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فوت رسول خدا صلى‌الله‌عليه‌و‌آله برخواستم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ساير زنان بر صورت و سينه </w:t>
      </w:r>
    </w:p>
    <w:p>
      <w:pPr>
        <w:pStyle w:val="BookText"/>
        <w:rPr/>
      </w:pPr>
      <w:r>
        <w:rPr>
          <w:rFonts w:ascii="Amiri" w:hAnsi="Amiri" w:eastAsia="Amiri" w:cs="Amiri"/>
          <w:color w:val="111111"/>
          <w:sz w:val="28"/>
          <w:sz w:val="28"/>
          <w:szCs w:val="28"/>
          <w:rtl w:val="true"/>
          <w:lang w:bidi="ar-SA"/>
        </w:rPr>
        <w:t>مى‌زديم</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عبداللّه بن رواحه بر حمزة گريست و اشعارى را در رثاى او خواند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چون خبر مرگ نعمان بن مقرن را به عمر بن خطاب دادند، او در سوگ وى دست بر سر گزارد و برايش گريه كرد</w:t>
      </w:r>
      <w:r>
        <w:rPr>
          <w:rFonts w:eastAsia="IRNazanin" w:cs="IRNazanin"/>
          <w:color w:val="111111"/>
          <w:sz w:val="28"/>
          <w:szCs w:val="28"/>
          <w:rtl w:val="true"/>
          <w:lang w:bidi="fa-IR"/>
        </w:rPr>
        <w:t>.</w:t>
      </w:r>
      <w:r>
        <w:rPr>
          <w:rStyle w:val="FootnoteAnchor"/>
          <w:rtl w:val="true"/>
        </w:rPr>
        <w:footnoteReference w:id="1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عمر، چون ابن مسعود كنار قبر وى ايستاد، براى او گريست </w:t>
      </w:r>
      <w:r>
        <w:rPr>
          <w:rFonts w:eastAsia="IRNazanin" w:cs="IRNazanin"/>
          <w:color w:val="111111"/>
          <w:sz w:val="28"/>
          <w:szCs w:val="28"/>
          <w:rtl w:val="true"/>
          <w:lang w:bidi="fa-IR"/>
        </w:rPr>
        <w:t>.</w:t>
      </w:r>
      <w:r>
        <w:rPr>
          <w:rStyle w:val="FootnoteAnchor"/>
          <w:rtl w:val="true"/>
        </w:rPr>
        <w:footnoteReference w:id="18"/>
      </w:r>
      <w:bookmarkStart w:id="43" w:name="pg9497_76789"/>
    </w:p>
    <w:p>
      <w:pPr>
        <w:pStyle w:val="Heading2"/>
        <w:numPr>
          <w:ilvl w:val="1"/>
          <w:numId w:val="1"/>
        </w:numPr>
        <w:rPr/>
      </w:pPr>
      <w:bookmarkStart w:id="44" w:name="__RefHeading___Toc6461446_2870459653"/>
      <w:bookmarkStart w:id="45" w:name="_Toc16"/>
      <w:bookmarkEnd w:id="43"/>
      <w:bookmarkEnd w:id="44"/>
      <w:r>
        <w:rPr>
          <w:rtl w:val="true"/>
        </w:rPr>
        <w:t>افسانه تحريم</w:t>
      </w:r>
      <w:bookmarkEnd w:id="45"/>
    </w:p>
    <w:p>
      <w:pPr>
        <w:pStyle w:val="Heading3"/>
        <w:numPr>
          <w:ilvl w:val="2"/>
          <w:numId w:val="1"/>
        </w:numPr>
        <w:rPr/>
      </w:pPr>
      <w:bookmarkStart w:id="46" w:name="__RefHeading___Toc6461448_2870459653"/>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گروهى از عالمان اهل سنت، سوگوارى و گريه بر درگذشتگان را تحريم كرده و بر خلاف توصيه و روش نبى اسلام صلى‌الله‌عليه‌و‌آله و شيوه اصحاب با آن مخالفت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با نگاه و تامل به مستندات گفته‌هاى آنان، تحريم و ممنوعيت عزادارى افسانه‌اى بيش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تحريم سوگوارى و پاسخ آن را در دو پرتو و يك نتيجه به نظاره مى‌نشينيم</w:t>
      </w:r>
      <w:r>
        <w:rPr>
          <w:rFonts w:eastAsia="IRNazanin" w:cs="IRNazanin"/>
          <w:color w:val="111111"/>
          <w:sz w:val="28"/>
          <w:szCs w:val="28"/>
          <w:rtl w:val="true"/>
          <w:lang w:bidi="fa-IR"/>
        </w:rPr>
        <w:t>:</w:t>
      </w:r>
    </w:p>
    <w:p>
      <w:pPr>
        <w:pStyle w:val="Heading3"/>
        <w:numPr>
          <w:ilvl w:val="2"/>
          <w:numId w:val="1"/>
        </w:numPr>
        <w:rPr/>
      </w:pPr>
      <w:bookmarkStart w:id="48" w:name="__RefHeading___Toc6461450_2870459653"/>
      <w:bookmarkStart w:id="49" w:name="_Toc18"/>
      <w:bookmarkEnd w:id="48"/>
      <w:r>
        <w:rPr>
          <w:rtl w:val="true"/>
        </w:rPr>
        <w:t xml:space="preserve">پرتو اوّل </w:t>
      </w:r>
      <w:r>
        <w:rPr>
          <w:rtl w:val="true"/>
        </w:rPr>
        <w:t xml:space="preserve">: </w:t>
      </w:r>
      <w:r>
        <w:rPr>
          <w:rtl w:val="true"/>
        </w:rPr>
        <w:t>روايات تحريم عزادارى</w:t>
      </w:r>
      <w:bookmarkEnd w:id="49"/>
    </w:p>
    <w:p>
      <w:pPr>
        <w:pStyle w:val="BookText"/>
        <w:rPr/>
      </w:pPr>
      <w:r>
        <w:rPr>
          <w:rFonts w:ascii="IRNazanin" w:hAnsi="IRNazanin" w:eastAsia="IRNazanin"/>
          <w:color w:val="111111"/>
          <w:sz w:val="28"/>
          <w:sz w:val="28"/>
          <w:szCs w:val="28"/>
          <w:rtl w:val="true"/>
          <w:lang w:bidi="fa-IR"/>
        </w:rPr>
        <w:t>مخالفان گريه و عزادارى، روايات چندى را در ممنوعيت گريه و عزادارى برشمرده‌اند ؛ از جمله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پيامبر صلى‌الله‌عليه‌و‌آله اين سخن را نسبت داده‌اند كه مرده به جهت گريه و شيون بازماندگان در قبر عذاب مى‌شود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 يعذب فى قبره بما نيح عليه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الميّت ليعذب ببكاء اهله عليه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گفته سعيد بن مسيب، عايشه به هنگام فوت پدرش ابوبكر، مجلس سوگوارى برپا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آن به عمر رسيد، وى دستور داد تا از آن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عايشه از دستور خليفه سرپيچى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واكنش، عمر، هشام بن وليد را مامور ساخت تا نزد عايشه رفته و با زور شلاق از نوحه و گريه عزاداران جلوگيرى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چون از ماموريت هشام آگاه شدند، مجلس را ترك كرده و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اين سخن را خطاب به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تردن ان يعذب ابوبكر ببكائكن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الميت يعذب ببكاء اهله عليه ؛ مى‌خواهيد با گريه خود ابوبكر را عذاب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مرده با گريه نزديكان خويش عذاب مى‌شود</w:t>
      </w:r>
      <w:r>
        <w:rPr>
          <w:rFonts w:eastAsia="IRNazanin" w:cs="IRNazanin"/>
          <w:color w:val="111111"/>
          <w:sz w:val="28"/>
          <w:szCs w:val="28"/>
          <w:rtl w:val="true"/>
          <w:lang w:bidi="fa-IR"/>
        </w:rPr>
        <w:t>.»</w:t>
      </w:r>
      <w:r>
        <w:rPr>
          <w:rStyle w:val="FootnoteAnchor"/>
          <w:rtl w:val="true"/>
        </w:rPr>
        <w:footnoteReference w:id="2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سخن نيز از عايشه نقل شده است كه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رسيدن خبر شهادت جعفر بن ابى طالب، زيد بن حارثه و عبدالله بن رواحه، آثار حزن و اندوه در سيماى پيامبر اكرم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گوشه‌اى او را كه نشسته بود نظاره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مردى به حضور ايشان رسيد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بر جعفر گريه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در واكنش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 اليهن فاسكتهن، فان ابين فاحث فى وجوههن التراب ؛ برگرد و آنان را ساكت ساز، اگر آرام نشدند خاك بر صورتشان بپاش</w:t>
      </w:r>
      <w:r>
        <w:rPr>
          <w:rFonts w:eastAsia="IRNazanin" w:cs="IRNazanin"/>
          <w:color w:val="111111"/>
          <w:sz w:val="28"/>
          <w:szCs w:val="28"/>
          <w:rtl w:val="true"/>
          <w:lang w:bidi="fa-IR"/>
        </w:rPr>
        <w:t>!.»</w:t>
      </w:r>
      <w:r>
        <w:rPr>
          <w:rStyle w:val="FootnoteAnchor"/>
          <w:rtl w:val="true"/>
        </w:rPr>
        <w:footnoteReference w:id="2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نصر پسر ابى عاصم نقل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عمر صداى نوحه عزاى زنى را از يكى از خانه‌هاى مدينه شنيد، بى درنگ وارد خانه شد و زنان را پراكند و زن نوحه سرا را با تازيانه خود مضروب كرد، به گونه‌اى كه روسرى او از سرش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خليفه با مشاهده اين صحنه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موهاى زن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پاسخ چنين گفت</w:t>
      </w:r>
      <w:r>
        <w:rPr>
          <w:rFonts w:eastAsia="IRNazanin" w:cs="IRNazanin"/>
          <w:color w:val="111111"/>
          <w:sz w:val="28"/>
          <w:szCs w:val="28"/>
          <w:rtl w:val="true"/>
          <w:lang w:bidi="fa-IR"/>
        </w:rPr>
        <w:t xml:space="preserve">: </w:t>
      </w:r>
      <w:bookmarkStart w:id="50" w:name="pg9497_76792"/>
    </w:p>
    <w:p>
      <w:pPr>
        <w:pStyle w:val="BookText"/>
        <w:rPr/>
      </w:pPr>
      <w:bookmarkEnd w:id="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فلا حرمة لها ؛ آرى، اين زن احترام ندارد</w:t>
      </w:r>
      <w:r>
        <w:rPr>
          <w:rFonts w:eastAsia="Amiri" w:cs="Amiri" w:ascii="Amiri" w:hAnsi="Amiri"/>
          <w:color w:val="111111"/>
          <w:sz w:val="28"/>
          <w:szCs w:val="28"/>
          <w:rtl w:val="true"/>
          <w:lang w:bidi="ar-SA"/>
        </w:rPr>
        <w:t>.»</w:t>
      </w:r>
      <w:r>
        <w:rPr>
          <w:rStyle w:val="FootnoteAnchor"/>
          <w:rtl w:val="true"/>
        </w:rPr>
        <w:footnoteReference w:id="23"/>
      </w:r>
    </w:p>
    <w:p>
      <w:pPr>
        <w:pStyle w:val="Heading3"/>
        <w:numPr>
          <w:ilvl w:val="2"/>
          <w:numId w:val="1"/>
        </w:numPr>
        <w:rPr/>
      </w:pPr>
      <w:bookmarkStart w:id="51" w:name="__RefHeading___Toc6461452_2870459653"/>
      <w:bookmarkStart w:id="52" w:name="_Toc19"/>
      <w:bookmarkEnd w:id="51"/>
      <w:r>
        <w:rPr>
          <w:rtl w:val="true"/>
        </w:rPr>
        <w:t xml:space="preserve">پرتو دوم </w:t>
      </w:r>
      <w:r>
        <w:rPr>
          <w:rtl w:val="true"/>
        </w:rPr>
        <w:t xml:space="preserve">: </w:t>
      </w:r>
      <w:r>
        <w:rPr>
          <w:rtl w:val="true"/>
        </w:rPr>
        <w:t>بررسى روايات تحريم</w:t>
      </w:r>
      <w:bookmarkEnd w:id="52"/>
    </w:p>
    <w:p>
      <w:pPr>
        <w:pStyle w:val="BookText"/>
        <w:rPr/>
      </w:pPr>
      <w:r>
        <w:rPr>
          <w:rFonts w:ascii="IRNazanin" w:hAnsi="IRNazanin" w:eastAsia="IRNazanin"/>
          <w:color w:val="111111"/>
          <w:sz w:val="28"/>
          <w:sz w:val="28"/>
          <w:szCs w:val="28"/>
          <w:rtl w:val="true"/>
          <w:lang w:bidi="fa-IR"/>
        </w:rPr>
        <w:t xml:space="preserve">در پاسخ به ادعاى تحريم، شايسته است تا روايات فوق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پيروان تحريم گريه و عزادارى بدان استناد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بررسى 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آغاز مى‌توان از ديدگاه عايشه ياد كرد ؛ او روايات فوق را عارى از اعتبار مى‌دانست و آنها را نمى‌پذيرفت و به راويان آن نسبت فراموشى و اشتباه مى‌داد؛ نووى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فوق از نظر عايشه پذيرفته نشده، او به راويان آن نسبت فراموشى و اشتباه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خليفه دوم و پسرش عبداللّه اين روايات را به صورت صحيح از پيامبر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ابن عباس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سخن خليفه است نه سخن پيامبر صلى‌الله‌عليه‌و‌آله</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در اين باره، يادكرد روايات ذيل شايسته است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مليكه از ماجرايى ياد مى‌كند كه بر ساختگى بودن </w:t>
      </w:r>
    </w:p>
    <w:p>
      <w:pPr>
        <w:pStyle w:val="BookText"/>
        <w:rPr/>
      </w:pPr>
      <w:r>
        <w:rPr>
          <w:rFonts w:ascii="IRNazanin" w:hAnsi="IRNazanin" w:eastAsia="IRNazanin"/>
          <w:color w:val="111111"/>
          <w:sz w:val="28"/>
          <w:sz w:val="28"/>
          <w:szCs w:val="28"/>
          <w:rtl w:val="true"/>
          <w:lang w:bidi="fa-IR"/>
        </w:rPr>
        <w:t>روايت تحريم گريه گواهى مى‌دهد ؛ او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دختران عثمان درگذشت، به همراه عبداللّه بن عمر و عبداللّه بن عباس در تشييع جنازه او شركت جستيم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 دو نشسته بودم كه عبداللّه بن عمر از گريه مردم شِكوه كرد و به فرزند عثمان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مردم را از گريه باز نمى‌داريد؟ همانا از رسول خدا صلى‌الله‌عليه‌و‌آله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مرده به خاطر گريه خويشانش عذاب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ابن عباس رو به ابن عمر كرده،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گوينده اين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هنگامى كه عمر بر اثر شدت زخم در بستر مرگ بود، صهيب نزد او آمد و بر بالين‌اش گريه و ناله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اين عمل صهيب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من گريه مى‌كنى، در حاليكه پيامبر فرموده است كه مرده به دليل گريه نزديكانش در عذاب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چنين بيان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عمر، اين سخن وى را براى عايشه بازگو كردم، وى در پاسخ چنين بيان داشت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عمر، واللّه ما حدث رسول اللّه، ليعذب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IRNazanin" w:hAnsi="IRNazanin" w:eastAsia="IRNazanin"/>
          <w:color w:val="111111"/>
          <w:sz w:val="28"/>
          <w:sz w:val="28"/>
          <w:szCs w:val="28"/>
          <w:rtl w:val="true"/>
          <w:lang w:bidi="fa-IR"/>
        </w:rPr>
        <w:t>لكن رسول اللّه صلى‌الله‌عليه‌و‌آله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ليزيد الكافر ببكاء اهله عليه ؛ خدا عمر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هرگز پيامبر چنين سخنى را بر لب نياورده است، بلكه ايشان چنين بيان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عذاب كافر را با گريه بستگانش افزون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سپس سخن خود را با اين جمله پى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حسبكم كتاب اللّه و لا تزر وازرة وزر اخرى؛</w:t>
      </w:r>
      <w:r>
        <w:rPr>
          <w:rStyle w:val="FootnoteAnchor"/>
          <w:rtl w:val="true"/>
        </w:rPr>
        <w:footnoteReference w:id="25"/>
      </w:r>
      <w:r>
        <w:rPr>
          <w:rFonts w:ascii="IRNazanin" w:hAnsi="IRNazanin" w:eastAsia="IRNazanin"/>
          <w:color w:val="111111"/>
          <w:sz w:val="28"/>
          <w:sz w:val="28"/>
          <w:szCs w:val="28"/>
          <w:rtl w:val="true"/>
          <w:lang w:bidi="fa-IR"/>
        </w:rPr>
        <w:t>قرآن شما را در اين باره كفايت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گناه ديگرى را به دوش نمى‌كشد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ابن عباس بر اين جمله تاكيد كرد كه پروردگار مى‌خنداند و مى‌گرياند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گر اين ماجرا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ابن عباس به پايان رسيد، عبداللّه بن عمر سكوت كرد و سخنى نگفت</w:t>
      </w:r>
      <w:r>
        <w:rPr>
          <w:rFonts w:eastAsia="IRNazanin" w:cs="IRNazanin"/>
          <w:color w:val="111111"/>
          <w:sz w:val="28"/>
          <w:szCs w:val="28"/>
          <w:rtl w:val="true"/>
          <w:lang w:bidi="fa-IR"/>
        </w:rPr>
        <w:t>.</w:t>
      </w:r>
      <w:r>
        <w:rPr>
          <w:rStyle w:val="FootnoteAnchor"/>
          <w:rtl w:val="true"/>
        </w:rPr>
        <w:footnoteReference w:id="2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حضور عايشه، سخنى از اين گفته عبداللّه بن </w:t>
      </w:r>
    </w:p>
    <w:p>
      <w:pPr>
        <w:pStyle w:val="BookText"/>
        <w:rPr/>
      </w:pPr>
      <w:r>
        <w:rPr>
          <w:rFonts w:ascii="IRNazanin" w:hAnsi="IRNazanin" w:eastAsia="IRNazanin"/>
          <w:color w:val="111111"/>
          <w:sz w:val="28"/>
          <w:sz w:val="28"/>
          <w:szCs w:val="28"/>
          <w:rtl w:val="true"/>
          <w:lang w:bidi="fa-IR"/>
        </w:rPr>
        <w:t>عمر به ميان آمد كه به نقل از پيامبر صلى‌الله‌عليه‌و‌آلهمى‌گويد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 با گريه خويشانش در قبر عذاب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در واكنش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قال رسول اللّه صلى‌الله‌عليه‌و‌آله انه ليعذب بخطيئته و ذنبه و انّ اهله ليبكون عليه الان ؛ فرزند عمر فراموش كرده است، بلكه رسول خدا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در قبر به خاطر گناهانش عذاب مى‌شود، در حالى كه نزديكانش نيز در آن هنگام براى وى مى‌گريند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در فرازى ديگر مدعى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انكم لتحدثون عن غير كاذبين و لا مكذوبين و لكن السمع يخطي ؛ عمر و فرزند او عبداللّه، از روى عمد و آگاهى نسبت دروغ به رسول خدا صلى‌الله‌عليه‌و‌آلهنداده‌اند، بلكه حديث را از پيامبر صلى‌الله‌عليه‌و‌آله اشتباه شنيده‌اند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عايشه از اين حكايت ياد مى‌كند كه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رسول خدا صلى‌الله‌عليه‌و‌آله از كنار قبرى عبور مى‌كرد، بازماندگان </w:t>
      </w:r>
    </w:p>
    <w:p>
      <w:pPr>
        <w:pStyle w:val="BookText"/>
        <w:rPr/>
      </w:pPr>
      <w:r>
        <w:rPr>
          <w:rFonts w:ascii="IRNazanin" w:hAnsi="IRNazanin" w:eastAsia="IRNazanin"/>
          <w:color w:val="111111"/>
          <w:sz w:val="28"/>
          <w:sz w:val="28"/>
          <w:szCs w:val="28"/>
          <w:rtl w:val="true"/>
          <w:lang w:bidi="fa-IR"/>
        </w:rPr>
        <w:t>آن مرده را ديد كه بر او مى‌گريند، آنگاه اين سخن را بر زبان جارى</w:t>
      </w:r>
    </w:p>
    <w:p>
      <w:pPr>
        <w:pStyle w:val="BookText"/>
        <w:rPr/>
      </w:pP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سنگينى عمل ديگرى را بر دوش نمى‌كشد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روايتى كه به جلوگيرى پيامبر از گريه منسوبان جعفر بن ابى طالب اشاره داشت نيز عارى از واقعيت است ؛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با روايات ديگرى كه از ترغيب پيامبر اكرم بر گريه كردن حكايت داشت، در تعارض است</w:t>
      </w:r>
      <w:r>
        <w:rPr>
          <w:rFonts w:eastAsia="IRNazanin" w:cs="IRNazanin"/>
          <w:color w:val="111111"/>
          <w:sz w:val="28"/>
          <w:szCs w:val="28"/>
          <w:rtl w:val="true"/>
          <w:lang w:bidi="fa-IR"/>
        </w:rPr>
        <w:t>.</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روايات ذكر شده در بخش سيره رسول اللّه صلى‌الله‌عليه‌و‌آلهرجوع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سند روايت فوق، شخصى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اسحاق بن يسار بن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دارد، كه در نزد محدثان اهل سنت و علماى علم رجال آن طايفه مورد اعتنا نيست و آنان روايات ذكر شده توسط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مى‌دانند</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 ذكر شده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ابى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دستخوش ضعف بوده و به علل ذيل بدان نمى‌توان استناد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آن روايت ضعيف است، زيرا در ميان راويان فردى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محمد بن ابى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مى‌خورد و عالمان نامدار اهل سنت او را دروغگو، جعل كننده حديث و شخصى غير قابل اعتماد دانسته‌اند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قال بشر بن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فقهاء اهل المدينة عنه، فكلهم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و لايكتب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چنين ماجراى ناشايستى به خليفه مسلمين باوركردنى نيست و مى‌توان آن را از واقعيت دور دانست، زيرا چگونه ممكن است كه عمر به خانه يك زن نامحرم حمله كند و او را با تازيانه مضروب سازد، به گونه‌اى كه روسرى زن از سرش بيفتد، و خليفه در واكنش به اعتراض ياران خود، آن زن را غير قابل احترام بپندارد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خاطره تلخ يورش به خانه وحى را در ذهنها تجديد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صحت ماجراى فوق، آيا سؤال مطرح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عملكرد و فعل عمر حجت است؟ با وجود آن كه او ادعاى عصمت نداشته است و ديگران نيز چنين منقبتى را براى او ذكر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غزالى، عالم برجسته سنى، حجت بودن قول عمر و ابوبكر را وهمى بيش ندانسته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المستصفى،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دراسات فقهية فى مسائل خلافية،ص</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شك رفتار خليفه در راستاى سنت پيامبر نبوده است، آنچه كه ما را به اين ادعا رهنمون مى‌سازد آن است كه آن حضرت در حديثى او را از مقابله با گريه كنندگان باز داشت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دعهن</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عايشه در اين مساله خاص به عمر نسبت خطا و فراموشى داده است</w:t>
      </w:r>
      <w:r>
        <w:rPr>
          <w:rFonts w:eastAsia="IRNazanin" w:cs="IRNazanin"/>
          <w:color w:val="111111"/>
          <w:sz w:val="28"/>
          <w:szCs w:val="28"/>
          <w:rtl w:val="true"/>
          <w:lang w:bidi="fa-IR"/>
        </w:rPr>
        <w:t>.</w:t>
      </w:r>
      <w:r>
        <w:rPr>
          <w:rStyle w:val="FootnoteAnchor"/>
          <w:rtl w:val="true"/>
        </w:rPr>
        <w:footnoteReference w:id="35"/>
      </w:r>
      <w:bookmarkStart w:id="53" w:name="pg9497_76799"/>
    </w:p>
    <w:p>
      <w:pPr>
        <w:pStyle w:val="Heading2"/>
        <w:numPr>
          <w:ilvl w:val="1"/>
          <w:numId w:val="1"/>
        </w:numPr>
        <w:rPr/>
      </w:pPr>
      <w:bookmarkStart w:id="54" w:name="__RefHeading___Toc6461454_2870459653"/>
      <w:bookmarkStart w:id="55" w:name="_Toc20"/>
      <w:bookmarkEnd w:id="53"/>
      <w:bookmarkEnd w:id="54"/>
      <w:r>
        <w:rPr>
          <w:rtl w:val="true"/>
        </w:rPr>
        <w:t>نتيجه بحث</w:t>
      </w:r>
      <w:bookmarkEnd w:id="55"/>
    </w:p>
    <w:p>
      <w:pPr>
        <w:pStyle w:val="BookText"/>
        <w:rPr/>
      </w:pPr>
      <w:r>
        <w:rPr>
          <w:rFonts w:ascii="IRNazanin" w:hAnsi="IRNazanin" w:eastAsia="IRNazanin"/>
          <w:color w:val="111111"/>
          <w:sz w:val="28"/>
          <w:sz w:val="28"/>
          <w:szCs w:val="28"/>
          <w:rtl w:val="true"/>
          <w:lang w:bidi="fa-IR"/>
        </w:rPr>
        <w:t>با درنگ و تأمل در روايات فوق، ريشه ادعاى نهى و تحريم گريه و عزادرى بر مردگان، به عمر و فرزندش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نگاه خوش بينانه به سخن عايشه بنگريم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در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در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 پيامبر بپذيريم، به اين نكته خواهيم رسيد كه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گرامى اسلام هرگز از سوگوارى و گريستن بر مرده مسلمان نهى نفرموده است و روايات عذاب دادن ميت به مرده كافر اشارت دارد و شامل مردگان مسلمان نمى‌شود</w:t>
      </w:r>
      <w:r>
        <w:rPr>
          <w:rFonts w:eastAsia="IRNazanin" w:cs="IRNazanin"/>
          <w:color w:val="111111"/>
          <w:sz w:val="28"/>
          <w:szCs w:val="28"/>
          <w:rtl w:val="true"/>
          <w:lang w:bidi="fa-IR"/>
        </w:rPr>
        <w:t>.</w:t>
      </w:r>
      <w:bookmarkStart w:id="56" w:name="pg9497_76800"/>
    </w:p>
    <w:p>
      <w:pPr>
        <w:pStyle w:val="Heading2"/>
        <w:numPr>
          <w:ilvl w:val="1"/>
          <w:numId w:val="1"/>
        </w:numPr>
        <w:rPr/>
      </w:pPr>
      <w:bookmarkStart w:id="57" w:name="__RefHeading___Toc6461456_2870459653"/>
      <w:bookmarkStart w:id="58" w:name="_Toc21"/>
      <w:bookmarkEnd w:id="56"/>
      <w:bookmarkEnd w:id="57"/>
      <w:r>
        <w:rPr>
          <w:rtl w:val="true"/>
        </w:rPr>
        <w:t>كنكاشى در تاريخ</w:t>
      </w:r>
      <w:bookmarkEnd w:id="58"/>
    </w:p>
    <w:p>
      <w:pPr>
        <w:pStyle w:val="Heading3"/>
        <w:numPr>
          <w:ilvl w:val="2"/>
          <w:numId w:val="1"/>
        </w:numPr>
        <w:rPr/>
      </w:pPr>
      <w:bookmarkStart w:id="59" w:name="__RefHeading___Toc6461458_2870459653"/>
      <w:bookmarkStart w:id="60" w:name="_Toc22"/>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برپايى سوگوارى، مرثيه خوانى، عزادارى، نوحه خوانى و جلوه‌هاى خاصى از مراسم بزرگداشت و تعزيت در تاريخ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كنكاش و جست و جو در متون تاريخى و آثار كهن اسلامى نمونه‌هاى فراوانى مى‌توان يافت كه اين امر از روايى و همچنين عادى بودن برگزارى چنين محافلى حكايت مى‌كند و بر مرسوم بودن آن گواهى مى‌دهد؛ واكنش مردم مدينه نسبت به شنيدن خبر شهادت امام حسين عليه‌السلاميكى از نمونه‌هاى آشكار و گوياى اين مدعاست، طبرى در تاريخ خود به نقل از يكى از راويان چنين مى‌نويسد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اسمع واللّه واعية مثل واعية نساء بنى هاشم فى دورهن على الحسين؛ به خدا سوگند، من سوگواريى همچون ناله و گريه زنان بنى هاشم در مصيبت </w:t>
      </w:r>
    </w:p>
    <w:p>
      <w:pPr>
        <w:pStyle w:val="BookText"/>
        <w:rPr/>
      </w:pPr>
      <w:r>
        <w:rPr>
          <w:rFonts w:ascii="Amiri" w:hAnsi="Amiri" w:eastAsia="Amiri" w:cs="Amiri"/>
          <w:color w:val="111111"/>
          <w:sz w:val="28"/>
          <w:sz w:val="28"/>
          <w:szCs w:val="28"/>
          <w:rtl w:val="true"/>
          <w:lang w:bidi="ar-SA"/>
        </w:rPr>
        <w:t>حسين عليه‌السلام نشنيده‌ام</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ابن كثير در تاريخ خود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عاشورا از سبط ابن جوزى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شد كه بر فراز منبر رفته و از مقتل و چگونگى شهادت امام حسين عليه‌السلام</w:t>
      </w:r>
    </w:p>
    <w:p>
      <w:pPr>
        <w:pStyle w:val="BookText"/>
        <w:rPr/>
      </w:pPr>
      <w:r>
        <w:rPr>
          <w:rFonts w:ascii="IRNazanin" w:hAnsi="IRNazanin" w:eastAsia="IRNazanin"/>
          <w:color w:val="111111"/>
          <w:sz w:val="28"/>
          <w:sz w:val="28"/>
          <w:szCs w:val="28"/>
          <w:rtl w:val="true"/>
          <w:lang w:bidi="fa-IR"/>
        </w:rPr>
        <w:t>براى مردم سخن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جوزى اين خواسته را پذيرفت و بر بالاى منبر تكيه زد، او پس از يك سكوت طولانى، دستمال خويش بر صورت نهاد و گريه شديدى سرداد و آنگاه در حالى كه مى‌گريست اين دو بيت شعر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لمن شفعاؤه خصماؤه</w:t>
      </w:r>
    </w:p>
    <w:p>
      <w:pPr>
        <w:pStyle w:val="BookText"/>
        <w:rPr/>
      </w:pPr>
      <w:r>
        <w:rPr>
          <w:rFonts w:ascii="Amiri" w:hAnsi="Amiri" w:eastAsia="Amiri" w:cs="Amiri"/>
          <w:color w:val="111111"/>
          <w:sz w:val="28"/>
          <w:sz w:val="28"/>
          <w:szCs w:val="28"/>
          <w:rtl w:val="true"/>
          <w:lang w:bidi="ar-SA"/>
        </w:rPr>
        <w:t>و الصور فى نشر الخلايق ينفخ</w:t>
      </w:r>
    </w:p>
    <w:p>
      <w:pPr>
        <w:pStyle w:val="BookText"/>
        <w:rPr/>
      </w:pPr>
      <w:r>
        <w:rPr>
          <w:rFonts w:ascii="Amiri" w:hAnsi="Amiri" w:eastAsia="Amiri" w:cs="Amiri"/>
          <w:color w:val="111111"/>
          <w:sz w:val="28"/>
          <w:sz w:val="28"/>
          <w:szCs w:val="28"/>
          <w:rtl w:val="true"/>
          <w:lang w:bidi="ar-SA"/>
        </w:rPr>
        <w:t>لابد أن ترد القيامة فاطم</w:t>
      </w:r>
    </w:p>
    <w:p>
      <w:pPr>
        <w:pStyle w:val="BookText"/>
        <w:rPr/>
      </w:pPr>
      <w:r>
        <w:rPr>
          <w:rFonts w:ascii="Amiri" w:hAnsi="Amiri" w:eastAsia="Amiri" w:cs="Amiri"/>
          <w:color w:val="111111"/>
          <w:sz w:val="28"/>
          <w:sz w:val="28"/>
          <w:szCs w:val="28"/>
          <w:rtl w:val="true"/>
          <w:lang w:bidi="ar-SA"/>
        </w:rPr>
        <w:t>و قميصها بدم الحسين ملطخ</w:t>
      </w:r>
    </w:p>
    <w:p>
      <w:pPr>
        <w:pStyle w:val="BookText"/>
        <w:rPr/>
      </w:pPr>
      <w:r>
        <w:rPr>
          <w:rFonts w:ascii="IRNazanin" w:hAnsi="IRNazanin" w:eastAsia="IRNazanin"/>
          <w:color w:val="111111"/>
          <w:sz w:val="28"/>
          <w:sz w:val="28"/>
          <w:szCs w:val="28"/>
          <w:rtl w:val="true"/>
          <w:lang w:bidi="fa-IR"/>
        </w:rPr>
        <w:t>واى به حال كسى كه شفيع‌اش دشمن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هنگامه قيامت، كه براى بيرون آمدن مردم از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 دميده مى‌شود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سرانجام در قيامت فاطمه زهرا وارد محشر مى‌شود، در </w:t>
      </w:r>
      <w:bookmarkStart w:id="61" w:name="pg9497_76802"/>
    </w:p>
    <w:p>
      <w:pPr>
        <w:pStyle w:val="BookText"/>
        <w:rPr/>
      </w:pPr>
      <w:bookmarkEnd w:id="61"/>
      <w:r>
        <w:rPr>
          <w:rFonts w:ascii="IRNazanin" w:hAnsi="IRNazanin" w:eastAsia="IRNazanin"/>
          <w:color w:val="111111"/>
          <w:sz w:val="28"/>
          <w:sz w:val="28"/>
          <w:szCs w:val="28"/>
          <w:rtl w:val="true"/>
          <w:lang w:bidi="fa-IR"/>
        </w:rPr>
        <w:t>حالى كه پيراهن‌او به خون حسين عليه‌السلام آغشته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سبط ابن جوزى از منبر پايين آمد و اشك ريزان به خانه خويش رفت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تاريخ همچنين نمونه‌هاى از برپايى عزادارى مردم براى درگذشت شخصيت هاى اهل سنت ثبت است ؛ به عنوان مثال مى‌توان به موارد ذيل اشاره كرد</w:t>
      </w:r>
      <w:r>
        <w:rPr>
          <w:rFonts w:eastAsia="IRNazanin" w:cs="IRNazanin"/>
          <w:color w:val="111111"/>
          <w:sz w:val="28"/>
          <w:szCs w:val="28"/>
          <w:rtl w:val="true"/>
          <w:lang w:bidi="fa-IR"/>
        </w:rPr>
        <w:t>:</w:t>
      </w:r>
    </w:p>
    <w:p>
      <w:pPr>
        <w:pStyle w:val="Heading3"/>
        <w:numPr>
          <w:ilvl w:val="2"/>
          <w:numId w:val="1"/>
        </w:numPr>
        <w:rPr/>
      </w:pPr>
      <w:bookmarkStart w:id="62" w:name="__RefHeading___Toc6461460_2870459653"/>
      <w:bookmarkStart w:id="63" w:name="_Toc23"/>
      <w:bookmarkEnd w:id="62"/>
      <w:r>
        <w:rPr/>
        <w:t>1</w:t>
      </w:r>
      <w:r>
        <w:rPr>
          <w:rtl w:val="true"/>
        </w:rPr>
        <w:t xml:space="preserve"> - </w:t>
      </w:r>
      <w:r>
        <w:rPr>
          <w:rtl w:val="true"/>
        </w:rPr>
        <w:t xml:space="preserve">عزادارى براى عبدالمؤمن </w:t>
      </w:r>
      <w:r>
        <w:rPr>
          <w:rtl w:val="true"/>
        </w:rPr>
        <w:t>(</w:t>
      </w:r>
      <w:r>
        <w:rPr>
          <w:rtl w:val="true"/>
        </w:rPr>
        <w:t xml:space="preserve">م </w:t>
      </w:r>
      <w:r>
        <w:rPr/>
        <w:t>346</w:t>
      </w:r>
      <w:r>
        <w:rPr>
          <w:rtl w:val="true"/>
        </w:rPr>
        <w:t xml:space="preserve"> </w:t>
      </w:r>
      <w:r>
        <w:rPr>
          <w:rtl w:val="true"/>
        </w:rPr>
        <w:t>ق</w:t>
      </w:r>
      <w:r>
        <w:rPr>
          <w:rtl w:val="true"/>
        </w:rPr>
        <w:t>.)</w:t>
      </w:r>
      <w:bookmarkEnd w:id="63"/>
    </w:p>
    <w:p>
      <w:pPr>
        <w:pStyle w:val="BookText"/>
        <w:rPr/>
      </w:pPr>
      <w:r>
        <w:rPr>
          <w:rFonts w:ascii="IRNazanin" w:hAnsi="IRNazanin" w:eastAsia="IRNazanin"/>
          <w:color w:val="111111"/>
          <w:sz w:val="28"/>
          <w:sz w:val="28"/>
          <w:szCs w:val="28"/>
          <w:rtl w:val="true"/>
          <w:lang w:bidi="fa-IR"/>
        </w:rPr>
        <w:t>عبدالمؤمن بن خلف، از فقيهان مذهب ظاهرى و پيرو مكتب محمد بن داود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نسفى درباره خاكسپارى وى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تشييع جنازه عبدالمؤمن شركت جستم، صداى طبل و دهل آن چنان گوش خراش بود گويا آنكه لشكرى به شهر بغداد يورش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ادامه داشت تا آنكه مردم براى برپايى نماز ميت آماده شدند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64" w:name="__RefHeading___Toc6461462_2870459653"/>
      <w:bookmarkStart w:id="65" w:name="_Toc24"/>
      <w:bookmarkEnd w:id="64"/>
      <w:r>
        <w:rPr/>
        <w:t>2</w:t>
      </w:r>
      <w:r>
        <w:rPr>
          <w:rtl w:val="true"/>
        </w:rPr>
        <w:t xml:space="preserve"> - </w:t>
      </w:r>
      <w:r>
        <w:rPr>
          <w:rtl w:val="true"/>
        </w:rPr>
        <w:t xml:space="preserve">عزادارى براى جوينى </w:t>
      </w:r>
      <w:r>
        <w:rPr>
          <w:rtl w:val="true"/>
        </w:rPr>
        <w:t>(</w:t>
      </w:r>
      <w:r>
        <w:rPr>
          <w:rtl w:val="true"/>
        </w:rPr>
        <w:t xml:space="preserve">م </w:t>
      </w:r>
      <w:r>
        <w:rPr/>
        <w:t>478</w:t>
      </w:r>
      <w:r>
        <w:rPr>
          <w:rtl w:val="true"/>
        </w:rPr>
        <w:t>ق</w:t>
      </w:r>
      <w:r>
        <w:rPr>
          <w:rtl w:val="true"/>
        </w:rPr>
        <w:t>.)</w:t>
      </w:r>
      <w:bookmarkEnd w:id="6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ذهبى از درگذشت جوينى و مراسم سوگوارى او چنين </w:t>
      </w:r>
      <w:bookmarkStart w:id="66" w:name="pg9497_76803"/>
    </w:p>
    <w:p>
      <w:pPr>
        <w:pStyle w:val="BookText"/>
        <w:rPr/>
      </w:pPr>
      <w:bookmarkEnd w:id="66"/>
      <w:r>
        <w:rPr>
          <w:rFonts w:ascii="Amiri" w:hAnsi="Amiri" w:eastAsia="Amiri" w:cs="Amiri"/>
          <w:color w:val="111111"/>
          <w:sz w:val="28"/>
          <w:sz w:val="28"/>
          <w:szCs w:val="28"/>
          <w:rtl w:val="true"/>
          <w:lang w:bidi="ar-SA"/>
        </w:rPr>
        <w:t>ياد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او را در منزل‌اش به خاك سپردند و آنگاه پيكرش را به مقبرة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كربلاى 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ماتم او منبرش را شكستند، بازارها را تعطيل كردند و مرثيه‌هاى فراوانى در مصيبت اش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چهارصد شاگرد و طلبه داشت، آنان در سوگ استاد خويش، قلم و قلمدان‌هاى خود را شكستند و يك سال عزادارى نمودند و عمامه‌هاى خود را به مدت يك سال از سر برداشتند بدان حد كه كسى جرات به سر گذاشتن عمامه را نمى‌داشت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اين مدت در سطح شهر به نوحه خوانى و مرثيه سرايى پرداختند و در فرياد و جزع زياده روى كردند</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67" w:name="__RefHeading___Toc6461464_2870459653"/>
      <w:bookmarkStart w:id="68" w:name="_Toc25"/>
      <w:bookmarkEnd w:id="67"/>
      <w:r>
        <w:rPr/>
        <w:t>3</w:t>
      </w:r>
      <w:r>
        <w:rPr>
          <w:rtl w:val="true"/>
        </w:rPr>
        <w:t xml:space="preserve"> - </w:t>
      </w:r>
      <w:r>
        <w:rPr>
          <w:rtl w:val="true"/>
        </w:rPr>
        <w:t xml:space="preserve">عزادارى براى ابن جوزى </w:t>
      </w:r>
      <w:r>
        <w:rPr>
          <w:rtl w:val="true"/>
        </w:rPr>
        <w:t>(</w:t>
      </w:r>
      <w:r>
        <w:rPr>
          <w:rtl w:val="true"/>
        </w:rPr>
        <w:t xml:space="preserve">م </w:t>
      </w:r>
      <w:r>
        <w:rPr/>
        <w:t>597</w:t>
      </w:r>
      <w:r>
        <w:rPr>
          <w:rtl w:val="true"/>
        </w:rPr>
        <w:t xml:space="preserve"> </w:t>
      </w:r>
      <w:r>
        <w:rPr>
          <w:rtl w:val="true"/>
        </w:rPr>
        <w:t>ق</w:t>
      </w:r>
      <w:r>
        <w:rPr>
          <w:rtl w:val="true"/>
        </w:rPr>
        <w:t>.)</w:t>
      </w:r>
      <w:bookmarkEnd w:id="68"/>
    </w:p>
    <w:p>
      <w:pPr>
        <w:pStyle w:val="BookText"/>
        <w:rPr/>
      </w:pPr>
      <w:r>
        <w:rPr>
          <w:rFonts w:ascii="IRNazanin" w:hAnsi="IRNazanin" w:eastAsia="IRNazanin"/>
          <w:color w:val="111111"/>
          <w:sz w:val="28"/>
          <w:sz w:val="28"/>
          <w:szCs w:val="28"/>
          <w:rtl w:val="true"/>
          <w:lang w:bidi="fa-IR"/>
        </w:rPr>
        <w:t>سبط بن جوزى در شب جمعه سيزدهم ماه رمضان فوت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درباره بازتاب مرگ او مى‌نويسد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درگذشت او، بازارها تعطيل گرديد و جمعيت زيادى در مراسم او حضور يافتند، فراوانى مردم و فزونى گرما سبب شد كه بسيارى از سوگواران روزه خويش را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بعضى خود را به </w:t>
      </w:r>
      <w:bookmarkStart w:id="69" w:name="pg9497_76804"/>
    </w:p>
    <w:p>
      <w:pPr>
        <w:pStyle w:val="BookText"/>
        <w:rPr/>
      </w:pPr>
      <w:bookmarkEnd w:id="69"/>
      <w:r>
        <w:rPr>
          <w:rFonts w:ascii="IRNazanin" w:hAnsi="IRNazanin" w:eastAsia="IRNazanin"/>
          <w:color w:val="111111"/>
          <w:sz w:val="28"/>
          <w:sz w:val="28"/>
          <w:szCs w:val="28"/>
          <w:rtl w:val="true"/>
          <w:lang w:bidi="fa-IR"/>
        </w:rPr>
        <w:t>دجله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كفن اندكى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 پايان ماه رمضان در كنار قبر او شب را به صبح رساندند، آنان شمع و چراغ و قنديل آوردند و قرآن را ختم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عزادارى را روز شنبه برپا كرديم، سخنرانان درباره او به سخن پرداختند، جمعيت بسيارى شركت جستند و درباره او مرثيه‌ها گفته شد</w:t>
      </w:r>
      <w:r>
        <w:rPr>
          <w:rFonts w:eastAsia="IRNazanin" w:cs="IRNazanin"/>
          <w:color w:val="111111"/>
          <w:sz w:val="28"/>
          <w:szCs w:val="28"/>
          <w:rtl w:val="true"/>
          <w:lang w:bidi="fa-IR"/>
        </w:rPr>
        <w:t>.»</w:t>
      </w:r>
      <w:r>
        <w:rPr>
          <w:rStyle w:val="FootnoteAnchor"/>
          <w:rtl w:val="true"/>
        </w:rPr>
        <w:footnoteReference w:id="40"/>
      </w:r>
    </w:p>
    <w:p>
      <w:pPr>
        <w:pStyle w:val="Heading2"/>
        <w:numPr>
          <w:ilvl w:val="1"/>
          <w:numId w:val="1"/>
        </w:numPr>
        <w:rPr/>
      </w:pPr>
      <w:bookmarkStart w:id="70" w:name="__RefHeading___Toc6461466_2870459653"/>
      <w:bookmarkStart w:id="71" w:name="_Toc26"/>
      <w:bookmarkEnd w:id="70"/>
      <w:r>
        <w:rPr>
          <w:rtl w:val="true"/>
        </w:rPr>
        <w:t>سخن پايانى</w:t>
      </w:r>
      <w:bookmarkEnd w:id="71"/>
    </w:p>
    <w:p>
      <w:pPr>
        <w:pStyle w:val="BookText"/>
        <w:rPr/>
      </w:pPr>
      <w:r>
        <w:rPr>
          <w:rFonts w:ascii="IRNazanin" w:hAnsi="IRNazanin" w:eastAsia="IRNazanin"/>
          <w:color w:val="111111"/>
          <w:sz w:val="28"/>
          <w:sz w:val="28"/>
          <w:szCs w:val="28"/>
          <w:rtl w:val="true"/>
          <w:lang w:bidi="fa-IR"/>
        </w:rPr>
        <w:t>مورخان بنام اهل سنّت، بآسانى و مسامحه صحنه‌هاى سوگوارى و عزادارى مردم براى عالمان سنى مذهب را گزارش كرده و آن را بدون هيچ تحليل و يا نقدى نقل كرده و گاه به بزرگى از آن ياد نموده‌اند، اما هم ايشان در برابر عزادارى و ماتم سرايى شيفتگان امام حسين عليه‌السلام به تندى تاخته و در موضع‌گيرى خشن و سرشار از تعصب خويش، آن را مولود بى خردى و دورى از سنت قلمداد مى‌كنند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براستى اين دوگانگى از چيست؟ </w:t>
      </w:r>
      <w:bookmarkStart w:id="72" w:name="pg9497_76805"/>
    </w:p>
    <w:p>
      <w:pPr>
        <w:pStyle w:val="Heading2"/>
        <w:numPr>
          <w:ilvl w:val="1"/>
          <w:numId w:val="1"/>
        </w:numPr>
        <w:rPr/>
      </w:pPr>
      <w:bookmarkStart w:id="73" w:name="__RefHeading___Toc6461468_2870459653"/>
      <w:bookmarkStart w:id="74" w:name="_Toc27"/>
      <w:bookmarkEnd w:id="72"/>
      <w:bookmarkEnd w:id="73"/>
      <w:r>
        <w:rPr>
          <w:rtl w:val="true"/>
        </w:rPr>
        <w:t>فهرست منابع</w:t>
      </w:r>
      <w:bookmarkEnd w:id="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مكة ، ابوعبداللّه فاكهى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السارى ، قسطلانى ، ت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 احمد بن يحيى بلاذرى ، 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الأستيعاب ، ابن عبدالبرّ قرطبى ، 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 النهاية ، ابن كثير دمشقى ، 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الاسلام ، شمس الدين ذهبى ، 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الأمم و الملوك ، ابوجعفر طبرى ، 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المدينة المنورة ، ابوزيد النميري ، ت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 ابن عساكر ، 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 سبط ابن الجوزى ، ت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 ابن حجر عسقلانى ، 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الكمال ، ابوحجّاج مزي ، ت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الاصول ، ابن اثير جزرى ، 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الصحيح ، محمد بن عيسى ترمذى ، ت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فقهية فى مسائل خلافية ، نجم الدين طبسى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العقبى، محب الدين طبرى ، 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 ابوبكر بيهقى ، 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النسائى ، احمد بن شعيب ، 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اعلام النبلاء ، شمس الدين ذهبى ،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 برهان الدين حلبى ،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 ابن هشام ، ت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النووى ، محيى الدين نووى ، 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شفاء الغرام ، محمد بن احمد حسنى ، ت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البخارى ، محمد بن اسماعيل بخارى ، 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 مسلم بن الحجاج قشيرى ، 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 محمد بن سعد بصرى ، 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العبر فى خبر من غبر ، شمس الدين ذهبى ، 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 ابن عبدربه اندلسى ، ت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فى التاريخ ، ابن اثير جزرى ، 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 متقى هندى ، 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 ابوعبداللّه حاكم ، 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المستصفى ، ابوحامد غزالى ، ت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المسند ، احمد بن حنبل ، 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 ابن أبى شيبة ، ت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المغازى ، محمد بن عمر واقدى ، ت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المنتظم ، ابوالفَرَج ابن الجوزى ، 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صحيح بخارى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قرطبى،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كنز العمال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المدينة، ابن شبّه،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النبي قبّل عثمان بن مظعون و هو ميت و هو يبكي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فجلسنا و رسول اللّه صلى‌الله‌عليه‌و‌آله‌وسلم يحدِّثنا عن سعد بن ربيع ، يترحّمُ عليه و يقول لقد رأيتُ الأَسنَّة شرعت اِليه يومئذٍ حتّى قُتِل فلما سمع ذلك النسوة، بكين فدمعت عينا رسول اللّه، و ما نهاهن عن 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قبض النبي صلى‌الله‌عليه‌و‌آله‌وسلم ارتجت مكة بصوت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مكة، فاكهى،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قمتُ التدم اضرب صدرى مع النساء و اضرب وجهى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اتيتُ عمر بنعى النعمان بن مقرن، فجعل يده على راسه و جعل يبكى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أبي شيبة،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فوقف ابن مسعود على قبره يبكى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الجنائز؛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كتاب الجنائز؛ جامع الاصول،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الترمذى، رقم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ابى شيبة،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الاصول،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الاصول،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8563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السارى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يحدث عن المجهولين احاديث باطلة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يشتهي الحديث فياخذ كتب الناس فيضعها فى 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ابن اسحاق يدلّس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ابى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لايبالي عن من يحكى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يحتج به فى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يحيى 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بذاك،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سقيم ليس بالقوى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بالقوى</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بلاء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لايكتب حديثه، ترك الناس حديثه، كان يروي احاديث منكرة، لا اصل لها، و كان يأخذ احاديث الناس يضعها فى كتبه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الاصل الثانى من الاصول الموهومة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الصحابى، و قد ذهب قوم الى ان مذهب الصحابى حجة مطلقا، و قوم الى انّه الحجة ان خالف القياس، و قوم الى ان الحجة فى قول ابى بكر و عمر خاصة لقوله اقتدوا باللذين بعدى، و قوم الى ان الحجة فى قول الخلفاء الراشدين اذا اتفقوا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 باطل عندنا، فانّ من يجوز عليه الغلط و السهو، و لم تثبت عصمته عنه فلا حجة فى قوله، فكيف يحتج بقولهم مع جواز الخطاء</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قمرى</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ابن عساكر،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الاسلام، حوادث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image" Target="media/image2.jpeg"/><Relationship Id="rId44" Type="http://schemas.openxmlformats.org/officeDocument/2006/relationships/image" Target="media/image2.jpeg"/><Relationship Id="rId45" Type="http://schemas.openxmlformats.org/officeDocument/2006/relationships/footer" Target="footer38.xml"/><Relationship Id="rId46" Type="http://schemas.openxmlformats.org/officeDocument/2006/relationships/footnotes" Target="footnotes.xml"/><Relationship Id="rId47" Type="http://schemas.openxmlformats.org/officeDocument/2006/relationships/numbering" Target="numbering.xml"/><Relationship Id="rId48" Type="http://schemas.openxmlformats.org/officeDocument/2006/relationships/fontTable" Target="fontTable.xml"/><Relationship Id="rId49" Type="http://schemas.openxmlformats.org/officeDocument/2006/relationships/settings" Target="settings.xml"/><Relationship Id="rId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Pages>
  <Words>5013</Words>
  <Characters>18593</Characters>
  <CharactersWithSpaces>23343</CharactersWithSpaces>
  <Paragraphs>354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2026-08-20T15:26:18Z</dcterms:created>
  <dc:creator>ghaemiyeh.com</dc:creator>
  <dc:description/>
  <dc:language>en-US</dc:language>
  <cp:lastModifiedBy/>
  <dcterms:modified xsi:type="dcterms:W3CDTF">2026-08-20T18:56:20Z</dcterms:modified>
  <cp:revision>1</cp:revision>
  <dc:subject/>
  <dc:title>چرایى گریه و سوگوارى</dc:title>
</cp:coreProperties>
</file>

<file path=docProps/custom.xml><?xml version="1.0" encoding="utf-8"?>
<Properties xmlns="http://schemas.openxmlformats.org/officeDocument/2006/custom-properties" xmlns:vt="http://schemas.openxmlformats.org/officeDocument/2006/docPropsVTypes"/>
</file>