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حرمة اغتیاب الانسان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9133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88913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89137_2870459653">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5889139_2870459653">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5889141_2870459653">
            <w:r>
              <w:rPr>
                <w:webHidden/>
                <w:rStyle w:val="IndexLink"/>
                <w:rtl w:val="true"/>
              </w:rPr>
              <w:t>هل يشترط الإسلام والإيمان في القول بحرمة الغيبة؟</w:t>
            </w:r>
            <w:r>
              <w:rPr>
                <w:rStyle w:val="IndexLink"/>
                <w:rtl w:val="true"/>
              </w:rPr>
              <w:tab/>
            </w:r>
            <w:r>
              <w:rPr>
                <w:rStyle w:val="IndexLink"/>
              </w:rPr>
              <w:t>18</w:t>
            </w:r>
          </w:hyperlink>
        </w:p>
        <w:p>
          <w:pPr>
            <w:pStyle w:val="Contents3"/>
            <w:tabs>
              <w:tab w:val="clear" w:pos="8459"/>
              <w:tab w:val="right" w:pos="9026" w:leader="dot"/>
            </w:tabs>
            <w:rPr/>
          </w:pPr>
          <w:hyperlink w:anchor="__RefHeading___Toc5889143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889145_2870459653">
            <w:r>
              <w:rPr>
                <w:webHidden/>
                <w:rStyle w:val="IndexLink"/>
                <w:rtl w:val="true"/>
              </w:rPr>
              <w:t>الأقوال في المسألة</w:t>
            </w:r>
            <w:r>
              <w:rPr>
                <w:rStyle w:val="IndexLink"/>
                <w:rtl w:val="true"/>
              </w:rPr>
              <w:t>:</w:t>
              <w:tab/>
            </w:r>
            <w:r>
              <w:rPr>
                <w:rStyle w:val="IndexLink"/>
              </w:rPr>
              <w:t>18</w:t>
            </w:r>
          </w:hyperlink>
        </w:p>
        <w:p>
          <w:pPr>
            <w:pStyle w:val="Contents2"/>
            <w:tabs>
              <w:tab w:val="clear" w:pos="8743"/>
              <w:tab w:val="right" w:pos="9026" w:leader="dot"/>
            </w:tabs>
            <w:rPr/>
          </w:pPr>
          <w:hyperlink w:anchor="__RefHeading___Toc5889147_2870459653">
            <w:r>
              <w:rPr>
                <w:webHidden/>
                <w:rStyle w:val="IndexLink"/>
                <w:rtl w:val="true"/>
              </w:rPr>
              <w:t>أدلّة عدم جواز غيبة جميع الناس</w:t>
            </w:r>
            <w:r>
              <w:rPr>
                <w:rStyle w:val="IndexLink"/>
                <w:rtl w:val="true"/>
              </w:rPr>
              <w:tab/>
            </w:r>
            <w:r>
              <w:rPr>
                <w:rStyle w:val="IndexLink"/>
              </w:rPr>
              <w:t>23</w:t>
            </w:r>
          </w:hyperlink>
        </w:p>
        <w:p>
          <w:pPr>
            <w:pStyle w:val="Contents3"/>
            <w:tabs>
              <w:tab w:val="clear" w:pos="8459"/>
              <w:tab w:val="right" w:pos="9026" w:leader="dot"/>
            </w:tabs>
            <w:rPr/>
          </w:pPr>
          <w:hyperlink w:anchor="__RefHeading___Toc5889149_2870459653">
            <w:r>
              <w:rPr>
                <w:webHidden/>
                <w:rStyle w:val="IndexLink"/>
                <w:rtl w:val="true"/>
              </w:rPr>
              <w:t>الدليل الأوّل</w:t>
            </w:r>
            <w:r>
              <w:rPr>
                <w:rStyle w:val="IndexLink"/>
                <w:rtl w:val="true"/>
              </w:rPr>
              <w:t xml:space="preserve">: </w:t>
            </w:r>
            <w:r>
              <w:rPr>
                <w:rStyle w:val="IndexLink"/>
                <w:rtl w:val="true"/>
              </w:rPr>
              <w:t>عموم آية حرمة الغيبة</w:t>
            </w:r>
            <w:r>
              <w:rPr>
                <w:rStyle w:val="IndexLink"/>
                <w:rtl w:val="true"/>
              </w:rPr>
              <w:tab/>
            </w:r>
            <w:r>
              <w:rPr>
                <w:rStyle w:val="IndexLink"/>
              </w:rPr>
              <w:t>23</w:t>
            </w:r>
          </w:hyperlink>
        </w:p>
        <w:p>
          <w:pPr>
            <w:pStyle w:val="Contents3"/>
            <w:tabs>
              <w:tab w:val="clear" w:pos="8459"/>
              <w:tab w:val="right" w:pos="9026" w:leader="dot"/>
            </w:tabs>
            <w:rPr/>
          </w:pPr>
          <w:hyperlink w:anchor="__RefHeading___Toc5889151_2870459653">
            <w:r>
              <w:rPr>
                <w:webHidden/>
                <w:rStyle w:val="IndexLink"/>
                <w:rtl w:val="true"/>
              </w:rPr>
              <w:t>الدليل الثاني</w:t>
            </w:r>
            <w:r>
              <w:rPr>
                <w:rStyle w:val="IndexLink"/>
                <w:rtl w:val="true"/>
              </w:rPr>
              <w:t xml:space="preserve">: </w:t>
            </w:r>
            <w:r>
              <w:rPr>
                <w:rStyle w:val="IndexLink"/>
                <w:rtl w:val="true"/>
              </w:rPr>
              <w:t xml:space="preserve">عموم روايات </w:t>
            </w:r>
            <w:r>
              <w:rPr>
                <w:rStyle w:val="IndexLink"/>
                <w:rtl w:val="true"/>
              </w:rPr>
              <w:t>«</w:t>
            </w:r>
            <w:r>
              <w:rPr>
                <w:rStyle w:val="IndexLink"/>
                <w:rtl w:val="true"/>
              </w:rPr>
              <w:t>الغيبة</w:t>
            </w:r>
            <w:r>
              <w:rPr>
                <w:rStyle w:val="IndexLink"/>
                <w:rtl w:val="true"/>
              </w:rPr>
              <w:t>»</w:t>
              <w:tab/>
            </w:r>
            <w:r>
              <w:rPr>
                <w:rStyle w:val="IndexLink"/>
              </w:rPr>
              <w:t>25</w:t>
            </w:r>
          </w:hyperlink>
        </w:p>
        <w:p>
          <w:pPr>
            <w:pStyle w:val="Contents4"/>
            <w:tabs>
              <w:tab w:val="clear" w:pos="8176"/>
              <w:tab w:val="right" w:pos="9026" w:leader="dot"/>
            </w:tabs>
            <w:rPr/>
          </w:pPr>
          <w:hyperlink w:anchor="__RefHeading___Toc5889153_2870459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5889155_2870459653">
            <w:r>
              <w:rPr>
                <w:webHidden/>
                <w:rStyle w:val="IndexLink"/>
                <w:rtl w:val="true"/>
              </w:rPr>
              <w:t>نسبة الروايات الخاصّة إلى الروايات العامّة في حرمة الغيبة</w:t>
            </w:r>
            <w:r>
              <w:rPr>
                <w:rStyle w:val="IndexLink"/>
                <w:rtl w:val="true"/>
              </w:rPr>
              <w:tab/>
            </w:r>
            <w:r>
              <w:rPr>
                <w:rStyle w:val="IndexLink"/>
              </w:rPr>
              <w:t>32</w:t>
            </w:r>
          </w:hyperlink>
        </w:p>
        <w:p>
          <w:pPr>
            <w:pStyle w:val="Contents3"/>
            <w:tabs>
              <w:tab w:val="clear" w:pos="8459"/>
              <w:tab w:val="right" w:pos="9026" w:leader="dot"/>
            </w:tabs>
            <w:rPr/>
          </w:pPr>
          <w:hyperlink w:anchor="__RefHeading___Toc5889157_2870459653">
            <w:r>
              <w:rPr>
                <w:webHidden/>
                <w:rStyle w:val="IndexLink"/>
                <w:rtl w:val="true"/>
              </w:rPr>
              <w:t>الدليل الثالث</w:t>
            </w:r>
            <w:r>
              <w:rPr>
                <w:rStyle w:val="IndexLink"/>
                <w:rtl w:val="true"/>
              </w:rPr>
              <w:t xml:space="preserve">: </w:t>
            </w:r>
            <w:r>
              <w:rPr>
                <w:rStyle w:val="IndexLink"/>
                <w:rtl w:val="true"/>
              </w:rPr>
              <w:t>عموم روايات حُسن المعاشرة والأخلاق</w:t>
            </w:r>
            <w:r>
              <w:rPr>
                <w:rStyle w:val="IndexLink"/>
                <w:rtl w:val="true"/>
              </w:rPr>
              <w:tab/>
            </w:r>
            <w:r>
              <w:rPr>
                <w:rStyle w:val="IndexLink"/>
              </w:rPr>
              <w:t>36</w:t>
            </w:r>
          </w:hyperlink>
        </w:p>
        <w:p>
          <w:pPr>
            <w:pStyle w:val="Contents2"/>
            <w:tabs>
              <w:tab w:val="clear" w:pos="8743"/>
              <w:tab w:val="right" w:pos="9026" w:leader="dot"/>
            </w:tabs>
            <w:rPr/>
          </w:pPr>
          <w:hyperlink w:anchor="__RefHeading___Toc5889159_2870459653">
            <w:r>
              <w:rPr>
                <w:webHidden/>
                <w:rStyle w:val="IndexLink"/>
                <w:rtl w:val="true"/>
              </w:rPr>
              <w:t>كلام المقدّس الأردبيلي في حرمة غيبة المسلم</w:t>
            </w:r>
            <w:r>
              <w:rPr>
                <w:rStyle w:val="IndexLink"/>
                <w:rtl w:val="true"/>
              </w:rPr>
              <w:tab/>
            </w:r>
            <w:r>
              <w:rPr>
                <w:rStyle w:val="IndexLink"/>
              </w:rPr>
              <w:t>40</w:t>
            </w:r>
          </w:hyperlink>
        </w:p>
        <w:p>
          <w:pPr>
            <w:pStyle w:val="Contents3"/>
            <w:tabs>
              <w:tab w:val="clear" w:pos="8459"/>
              <w:tab w:val="right" w:pos="9026" w:leader="dot"/>
            </w:tabs>
            <w:rPr/>
          </w:pPr>
          <w:hyperlink w:anchor="__RefHeading___Toc5889161_2870459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889163_2870459653">
            <w:r>
              <w:rPr>
                <w:webHidden/>
                <w:rStyle w:val="IndexLink"/>
                <w:rtl w:val="true"/>
              </w:rPr>
              <w:t>مناقشة أدلّة جواز غيبة المخالفين</w:t>
            </w:r>
            <w:r>
              <w:rPr>
                <w:rStyle w:val="IndexLink"/>
                <w:rtl w:val="true"/>
              </w:rPr>
              <w:tab/>
            </w:r>
            <w:r>
              <w:rPr>
                <w:rStyle w:val="IndexLink"/>
              </w:rPr>
              <w:t>42</w:t>
            </w:r>
          </w:hyperlink>
        </w:p>
        <w:p>
          <w:pPr>
            <w:pStyle w:val="Contents3"/>
            <w:tabs>
              <w:tab w:val="clear" w:pos="8459"/>
              <w:tab w:val="right" w:pos="9026" w:leader="dot"/>
            </w:tabs>
            <w:rPr/>
          </w:pPr>
          <w:hyperlink w:anchor="__RefHeading___Toc5889165_2870459653">
            <w:r>
              <w:rPr>
                <w:webHidden/>
                <w:rStyle w:val="IndexLink"/>
                <w:rtl w:val="true"/>
              </w:rPr>
              <w:t xml:space="preserve">أ </w:t>
            </w:r>
            <w:r>
              <w:rPr>
                <w:rStyle w:val="IndexLink"/>
                <w:rtl w:val="true"/>
              </w:rPr>
              <w:t xml:space="preserve">- </w:t>
            </w:r>
            <w:r>
              <w:rPr>
                <w:rStyle w:val="IndexLink"/>
                <w:rtl w:val="true"/>
              </w:rPr>
              <w:t>الروايات الدالّة على كفر المخالفين</w:t>
            </w:r>
            <w:r>
              <w:rPr>
                <w:rStyle w:val="IndexLink"/>
                <w:rtl w:val="true"/>
              </w:rPr>
              <w:tab/>
            </w:r>
            <w:r>
              <w:rPr>
                <w:rStyle w:val="IndexLink"/>
              </w:rPr>
              <w:t>44</w:t>
            </w:r>
          </w:hyperlink>
        </w:p>
        <w:p>
          <w:pPr>
            <w:pStyle w:val="Contents4"/>
            <w:tabs>
              <w:tab w:val="clear" w:pos="8176"/>
              <w:tab w:val="right" w:pos="9026" w:leader="dot"/>
            </w:tabs>
            <w:rPr/>
          </w:pPr>
          <w:hyperlink w:anchor="__RefHeading___Toc5889167_2870459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5889169_2870459653">
            <w:r>
              <w:rPr>
                <w:webHidden/>
                <w:rStyle w:val="IndexLink"/>
                <w:rtl w:val="true"/>
              </w:rPr>
              <w:t>نقد روايات كفر المخالفين</w:t>
            </w:r>
            <w:r>
              <w:rPr>
                <w:rStyle w:val="IndexLink"/>
                <w:rtl w:val="true"/>
              </w:rPr>
              <w:tab/>
            </w:r>
            <w:r>
              <w:rPr>
                <w:rStyle w:val="IndexLink"/>
              </w:rPr>
              <w:t>45</w:t>
            </w:r>
          </w:hyperlink>
        </w:p>
        <w:p>
          <w:pPr>
            <w:pStyle w:val="Contents3"/>
            <w:tabs>
              <w:tab w:val="clear" w:pos="8459"/>
              <w:tab w:val="right" w:pos="9026" w:leader="dot"/>
            </w:tabs>
            <w:rPr/>
          </w:pPr>
          <w:hyperlink w:anchor="__RefHeading___Toc5889171_2870459653">
            <w:r>
              <w:rPr>
                <w:webHidden/>
                <w:rStyle w:val="IndexLink"/>
                <w:rtl w:val="true"/>
              </w:rPr>
              <w:t xml:space="preserve">ب </w:t>
            </w:r>
            <w:r>
              <w:rPr>
                <w:rStyle w:val="IndexLink"/>
                <w:rtl w:val="true"/>
              </w:rPr>
              <w:t xml:space="preserve">- </w:t>
            </w:r>
            <w:r>
              <w:rPr>
                <w:rStyle w:val="IndexLink"/>
                <w:rtl w:val="true"/>
              </w:rPr>
              <w:t>الروايات الدالّة على نصب المخالفين</w:t>
            </w:r>
            <w:r>
              <w:rPr>
                <w:rStyle w:val="IndexLink"/>
                <w:rtl w:val="true"/>
              </w:rPr>
              <w:tab/>
            </w:r>
            <w:r>
              <w:rPr>
                <w:rStyle w:val="IndexLink"/>
              </w:rPr>
              <w:t>49</w:t>
            </w:r>
          </w:hyperlink>
        </w:p>
        <w:p>
          <w:pPr>
            <w:pStyle w:val="Contents4"/>
            <w:tabs>
              <w:tab w:val="clear" w:pos="8176"/>
              <w:tab w:val="right" w:pos="9026" w:leader="dot"/>
            </w:tabs>
            <w:rPr/>
          </w:pPr>
          <w:hyperlink w:anchor="__RefHeading___Toc5889173_287045965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5889175_2870459653">
            <w:r>
              <w:rPr>
                <w:webHidden/>
                <w:rStyle w:val="IndexLink"/>
                <w:rtl w:val="true"/>
              </w:rPr>
              <w:t>نقد أدلّة القول بنصب المخالفين</w:t>
            </w:r>
            <w:r>
              <w:rPr>
                <w:rStyle w:val="IndexLink"/>
                <w:rtl w:val="true"/>
              </w:rPr>
              <w:tab/>
            </w:r>
            <w:r>
              <w:rPr>
                <w:rStyle w:val="IndexLink"/>
              </w:rPr>
              <w:t>52</w:t>
            </w:r>
          </w:hyperlink>
        </w:p>
        <w:p>
          <w:pPr>
            <w:pStyle w:val="Contents3"/>
            <w:tabs>
              <w:tab w:val="clear" w:pos="8459"/>
              <w:tab w:val="right" w:pos="9026" w:leader="dot"/>
            </w:tabs>
            <w:rPr/>
          </w:pPr>
          <w:hyperlink w:anchor="__RefHeading___Toc5889177_2870459653">
            <w:r>
              <w:rPr>
                <w:webHidden/>
                <w:rStyle w:val="IndexLink"/>
                <w:rtl w:val="true"/>
              </w:rPr>
              <w:t xml:space="preserve">ج </w:t>
            </w:r>
            <w:r>
              <w:rPr>
                <w:rStyle w:val="IndexLink"/>
                <w:rtl w:val="true"/>
              </w:rPr>
              <w:t xml:space="preserve">- </w:t>
            </w:r>
            <w:r>
              <w:rPr>
                <w:rStyle w:val="IndexLink"/>
                <w:rtl w:val="true"/>
              </w:rPr>
              <w:t xml:space="preserve">الخطاب في صدر آية </w:t>
            </w:r>
            <w:r>
              <w:rPr>
                <w:rStyle w:val="IndexLink"/>
                <w:rtl w:val="true"/>
              </w:rPr>
              <w:t>«</w:t>
            </w:r>
            <w:r>
              <w:rPr>
                <w:rStyle w:val="IndexLink"/>
                <w:rtl w:val="true"/>
              </w:rPr>
              <w:t>تحريم الغيبة</w:t>
            </w:r>
            <w:r>
              <w:rPr>
                <w:rStyle w:val="IndexLink"/>
                <w:rtl w:val="true"/>
              </w:rPr>
              <w:t>»</w:t>
              <w:tab/>
            </w:r>
            <w:r>
              <w:rPr>
                <w:rStyle w:val="IndexLink"/>
              </w:rPr>
              <w:t>55</w:t>
            </w:r>
          </w:hyperlink>
        </w:p>
        <w:p>
          <w:pPr>
            <w:pStyle w:val="Contents3"/>
            <w:tabs>
              <w:tab w:val="clear" w:pos="8459"/>
              <w:tab w:val="right" w:pos="9026" w:leader="dot"/>
            </w:tabs>
            <w:rPr/>
          </w:pPr>
          <w:hyperlink w:anchor="__RefHeading___Toc5889179_2870459653">
            <w:r>
              <w:rPr>
                <w:webHidden/>
                <w:rStyle w:val="IndexLink"/>
                <w:rtl w:val="true"/>
              </w:rPr>
              <w:t xml:space="preserve">د </w:t>
            </w:r>
            <w:r>
              <w:rPr>
                <w:rStyle w:val="IndexLink"/>
                <w:rtl w:val="true"/>
              </w:rPr>
              <w:t xml:space="preserve">- </w:t>
            </w:r>
            <w:r>
              <w:rPr>
                <w:rStyle w:val="IndexLink"/>
                <w:rtl w:val="true"/>
              </w:rPr>
              <w:t xml:space="preserve">ذيل الآية الكريمة </w:t>
            </w:r>
            <w:r>
              <w:rPr>
                <w:rStyle w:val="IndexLink"/>
                <w:rtl w:val="true"/>
              </w:rPr>
              <w:t>«</w:t>
            </w:r>
            <w:r>
              <w:rPr>
                <w:rStyle w:val="IndexLink"/>
                <w:rtl w:val="true"/>
              </w:rPr>
              <w:t>تحريم الغيبة</w:t>
            </w:r>
            <w:r>
              <w:rPr>
                <w:rStyle w:val="IndexLink"/>
                <w:rtl w:val="true"/>
              </w:rPr>
              <w:t>»</w:t>
              <w:tab/>
            </w:r>
            <w:r>
              <w:rPr>
                <w:rStyle w:val="IndexLink"/>
              </w:rPr>
              <w:t>56</w:t>
            </w:r>
          </w:hyperlink>
        </w:p>
        <w:p>
          <w:pPr>
            <w:pStyle w:val="Contents3"/>
            <w:tabs>
              <w:tab w:val="clear" w:pos="8459"/>
              <w:tab w:val="right" w:pos="9026" w:leader="dot"/>
            </w:tabs>
            <w:rPr/>
          </w:pPr>
          <w:hyperlink w:anchor="__RefHeading___Toc5889181_2870459653">
            <w:r>
              <w:rPr>
                <w:webHidden/>
                <w:rStyle w:val="IndexLink"/>
                <w:rtl w:val="true"/>
              </w:rPr>
              <w:t>ه</w:t>
            </w:r>
            <w:r>
              <w:rPr>
                <w:rStyle w:val="IndexLink"/>
                <w:rtl w:val="true"/>
              </w:rPr>
              <w:t xml:space="preserve">- - </w:t>
            </w:r>
            <w:r>
              <w:rPr>
                <w:rStyle w:val="IndexLink"/>
                <w:rtl w:val="true"/>
              </w:rPr>
              <w:t>اعتبار المخالفين أهل البدعة</w:t>
            </w:r>
            <w:r>
              <w:rPr>
                <w:rStyle w:val="IndexLink"/>
                <w:rtl w:val="true"/>
              </w:rPr>
              <w:tab/>
            </w:r>
            <w:r>
              <w:rPr>
                <w:rStyle w:val="IndexLink"/>
              </w:rPr>
              <w:t>57</w:t>
            </w:r>
          </w:hyperlink>
        </w:p>
        <w:p>
          <w:pPr>
            <w:pStyle w:val="Contents4"/>
            <w:tabs>
              <w:tab w:val="clear" w:pos="8176"/>
              <w:tab w:val="right" w:pos="9026" w:leader="dot"/>
            </w:tabs>
            <w:rPr/>
          </w:pPr>
          <w:hyperlink w:anchor="__RefHeading___Toc5889183_2870459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889185_2870459653">
            <w:r>
              <w:rPr>
                <w:webHidden/>
                <w:rStyle w:val="IndexLink"/>
                <w:rtl w:val="true"/>
              </w:rPr>
              <w:t>نقد الدليل على اعتبار المخالفين أصحاب بدعة</w:t>
            </w:r>
            <w:r>
              <w:rPr>
                <w:rStyle w:val="IndexLink"/>
                <w:rtl w:val="true"/>
              </w:rPr>
              <w:tab/>
            </w:r>
            <w:r>
              <w:rPr>
                <w:rStyle w:val="IndexLink"/>
              </w:rPr>
              <w:t>59</w:t>
            </w:r>
          </w:hyperlink>
        </w:p>
        <w:p>
          <w:pPr>
            <w:pStyle w:val="Contents3"/>
            <w:tabs>
              <w:tab w:val="clear" w:pos="8459"/>
              <w:tab w:val="right" w:pos="9026" w:leader="dot"/>
            </w:tabs>
            <w:rPr/>
          </w:pPr>
          <w:hyperlink w:anchor="__RefHeading___Toc5889187_2870459653">
            <w:r>
              <w:rPr>
                <w:webHidden/>
                <w:rStyle w:val="IndexLink"/>
                <w:rtl w:val="true"/>
              </w:rPr>
              <w:t xml:space="preserve">و </w:t>
            </w:r>
            <w:r>
              <w:rPr>
                <w:rStyle w:val="IndexLink"/>
                <w:rtl w:val="true"/>
              </w:rPr>
              <w:t xml:space="preserve">- </w:t>
            </w:r>
            <w:r>
              <w:rPr>
                <w:rStyle w:val="IndexLink"/>
                <w:rtl w:val="true"/>
              </w:rPr>
              <w:t>تجاهر المخالفين بالفسق</w:t>
            </w:r>
            <w:r>
              <w:rPr>
                <w:rStyle w:val="IndexLink"/>
                <w:rtl w:val="true"/>
              </w:rPr>
              <w:tab/>
            </w:r>
            <w:r>
              <w:rPr>
                <w:rStyle w:val="IndexLink"/>
              </w:rPr>
              <w:t>64</w:t>
            </w:r>
          </w:hyperlink>
        </w:p>
        <w:p>
          <w:pPr>
            <w:pStyle w:val="Contents3"/>
            <w:tabs>
              <w:tab w:val="clear" w:pos="8459"/>
              <w:tab w:val="right" w:pos="9026" w:leader="dot"/>
            </w:tabs>
            <w:rPr/>
          </w:pPr>
          <w:hyperlink w:anchor="__RefHeading___Toc5889189_2870459653">
            <w:r>
              <w:rPr>
                <w:webHidden/>
                <w:rStyle w:val="IndexLink"/>
                <w:rtl w:val="true"/>
              </w:rPr>
              <w:t xml:space="preserve">ز </w:t>
            </w:r>
            <w:r>
              <w:rPr>
                <w:rStyle w:val="IndexLink"/>
                <w:rtl w:val="true"/>
              </w:rPr>
              <w:t xml:space="preserve">- </w:t>
            </w:r>
            <w:r>
              <w:rPr>
                <w:rStyle w:val="IndexLink"/>
                <w:rtl w:val="true"/>
              </w:rPr>
              <w:t>سيرة المتشرّعة على غيبة المخالفين</w:t>
            </w:r>
            <w:r>
              <w:rPr>
                <w:rStyle w:val="IndexLink"/>
                <w:rtl w:val="true"/>
              </w:rPr>
              <w:tab/>
            </w:r>
            <w:r>
              <w:rPr>
                <w:rStyle w:val="IndexLink"/>
              </w:rPr>
              <w:t>64</w:t>
            </w:r>
          </w:hyperlink>
        </w:p>
        <w:p>
          <w:pPr>
            <w:pStyle w:val="Contents4"/>
            <w:tabs>
              <w:tab w:val="clear" w:pos="8176"/>
              <w:tab w:val="right" w:pos="9026" w:leader="dot"/>
            </w:tabs>
            <w:rPr/>
          </w:pPr>
          <w:hyperlink w:anchor="__RefHeading___Toc5889191_287045965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889193_2870459653">
            <w:r>
              <w:rPr>
                <w:webHidden/>
                <w:rStyle w:val="IndexLink"/>
                <w:rtl w:val="true"/>
              </w:rPr>
              <w:t>الأصل العملي في المسألة</w:t>
            </w:r>
            <w:r>
              <w:rPr>
                <w:rStyle w:val="IndexLink"/>
                <w:rtl w:val="true"/>
              </w:rPr>
              <w:tab/>
            </w:r>
            <w:r>
              <w:rPr>
                <w:rStyle w:val="IndexLink"/>
              </w:rPr>
              <w:t>66</w:t>
            </w:r>
          </w:hyperlink>
        </w:p>
        <w:p>
          <w:pPr>
            <w:pStyle w:val="Contents4"/>
            <w:tabs>
              <w:tab w:val="clear" w:pos="8176"/>
              <w:tab w:val="right" w:pos="9026" w:leader="dot"/>
            </w:tabs>
            <w:rPr/>
          </w:pPr>
          <w:hyperlink w:anchor="__RefHeading___Toc5889195_2870459653">
            <w:r>
              <w:rPr>
                <w:webHidden/>
                <w:rStyle w:val="IndexLink"/>
                <w:rtl w:val="true"/>
              </w:rPr>
              <w:t>غيبة غير المسلمين</w:t>
            </w:r>
            <w:r>
              <w:rPr>
                <w:rStyle w:val="IndexLink"/>
                <w:rtl w:val="true"/>
              </w:rPr>
              <w:tab/>
            </w:r>
            <w:r>
              <w:rPr>
                <w:rStyle w:val="IndexLink"/>
              </w:rPr>
              <w:t>67</w:t>
            </w:r>
          </w:hyperlink>
        </w:p>
        <w:p>
          <w:pPr>
            <w:pStyle w:val="Contents4"/>
            <w:tabs>
              <w:tab w:val="clear" w:pos="8176"/>
              <w:tab w:val="right" w:pos="9026" w:leader="dot"/>
            </w:tabs>
            <w:rPr/>
          </w:pPr>
          <w:hyperlink w:anchor="__RefHeading___Toc5889197_2870459653">
            <w:r>
              <w:rPr>
                <w:webHidden/>
                <w:rStyle w:val="IndexLink"/>
                <w:rtl w:val="true"/>
              </w:rPr>
              <w:t xml:space="preserve">معنى </w:t>
            </w:r>
            <w:r>
              <w:rPr>
                <w:rStyle w:val="IndexLink"/>
                <w:rtl w:val="true"/>
              </w:rPr>
              <w:t>«</w:t>
            </w:r>
            <w:r>
              <w:rPr>
                <w:rStyle w:val="IndexLink"/>
                <w:rtl w:val="true"/>
              </w:rPr>
              <w:t>الكفر</w:t>
            </w:r>
            <w:r>
              <w:rPr>
                <w:rStyle w:val="IndexLink"/>
                <w:rtl w:val="true"/>
              </w:rPr>
              <w:t xml:space="preserve">» </w:t>
            </w:r>
            <w:r>
              <w:rPr>
                <w:rStyle w:val="IndexLink"/>
                <w:rtl w:val="true"/>
              </w:rPr>
              <w:t>و</w:t>
            </w:r>
            <w:r>
              <w:rPr>
                <w:rStyle w:val="IndexLink"/>
                <w:rtl w:val="true"/>
              </w:rPr>
              <w:t>«</w:t>
            </w:r>
            <w:r>
              <w:rPr>
                <w:rStyle w:val="IndexLink"/>
                <w:rtl w:val="true"/>
              </w:rPr>
              <w:t>الكافر</w:t>
            </w:r>
            <w:r>
              <w:rPr>
                <w:rStyle w:val="IndexLink"/>
                <w:rtl w:val="true"/>
              </w:rPr>
              <w:t>»</w:t>
              <w:tab/>
            </w:r>
            <w:r>
              <w:rPr>
                <w:rStyle w:val="IndexLink"/>
              </w:rPr>
              <w:t>67</w:t>
            </w:r>
          </w:hyperlink>
        </w:p>
        <w:p>
          <w:pPr>
            <w:pStyle w:val="Contents4"/>
            <w:tabs>
              <w:tab w:val="clear" w:pos="8176"/>
              <w:tab w:val="right" w:pos="9026" w:leader="dot"/>
            </w:tabs>
            <w:rPr/>
          </w:pPr>
          <w:hyperlink w:anchor="__RefHeading___Toc5889199_2870459653">
            <w:r>
              <w:rPr>
                <w:webHidden/>
                <w:rStyle w:val="IndexLink"/>
                <w:rtl w:val="true"/>
              </w:rPr>
              <w:t xml:space="preserve">مفردة </w:t>
            </w:r>
            <w:r>
              <w:rPr>
                <w:rStyle w:val="IndexLink"/>
                <w:rtl w:val="true"/>
              </w:rPr>
              <w:t>«</w:t>
            </w:r>
            <w:r>
              <w:rPr>
                <w:rStyle w:val="IndexLink"/>
                <w:rtl w:val="true"/>
              </w:rPr>
              <w:t>الكفر</w:t>
            </w:r>
            <w:r>
              <w:rPr>
                <w:rStyle w:val="IndexLink"/>
                <w:rtl w:val="true"/>
              </w:rPr>
              <w:t xml:space="preserve">» </w:t>
            </w:r>
            <w:r>
              <w:rPr>
                <w:rStyle w:val="IndexLink"/>
                <w:rtl w:val="true"/>
              </w:rPr>
              <w:t>و</w:t>
            </w:r>
            <w:r>
              <w:rPr>
                <w:rStyle w:val="IndexLink"/>
                <w:rtl w:val="true"/>
              </w:rPr>
              <w:t>«</w:t>
            </w:r>
            <w:r>
              <w:rPr>
                <w:rStyle w:val="IndexLink"/>
                <w:rtl w:val="true"/>
              </w:rPr>
              <w:t>الكافر</w:t>
            </w:r>
            <w:r>
              <w:rPr>
                <w:rStyle w:val="IndexLink"/>
                <w:rtl w:val="true"/>
              </w:rPr>
              <w:t xml:space="preserve">» </w:t>
            </w:r>
            <w:r>
              <w:rPr>
                <w:rStyle w:val="IndexLink"/>
                <w:rtl w:val="true"/>
              </w:rPr>
              <w:t>في اللغة</w:t>
            </w:r>
            <w:r>
              <w:rPr>
                <w:rStyle w:val="IndexLink"/>
                <w:rtl w:val="true"/>
              </w:rPr>
              <w:tab/>
            </w:r>
            <w:r>
              <w:rPr>
                <w:rStyle w:val="IndexLink"/>
              </w:rPr>
              <w:t>68</w:t>
            </w:r>
          </w:hyperlink>
        </w:p>
        <w:p>
          <w:pPr>
            <w:pStyle w:val="Contents4"/>
            <w:tabs>
              <w:tab w:val="clear" w:pos="8176"/>
              <w:tab w:val="right" w:pos="9026" w:leader="dot"/>
            </w:tabs>
            <w:rPr/>
          </w:pPr>
          <w:hyperlink w:anchor="__RefHeading___Toc5889201_2870459653">
            <w:r>
              <w:rPr>
                <w:webHidden/>
                <w:rStyle w:val="IndexLink"/>
                <w:rtl w:val="true"/>
              </w:rPr>
              <w:t xml:space="preserve">مفردة </w:t>
            </w:r>
            <w:r>
              <w:rPr>
                <w:rStyle w:val="IndexLink"/>
                <w:rtl w:val="true"/>
              </w:rPr>
              <w:t>«</w:t>
            </w:r>
            <w:r>
              <w:rPr>
                <w:rStyle w:val="IndexLink"/>
                <w:rtl w:val="true"/>
              </w:rPr>
              <w:t>الكفر</w:t>
            </w:r>
            <w:r>
              <w:rPr>
                <w:rStyle w:val="IndexLink"/>
                <w:rtl w:val="true"/>
              </w:rPr>
              <w:t xml:space="preserve">» </w:t>
            </w:r>
            <w:r>
              <w:rPr>
                <w:rStyle w:val="IndexLink"/>
                <w:rtl w:val="true"/>
              </w:rPr>
              <w:t>و</w:t>
            </w:r>
            <w:r>
              <w:rPr>
                <w:rStyle w:val="IndexLink"/>
                <w:rtl w:val="true"/>
              </w:rPr>
              <w:t>«</w:t>
            </w:r>
            <w:r>
              <w:rPr>
                <w:rStyle w:val="IndexLink"/>
                <w:rtl w:val="true"/>
              </w:rPr>
              <w:t>الكافر</w:t>
            </w:r>
            <w:r>
              <w:rPr>
                <w:rStyle w:val="IndexLink"/>
                <w:rtl w:val="true"/>
              </w:rPr>
              <w:t xml:space="preserve">» </w:t>
            </w:r>
            <w:r>
              <w:rPr>
                <w:rStyle w:val="IndexLink"/>
                <w:rtl w:val="true"/>
              </w:rPr>
              <w:t>في القرآن الكريم</w:t>
            </w:r>
            <w:r>
              <w:rPr>
                <w:rStyle w:val="IndexLink"/>
                <w:rtl w:val="true"/>
              </w:rPr>
              <w:tab/>
            </w:r>
            <w:r>
              <w:rPr>
                <w:rStyle w:val="IndexLink"/>
              </w:rPr>
              <w:t>70</w:t>
            </w:r>
          </w:hyperlink>
        </w:p>
        <w:p>
          <w:pPr>
            <w:pStyle w:val="Contents4"/>
            <w:tabs>
              <w:tab w:val="clear" w:pos="8176"/>
              <w:tab w:val="right" w:pos="9026" w:leader="dot"/>
            </w:tabs>
            <w:rPr/>
          </w:pPr>
          <w:hyperlink w:anchor="__RefHeading___Toc5889203_2870459653">
            <w:r>
              <w:rPr>
                <w:webHidden/>
                <w:rStyle w:val="IndexLink"/>
                <w:rtl w:val="true"/>
              </w:rPr>
              <w:t xml:space="preserve">مفردة </w:t>
            </w:r>
            <w:r>
              <w:rPr>
                <w:rStyle w:val="IndexLink"/>
                <w:rtl w:val="true"/>
              </w:rPr>
              <w:t>«</w:t>
            </w:r>
            <w:r>
              <w:rPr>
                <w:rStyle w:val="IndexLink"/>
                <w:rtl w:val="true"/>
              </w:rPr>
              <w:t>الكفر</w:t>
            </w:r>
            <w:r>
              <w:rPr>
                <w:rStyle w:val="IndexLink"/>
                <w:rtl w:val="true"/>
              </w:rPr>
              <w:t xml:space="preserve">» </w:t>
            </w:r>
            <w:r>
              <w:rPr>
                <w:rStyle w:val="IndexLink"/>
                <w:rtl w:val="true"/>
              </w:rPr>
              <w:t>و</w:t>
            </w:r>
            <w:r>
              <w:rPr>
                <w:rStyle w:val="IndexLink"/>
                <w:rtl w:val="true"/>
              </w:rPr>
              <w:t>«</w:t>
            </w:r>
            <w:r>
              <w:rPr>
                <w:rStyle w:val="IndexLink"/>
                <w:rtl w:val="true"/>
              </w:rPr>
              <w:t>الكافر</w:t>
            </w:r>
            <w:r>
              <w:rPr>
                <w:rStyle w:val="IndexLink"/>
                <w:rtl w:val="true"/>
              </w:rPr>
              <w:t xml:space="preserve">» </w:t>
            </w:r>
            <w:r>
              <w:rPr>
                <w:rStyle w:val="IndexLink"/>
                <w:rtl w:val="true"/>
              </w:rPr>
              <w:t>في الروايات</w:t>
            </w:r>
            <w:r>
              <w:rPr>
                <w:rStyle w:val="IndexLink"/>
                <w:rtl w:val="true"/>
              </w:rPr>
              <w:tab/>
            </w:r>
            <w:r>
              <w:rPr>
                <w:rStyle w:val="IndexLink"/>
              </w:rPr>
              <w:t>73</w:t>
            </w:r>
          </w:hyperlink>
        </w:p>
        <w:p>
          <w:pPr>
            <w:pStyle w:val="Contents4"/>
            <w:tabs>
              <w:tab w:val="clear" w:pos="8176"/>
              <w:tab w:val="right" w:pos="9026" w:leader="dot"/>
            </w:tabs>
            <w:rPr/>
          </w:pPr>
          <w:hyperlink w:anchor="__RefHeading___Toc5889205_2870459653">
            <w:r>
              <w:rPr>
                <w:webHidden/>
                <w:rStyle w:val="IndexLink"/>
                <w:rtl w:val="true"/>
              </w:rPr>
              <w:t xml:space="preserve">كلام </w:t>
            </w:r>
            <w:r>
              <w:rPr>
                <w:rStyle w:val="IndexLink"/>
                <w:rtl w:val="true"/>
              </w:rPr>
              <w:t>«</w:t>
            </w:r>
            <w:r>
              <w:rPr>
                <w:rStyle w:val="IndexLink"/>
                <w:rtl w:val="true"/>
              </w:rPr>
              <w:t>حديقة الأُصول</w:t>
            </w:r>
            <w:r>
              <w:rPr>
                <w:rStyle w:val="IndexLink"/>
                <w:rtl w:val="true"/>
              </w:rPr>
              <w:t xml:space="preserve">» </w:t>
            </w:r>
            <w:r>
              <w:rPr>
                <w:rStyle w:val="IndexLink"/>
                <w:rtl w:val="true"/>
              </w:rPr>
              <w:t>حول قصور وتقصير الكفّار</w:t>
            </w:r>
            <w:r>
              <w:rPr>
                <w:rStyle w:val="IndexLink"/>
                <w:rtl w:val="true"/>
              </w:rPr>
              <w:tab/>
            </w:r>
            <w:r>
              <w:rPr>
                <w:rStyle w:val="IndexLink"/>
              </w:rPr>
              <w:t>76</w:t>
            </w:r>
          </w:hyperlink>
        </w:p>
        <w:p>
          <w:pPr>
            <w:pStyle w:val="Contents4"/>
            <w:tabs>
              <w:tab w:val="clear" w:pos="8176"/>
              <w:tab w:val="right" w:pos="9026" w:leader="dot"/>
            </w:tabs>
            <w:rPr/>
          </w:pPr>
          <w:hyperlink w:anchor="__RefHeading___Toc5889207_2870459653">
            <w:r>
              <w:rPr>
                <w:webHidden/>
                <w:rStyle w:val="IndexLink"/>
                <w:rtl w:val="true"/>
              </w:rPr>
              <w:t xml:space="preserve">كلام الإمام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في قصور وتقصير الكفّار</w:t>
            </w:r>
            <w:r>
              <w:rPr>
                <w:rStyle w:val="IndexLink"/>
                <w:rtl w:val="true"/>
              </w:rPr>
              <w:tab/>
            </w:r>
            <w:r>
              <w:rPr>
                <w:rStyle w:val="IndexLink"/>
              </w:rPr>
              <w:t>77</w:t>
            </w:r>
          </w:hyperlink>
        </w:p>
        <w:p>
          <w:pPr>
            <w:pStyle w:val="Contents4"/>
            <w:tabs>
              <w:tab w:val="clear" w:pos="8176"/>
              <w:tab w:val="right" w:pos="9026" w:leader="dot"/>
            </w:tabs>
            <w:rPr/>
          </w:pPr>
          <w:hyperlink w:anchor="__RefHeading___Toc5889209_2870459653">
            <w:r>
              <w:rPr>
                <w:webHidden/>
                <w:rStyle w:val="IndexLink"/>
                <w:rtl w:val="true"/>
              </w:rPr>
              <w:t xml:space="preserve">كلام الشهيد المطهري </w:t>
            </w:r>
            <w:r>
              <w:rPr>
                <w:rStyle w:val="IndexLink"/>
                <w:rtl w:val="true"/>
              </w:rPr>
              <w:t>(</w:t>
            </w:r>
            <w:r>
              <w:rPr>
                <w:rStyle w:val="IndexLink"/>
                <w:rtl w:val="true"/>
              </w:rPr>
              <w:t>رحمة الله عليه</w:t>
            </w:r>
            <w:r>
              <w:rPr>
                <w:rStyle w:val="IndexLink"/>
                <w:rtl w:val="true"/>
              </w:rPr>
              <w:t xml:space="preserve">) </w:t>
            </w:r>
            <w:r>
              <w:rPr>
                <w:rStyle w:val="IndexLink"/>
                <w:rtl w:val="true"/>
              </w:rPr>
              <w:t>في القاصرين والمقصّرين من غير المسلمين</w:t>
            </w:r>
            <w:r>
              <w:rPr>
                <w:rStyle w:val="IndexLink"/>
                <w:rtl w:val="true"/>
              </w:rPr>
              <w:tab/>
            </w:r>
            <w:r>
              <w:rPr>
                <w:rStyle w:val="IndexLink"/>
              </w:rPr>
              <w:t>79</w:t>
            </w:r>
          </w:hyperlink>
        </w:p>
        <w:p>
          <w:pPr>
            <w:pStyle w:val="Contents4"/>
            <w:tabs>
              <w:tab w:val="clear" w:pos="8176"/>
              <w:tab w:val="right" w:pos="9026" w:leader="dot"/>
            </w:tabs>
            <w:rPr/>
          </w:pPr>
          <w:hyperlink w:anchor="__RefHeading___Toc5889211_2870459653">
            <w:r>
              <w:rPr>
                <w:webHidden/>
                <w:rStyle w:val="IndexLink"/>
                <w:rtl w:val="true"/>
              </w:rPr>
              <w:t>الكرامة الذاتيّة للبشر</w:t>
            </w:r>
            <w:r>
              <w:rPr>
                <w:rStyle w:val="IndexLink"/>
                <w:rtl w:val="true"/>
              </w:rPr>
              <w:tab/>
            </w:r>
            <w:r>
              <w:rPr>
                <w:rStyle w:val="IndexLink"/>
              </w:rPr>
              <w:t>82</w:t>
            </w:r>
          </w:hyperlink>
        </w:p>
        <w:p>
          <w:pPr>
            <w:pStyle w:val="Contents2"/>
            <w:tabs>
              <w:tab w:val="clear" w:pos="8743"/>
              <w:tab w:val="right" w:pos="9026" w:leader="dot"/>
            </w:tabs>
            <w:rPr/>
          </w:pPr>
          <w:hyperlink w:anchor="__RefHeading___Toc5889213_2870459653">
            <w:r>
              <w:rPr>
                <w:webHidden/>
                <w:rStyle w:val="IndexLink"/>
                <w:rtl w:val="true"/>
              </w:rPr>
              <w:t>التعامل مع غير المسلمين من زاوية الروايات</w:t>
            </w:r>
            <w:r>
              <w:rPr>
                <w:rStyle w:val="IndexLink"/>
                <w:rtl w:val="true"/>
              </w:rPr>
              <w:tab/>
            </w:r>
            <w:r>
              <w:rPr>
                <w:rStyle w:val="IndexLink"/>
              </w:rPr>
              <w:t>84</w:t>
            </w:r>
          </w:hyperlink>
        </w:p>
        <w:p>
          <w:pPr>
            <w:pStyle w:val="Contents3"/>
            <w:tabs>
              <w:tab w:val="clear" w:pos="8459"/>
              <w:tab w:val="right" w:pos="9026" w:leader="dot"/>
            </w:tabs>
            <w:rPr/>
          </w:pPr>
          <w:hyperlink w:anchor="__RefHeading___Toc5889215_2870459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5889217_2870459653">
            <w:r>
              <w:rPr>
                <w:webHidden/>
                <w:rStyle w:val="IndexLink"/>
                <w:rtl w:val="true"/>
              </w:rPr>
              <w:t xml:space="preserve">نماذج عمليّة من تعامل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مع المختلفين وغير المسلمين</w:t>
            </w:r>
            <w:r>
              <w:rPr>
                <w:rStyle w:val="IndexLink"/>
                <w:rtl w:val="true"/>
              </w:rPr>
              <w:tab/>
            </w:r>
            <w:r>
              <w:rPr>
                <w:rStyle w:val="IndexLink"/>
              </w:rPr>
              <w:t>87</w:t>
            </w:r>
          </w:hyperlink>
        </w:p>
        <w:p>
          <w:pPr>
            <w:pStyle w:val="Contents2"/>
            <w:tabs>
              <w:tab w:val="clear" w:pos="8743"/>
              <w:tab w:val="right" w:pos="9026" w:leader="dot"/>
            </w:tabs>
            <w:rPr/>
          </w:pPr>
          <w:hyperlink w:anchor="__RefHeading___Toc5889219_2870459653">
            <w:r>
              <w:rPr>
                <w:webHidden/>
                <w:rStyle w:val="IndexLink"/>
                <w:rtl w:val="true"/>
              </w:rPr>
              <w:t>النتيجة</w:t>
            </w:r>
            <w:r>
              <w:rPr>
                <w:rStyle w:val="IndexLink"/>
                <w:rtl w:val="true"/>
              </w:rPr>
              <w:tab/>
            </w:r>
            <w:r>
              <w:rPr>
                <w:rStyle w:val="IndexLink"/>
              </w:rPr>
              <w:t>93</w:t>
            </w:r>
          </w:hyperlink>
        </w:p>
        <w:p>
          <w:pPr>
            <w:pStyle w:val="Contents2"/>
            <w:tabs>
              <w:tab w:val="clear" w:pos="8743"/>
              <w:tab w:val="right" w:pos="9026" w:leader="dot"/>
            </w:tabs>
            <w:rPr/>
          </w:pPr>
          <w:hyperlink w:anchor="__RefHeading___Toc5889221_2870459653">
            <w:r>
              <w:rPr>
                <w:webHidden/>
                <w:rStyle w:val="IndexLink"/>
                <w:rtl w:val="true"/>
              </w:rPr>
              <w:t>المصادر</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4_76495"/>
      <w:bookmarkStart w:id="1" w:name="pg9434_76495"/>
      <w:bookmarkEnd w:id="1"/>
    </w:p>
    <w:p>
      <w:pPr>
        <w:pStyle w:val="Heading2"/>
        <w:numPr>
          <w:ilvl w:val="1"/>
          <w:numId w:val="1"/>
        </w:numPr>
        <w:rPr/>
      </w:pPr>
      <w:bookmarkStart w:id="2" w:name="pg9434_76495"/>
      <w:bookmarkStart w:id="3" w:name="__RefHeading___Toc588913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Saanei, Yusuf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اغتیاب‌الانسان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الصانعی؛ مرکز تدوین و نشر آثار آیة‌الله‌العظمی‌الصانعی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سلسلة‌الفقه‌المعاصر؛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94734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Backbiting (Islamic ethics)</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تدوین و نشر آثار حضرت آیت‌الله العظمی صانعی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BP251/3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9038542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سلسلة الفقه المعاصر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913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تدوين و نشر آثاز حضرت آية الله العظمي صانعي </w:t>
      </w:r>
    </w:p>
    <w:p>
      <w:pPr>
        <w:pStyle w:val="BookText"/>
        <w:rPr/>
      </w:pPr>
      <w:r>
        <w:rPr>
          <w:rFonts w:ascii="Amiri" w:hAnsi="Amiri" w:eastAsia="Amiri" w:cs="Amiri"/>
          <w:color w:val="111111"/>
          <w:sz w:val="28"/>
          <w:sz w:val="28"/>
          <w:szCs w:val="28"/>
          <w:rtl w:val="true"/>
          <w:lang w:bidi="ar-SA"/>
        </w:rPr>
        <w:t xml:space="preserve">سلسلة الفقه المعاصر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حرمة اغتياب الإنسان</w:t>
      </w:r>
    </w:p>
    <w:p>
      <w:pPr>
        <w:pStyle w:val="BookText"/>
        <w:rPr/>
      </w:pPr>
      <w:r>
        <w:rPr>
          <w:rFonts w:ascii="Amiri" w:hAnsi="Amiri" w:eastAsia="Amiri" w:cs="Amiri"/>
          <w:color w:val="111111"/>
          <w:sz w:val="28"/>
          <w:sz w:val="28"/>
          <w:szCs w:val="28"/>
          <w:rtl w:val="true"/>
          <w:lang w:bidi="ar-SA"/>
        </w:rPr>
        <w:t>مقتبس من نظريات المرجع الراحل</w:t>
      </w:r>
    </w:p>
    <w:p>
      <w:pPr>
        <w:pStyle w:val="BookText"/>
        <w:rPr/>
      </w:pPr>
      <w:r>
        <w:rPr>
          <w:rFonts w:ascii="Amiri" w:hAnsi="Amiri" w:eastAsia="Amiri" w:cs="Amiri"/>
          <w:color w:val="111111"/>
          <w:sz w:val="28"/>
          <w:sz w:val="28"/>
          <w:szCs w:val="28"/>
          <w:rtl w:val="true"/>
          <w:lang w:bidi="ar-SA"/>
        </w:rPr>
        <w:t>سماحة آية الله العظمى الشيخ يوسف الصانعي قدس سره</w:t>
      </w:r>
    </w:p>
    <w:p>
      <w:pPr>
        <w:pStyle w:val="BookText"/>
        <w:rPr/>
      </w:pPr>
      <w:r>
        <w:rPr>
          <w:rFonts w:ascii="IRNazanin" w:hAnsi="IRNazanin" w:eastAsia="IRNazanin"/>
          <w:color w:val="111111"/>
          <w:sz w:val="28"/>
          <w:sz w:val="28"/>
          <w:szCs w:val="28"/>
          <w:rtl w:val="true"/>
          <w:lang w:bidi="fa-IR"/>
        </w:rPr>
        <w:t>مركز تدوین و نشر آثار آیة الله العظمى الصانعي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 xml:space="preserve">سلسلة الفقه المعاصر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حرمة اغتياب الإنسان</w:t>
      </w:r>
    </w:p>
    <w:p>
      <w:pPr>
        <w:pStyle w:val="BookText"/>
        <w:rPr/>
      </w:pPr>
      <w:r>
        <w:rPr>
          <w:rFonts w:ascii="Amiri" w:hAnsi="Amiri" w:eastAsia="Amiri" w:cs="Amiri"/>
          <w:color w:val="111111"/>
          <w:sz w:val="28"/>
          <w:sz w:val="28"/>
          <w:szCs w:val="28"/>
          <w:rtl w:val="true"/>
          <w:lang w:bidi="ar-SA"/>
        </w:rPr>
        <w:t>مقتبس من نظريات المرجع الراحل</w:t>
      </w:r>
    </w:p>
    <w:p>
      <w:pPr>
        <w:pStyle w:val="BookText"/>
        <w:rPr/>
      </w:pPr>
      <w:r>
        <w:rPr>
          <w:rFonts w:ascii="Amiri" w:hAnsi="Amiri" w:eastAsia="Amiri" w:cs="Amiri"/>
          <w:color w:val="111111"/>
          <w:sz w:val="28"/>
          <w:sz w:val="28"/>
          <w:szCs w:val="28"/>
          <w:rtl w:val="true"/>
          <w:lang w:bidi="ar-SA"/>
        </w:rPr>
        <w:t>سماحة آية الله العظمى الشيخ يوسف الصانعي قدس سره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فقه الثقلين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الإدارة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شارع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الزقاق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رمز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37835101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المعلّم، مجمع الناشرون، الطابق الأول، الرقم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رمز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 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www.feqh.ir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infor@feqh.ir</w:t>
      </w:r>
      <w:r>
        <w:rPr>
          <w:rFonts w:eastAsia="Times New Roman" w:cs="Times New Roman" w:ascii="Times New Roman" w:hAnsi="Times New Roman"/>
          <w:color w:val="111111"/>
          <w:sz w:val="28"/>
          <w:szCs w:val="28"/>
          <w:rtl w:val="true"/>
          <w:lang w:val="en-US" w:bidi="en-US"/>
        </w:rPr>
        <w:t xml:space="preserve"> </w:t>
      </w:r>
      <w:bookmarkStart w:id="7" w:name="pg9434_76499"/>
    </w:p>
    <w:p>
      <w:pPr>
        <w:pStyle w:val="Heading2"/>
        <w:numPr>
          <w:ilvl w:val="1"/>
          <w:numId w:val="1"/>
        </w:numPr>
        <w:rPr/>
      </w:pPr>
      <w:bookmarkStart w:id="8" w:name="__RefHeading___Toc5889137_2870459653"/>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هل يشترط الإسلام والإيمان في القول بحرمة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أدلة عدم جواز غيبة جميع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آية حرمة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نسبة الروايات الخاصة إلى الروايات العامة في حرمة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روايات حسن المعاشرة والأخلاق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المقدس الأردبيلي في حرمة غيبة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أدلّة جواز غيبة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كفر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نقد روايات كفر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نصب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نقد أدلّة القول بنصب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صدر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الغيبة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الغيبة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المخالفين أهل 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نقد الدليل على اعتبار المخالفين أصحاب 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تجاهر المخالفين بالفسق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على غيبة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الأصل العملي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غيبة 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قصور وتقصير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الإمام الخميني في قصور وتقصير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الشهيد المطهري رحمة الله عليه في القاصرين والمقصرين من 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الكرامة الذاتية للبشر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التعامل مع غير المسلمين من زاوية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نماذج عمليّة من تعامل المعصومين مع المختلفين وغير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سلسلة الفقه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اغتياب الإنسان </w:t>
      </w:r>
      <w:bookmarkStart w:id="10" w:name="pg9434_76503"/>
    </w:p>
    <w:p>
      <w:pPr>
        <w:pStyle w:val="Heading2"/>
        <w:numPr>
          <w:ilvl w:val="1"/>
          <w:numId w:val="1"/>
        </w:numPr>
        <w:rPr/>
      </w:pPr>
      <w:bookmarkStart w:id="11" w:name="__RefHeading___Toc5889139_2870459653"/>
      <w:bookmarkStart w:id="12" w:name="_Toc4"/>
      <w:bookmarkEnd w:id="10"/>
      <w:bookmarkEnd w:id="11"/>
      <w:r>
        <w:rPr>
          <w:rtl w:val="true"/>
        </w:rPr>
        <w:t>المدخل</w:t>
      </w:r>
      <w:bookmarkEnd w:id="1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من الذنوب المعدودة التي تمّ تناولها بالبحث في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بحثها الفقهاء في الغالب ضمن المكاسب المحرّمة، بوصفها واحدة من الموارد التي يحرم التكسّب بها، بسبب حرمتها في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الرغم من أنّ التكسّب بالغيبة لا يبدو متداولاً ومتعارفاً في الوهلة الأُولى، ولكن حيث يتمّ هنالك طرح بعض الذنوب،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 وهجاء المؤمن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يخلو من شائبة عدم التكسّب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طرح هذه المسألة أيضاً، وهذا يدلّ على أهمّية هذا الموضوع واهتمام الفقهاء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قلّما نجد كتاباً فقهيّاً كاملاً لم يتناول هذه المسألة بالبحث والنقاش، أو العبور عليها دون بحث أبعادها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التكسّب بهذه الذنوب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يبدو مستبعداً في الوقت الراهن، فحالياً هناك أشخاص أو جماعات تقوم بهذه الممارسات من أجل تشويه سمعة بعض الأفراد والجهات، والعمل بعد ذلك على مصادرة مناصبهم ومواقعهم والاستحواذ عليها، أو أن يستأجروا بعض المرتزقة للقيام بهذه الممارسات نيابة عنهم، بغية تحقيق أهدافهم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تناولت الكتب الأخلاقيّة مسألة الغيبة بشكل خاصّ،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يعود إلى شيوع هذه الموبقة، وكذلك اهتمام الشارع المقدّس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جميع طبقات المجتمع من الرجال </w:t>
      </w:r>
    </w:p>
    <w:p>
      <w:pPr>
        <w:pStyle w:val="BookText"/>
        <w:rPr/>
      </w:pPr>
      <w:r>
        <w:rPr>
          <w:rFonts w:ascii="Amiri" w:hAnsi="Amiri" w:eastAsia="Amiri" w:cs="Amiri"/>
          <w:color w:val="111111"/>
          <w:sz w:val="28"/>
          <w:sz w:val="28"/>
          <w:szCs w:val="28"/>
          <w:rtl w:val="true"/>
          <w:lang w:bidi="ar-SA"/>
        </w:rPr>
        <w:t xml:space="preserve">والنساء، والشيوخ والشباب، والعلماء والعوام وغيرهم يعانون من الابتلاء بهذا المرض، وقلّما نجد مكاناً أو زماناً يخلو من هذه المعصية، وربما لهذا السبب ذهب علماء الأخلاق إلى اعتبار الغيبة من أعظم المهالك وأشدّ المعاصي، وعلى هذا تدلّ آيات القرآن الكريم والروايات المأثورة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زاوية علم النفس وعلم الاجتماع تعتبر الغيبة سبباً في انعدام الطمأنينة والثقة في المجتمع؛ إذ تؤدّي إلى تفشّي ظاهرة سوء الظنّ في المجتمع وعدم وثوق الأفراد ببعضهم من جهة، وكذلك اضطراب الشخص المغتاب نفسه من ناحية أُخرى بسبب خوفه من اغتياب الآخرين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هو أحد وجوه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الطمأنينة الفرديّة والاجتماعيّة واحدة من الأُمور الهامّة جداً في إطار الوصول إلى كمال وسعادة الفرد والمجتمع، ولا شكّ في أنّ الإخلال بهدوء وطمأنينة الفرد والمجتمع واحدة من العقبات الكبرى التي تقف أمام سعادة وكمال الإنسان في الدنيا والآخرة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أنّ هذا الكتاب الذي بين أيدينا كتاب </w:t>
      </w:r>
    </w:p>
    <w:p>
      <w:pPr>
        <w:pStyle w:val="BookText"/>
        <w:rPr/>
      </w:pPr>
      <w:r>
        <w:rPr>
          <w:rFonts w:ascii="Amiri" w:hAnsi="Amiri" w:eastAsia="Amiri" w:cs="Amiri"/>
          <w:color w:val="111111"/>
          <w:sz w:val="28"/>
          <w:sz w:val="28"/>
          <w:szCs w:val="28"/>
          <w:rtl w:val="true"/>
          <w:lang w:bidi="ar-SA"/>
        </w:rPr>
        <w:t xml:space="preserve">فقهي يحتوي على آراء سماحة آية الله العظمى الشيخ 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وهي منبثقة عن رؤية جديدة إلى الأدلّة الفقهيّة في إطار الفقه الجواهري، ولكن الحيوي والمتطابق مع جميع الشرائط الداخلة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تؤدّي الرؤية الجديدة والمختلفة إلى مشهد جديد ومختلف عن ذلك الشيء الذي كنّا نراه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والتفاوت هو ثمرة الرؤية العميقة والثاقبة، والتخلّي عن بعض العصبيّات والأفهام المسبقة والجاهزة تجاه أدلّة الفقه، أي الكتاب والسنّة والعقل، مع رعاية أُصول الاجتهاد الحيوي، دون الخروج عن إطار الفقه والاجتهاد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أنّكم ستجدون في هذا الكتاب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التقليديّة 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المسألة تشير إلى اختصاص حرمة الغيبة بالشيعة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جواز اغتياب أتباع سائر المذاهب الإسلاميّة وسائر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قال به جميع الفقهاء تقريباً،باستثناء بعضهم، من أمثال المحقّق البحراني، وصاحب الجواهر، والسيّد الخوئي، والإمام الخميني وآخرين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أقاموا على هذا المدّعى أدلّة من الكتاب </w:t>
      </w:r>
    </w:p>
    <w:p>
      <w:pPr>
        <w:pStyle w:val="BookText"/>
        <w:rPr/>
      </w:pPr>
      <w:r>
        <w:rPr>
          <w:rFonts w:ascii="Amiri" w:hAnsi="Amiri" w:eastAsia="Amiri" w:cs="Amiri"/>
          <w:color w:val="111111"/>
          <w:sz w:val="28"/>
          <w:sz w:val="28"/>
          <w:szCs w:val="28"/>
          <w:rtl w:val="true"/>
          <w:lang w:bidi="ar-SA"/>
        </w:rPr>
        <w:t>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أنّ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جواز غيبة الكفّار، رفض اغتياب المسلمين بشكل مطلق،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دمهم ومالهم محترم، كذلك تحترم أعراضهم أيضاً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النظرة المختلفة والدقيقة إلى مصادر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والاستناد إلى آراء السلف الصالح في جميع مواضع الكتب الفقهيّة، تؤدّي بنا إلى القول بأنّ اغتياب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أديانهم ومذاهبهم وحتّى الكفّار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الحرمة، وإنّ جميع الناس محترمون وتصان أعراضهم، ما لم يُسيئوا إلى مقدّسات وعقائد المسلمين والموحّدين، ولم يخالفوا العقيدة الحقّة عن عناد ولجاج وتقصير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المعنى ينسجم مع الكرامة الذاتيّة لجميع الناس، على ما ورد في القرآن الكريم وروايات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 في محكم كتابه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نسعى في هذا الكتاب إلى القول بأنّ الآيات والروايات لا يمكن أن يُستفاد منها الدلالة على أنّ الأفضليّة في العقيدة والدين تمنح المعتقد حقوقاً وأحكاماً خاصّة، وكما أنّ العِرق والقوميّة والأرومة واللون والقوّة والثروة لا تمنح صاحبها أفضليّة وامتيازاً في الحقوق والأحكام على الآخرين، كذلك فإنّ الانتماء إلى المذهب أو العقيدة أو الاتجاهات الفكريّة والسياسيّة بدورها لا تمنح المنتمي ميزة في الأحكام والحقوق، بل إنّ المحترم والمشمول لإطلاقهذه الآية الكريمة هو ذات الإنسان بما هو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كما يحرم سبّ وهجاء واغتياب المسلمين والشيعة، كذلك يحرم سبّ وهجاء واغتياب سائر الناس، أيّاً كانت عقيدتهم، وأيّاً كان انتماؤهم الفكري أيضاً، ويُستثنى من ذلك التقصير والعناد والنصب والسبّ واللجاج؛ إذ أنّ هذه الموارد تستوجب القول بجواز اغتياب أصحابها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3" w:name="pg9434_76509"/>
    </w:p>
    <w:p>
      <w:pPr>
        <w:pStyle w:val="Heading2"/>
        <w:numPr>
          <w:ilvl w:val="1"/>
          <w:numId w:val="1"/>
        </w:numPr>
        <w:rPr/>
      </w:pPr>
      <w:bookmarkStart w:id="14" w:name="__RefHeading___Toc5889141_2870459653"/>
      <w:bookmarkStart w:id="15" w:name="_Toc5"/>
      <w:bookmarkEnd w:id="13"/>
      <w:bookmarkEnd w:id="14"/>
      <w:r>
        <w:rPr>
          <w:rtl w:val="true"/>
        </w:rPr>
        <w:t>هل يشترط الإسلام والإيمان في القول بحرمة الغيبة؟</w:t>
      </w:r>
      <w:bookmarkEnd w:id="15"/>
    </w:p>
    <w:p>
      <w:pPr>
        <w:pStyle w:val="Heading3"/>
        <w:numPr>
          <w:ilvl w:val="2"/>
          <w:numId w:val="1"/>
        </w:numPr>
        <w:rPr/>
      </w:pPr>
      <w:bookmarkStart w:id="16" w:name="__RefHeading___Toc5889143_2870459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حرمة الغيبة مختصّة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 الإثنى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وعدم شمول هذه الحرمة لسائر المسلمين والكفّار، ومن هنا يجوز اغتياب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تختصّ حرمة الغيبة بعموم المسلمين، وتجوز غيبة الكفّار فقط؟</w:t>
      </w:r>
    </w:p>
    <w:p>
      <w:pPr>
        <w:pStyle w:val="BookText"/>
        <w:rPr/>
      </w:pPr>
      <w:r>
        <w:rPr>
          <w:rFonts w:ascii="Amiri" w:hAnsi="Amiri" w:eastAsia="Amiri" w:cs="Amiri"/>
          <w:color w:val="111111"/>
          <w:sz w:val="28"/>
          <w:sz w:val="28"/>
          <w:szCs w:val="28"/>
          <w:rtl w:val="true"/>
          <w:lang w:bidi="ar-SA"/>
        </w:rPr>
        <w:t>هناك في هذه المسألة ثلاثة احتمالات، بل ثلاثة أقوال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889145_2870459653"/>
      <w:bookmarkStart w:id="19" w:name="_Toc7"/>
      <w:bookmarkEnd w:id="18"/>
      <w:r>
        <w:rPr>
          <w:rtl w:val="true"/>
        </w:rPr>
        <w:t>الأقوال في المسألة</w:t>
      </w:r>
      <w:r>
        <w:rPr>
          <w:rtl w:val="true"/>
        </w:rPr>
        <w:t>:</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غيبة كل إنسان محترم النفس والمال </w:t>
      </w:r>
    </w:p>
    <w:p>
      <w:pPr>
        <w:pStyle w:val="BookText"/>
        <w:rPr/>
      </w:pPr>
      <w:r>
        <w:rPr>
          <w:rFonts w:ascii="Amiri" w:hAnsi="Amiri" w:eastAsia="Amiri" w:cs="Amiri"/>
          <w:color w:val="111111"/>
          <w:sz w:val="28"/>
          <w:sz w:val="28"/>
          <w:szCs w:val="28"/>
          <w:rtl w:val="true"/>
          <w:lang w:bidi="ar-SA"/>
        </w:rPr>
        <w:t>والعِرض، سواء في ذلك المؤمن، والمسلم غير المؤمن، بل وسائر أبناء البشر من غير المسلمين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حرمة الغيبة بالمسلمين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تجوز غيبة غير المسلمين، وتبقى غيبة المخالفين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من غير الشيعة الإماميّة الإثنى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بهذا القول هو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حرمة الغيبة بالمؤمنين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تجوز غيبة جميع المخالفين من الكفّار وحتّى سائر المسلمين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القول المشهور بينالفقهاء، وقد ذهب الشيخ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الأنصاري، والسيّد الخوئي، والإمام الخميني، من كبار العلماء إلى هذا القول وأقاموا الدليل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المحدّث البحراني في البين لجواز غيبة الكفّار، بسبب شركهم وكفرهم، وقال بجواز غيبة المخالفين من هذا الباب أيضاً، واستشهد لذلك بالروايات والأخبار الدالّة على هذه المسألة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غيبة المخالفين بسبب كفرهم، يلحقون بالمشركين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 بأسطر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أقلّ من أن يكون جواز غيبتهم لتجاهرهم بالفسق؛ فإنّ ما هم عليه أعظم أنواع الفسق بل الكفر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الشيخ الأنصاري بدوره إلى القول بأنّ ظاهر الأخبار والروايات على اختصاص حرمة الغيبة بالمؤمنين، وقال بقيام ضرورة المذهب على عدم احترام المخالفين وعدم جريان أحكام الإسلام عليهم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سماحة الإمام الخميني، فلم يرَ جواز غيبة المخالفين من باب الكفر والشرك، بل إنّه وجد مجموع أدلّة الباب قاصرة عن إثبات حرمة الغيبة لغير المؤمن، وقال في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أنّ الناظر في الروايات لا ينبغي أن </w:t>
      </w:r>
    </w:p>
    <w:p>
      <w:pPr>
        <w:pStyle w:val="BookText"/>
        <w:rPr/>
      </w:pPr>
      <w:r>
        <w:rPr>
          <w:rFonts w:ascii="Amiri" w:hAnsi="Amiri" w:eastAsia="Amiri" w:cs="Amiri"/>
          <w:color w:val="111111"/>
          <w:sz w:val="28"/>
          <w:sz w:val="28"/>
          <w:szCs w:val="28"/>
          <w:rtl w:val="true"/>
          <w:lang w:bidi="ar-SA"/>
        </w:rPr>
        <w:t xml:space="preserve">يرتاب في قصورها عن إثبات حرمة غيبتهم، بل لا ينبغي أن يرتاب في أنّ الظاهر من مجموعها اختصاصها بغيبة المؤمن الموالي لأئمّة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لو سلّم إطلاق بعضها وغضّ النظر عن تحكيم الروايات التي في مقام التحديد عليها، فلا شبهة في عدم احترامهم؛ بل هو من ضروري المذهب كما قال المحققون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دليل جواز غيبة المخالفين يكمن في كونهم من أهل البدعة والكفر والتجاهر بالفسق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ما تقدّم، فقد ورد في جميع الموارد آنفة الذكر أنّ الذي يُستفاد من آيات وروايات الباب هو حرمة الأخ المؤمن، ولا توجد أيّة أخوّة بين الشيعة والمخالفين، وإذا ورد في الأخبار والروايات</w:t>
      </w:r>
      <w:r>
        <w:rPr>
          <w:rStyle w:val="FootnoteAnchor"/>
          <w:rtl w:val="true"/>
        </w:rPr>
        <w:footnoteReference w:id="12"/>
      </w:r>
      <w:r>
        <w:rPr>
          <w:rFonts w:ascii="Amiri" w:hAnsi="Amiri" w:eastAsia="Amiri" w:cs="Amiri"/>
          <w:color w:val="111111"/>
          <w:sz w:val="28"/>
          <w:sz w:val="28"/>
          <w:szCs w:val="28"/>
          <w:rtl w:val="true"/>
          <w:lang w:bidi="ar-SA"/>
        </w:rPr>
        <w:t xml:space="preserve">بعض الموارد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أضاف هؤلاء الأعلام إلى الأدلّة المتقدّمة النصب والسيرة المتشرّعة القائمة على سبّهم ولعنهم بين العوام والعلماء، وكذلك دلالة صدر وذيل الآية الكريمة التي ورد فيها الخطاب للمؤمنين، والتشبيه بالأخ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نتناول جميع هذه الأدلّة في الأبحاث القادمة بالنقد والنقاش الدقيق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نبدأ أوّلاً بإثبات أدلّتنا على الرأي المختار، الذي هو عدم جواز غيبة كلّ إنسان، ثمّ ننتقل بعد ذلك إلى نقد ومناقشة أدلّة الآخرين، وسوف نثبت قصورها عن هذا المدّعى</w:t>
      </w:r>
      <w:r>
        <w:rPr>
          <w:rFonts w:eastAsia="Amiri" w:cs="Amiri" w:ascii="Amiri" w:hAnsi="Amiri"/>
          <w:color w:val="111111"/>
          <w:sz w:val="28"/>
          <w:szCs w:val="28"/>
          <w:rtl w:val="true"/>
          <w:lang w:bidi="ar-SA"/>
        </w:rPr>
        <w:t xml:space="preserve">. </w:t>
      </w:r>
      <w:bookmarkStart w:id="20" w:name="pg9434_76514"/>
    </w:p>
    <w:p>
      <w:pPr>
        <w:pStyle w:val="Heading2"/>
        <w:numPr>
          <w:ilvl w:val="1"/>
          <w:numId w:val="1"/>
        </w:numPr>
        <w:rPr/>
      </w:pPr>
      <w:bookmarkStart w:id="21" w:name="__RefHeading___Toc5889147_2870459653"/>
      <w:bookmarkStart w:id="22" w:name="_Toc8"/>
      <w:bookmarkEnd w:id="20"/>
      <w:bookmarkEnd w:id="21"/>
      <w:r>
        <w:rPr>
          <w:rtl w:val="true"/>
        </w:rPr>
        <w:t>أدلّة عدم جواز غيبة جميع الناس</w:t>
      </w:r>
      <w:bookmarkEnd w:id="22"/>
    </w:p>
    <w:p>
      <w:pPr>
        <w:pStyle w:val="Heading3"/>
        <w:numPr>
          <w:ilvl w:val="2"/>
          <w:numId w:val="1"/>
        </w:numPr>
        <w:rPr/>
      </w:pPr>
      <w:bookmarkStart w:id="23" w:name="__RefHeading___Toc5889149_2870459653"/>
      <w:bookmarkStart w:id="24" w:name="_Toc9"/>
      <w:bookmarkEnd w:id="23"/>
      <w:r>
        <w:rPr>
          <w:rtl w:val="true"/>
        </w:rPr>
        <w:t>الدليل الأوّل</w:t>
      </w:r>
      <w:r>
        <w:rPr>
          <w:rtl w:val="true"/>
        </w:rPr>
        <w:t xml:space="preserve">: </w:t>
      </w:r>
      <w:r>
        <w:rPr>
          <w:rtl w:val="true"/>
        </w:rPr>
        <w:t>عموم آية حرمة الغيبة</w:t>
      </w:r>
      <w:bookmarkEnd w:id="2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هذه الآية يخصّ المؤمنين، وعليه فإنّه لا يشمل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في الجواب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آيات القرآن التي تذكر الأحكام المختلفة، تبدأ بخطاب يَا أَيُّهَا الَّذِينَ آمَنُوا، مع أنّها </w:t>
      </w:r>
    </w:p>
    <w:p>
      <w:pPr>
        <w:pStyle w:val="BookText"/>
        <w:rPr/>
      </w:pPr>
      <w:r>
        <w:rPr>
          <w:rFonts w:ascii="Amiri" w:hAnsi="Amiri" w:eastAsia="Amiri" w:cs="Amiri"/>
          <w:color w:val="111111"/>
          <w:sz w:val="28"/>
          <w:sz w:val="28"/>
          <w:szCs w:val="28"/>
          <w:rtl w:val="true"/>
          <w:lang w:bidi="ar-SA"/>
        </w:rPr>
        <w:t>تشتمل على الكثير من التكاليف والحقوق المدنيّة والاجتماعيّة، ولا شكّ في أنّها مشتركة بين جميع الناس؛ الأعمّ من المسلمين والكفّار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الخطابات يأتي في سياق حثّ وتحريض وتشجيع المؤمنين، وفي إطار توفير الضمانة التنفيذيّة للقوانين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ومبسّطة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الأحكام والقوانين وإن كانت مطلوبة من جميع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المسلمين وغير المسلمين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توقّع القيام بها من المؤمنين يكون أكثر من غيرهم؛ بحيث لا يتّم تعطيل تنفيذها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التعليل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أَحَدُكُمْ أَنْ يَأْكُلَ لَحْمَ أَخِيهِ مَيْتًا، تستوجب تعميم حكم الحرمة إلى غير المؤمنين من المخالفين والكفّار؛ لأنّ المراد من الأخ في هذه الآية الكريمة هو الأخ النسبي الذي لا يختلف أمره بين أن يكون مؤمناً أو مخالفاً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الذي تكره أكل لحم أخيك ميتاً، لا تغتبه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جدلاً باختصاص الآية بالمؤمنين، إلّا أنّ إلغاء الخصوصيّة ومناسبة الحكم والموضوع تقتضي شمول غير المؤمنين بحكم الحرمة أيضاً؛ </w:t>
      </w:r>
      <w:bookmarkStart w:id="25" w:name="pg9434_76516"/>
    </w:p>
    <w:p>
      <w:pPr>
        <w:pStyle w:val="BookText"/>
        <w:rPr/>
      </w:pPr>
      <w:bookmarkEnd w:id="25"/>
      <w:r>
        <w:rPr>
          <w:rFonts w:ascii="Amiri" w:hAnsi="Amiri" w:eastAsia="Amiri" w:cs="Amiri"/>
          <w:color w:val="111111"/>
          <w:sz w:val="28"/>
          <w:sz w:val="28"/>
          <w:szCs w:val="28"/>
          <w:rtl w:val="true"/>
          <w:lang w:bidi="ar-SA"/>
        </w:rPr>
        <w:t xml:space="preserve">لأنّ هتك عرض 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عقيدته وخصوصيّته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غيابه حيث لا يمكنه الدفاع عن نفسه، قبيح وظلم بحكم العقل، والعقل في هذاالمورد لا يفرّق بين المؤمن وغيره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889151_2870459653"/>
      <w:bookmarkStart w:id="27" w:name="_Toc10"/>
      <w:bookmarkEnd w:id="26"/>
      <w:r>
        <w:rPr>
          <w:rtl w:val="true"/>
        </w:rPr>
        <w:t>الدليل الثاني</w:t>
      </w:r>
      <w:r>
        <w:rPr>
          <w:rtl w:val="true"/>
        </w:rPr>
        <w:t xml:space="preserve">: </w:t>
      </w:r>
      <w:r>
        <w:rPr>
          <w:rtl w:val="true"/>
        </w:rPr>
        <w:t xml:space="preserve">عموم روايات </w:t>
      </w:r>
      <w:r>
        <w:rPr>
          <w:rtl w:val="true"/>
        </w:rPr>
        <w:t>«</w:t>
      </w:r>
      <w:r>
        <w:rPr>
          <w:rtl w:val="true"/>
        </w:rPr>
        <w:t>الغيبة</w:t>
      </w:r>
      <w:r>
        <w:rPr>
          <w:rtl w:val="true"/>
        </w:rPr>
        <w:t>»</w:t>
      </w:r>
      <w:bookmarkEnd w:id="27"/>
    </w:p>
    <w:p>
      <w:pPr>
        <w:pStyle w:val="Heading4"/>
        <w:numPr>
          <w:ilvl w:val="3"/>
          <w:numId w:val="1"/>
        </w:numPr>
        <w:rPr/>
      </w:pPr>
      <w:bookmarkStart w:id="28" w:name="__RefHeading___Toc5889153_2870459653"/>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لم ترد في الكثير من الروايات الوارد في حرمة الغيبة أيّ إشارة إلى خصائص المُغاب أبداً، بل ورد بيان حكم الحرمة بشكل عامّ، أو بألفاظ عامّة،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يُثبت عموم حرمة الغيبة لكلّ إنسان، دون النظر إلى بعض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سوف نبحث في بعض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سماعة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مروّته، وظهر عدله، ووجبت أُخوّته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أسرع في دين الرجل المسلم من </w:t>
      </w:r>
    </w:p>
    <w:p>
      <w:pPr>
        <w:pStyle w:val="BookText"/>
        <w:rPr/>
      </w:pPr>
      <w:r>
        <w:rPr>
          <w:rFonts w:ascii="Amiri" w:hAnsi="Amiri" w:eastAsia="Amiri" w:cs="Amiri"/>
          <w:color w:val="111111"/>
          <w:sz w:val="28"/>
          <w:sz w:val="28"/>
          <w:szCs w:val="28"/>
          <w:rtl w:val="true"/>
          <w:lang w:bidi="ar-SA"/>
        </w:rPr>
        <w:t>الآكلة في جوفه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أُخرى عن السكوني بذات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المسجد انتظاراً للصلاة عبادة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يحدث؟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نوف البكالي، حيث أراد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يعظه؛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كذب من زعم أنّه ولد حلال وهو يأكل لحوم الناس</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ولد حلال وهو يأكل لحوم الناس</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نلاحظ في جميع هذه الروايات أنّ تحريم الغيبة قد ورد بشكل مطلق، فهي لا تحتوي على أيّ </w:t>
      </w:r>
    </w:p>
    <w:p>
      <w:pPr>
        <w:pStyle w:val="BookText"/>
        <w:rPr/>
      </w:pPr>
      <w:r>
        <w:rPr>
          <w:rFonts w:ascii="Amiri" w:hAnsi="Amiri" w:eastAsia="Amiri" w:cs="Amiri"/>
          <w:color w:val="111111"/>
          <w:sz w:val="28"/>
          <w:sz w:val="28"/>
          <w:szCs w:val="28"/>
          <w:rtl w:val="true"/>
          <w:lang w:bidi="ar-SA"/>
        </w:rPr>
        <w:t xml:space="preserve">تصريح بكون المُغاب مسلماً أو شيعيّاً اثنا عشريّاً، بل وردت الحرمة فيالرواية الأُولى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الروايتين الأخيرتين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وكلتا الكلمتين تشمل المؤمن والمسلم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الروايات التي تقول بأنّ الغيبة أشدّ من الزنا، قد وردت بدورها على نحو مطلق، دون بيان أيّ خصوصية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الزنا يتوب فيتوب الله عليه، وصاحب الغيبة يتوب فلا يتوب الله عليه حتّى يكون صاحبه الذي يحلّله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الرواية في كتب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جابر وأبو سعيد، عن النبيّ </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والغيبة؛ فإنّ الغيبة أشدّ من الزنا، إنّ الرجل يزني ويتوب فيتوب الله عليه، وإنّ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المأثور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إيّاك والغيبة؛ فإنّ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الرجل يزني فيتوب إلى الله فيتوب الله عليه، والغيبة لا تغفر حتّى يغفرها صاحبها </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نلاحظ في جميع هذه الروايات، بيان أنّ الغيبة أشدّ من الزنا بالمطلق، دون ذكر أيّ قيد آخر فيها، أعمّ من الإسلام والإيمان والأُخوّة وما إلى ذلك؛ وعليه يكون حكم هذه الروايات شاملاً لجميع الناس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هناك روايات أُخرى أيضاً</w:t>
      </w:r>
      <w:r>
        <w:rPr>
          <w:rStyle w:val="FootnoteAnchor"/>
          <w:rtl w:val="true"/>
        </w:rPr>
        <w:footnoteReference w:id="24"/>
      </w:r>
      <w:r>
        <w:rPr>
          <w:rFonts w:ascii="Amiri" w:hAnsi="Amiri" w:eastAsia="Amiri" w:cs="Amiri"/>
          <w:color w:val="111111"/>
          <w:sz w:val="28"/>
          <w:sz w:val="28"/>
          <w:szCs w:val="28"/>
          <w:rtl w:val="true"/>
          <w:lang w:bidi="ar-SA"/>
        </w:rPr>
        <w:t xml:space="preserve">تدلّ </w:t>
      </w:r>
    </w:p>
    <w:p>
      <w:pPr>
        <w:pStyle w:val="BookText"/>
        <w:rPr/>
      </w:pPr>
      <w:r>
        <w:rPr>
          <w:rFonts w:ascii="Amiri" w:hAnsi="Amiri" w:eastAsia="Amiri" w:cs="Amiri"/>
          <w:color w:val="111111"/>
          <w:sz w:val="28"/>
          <w:sz w:val="28"/>
          <w:szCs w:val="28"/>
          <w:rtl w:val="true"/>
          <w:lang w:bidi="ar-SA"/>
        </w:rPr>
        <w:t>على هذا المعنى، وقد أعرضنا عن ذكرها، واكتفينا بذكر بعضها تجنّباًللإطالة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والروايات العامّة والمطلقة يتمّ تخصيصها أو تقييدها بالروايات المقيّدة بالإسلام والإيمان والأُخوّة؛ ومن هنا يتمّ تخصيص وتقييد ما يدلّ على حرمة الغيبة بشكل عامّ ومطلق، بجميع الأدلّة الدالّة على حرمة المؤمن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والتقييد إنّما يكون حيث يوجد تعارض وتناف بين العامّ والخاصّ والمطلق والمقيّد، وفيما نحن فيه لا يوجد أيّ تناف أو تعارض بين حرمة غيبة كلّ إنسان وحرمة غيبة المؤمن والمسلم؛ لأنّ كلا النوعين من هذه الأدلّة بصدد إثبات حكم متعلّقه، كما يقال 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 هذه الحالة لا يُحمل العامّ على خاصّه، ولا المطلق على مقيّده؛ لأنّ التقييد والتخصيص من قواعد باب التعارض، ولا يوجد في البين تعارض أو تناف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والكثير من الروايات، بسبب 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تدلّ على خصوص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إذ ليس هناك أيّ أُخوّة بين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الشيعي الإثنى </w:t>
      </w:r>
    </w:p>
    <w:p>
      <w:pPr>
        <w:pStyle w:val="BookText"/>
        <w:rPr/>
      </w:pPr>
      <w:r>
        <w:rPr>
          <w:rFonts w:ascii="Amiri" w:hAnsi="Amiri" w:eastAsia="Amiri" w:cs="Amiri"/>
          <w:color w:val="111111"/>
          <w:sz w:val="28"/>
          <w:sz w:val="28"/>
          <w:szCs w:val="28"/>
          <w:rtl w:val="true"/>
          <w:lang w:bidi="ar-SA"/>
        </w:rPr>
        <w:t xml:space="preserve">عشري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الأُخوّة الواردة على هذه الشاكلة في مصطلح الآيات والروايات إنّما هي في قبال العداوة، والحال لا يوجد في هذا البحث أيّ كلام بشأن العداوة، ولا توجد بيننا وبينهم خصومة وعداء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التعاليم الواردة بشأن حلّيّة ذبيحتهم، وعدم المنع من الزواج منهم، وعدم المنع من دخولهم إلى مساجد المؤمنين، كلّ ذلك يدلّ على عدم وجود العداء بيننا وبينهم، بل إنّ إظهار العداء والخصومة إنّما يكون مع أصحاب البِدَع والمنكرين والجاحدين منهم، والذين ينكرون الحقّ عن علم وعمد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توجد عداوة فيما بيننا، وإنّ كلّ شخص لا يعادي ديننا وعقائدنا لن يكون لنا معه عداوة من الناحية الدينيّة، ولكنّنا لا نؤاخي كلّ شخص يبدي عناداً أو عداوة تجاهنا وتجاه ديننا وعقائدنا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كلامكم هذا إنّما هو اجتهاد في قبال النصّ؛ إذ أنّ الله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الشيء لا ينفي ما عداه؛ بمعنى أنّ الآية الكريمة وإن كانت تثبت الأُخوّة بين المؤمنين، ولكنّها في الوقت نفسه لا تنفي الأُخوّة بين الآخرين؛ فهي ليست بصدد بيان أنّهم ليسوا إخوة مع غير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 التعبير في هذه الآية عن فئتين وطائفتين من المسلمين بأنّهم إخوة، مع أنّ الحرب كانت قائمة بينهما، وتمّ الأمر بإقامة الصلح والسلام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ذات هذا التعبير في كلام للإمام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بشأن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انتصاره على الخوارج،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ينسب أحداً من أهل حربه إلى الشرك ولا إلى النفاق،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إخواننا، بغوا علينا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المسلمين مهما اختلفوا فيما بينهم، إلّا أنّهم ما داموا مشتركين في أُصول العقيدة فإنّهم يبقون إخوة لبعضهم، وإذا ظهر الخلاف والتخاصم بينهم، وجب على جميع أفراد المجتمع أن يقيموا الصلح والوئام والسلام بين المتخالفين منهم</w:t>
      </w:r>
      <w:r>
        <w:rPr>
          <w:rFonts w:eastAsia="Amiri" w:cs="Amiri" w:ascii="Amiri" w:hAnsi="Amiri"/>
          <w:color w:val="111111"/>
          <w:sz w:val="28"/>
          <w:szCs w:val="28"/>
          <w:rtl w:val="true"/>
          <w:lang w:bidi="ar-SA"/>
        </w:rPr>
        <w:t xml:space="preserve">. </w:t>
      </w:r>
      <w:bookmarkStart w:id="30" w:name="pg9434_76523"/>
    </w:p>
    <w:p>
      <w:pPr>
        <w:pStyle w:val="BookText"/>
        <w:rPr/>
      </w:pPr>
      <w:bookmarkEnd w:id="30"/>
      <w:r>
        <w:rPr>
          <w:rFonts w:ascii="Amiri" w:hAnsi="Amiri" w:eastAsia="Amiri" w:cs="Amiri"/>
          <w:color w:val="111111"/>
          <w:sz w:val="28"/>
          <w:sz w:val="28"/>
          <w:szCs w:val="28"/>
          <w:rtl w:val="true"/>
          <w:lang w:bidi="ar-SA"/>
        </w:rPr>
        <w:t xml:space="preserve">ومن هنا لربما كانت الآية الكريمة بصدد بيان الاتّحاد والتلاحم بين مجتمع المسلمين، مع وجود الهدف المشترك، وليست بصدد بيان من هو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ليس بأخ له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889155_2870459653"/>
      <w:bookmarkStart w:id="32" w:name="_Toc12"/>
      <w:bookmarkEnd w:id="31"/>
      <w:r>
        <w:rPr>
          <w:rtl w:val="true"/>
        </w:rPr>
        <w:t>نسبة الروايات الخاصّة إلى الروايات العامّة في حرمة الغيبة</w:t>
      </w:r>
      <w:bookmarkEnd w:id="32"/>
    </w:p>
    <w:p>
      <w:pPr>
        <w:pStyle w:val="BookText"/>
        <w:rPr/>
      </w:pPr>
      <w:r>
        <w:rPr>
          <w:rFonts w:ascii="Amiri" w:hAnsi="Amiri" w:eastAsia="Amiri" w:cs="Amiri"/>
          <w:color w:val="111111"/>
          <w:sz w:val="28"/>
          <w:sz w:val="28"/>
          <w:szCs w:val="28"/>
          <w:rtl w:val="true"/>
          <w:lang w:bidi="ar-SA"/>
        </w:rPr>
        <w:t xml:space="preserve">إنّ لسماحة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بحث تخصيص العمومات وتقييد المطلقات، كلاماً جديراً بالتأمّل؛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وفيها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سُباب المسلم فسوق، وقتاله كفر، وأكل لحمه من معاصي الله، وحرمة 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وما الغيبة؟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قد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فسّرت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سائر الروايات؛ فإنّها في مقام تفسيرها اعتبرت الأُخوّة فيها، فغيرنا ليسوا بإخواننا </w:t>
      </w:r>
    </w:p>
    <w:p>
      <w:pPr>
        <w:pStyle w:val="BookText"/>
        <w:rPr/>
      </w:pPr>
      <w:r>
        <w:rPr>
          <w:rFonts w:ascii="Amiri" w:hAnsi="Amiri" w:eastAsia="Amiri" w:cs="Amiri"/>
          <w:color w:val="111111"/>
          <w:sz w:val="28"/>
          <w:sz w:val="28"/>
          <w:szCs w:val="28"/>
          <w:rtl w:val="true"/>
          <w:lang w:bidi="ar-SA"/>
        </w:rPr>
        <w:t>وإن كانوا مسلمين؛ فتكون تلك الروايات مفسّرة للمسلم المأخوذ في سائرها بأنّ حرمة الغيبة مخصوصة بمسلم له أُخوّة إسلاميّة وإيمانيّة مع الآخر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طبقاً لهذا الكلام الذي ذكره 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الروايات التي تذكر قيد الأُخوّة والإيمان حاكمةٌ على سائر الروايات الواردة بشكل عامّ ومطلق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يكون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الدليل المحكوم، ولا يكون الدليلان مثبتين؛ إذ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له أدنى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 على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بعض الملاحظات على هذا الكلام الذي ذكره 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الروايات التي أشار إليها سماحته تعاني من ضعف السند، بالإضافة إلى أنّها قليلة جدّاً، بحيث أنّها لا تقبل الحاكميّة، ولا يمكن بهذا العدد القليل من الروايات غضّ الطرف عن عموم وإطلاق الآية وجميع تلك الروايات الكثيرة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استعمالها في هذا </w:t>
      </w:r>
    </w:p>
    <w:p>
      <w:pPr>
        <w:pStyle w:val="BookText"/>
        <w:rPr/>
      </w:pPr>
      <w:r>
        <w:rPr>
          <w:rFonts w:ascii="Amiri" w:hAnsi="Amiri" w:eastAsia="Amiri" w:cs="Amiri"/>
          <w:color w:val="111111"/>
          <w:sz w:val="28"/>
          <w:sz w:val="28"/>
          <w:szCs w:val="28"/>
          <w:rtl w:val="true"/>
          <w:lang w:bidi="ar-SA"/>
        </w:rPr>
        <w:t>النوع من الروايات، هي من قبيل ذات الخطابات المستعملة في هذه الآية وسائر الآيات بالنسبة إلى المؤمنين، بمعنى أنّها مستعملة بداعي التشجيع بهدف إيجاد الضمانة التنفيذيّة لهذه الأحكام، وليس لها صفة القيد في الموضوع، وعلى هذا الأساس لا تستوجب تقييد الإطلاقات وتخصيص العمومات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الواردة في مسألة الغيبة وذكر فيها قيد الإيمان، أو استعمل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يحتمل أن تكون واردة لبيان شدّة وعظم الغيبة حيث ترتكب بحقّ المؤمن بما هو مؤمن، بمعنى أنّها استبيحت لجهة الإيمان؛أي أنّ إيمان هذا الشخص هو الذي أدّى بالآخرين إلى اغتيابه وهتك حرمته والقضاء على سمعته،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28"/>
      </w:r>
      <w:r>
        <w:rPr>
          <w:rFonts w:ascii="Amiri" w:hAnsi="Amiri" w:eastAsia="Amiri" w:cs="Amiri"/>
          <w:color w:val="111111"/>
          <w:sz w:val="28"/>
          <w:sz w:val="28"/>
          <w:szCs w:val="28"/>
          <w:rtl w:val="true"/>
          <w:lang w:bidi="ar-SA"/>
        </w:rPr>
        <w:t>بمعنى أنّهم يحبّون أن تشيع الفحشاء وتنتشر القباح في مجتمع المؤمنين بسبب إيمانهم، كي يؤدّي ذلك إلى زوال عزّة المؤمنين وعظمتهم وشوكتهم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المراد في الواقع هو انتهاك قيَم الإيمان في المجتمع، وإلّا فليس هناك أحقاد </w:t>
      </w:r>
    </w:p>
    <w:p>
      <w:pPr>
        <w:pStyle w:val="BookText"/>
        <w:rPr/>
      </w:pPr>
      <w:r>
        <w:rPr>
          <w:rFonts w:ascii="Amiri" w:hAnsi="Amiri" w:eastAsia="Amiri" w:cs="Amiri"/>
          <w:color w:val="111111"/>
          <w:sz w:val="28"/>
          <w:sz w:val="28"/>
          <w:szCs w:val="28"/>
          <w:rtl w:val="true"/>
          <w:lang w:bidi="ar-SA"/>
        </w:rPr>
        <w:t>وعداوات شخصيّة، وإنّما العداوة هنا تستهدف القيَم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w:t>
      </w:r>
      <w:r>
        <w:rPr>
          <w:rStyle w:val="FootnoteAnchor"/>
          <w:rtl w:val="true"/>
        </w:rPr>
        <w:footnoteReference w:id="29"/>
      </w:r>
      <w:r>
        <w:rPr>
          <w:rFonts w:ascii="Amiri" w:hAnsi="Amiri" w:eastAsia="Amiri" w:cs="Amiri"/>
          <w:color w:val="111111"/>
          <w:sz w:val="28"/>
          <w:sz w:val="28"/>
          <w:szCs w:val="28"/>
          <w:rtl w:val="true"/>
          <w:lang w:bidi="ar-SA"/>
        </w:rPr>
        <w:t>، فإنّه إنّما يكون جزاء قتل المؤمن عمداً هو الخلود في النار لأنّ المقتول إنما قُتل بسبب إيمانه، وقد ورد ذكر هذا المعنى في الروايات</w:t>
      </w:r>
      <w:r>
        <w:rPr>
          <w:rStyle w:val="FootnoteAnchor"/>
          <w:rtl w:val="true"/>
        </w:rPr>
        <w:footnoteReference w:id="30"/>
      </w:r>
      <w:r>
        <w:rPr>
          <w:rFonts w:ascii="Amiri" w:hAnsi="Amiri" w:eastAsia="Amiri" w:cs="Amiri"/>
          <w:color w:val="111111"/>
          <w:sz w:val="28"/>
          <w:sz w:val="28"/>
          <w:szCs w:val="28"/>
          <w:rtl w:val="true"/>
          <w:lang w:bidi="ar-SA"/>
        </w:rPr>
        <w:t>حيث قالت إنّ هذه العقوبة إنّما تخصّ القاتلين الذين يقتلون المؤمن بسبب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أمكن القول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شيء غير الشيعة الاثنى عشريّة الإماميّة؛ بمعنى 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يأمنه سائر المؤمنين على أموالهم وأرواحهم، وأنّ المسلم هو الذي يسلم سائر المسلمين من يده ولسانه؛ كما في رواية سليمان بن خالد،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ائتمنه المؤمنون على أنفسهم وأموالهم، والمسلم من سلم المسلمون من يده ولسانه، والمهاجر من هجر السيّئات وترك ما </w:t>
      </w:r>
      <w:bookmarkStart w:id="33" w:name="pg9434_76527"/>
    </w:p>
    <w:p>
      <w:pPr>
        <w:pStyle w:val="BookText"/>
        <w:rPr/>
      </w:pPr>
      <w:bookmarkEnd w:id="33"/>
      <w:r>
        <w:rPr>
          <w:rFonts w:ascii="Amiri" w:hAnsi="Amiri" w:eastAsia="Amiri" w:cs="Amiri"/>
          <w:color w:val="111111"/>
          <w:sz w:val="28"/>
          <w:sz w:val="28"/>
          <w:szCs w:val="28"/>
          <w:rtl w:val="true"/>
          <w:lang w:bidi="ar-SA"/>
        </w:rPr>
        <w:t>حرّم الله، والمؤمن حرام على المؤمن أن يظلمه أو يخذله أو يغتابه أو يدفعه دفعة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التي يُدّعى أنّ لسانها هو لسان الحكومة على سائر الروايات، لم ترد في مقام تفسير وبيان الغيبة بشكل مطلق ومن جميع الجهات، حتّى يقال إنّ واحدة من الجهات المطروحة في تفسير الغيبة هي الإيمان؛ وإنّما هي في مقام تفسير وبيان الغيبة في قبال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فإنّها حيث لم تكن في مقام بيان جميع الجهات المطروحة في الغيبة،لا يمكن أن تكون حاكمة على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تقدّم أنّ المستفاد من القرآن والروايات هو حرمة غيبة جميع أبناء البشر أيّاً كان معتقدهم وتفكيرهم، وأنّ حرمتها لا تختصّ بالمسلمين أو الشيعة الإماميّة الاثنى عشريّة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889157_2870459653"/>
      <w:bookmarkStart w:id="35" w:name="_Toc13"/>
      <w:bookmarkEnd w:id="34"/>
      <w:r>
        <w:rPr>
          <w:rtl w:val="true"/>
        </w:rPr>
        <w:t>الدليل الثالث</w:t>
      </w:r>
      <w:r>
        <w:rPr>
          <w:rtl w:val="true"/>
        </w:rPr>
        <w:t xml:space="preserve">: </w:t>
      </w:r>
      <w:r>
        <w:rPr>
          <w:rtl w:val="true"/>
        </w:rPr>
        <w:t>عموم روايات حُسن المعاشرة والأخلاق</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ما تقدّم من الأدلّة، يمكن أن نضيف الروايات الواردة في مداراة الناس، والتعامل معهم </w:t>
      </w:r>
    </w:p>
    <w:p>
      <w:pPr>
        <w:pStyle w:val="BookText"/>
        <w:rPr/>
      </w:pPr>
      <w:r>
        <w:rPr>
          <w:rFonts w:ascii="Amiri" w:hAnsi="Amiri" w:eastAsia="Amiri" w:cs="Amiri"/>
          <w:color w:val="111111"/>
          <w:sz w:val="28"/>
          <w:sz w:val="28"/>
          <w:szCs w:val="28"/>
          <w:rtl w:val="true"/>
          <w:lang w:bidi="ar-SA"/>
        </w:rPr>
        <w:t>بالأخلاق والإحسان، والتعاطي معهم بالتي هي أحسن، وتأليف قلوبهم ومعاملتهم بإنصاف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الروايات التي تأمرنا بأن نعامل الناس كما نحبّ أن يعاملوننا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الروايات التي يأمر فيها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أتباعهم وشيعتهم بأن يكونوا زيناً لهم، لا أن يكونوا شيناً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الروايات التي تأمرنا بأن ندعو الناس إلى المذهب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أفعالنا وحُسن سلوكنا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أن نعلم أنّ أكثر هذه الروايات قد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ترد فيها أيّ إشارة إلى امتيازات خاصّة بما في ذلك الدين والمذهب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القول بجواز غيبة من هم على غير ديننا أو من هم على غير مذهبنا، لا ينسجم قطعاً مع هذه الروايات العامّة؛ وذلك لأنّ هذا النوع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عن الناس بالسوء في غيابهم والتلاعب بسمعتهم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يتنافى تماماً مع تعاليم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بشأن مداراة الناس، وحُسن الأخلاق، والإنصاف، والإحسان، ودعوة الآخرين بواسطة السلوك والأفعال المناسبة التي تكون مدعاة عزّة وزين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المقابل فإنّ اجتناب الغيبة من المصاديق </w:t>
      </w:r>
    </w:p>
    <w:p>
      <w:pPr>
        <w:pStyle w:val="BookText"/>
        <w:rPr/>
      </w:pPr>
      <w:r>
        <w:rPr>
          <w:rFonts w:ascii="Amiri" w:hAnsi="Amiri" w:eastAsia="Amiri" w:cs="Amiri"/>
          <w:color w:val="111111"/>
          <w:sz w:val="28"/>
          <w:sz w:val="28"/>
          <w:szCs w:val="28"/>
          <w:rtl w:val="true"/>
          <w:lang w:bidi="ar-SA"/>
        </w:rPr>
        <w:t>البارزة لجميع هذه التعاليم؛ الأعمّ من المداراة، وحسن الأخلاق، والإنصاف، والإحسان،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غيبة جميع الناس هي الأنسب بالكرامة الذاتيّة وتساوي الناس في الحقوق على ما تقدّمت الإشارة إليه في صريح الآياتوالروايات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غيبة غير الشيعة والكفّار لا يتنافى مع تساوي جميع الناس في الحقوق؛ وذلك لأنّ التساوي إنّما يكون في الأُمور غير الاختياريّة، وأمّا الأعمال والأُمور الاختياريّة حيث يختار كلّ شخص شيئاً بكامل رغبته وإرادته، قد تؤدّي إلى الاختلاف في الحقوق، وحيث أنّ المخالفين لنا والكفّار قد اختاروا عقيدتهم الفاسدة ومذهبهم الباطل بسوء اختيارهم وإرادتهم، لن يشكل هذا مانعاً، دون الاختلاف في الحقوق، ومن بينها جواز الغيبة؛ إذ يتحمّلون نتيجة اختيارهم السيئ</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ذلك؛ لأنّ الجواب عنه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هذا الإشكال إنّما يصحّ إذا كان المخالفون لنا والكفّار من الجاهلين المقصّرين، أو الذين يبادرون إلى الإنكار والعدوان بعد التعرّف على الحقّ، إمعاناً منهم في العناد واللجاج؛ هذا في حين </w:t>
      </w:r>
    </w:p>
    <w:p>
      <w:pPr>
        <w:pStyle w:val="BookText"/>
        <w:rPr/>
      </w:pPr>
      <w:r>
        <w:rPr>
          <w:rFonts w:ascii="Amiri" w:hAnsi="Amiri" w:eastAsia="Amiri" w:cs="Amiri"/>
          <w:color w:val="111111"/>
          <w:sz w:val="28"/>
          <w:sz w:val="28"/>
          <w:szCs w:val="28"/>
          <w:rtl w:val="true"/>
          <w:lang w:bidi="ar-SA"/>
        </w:rPr>
        <w:t>أنّ أكثر المخالفين والكفّار إنّما هم في الواقع من الجاهلين القاصرين وغير المعاندين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جواز الغيبة وهتك عرض الأشخاص يعدّ نوعاً من العقوبة، ومن البديهات الأوّليّة لإثبات العقوبة على شخص أن يكون قد ارتكب جريرة أو جنحة تضرّ بالفرد أو المجتمع، وإنّ مجرّد اعتناقهم عقيدة مخالفة لا يوجب ارتكابهم لجريمة يستحقّون عليها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لهذه المجموعة من المناقشات أن تقنع فقيهاً كبيراً مثل المحقّق الأردبيلي، وحمل على القول بعدم جواز غيبة جميع المسلمين؛ الأعمّ من الشيعة وغيرهم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بحرمة غيبة جميع المسلمين، دون اختصاص لذلك بالشيعة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بطبيعة الحال يرى جواز غيبة الكفّار</w:t>
      </w:r>
      <w:r>
        <w:rPr>
          <w:rFonts w:eastAsia="Amiri" w:cs="Amiri" w:ascii="Amiri" w:hAnsi="Amiri"/>
          <w:color w:val="111111"/>
          <w:sz w:val="28"/>
          <w:szCs w:val="28"/>
          <w:rtl w:val="true"/>
          <w:lang w:bidi="ar-SA"/>
        </w:rPr>
        <w:t xml:space="preserve">. </w:t>
      </w:r>
      <w:bookmarkStart w:id="36" w:name="pg9434_76531"/>
    </w:p>
    <w:p>
      <w:pPr>
        <w:pStyle w:val="Heading2"/>
        <w:numPr>
          <w:ilvl w:val="1"/>
          <w:numId w:val="1"/>
        </w:numPr>
        <w:rPr/>
      </w:pPr>
      <w:bookmarkStart w:id="37" w:name="__RefHeading___Toc5889159_2870459653"/>
      <w:bookmarkStart w:id="38" w:name="_Toc14"/>
      <w:bookmarkEnd w:id="36"/>
      <w:bookmarkEnd w:id="37"/>
      <w:r>
        <w:rPr>
          <w:rtl w:val="true"/>
        </w:rPr>
        <w:t>كلام المقدّس الأردبيلي في حرمة غيبة المسلم</w:t>
      </w:r>
      <w:bookmarkEnd w:id="38"/>
    </w:p>
    <w:p>
      <w:pPr>
        <w:pStyle w:val="Heading3"/>
        <w:numPr>
          <w:ilvl w:val="2"/>
          <w:numId w:val="1"/>
        </w:numPr>
        <w:rPr/>
      </w:pPr>
      <w:bookmarkStart w:id="39" w:name="__RefHeading___Toc5889161_2870459653"/>
      <w:bookmarkStart w:id="40" w:name="_Toc15"/>
      <w:bookmarkEnd w:id="39"/>
      <w:r>
        <w:rPr>
          <w:rtl w:val="true"/>
        </w:rPr>
        <w:t>اشارة</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عموم أدلّة تحريم الغيبة من الكتاب والسنة يشمل المؤمنين وغيرهم؛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w:t>
      </w:r>
      <w:r>
        <w:rPr>
          <w:rStyle w:val="FootnoteAnchor"/>
          <w:rtl w:val="true"/>
        </w:rPr>
        <w:footnoteReference w:id="32"/>
      </w:r>
      <w:r>
        <w:rPr>
          <w:rFonts w:ascii="Amiri" w:hAnsi="Amiri" w:eastAsia="Amiri" w:cs="Amiri"/>
          <w:color w:val="111111"/>
          <w:sz w:val="28"/>
          <w:sz w:val="28"/>
          <w:szCs w:val="28"/>
          <w:rtl w:val="true"/>
          <w:lang w:bidi="ar-SA"/>
        </w:rPr>
        <w:t>إمّا للمكلّفين كلّهم، أو المسلمين فقط؛ لجواز غيبة الكافر، ولقوله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أَخِيهِ مَيْتًا، وكذا الأخبار؛ فإنّ أكثرها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اغتاب إمرءاً مسلماً بطل صومه، ونقض وضوؤه، وجاء يوم القيامة تفوح من فيه رائحة أنتن من الجيفة يتأذّى بها </w:t>
      </w:r>
    </w:p>
    <w:p>
      <w:pPr>
        <w:pStyle w:val="BookText"/>
        <w:rPr/>
      </w:pPr>
      <w:r>
        <w:rPr>
          <w:rFonts w:ascii="Amiri" w:hAnsi="Amiri" w:eastAsia="Amiri" w:cs="Amiri"/>
          <w:color w:val="111111"/>
          <w:sz w:val="28"/>
          <w:sz w:val="28"/>
          <w:szCs w:val="28"/>
          <w:rtl w:val="true"/>
          <w:lang w:bidi="ar-SA"/>
        </w:rPr>
        <w:t xml:space="preserve">أهل الموقف، فإن مات قبل أن يتوب، مات مستحلّاً لما حرّم الله عزّ و جل </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المسلم على المسلم حرام دمه وماله وعرضه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والغيبة تناول العِرض، وقد جمع بينها</w:t>
      </w:r>
      <w:r>
        <w:rPr>
          <w:rStyle w:val="FootnoteAnchor"/>
          <w:rtl w:val="true"/>
        </w:rPr>
        <w:footnoteReference w:id="35"/>
      </w:r>
      <w:r>
        <w:rPr>
          <w:rFonts w:ascii="Amiri" w:hAnsi="Amiri" w:eastAsia="Amiri" w:cs="Amiri"/>
          <w:color w:val="111111"/>
          <w:sz w:val="28"/>
          <w:sz w:val="28"/>
          <w:szCs w:val="28"/>
          <w:rtl w:val="true"/>
          <w:lang w:bidi="ar-SA"/>
        </w:rPr>
        <w:t xml:space="preserve">وبين الدم والمال،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تحاسدوا، ولا تباغضوا، ولا يغتب بعضكم بعضاً، وكونوا عباد الله إخواناً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أسمع العواتق في بيوتها،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آمن بلسانه ولم يؤمن بقلبه، لا تغتابوا المسلمين ولا تتّبعوا عوراتهم، فإنّه من تتبّع عورة أخيه تتبّع الله عورته، ومن يتبّع</w:t>
      </w:r>
      <w:r>
        <w:rPr>
          <w:rStyle w:val="FootnoteAnchor"/>
          <w:rtl w:val="true"/>
        </w:rPr>
        <w:footnoteReference w:id="37"/>
      </w:r>
      <w:r>
        <w:rPr>
          <w:rFonts w:ascii="Amiri" w:hAnsi="Amiri" w:eastAsia="Amiri" w:cs="Amiri"/>
          <w:color w:val="111111"/>
          <w:sz w:val="28"/>
          <w:sz w:val="28"/>
          <w:szCs w:val="28"/>
          <w:rtl w:val="true"/>
          <w:lang w:bidi="ar-SA"/>
        </w:rPr>
        <w:t>الله عورته يفضحه</w:t>
      </w:r>
      <w:r>
        <w:rPr>
          <w:rStyle w:val="FootnoteAnchor"/>
          <w:rtl w:val="true"/>
        </w:rPr>
        <w:footnoteReference w:id="38"/>
      </w:r>
      <w:r>
        <w:rPr>
          <w:rFonts w:ascii="Amiri" w:hAnsi="Amiri" w:eastAsia="Amiri" w:cs="Amiri"/>
          <w:color w:val="111111"/>
          <w:sz w:val="28"/>
          <w:sz w:val="28"/>
          <w:szCs w:val="28"/>
          <w:rtl w:val="true"/>
          <w:lang w:bidi="ar-SA"/>
        </w:rPr>
        <w:t>في جوف بيته</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الغيبة وخصوص ذكر </w:t>
      </w:r>
      <w:bookmarkStart w:id="41" w:name="pg9434_76533"/>
    </w:p>
    <w:p>
      <w:pPr>
        <w:pStyle w:val="BookText"/>
        <w:rPr/>
      </w:pPr>
      <w:bookmarkEnd w:id="41"/>
      <w:r>
        <w:rPr>
          <w:rFonts w:ascii="Amiri" w:hAnsi="Amiri" w:eastAsia="Amiri" w:cs="Amiri"/>
          <w:color w:val="111111"/>
          <w:sz w:val="28"/>
          <w:sz w:val="28"/>
          <w:szCs w:val="28"/>
          <w:rtl w:val="true"/>
          <w:lang w:bidi="ar-SA"/>
        </w:rPr>
        <w:t>المسلم يدلّ على التحريم مطلقاً، وأنّ عرض المسلم كدمه وماله، فكما لا يجوز أخذ مال المخالف وقتله، لا يجوز تناول عِرضه الذي هو الغيبة، وذلك لا يدلّ على كونه مقبولاً عند الله، كعدم جواز أخذ مالهوقتله، كما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يدلّ جواز لعنه بنصّ، على جواز الغيبة مع تلك الأدلّة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طويل، أو قصير، وأعمى، وأجذم وأبرص، وغير ذلك،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أنّي 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غيبة المخالف من حيث مذهبه ودينه الباطل وكونه فاسقاً من تلك الجهة، لا غير،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ونحوه، الله يعلم، ولا شكّ أنّ الاجتناب أحوط</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5889163_2870459653"/>
      <w:bookmarkStart w:id="43" w:name="_Toc16"/>
      <w:bookmarkEnd w:id="42"/>
      <w:r>
        <w:rPr>
          <w:rtl w:val="true"/>
        </w:rPr>
        <w:t>مناقشة أدلّة جواز غيبة المخالفين</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إلى أنّ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تناولا هذه المسألة بمزيد من الشرح </w:t>
      </w:r>
    </w:p>
    <w:p>
      <w:pPr>
        <w:pStyle w:val="BookText"/>
        <w:rPr/>
      </w:pPr>
      <w:r>
        <w:rPr>
          <w:rFonts w:ascii="Amiri" w:hAnsi="Amiri" w:eastAsia="Amiri" w:cs="Amiri"/>
          <w:color w:val="111111"/>
          <w:sz w:val="28"/>
          <w:sz w:val="28"/>
          <w:szCs w:val="28"/>
          <w:rtl w:val="true"/>
          <w:lang w:bidi="ar-SA"/>
        </w:rPr>
        <w:t>والتفصيل، سوف نتعرّض لكلامهما في نقد ومناقشة أدلّة جواز غيبة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نظرية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الوهن والقصور، وإن كان مبنيّاً على ما هو المعروف المشهور من الحكم بإسلام المخالفين، إلّا أنّ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ردّه، متكاثرة مستفيضة، على وجه لا يعتريها 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بسطنا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الناصب، وقد قدّمنا نبذة في ذلك في كتاب الطهارة في باب نجاسة الكافر، وأوضحنا كفر المخالفين غير المستضعفين ونصبهم وشركهم بالأخبار المتكاثرة التي لا معارض لها في البين، وأنّه ليس إطلاق المسلم عليهم إلّا من قبيل إطلاقه على الخوارج وأمثالهم من منتحلي الإسلام، وتوجّه الطعن إلى كلام هذا المحقّق أكثر من أن يأتي عليه فلم البيان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المحدّث البحراني يردّ إسلام المخالفين </w:t>
      </w:r>
      <w:bookmarkStart w:id="44" w:name="pg9434_76535"/>
    </w:p>
    <w:p>
      <w:pPr>
        <w:pStyle w:val="BookText"/>
        <w:rPr/>
      </w:pPr>
      <w:bookmarkEnd w:id="44"/>
      <w:r>
        <w:rPr>
          <w:rFonts w:ascii="Amiri" w:hAnsi="Amiri" w:eastAsia="Amiri" w:cs="Amiri"/>
          <w:color w:val="111111"/>
          <w:sz w:val="28"/>
          <w:sz w:val="28"/>
          <w:szCs w:val="28"/>
          <w:rtl w:val="true"/>
          <w:lang w:bidi="ar-SA"/>
        </w:rPr>
        <w:t>من عدّة جهات، وسوف نعمل على مناقشة هذه الجهات واحدة واحدة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889165_2870459653"/>
      <w:bookmarkStart w:id="46" w:name="_Toc17"/>
      <w:bookmarkEnd w:id="45"/>
      <w:r>
        <w:rPr>
          <w:rtl w:val="true"/>
        </w:rPr>
        <w:t xml:space="preserve">أ </w:t>
      </w:r>
      <w:r>
        <w:rPr>
          <w:rtl w:val="true"/>
        </w:rPr>
        <w:t xml:space="preserve">- </w:t>
      </w:r>
      <w:r>
        <w:rPr>
          <w:rtl w:val="true"/>
        </w:rPr>
        <w:t>الروايات الدالّة على كفر المخالفين</w:t>
      </w:r>
      <w:bookmarkEnd w:id="46"/>
    </w:p>
    <w:p>
      <w:pPr>
        <w:pStyle w:val="Heading4"/>
        <w:numPr>
          <w:ilvl w:val="3"/>
          <w:numId w:val="1"/>
        </w:numPr>
        <w:rPr/>
      </w:pPr>
      <w:bookmarkStart w:id="47" w:name="__RefHeading___Toc5889167_2870459653"/>
      <w:bookmarkStart w:id="48" w:name="_Toc18"/>
      <w:bookmarkEnd w:id="47"/>
      <w:r>
        <w:rPr>
          <w:rtl w:val="true"/>
        </w:rPr>
        <w:t>اشارة</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المأثور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عليناً علماً بينه وبين خلقه، فمن عرفه كان مؤمناً، ومن أنكره كان كافراً، ومن جهله كان ضالّاً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أُخرى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دخله كان مؤمناً، ومن خرج منه كان كافراً، ومن لم يدخل فيه ولم يخرج منه كان في الطبقة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المشيئة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المأثور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عرفنا كان مؤمناً، ومن أنكرنا كان كافراً، ومن لم يعرفنا ولم ينكرنا كان ضالّاً حتّى يرجع إلى الهدى الذي افترض الله عليه </w:t>
      </w:r>
      <w:bookmarkStart w:id="49" w:name="pg9434_76536"/>
    </w:p>
    <w:p>
      <w:pPr>
        <w:pStyle w:val="BookText"/>
        <w:rPr/>
      </w:pPr>
      <w:bookmarkEnd w:id="49"/>
      <w:r>
        <w:rPr>
          <w:rFonts w:ascii="Amiri" w:hAnsi="Amiri" w:eastAsia="Amiri" w:cs="Amiri"/>
          <w:color w:val="111111"/>
          <w:sz w:val="28"/>
          <w:sz w:val="28"/>
          <w:szCs w:val="28"/>
          <w:rtl w:val="true"/>
          <w:lang w:bidi="ar-SA"/>
        </w:rPr>
        <w:t>من طاعتنا الواجبة، فإن يمت على ضلالته يفعل الله به ما يشاء</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الكثير من الروايات بهذا المضمون</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889169_2870459653"/>
      <w:bookmarkStart w:id="51" w:name="_Toc19"/>
      <w:bookmarkEnd w:id="50"/>
      <w:r>
        <w:rPr>
          <w:rtl w:val="true"/>
        </w:rPr>
        <w:t>نقد روايات كفر المخالفين</w:t>
      </w:r>
      <w:bookmarkEnd w:id="51"/>
    </w:p>
    <w:p>
      <w:pPr>
        <w:pStyle w:val="BookText"/>
        <w:rPr/>
      </w:pPr>
      <w:r>
        <w:rPr>
          <w:rFonts w:ascii="Amiri" w:hAnsi="Amiri" w:eastAsia="Amiri" w:cs="Amiri"/>
          <w:color w:val="111111"/>
          <w:sz w:val="28"/>
          <w:sz w:val="28"/>
          <w:szCs w:val="28"/>
          <w:rtl w:val="true"/>
          <w:lang w:bidi="ar-SA"/>
        </w:rPr>
        <w:t>أمّا الاستدلال على كفر المخالفين بهذه الروايات الثلاثة وبهذه النوع من الروايات، فهو غير تامّ؛ وذلك للجهات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الستر والإخفاء، وقد استعملت في الكثير من الآيات والروايات بهذا المعنى، ويختلف معناها باختلاف متعلّقها وموضوعها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على سبيل المثال أنّ متعلّقها في بعض الآيات هو أعمال الناس؛ فيكون معناها هو الكفر العملي، كما في قوله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عَلَى النَّاسِ حِجُّ الْبَيْتِ مَنِ اسْتَطَاعَ إِلَيْهِ</w:t>
      </w:r>
    </w:p>
    <w:p>
      <w:pPr>
        <w:pStyle w:val="BookText"/>
        <w:rPr/>
      </w:pPr>
      <w:r>
        <w:rPr>
          <w:rFonts w:ascii="Amiri" w:hAnsi="Amiri" w:eastAsia="Amiri" w:cs="Amiri"/>
          <w:color w:val="111111"/>
          <w:sz w:val="28"/>
          <w:sz w:val="28"/>
          <w:szCs w:val="28"/>
          <w:rtl w:val="true"/>
          <w:lang w:bidi="ar-SA"/>
        </w:rPr>
        <w:t>سَبِيلًا وَ مَنْ کَفَرَ فَإنَّ اللهَ غَنِیٌّ عَنِ العالَمِينَ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لم يرد بمعنى الكفر في قبال الإسلام والإيمان، بل بمعناه اللغوي، حيث تعلّق بعمل المكلّفين ويفيد معنى الكفر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الموارد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اللغوي في قبال الإسلام، ويكون بمعنى الخروج عن الإسلام وربقة المسلمين،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سَوَاءٌ عَلَيْهِمْ أَأَنْذَرْتَهُمْ أَمْ لَمْ تُنْذِرْهُمْ لَا يُؤْمِنُونَ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يَجْعَلَ اللَّهُ لِلْكَافِرِينَ عَلَى الْمُؤْمِنِينَ سَبِيلًا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يُستعمل الكفر في بعض المواضع في قبال الإيمان وفي هذه الروايات التي استدلّ بها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الكفر بهذا المعنى،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خروج عن الإيمان، وليس خروجاً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عدم معرفة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يستوجب الخروج عن ربقة الإسلام، ولا يمكن الحكم </w:t>
      </w:r>
    </w:p>
    <w:p>
      <w:pPr>
        <w:pStyle w:val="BookText"/>
        <w:rPr/>
      </w:pPr>
      <w:r>
        <w:rPr>
          <w:rFonts w:ascii="IRNazanin" w:hAnsi="IRNazanin" w:eastAsia="IRNazanin"/>
          <w:color w:val="111111"/>
          <w:sz w:val="28"/>
          <w:sz w:val="28"/>
          <w:szCs w:val="28"/>
          <w:rtl w:val="true"/>
          <w:lang w:bidi="fa-IR"/>
        </w:rPr>
        <w:t>على مثل هذا الشخص بعدم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تخصّ الموارد التي يكون الإنكار فيها عن علم ودراية كاملة، ولا يشمل الموارد التي يكون الإنكار فيها عن جهل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فإنّها تعتبر المنكر الذي ينكر الحقّ والحقيقة عامداً رغم علمه كافراً، في حين أنّ أكثر المخالفين إذا كانوا ينكرون الإمامة والحقّ إنّما يكونون في ذلك جاهلين قاصرين، وليسوا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ذيل الرواية الأُولى يمثّل شاهداً على هذا المطلب؛ لأنّه يُقسّم المخالفين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والمنكر، والجاهل، وعرف الشخص الجاهل بوصفه قد ضلّ الطريق، وأنّه غير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الروايات التي استدلّ بها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 المخالفين،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شرّ من أهلالروم، وأهل المدينة شرّ من أهل مكّة، وأهل مكّة يكفرون بالله جهرة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ليكفرون بالله جهرة، وإنّ أهل المدينة شرّ من أهل مكّة، أخبث منهم سبعين ضعفاً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وطريقة الاستدلال بهاتين الروايتين على مدّعاه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طرح هذه الروايات وتركها، أو القول في الحدّ الأدنى إنّها غير مفهومة بالنسبة لنا وإنّ علمها عند أهلها؛ وإلّا كيف يمكن القول بأنّ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استقبلوا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من مدينتهم حصناً منيعاً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من أهل مكّة وفيهم أمثال أبي سفيان وأبي جهل وغيرهما من الذين كانوا هم السبب في دفع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الهجرة من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يعدّ هذا النوع من الكلام بنفسه من مصاديق الغيبة؟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 ظاهر هذه الروايات أنّها تعود إلى حقبة تاريخية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حادثة السقيفة وما جرى على السّيدة الزهراء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لم يقم أهل المدينة بالدفاع عن الحقّ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الحكم بأنّهم شرّ إلى الأبد، واعتمادها </w:t>
      </w:r>
      <w:bookmarkStart w:id="52" w:name="pg9434_76540"/>
    </w:p>
    <w:p>
      <w:pPr>
        <w:pStyle w:val="BookText"/>
        <w:rPr/>
      </w:pPr>
      <w:bookmarkEnd w:id="52"/>
      <w:r>
        <w:rPr>
          <w:rFonts w:ascii="Amiri" w:hAnsi="Amiri" w:eastAsia="Amiri" w:cs="Amiri"/>
          <w:color w:val="111111"/>
          <w:sz w:val="28"/>
          <w:sz w:val="28"/>
          <w:szCs w:val="28"/>
          <w:rtl w:val="true"/>
          <w:lang w:bidi="ar-SA"/>
        </w:rPr>
        <w:t>لاستخراج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تدلّ على كفر أهل المدينة والشام؛ وذلك لأنّ الشرّ غير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الجواب عن هذه الروايات يتّضح الجواب عن سائر الروايات التي استدلّ بها على كلامه أيضاً؛ وذلك لأنّه قد استدلّ إمّا بالروايات المشتملة على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استفاد من روايات قد استعمل فيها كلمات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وجوابنا عن هذا النوع من الروايات يكمن في التدقيق في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سنبحثه بالتفصيل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889171_2870459653"/>
      <w:bookmarkStart w:id="54" w:name="_Toc20"/>
      <w:bookmarkEnd w:id="53"/>
      <w:r>
        <w:rPr>
          <w:rtl w:val="true"/>
        </w:rPr>
        <w:t xml:space="preserve">ب </w:t>
      </w:r>
      <w:r>
        <w:rPr>
          <w:rtl w:val="true"/>
        </w:rPr>
        <w:t xml:space="preserve">- </w:t>
      </w:r>
      <w:r>
        <w:rPr>
          <w:rtl w:val="true"/>
        </w:rPr>
        <w:t>الروايات الدالّة على نصب المخالفين</w:t>
      </w:r>
      <w:bookmarkEnd w:id="54"/>
    </w:p>
    <w:p>
      <w:pPr>
        <w:pStyle w:val="Heading4"/>
        <w:numPr>
          <w:ilvl w:val="3"/>
          <w:numId w:val="1"/>
        </w:numPr>
        <w:rPr/>
      </w:pPr>
      <w:bookmarkStart w:id="55" w:name="__RefHeading___Toc5889173_2870459653"/>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كلام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حرمة دماء ومال المخالفين</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قد جوّزت قتله وأخذ ماله مع الأمن وعدم التقيّة، ردّاً عليه وعلى أمثاله ممّن حكم بإسلامه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روايات تعتبر دم ومال الناصبي هدر وغير </w:t>
      </w:r>
    </w:p>
    <w:p>
      <w:pPr>
        <w:pStyle w:val="BookText"/>
        <w:rPr/>
      </w:pPr>
      <w:r>
        <w:rPr>
          <w:rFonts w:ascii="Amiri" w:hAnsi="Amiri" w:eastAsia="Amiri" w:cs="Amiri"/>
          <w:color w:val="111111"/>
          <w:sz w:val="28"/>
          <w:sz w:val="28"/>
          <w:szCs w:val="28"/>
          <w:rtl w:val="true"/>
          <w:lang w:bidi="ar-SA"/>
        </w:rPr>
        <w:t>محترم، ثمّ أضاف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هذه الأخبار إمّا تضمّن الناصب،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مطلق المخالف، فلا تقوم الأخبار حجّة على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التخصيص قد وقع اصطلاحاً من هؤلاء المتأخّرين، فراراً من الوقوع في مضيق الإلزام، كما في هذا الموضع وأمثاله، وإلّا فالناصب حيثما أطلق في الأخبار وكلام القدماء فإنّما يراد به المخالف، غير المستضعف</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تمسّك ببعض الروايات على دعواه القائلة بأنّ المخالف والناصبي شيء واحد،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مستطرفات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يُسأل فيها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نحتاج في اختبار الناصب إلى أكثر من تقديمه الجبت والطاغوت واعتقاده بإمامتهما؟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صريحة في أنّ مظهر النصب والعداوة هو القول بإمامة الخليفة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 لأنّك لا تجد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أبغض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الناصب من نصب لكم وهو يعلمأنّكم تتولّونا وأنّكم من شيعتنا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تشبه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الناصب من نصب لكم وهو يعلم أنّكم تتولّونا وتبرءون من أعدائنا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المحقّق البحراني بعد نقل هذه الروايات، قائلاً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تفسير الناصب في أخبارهم الذي تعلّقت به الأحكام؛ من النجاسة، وعدم </w:t>
      </w:r>
      <w:bookmarkStart w:id="57" w:name="pg9434_76543"/>
    </w:p>
    <w:p>
      <w:pPr>
        <w:pStyle w:val="BookText"/>
        <w:rPr/>
      </w:pPr>
      <w:bookmarkEnd w:id="57"/>
      <w:r>
        <w:rPr>
          <w:rFonts w:ascii="Amiri" w:hAnsi="Amiri" w:eastAsia="Amiri" w:cs="Amiri"/>
          <w:color w:val="111111"/>
          <w:sz w:val="28"/>
          <w:sz w:val="28"/>
          <w:szCs w:val="28"/>
          <w:rtl w:val="true"/>
          <w:lang w:bidi="ar-SA"/>
        </w:rPr>
        <w:t>جواز المناكحة، وحلّ المال والدم ونحوه، وهو عبارة عن المخالف مطلقاً عدا المستضعف، كما دلّ عليه استثناؤه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ذكروا من التخصيص بفرد خاصّ من المخالفين مجرّد اصطلاح منهم، لم يدلّ عليه دليل من الأخبار، بل الأخبار في ردّه واضحة السبيل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5889175_2870459653"/>
      <w:bookmarkStart w:id="59" w:name="_Toc22"/>
      <w:bookmarkEnd w:id="58"/>
      <w:r>
        <w:rPr>
          <w:rtl w:val="true"/>
        </w:rPr>
        <w:t>نقد أدلّة القول بنصب المخالفين</w:t>
      </w:r>
      <w:bookmarkEnd w:id="59"/>
    </w:p>
    <w:p>
      <w:pPr>
        <w:pStyle w:val="BookText"/>
        <w:rPr/>
      </w:pPr>
      <w:r>
        <w:rPr>
          <w:rFonts w:ascii="Amiri" w:hAnsi="Amiri" w:eastAsia="Amiri" w:cs="Amiri"/>
          <w:color w:val="111111"/>
          <w:sz w:val="28"/>
          <w:sz w:val="28"/>
          <w:szCs w:val="28"/>
          <w:rtl w:val="true"/>
          <w:lang w:bidi="ar-SA"/>
        </w:rPr>
        <w:t xml:space="preserve">ترد على هذا الكلام من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اعتبار سند الرواية الأُولى، إلّا أنّ الرواية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تعانيان من ضعف السند، ولا يكفي الاستناد إلى رواية واحدة لإثبات مثل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يخفى أنّ هذه الرواية لم ترد في أيّ واحد من الكتب الأربعة، ولم يعمل بها الأصحاب، ولم يفتوا على طبقها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غضّ الطرف عن ضعف السند،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أخصّ من المدّعى، ولا تشمل جميع المخالفين؛ وذلك لأنّ الرواية الثانية والثالثة </w:t>
      </w:r>
    </w:p>
    <w:p>
      <w:pPr>
        <w:pStyle w:val="BookText"/>
        <w:rPr/>
      </w:pPr>
      <w:r>
        <w:rPr>
          <w:rFonts w:ascii="Amiri" w:hAnsi="Amiri" w:eastAsia="Amiri" w:cs="Amiri"/>
          <w:color w:val="111111"/>
          <w:sz w:val="28"/>
          <w:sz w:val="28"/>
          <w:szCs w:val="28"/>
          <w:rtl w:val="true"/>
          <w:lang w:bidi="ar-SA"/>
        </w:rPr>
        <w:t xml:space="preserve">صريحتان في بعض المخالفين الذين يعادون شيعة ومحبّي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بسبب تشيّعهم وحبّهم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فإنّهما لا تشملان المخالفين الذين لا يعادون الشيعة، أو يعادونهم لسبب آخر غير تشيّعهم ومودّتهم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الأُولى أُخذ النصب والعداوة أمراً مفروضاً؛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يتعيّن علينا في إثبات النصب أن نرى ما إذا كان المخالف يقدّم الجبت والطاغوت،أم لا نحتاج إلى مثل هذا الأمر؟ وعلى هذا الأساس فإنّ هذه الرواية تختصّ بأعداء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تشمل جميع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للسؤال عن الناصبي في فرض كونه ناصبيّاً؛ وذلك لأنّ الشخص الناصبي إنمّا يثبت نصبه بعد عداوته دون حاجة إلى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ذلك يكمن في أنّ الذي يعادي قد لا يكون عداؤه عن عقيدة ودين، وإنّما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النصب بمجرّد إظهار العداء، أم يجب في إثبات ذلك اعتقاد العدوّ بتقديم الجبت والطاغوت أيضاً؟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المطالب والإشكالات المتقدّمة، كيف يمكن القول بحكومة هذه الروايات </w:t>
      </w:r>
    </w:p>
    <w:p>
      <w:pPr>
        <w:pStyle w:val="BookText"/>
        <w:rPr/>
      </w:pPr>
      <w:r>
        <w:rPr>
          <w:rFonts w:ascii="Amiri" w:hAnsi="Amiri" w:eastAsia="Amiri" w:cs="Amiri"/>
          <w:color w:val="111111"/>
          <w:sz w:val="28"/>
          <w:sz w:val="28"/>
          <w:szCs w:val="28"/>
          <w:rtl w:val="true"/>
          <w:lang w:bidi="ar-SA"/>
        </w:rPr>
        <w:t>القليلة على سائر الروايات المرتبطة بالمخالف والناصب، والاعتقاد بأنّ هذه الروايات القليلة مفسّرة ومبيّنة لتلك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المخالفين ناصبين، وتجري عليهم جميع أحكام النواصب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على هامش مسألة نجاسة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بعض كبار علماء الفقه واللغة في تحقيق معنى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اشتراط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في باب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والجهّال يتوهّمون أن كلّ مخالف ناصب، وليس كذلك</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بعض الكلمات في هذا الشأن عن كتب،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شرحها وتوضيحها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الظاهر من الأخبار هو من يبغض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يخفى ضعف تعميم الناصب للمخالف</w:t>
      </w:r>
      <w:r>
        <w:rPr>
          <w:rFonts w:eastAsia="Amiri" w:cs="Amiri" w:ascii="Amiri" w:hAnsi="Amiri"/>
          <w:color w:val="111111"/>
          <w:sz w:val="28"/>
          <w:szCs w:val="28"/>
          <w:rtl w:val="true"/>
          <w:lang w:bidi="ar-SA"/>
        </w:rPr>
        <w:t xml:space="preserve">. </w:t>
      </w:r>
      <w:bookmarkStart w:id="60" w:name="pg9434_76546"/>
    </w:p>
    <w:p>
      <w:pPr>
        <w:pStyle w:val="Heading3"/>
        <w:numPr>
          <w:ilvl w:val="2"/>
          <w:numId w:val="1"/>
        </w:numPr>
        <w:rPr/>
      </w:pPr>
      <w:bookmarkStart w:id="61" w:name="__RefHeading___Toc5889177_2870459653"/>
      <w:bookmarkStart w:id="62" w:name="_Toc23"/>
      <w:bookmarkEnd w:id="60"/>
      <w:bookmarkEnd w:id="61"/>
      <w:r>
        <w:rPr>
          <w:rtl w:val="true"/>
        </w:rPr>
        <w:t xml:space="preserve">ج </w:t>
      </w:r>
      <w:r>
        <w:rPr>
          <w:rtl w:val="true"/>
        </w:rPr>
        <w:t xml:space="preserve">- </w:t>
      </w:r>
      <w:r>
        <w:rPr>
          <w:rtl w:val="true"/>
        </w:rPr>
        <w:t xml:space="preserve">الخطاب في صدر آية </w:t>
      </w:r>
      <w:r>
        <w:rPr>
          <w:rtl w:val="true"/>
        </w:rPr>
        <w:t>«</w:t>
      </w:r>
      <w:r>
        <w:rPr>
          <w:rtl w:val="true"/>
        </w:rPr>
        <w:t>تحريم الغيبة</w:t>
      </w:r>
      <w:r>
        <w:rPr>
          <w:rtl w:val="true"/>
        </w:rPr>
        <w:t>»</w:t>
      </w:r>
      <w:bookmarkEnd w:id="62"/>
    </w:p>
    <w:p>
      <w:pPr>
        <w:pStyle w:val="BookText"/>
        <w:rPr/>
      </w:pPr>
      <w:r>
        <w:rPr>
          <w:rFonts w:ascii="Amiri" w:hAnsi="Amiri" w:eastAsia="Amiri" w:cs="Amiri"/>
          <w:color w:val="111111"/>
          <w:sz w:val="28"/>
          <w:sz w:val="28"/>
          <w:szCs w:val="28"/>
          <w:rtl w:val="true"/>
          <w:lang w:bidi="ar-SA"/>
        </w:rPr>
        <w:t>الدليل الآخر الذي استدلّ به لجواز غيبة غير المؤمن، هو الخطاب في صدر الآية الكريمة،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بمعنى أنّ المؤمنين وحدهم هم الذين خوطبوا بالنهي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هذا النهي لا يشمل غير المؤمنين من المسلمين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الجواب عن هذا الاستدلال ممّا تقدّم في الصفحات السابقة من الأبحاث المرتبطة بهذه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الآيات في القرآن الكريم تصدّرت بذات هذا الخطاب لبيان الأحكام التكليفيّة والوضعيّة، دون أن يكون لها أيّ اختصاص بالمؤمنين، بل نزلت لعموم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إِذَا تَدَايَنْتُمْ بِدَيْنٍ إِلَى أَجَلٍ مُسَمًّى فَاكْتُبُوهُ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تَأْكُلُوا الرِّبَا أَضْعَافًا</w:t>
      </w:r>
      <w:bookmarkStart w:id="63" w:name="pg9434_76547"/>
    </w:p>
    <w:p>
      <w:pPr>
        <w:pStyle w:val="BookText"/>
        <w:rPr/>
      </w:pPr>
      <w:bookmarkEnd w:id="63"/>
      <w:r>
        <w:rPr>
          <w:rFonts w:ascii="Amiri" w:hAnsi="Amiri" w:eastAsia="Amiri" w:cs="Amiri"/>
          <w:color w:val="111111"/>
          <w:sz w:val="28"/>
          <w:sz w:val="28"/>
          <w:szCs w:val="28"/>
          <w:rtl w:val="true"/>
          <w:lang w:bidi="ar-SA"/>
        </w:rPr>
        <w:t>مُضَاعَفَةً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كُلُوا مِنْ طَيِّبَاتِ مَا رَزَقْنَاكُمْ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الكثيرة الأُخرى التي صدر الخطاب فيها للمؤمنين، بيد أنّ الحكم الوارد فيها لا يختصّ قطعاً بالمؤمنين فقط</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889179_2870459653"/>
      <w:bookmarkStart w:id="65" w:name="_Toc24"/>
      <w:bookmarkEnd w:id="64"/>
      <w:r>
        <w:rPr>
          <w:rtl w:val="true"/>
        </w:rPr>
        <w:t xml:space="preserve">د </w:t>
      </w:r>
      <w:r>
        <w:rPr>
          <w:rtl w:val="true"/>
        </w:rPr>
        <w:t xml:space="preserve">- </w:t>
      </w:r>
      <w:r>
        <w:rPr>
          <w:rtl w:val="true"/>
        </w:rPr>
        <w:t xml:space="preserve">ذيل الآية الكريمة </w:t>
      </w:r>
      <w:r>
        <w:rPr>
          <w:rtl w:val="true"/>
        </w:rPr>
        <w:t>«</w:t>
      </w:r>
      <w:r>
        <w:rPr>
          <w:rtl w:val="true"/>
        </w:rPr>
        <w:t>تحريم الغيبة</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التي دلّت على تحريم الغيبة، وإن كان صدرها مجملاً، إلّا أنّ قوله فيها أَيُحِبُّ أَحَدُكُمْ أَنْ يَأْكُلَ لَحْمَ أَخِيهِ مَيْتًا ممّا يعيّن الحمل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الأُخوّة بين المؤمن والمخالف له في دينه لا يكاد يدّعيه من شمّ رائحة الإيمان، ولا من أحاط خبراً بأخبار السادة الأعيان؛ لاستفاضتها بوجوب معاداتهم والبراءة منهم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6" w:name="pg9434_76548"/>
    </w:p>
    <w:p>
      <w:pPr>
        <w:pStyle w:val="BookText"/>
        <w:rPr/>
      </w:pPr>
      <w:bookmarkEnd w:id="66"/>
      <w:r>
        <w:rPr>
          <w:rFonts w:ascii="Amiri" w:hAnsi="Amiri" w:eastAsia="Amiri" w:cs="Amiri"/>
          <w:color w:val="111111"/>
          <w:sz w:val="28"/>
          <w:sz w:val="28"/>
          <w:szCs w:val="28"/>
          <w:rtl w:val="true"/>
          <w:lang w:bidi="ar-SA"/>
        </w:rPr>
        <w:t>ثمّ ذكر بعض الروايات في تأييد هذا المطلب، كما أشار إلى بعض الآيات بوصفها مؤيّداً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الجواب عن هذا الدليل ممّا سبق ولا نرى حاجة إلى الإعادة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مناقشة ونقد الأدلّة التي أقامها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ننتقل الآن إلى نقد وبحث الأدلّة التي تمسّك بها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5889181_2870459653"/>
      <w:bookmarkStart w:id="68" w:name="_Toc25"/>
      <w:bookmarkEnd w:id="67"/>
      <w:r>
        <w:rPr>
          <w:rtl w:val="true"/>
        </w:rPr>
        <w:t>ه</w:t>
      </w:r>
      <w:r>
        <w:rPr>
          <w:rtl w:val="true"/>
        </w:rPr>
        <w:t xml:space="preserve">- - </w:t>
      </w:r>
      <w:r>
        <w:rPr>
          <w:rtl w:val="true"/>
        </w:rPr>
        <w:t>اعتبار المخالفين أهل البدعة</w:t>
      </w:r>
      <w:bookmarkEnd w:id="68"/>
    </w:p>
    <w:p>
      <w:pPr>
        <w:pStyle w:val="Heading4"/>
        <w:numPr>
          <w:ilvl w:val="3"/>
          <w:numId w:val="1"/>
        </w:numPr>
        <w:rPr/>
      </w:pPr>
      <w:bookmarkStart w:id="69" w:name="__RefHeading___Toc5889183_2870459653"/>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قال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المؤمن هنا من آمن بالله وبرسوله وبالمعاد وبالأئمّة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القائمة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وجعلنا من أعوانه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أنكر واحداً منهم جازت غيبته لوجوه؛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في الروايات والأدعية والزيارات جواز لعن المخالفين، ووجوب البراءة منهم، وإكثار السبّ عليهم، واتّهامهم، والوقيعة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غيبتهم؛ لأنّهم من أهل البدَع 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شبهة في كفرهم؛ لأنّ إنكار الولاية والأئمّة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الواحد منهم، والاعتقاد بخلافة غيرهم، وبالعقائد الخرافيّة كالجبر ونحوه، يوجب الكفر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الأخبار المتواترة الظاهرة في كفر منكر الولاية، وكفر المعتقد بالعقائد المذكورة، وما يُشبهها من 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جحدكم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وحّده قبل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ينتج بعكس النقيض أنّ من لم يقبل عنكم لم يوحّده، بل هو مشرك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الأحاديث الواردة في عدم وجوب قضاء الصلاة على المستبصر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الحال التي كنت عليها أعظم من ترك ما ترك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 لنا أهل البيت شرّ من اليهود والنصارى، وأهون من الكلب، وأنّه تعالى لم يخلق خلقاً أنجس من الكلب، وأنّ الناصب لنا أهل البيت لأنجس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جواز غيبتهم أهون من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بلقد عرفت جواز الوقيعة في أهل البدع والضلال، والوقيعة هي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ثبت حكم الإسلام على بعضهم في بعض </w:t>
      </w:r>
      <w:bookmarkStart w:id="71" w:name="pg9434_76550"/>
    </w:p>
    <w:p>
      <w:pPr>
        <w:pStyle w:val="BookText"/>
        <w:rPr/>
      </w:pPr>
      <w:bookmarkEnd w:id="71"/>
      <w:r>
        <w:rPr>
          <w:rFonts w:ascii="Amiri" w:hAnsi="Amiri" w:eastAsia="Amiri" w:cs="Amiri"/>
          <w:color w:val="111111"/>
          <w:sz w:val="28"/>
          <w:sz w:val="28"/>
          <w:szCs w:val="28"/>
          <w:rtl w:val="true"/>
          <w:lang w:bidi="ar-SA"/>
        </w:rPr>
        <w:t>الأحكام فقط تسهيلاً للأمر، وحقناً للدماء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5889185_2870459653"/>
      <w:bookmarkStart w:id="73" w:name="_Toc27"/>
      <w:bookmarkEnd w:id="72"/>
      <w:r>
        <w:rPr>
          <w:rtl w:val="true"/>
        </w:rPr>
        <w:t>نقد الدليل على اعتبار المخالفين أصحاب بدعة</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ذكره في تعريف المؤمن، يستلزم جواز غيبة سائر الشيعة، من أمثال الزيديّة، والإسماعيليّة، والفطحيّة، والواقفيّة وأمثالهم، في حين أنّ الكثير من كبار علماء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أحاديثهم لأيّ 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المنتمين إلى هذه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نعثر على أيّ دليل يثبت جواز لعن المخالفين والبراءة منهم، وكان من الأفضل لسماحته أن يبيّن المدرك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المذكور في الروايات هو وجوب البراءة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في الزيارة جواز لعن الظالمين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والغاصبين لحقّهم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 أوّل ظالم ظلم 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تابع له على ذلك، اللهم العنهم جميعاً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هذه الطائفة من الروايات والزيارات إنّما تخصّ الظالمين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والغاصبين لحقّهم وأعداءهم ومبغضيهم، والحال لو أنّنا نظرنا بعين الإنصاف لوجدنا أنّ أكثر المخالفين </w:t>
      </w:r>
    </w:p>
    <w:p>
      <w:pPr>
        <w:pStyle w:val="BookText"/>
        <w:rPr/>
      </w:pPr>
      <w:r>
        <w:rPr>
          <w:rFonts w:ascii="Amiri" w:hAnsi="Amiri" w:eastAsia="Amiri" w:cs="Amiri"/>
          <w:color w:val="111111"/>
          <w:sz w:val="28"/>
          <w:sz w:val="28"/>
          <w:szCs w:val="28"/>
          <w:rtl w:val="true"/>
          <w:lang w:bidi="ar-SA"/>
        </w:rPr>
        <w:t xml:space="preserve">ليسوا مشمولين بهذه الروايات والزيارات؛ إذ أنّهم ليسوا أعداء ولا مبغضين ولا غاصبين لحقّ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إنّهم في الكثير من الموارد يحبّون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في العقيدة جاهلين قاصرين، كما سبق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في عدم تماميّة الاستدلال على نصب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العوام من المخالفين وبعض علمائهم ليسوا من أصحاب البِدَع حقّاً حتّى تشملهم أحكام المبتدعين التي ورد التصريح بها في رواية داود بن سرحان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لا نعتبر عوام المخالفين وبعض </w:t>
      </w:r>
    </w:p>
    <w:p>
      <w:pPr>
        <w:pStyle w:val="BookText"/>
        <w:rPr/>
      </w:pPr>
      <w:r>
        <w:rPr>
          <w:rFonts w:ascii="IRNazanin" w:hAnsi="IRNazanin" w:eastAsia="IRNazanin"/>
          <w:color w:val="111111"/>
          <w:sz w:val="28"/>
          <w:sz w:val="28"/>
          <w:szCs w:val="28"/>
          <w:rtl w:val="true"/>
          <w:lang w:bidi="fa-IR"/>
        </w:rPr>
        <w:t>علمائهم من أصحاب البِدَع؟</w:t>
      </w:r>
    </w:p>
    <w:p>
      <w:pPr>
        <w:pStyle w:val="BookText"/>
        <w:rPr/>
      </w:pPr>
      <w:r>
        <w:rPr>
          <w:rFonts w:ascii="Amiri" w:hAnsi="Amiri" w:eastAsia="Amiri" w:cs="Amiri"/>
          <w:color w:val="111111"/>
          <w:sz w:val="28"/>
          <w:sz w:val="28"/>
          <w:szCs w:val="28"/>
          <w:rtl w:val="true"/>
          <w:lang w:bidi="ar-SA"/>
        </w:rPr>
        <w:t>إنّ البدعة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ما ليس في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يُشكّ في جزئيّته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على الرغم من أنّ الغاصبين الأصليّين والمؤسّسين لأساس الظلم وحماتهم وداعميهم في عصرهم قد أحدثوا التغيير في الدين عن علم وعمد، هم أصحاب البدعة؛ ولكن هل يُعدّ سائر المخالفين الذين جاؤوا بعدهم، واتبعوهم عن جهل قصوري، من أصحاب البِدَع أيضاً؟ وهم الذين لا يخطر في أذهانهم أنّ ما يعتقدونه ويعملون به هو إدخال ما ليس في الدين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أنّ الدليل الأصلي لغيبة أهل البدَع ومحاربتهم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الرواية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الترويج لأفكارهم وشبهاتهم وفسادهم الناشئ عنها، وفي مثل هذه الحالة لن يكون لهذا الدليل أيّ صلة بالغيبة؛ وذلك لأنّ الغيبة إنّما تصدر عن الحسد والحقد والضغينة وسائر الرذائل الأخلاقية، والوقوف في جبهتين على طرفي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باهتوهم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بهتهم؛ أي أنّه يجب البحث مع المبتدعين بقوّة واستدلال </w:t>
      </w:r>
    </w:p>
    <w:p>
      <w:pPr>
        <w:pStyle w:val="BookText"/>
        <w:rPr/>
      </w:pPr>
      <w:r>
        <w:rPr>
          <w:rFonts w:ascii="Amiri" w:hAnsi="Amiri" w:eastAsia="Amiri" w:cs="Amiri"/>
          <w:color w:val="111111"/>
          <w:sz w:val="28"/>
          <w:sz w:val="28"/>
          <w:szCs w:val="28"/>
          <w:rtl w:val="true"/>
          <w:lang w:bidi="ar-SA"/>
        </w:rPr>
        <w:t>محكم وقاطع حتّى تستولي عليهم الحيرة والبهت، ويعجزون عن الردّ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هذا المعنى عن العلّامة المجلسي؛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بالمباهتة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إلزامهم بالحجج القاطعة، وجعلهم متحيّرين لا يحيرون جواباً،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أنّ هذا الأُسلوب هو الأنسب مع المنطق الاستدلالي للإسلام، فإنّ الإساءة والغيبة والبهتان لا تتناسب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روح الإسلام، حتّى في مقام التقابل والمواجهة مع المخالفين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الإنكار هو غير عدم القبول؛ وذلك لأنّ الإنكار يطلق على عدم القبول بأمر محقّ مع العلم بأنّه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الشخص العالم في عصر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يعلم أنّ الإمامة بعد الإمام موسى بن جعفر ‘ تنتقل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الطمع بمال الدنيا والحرص على اكتناز الأموال وحبّ الجاه والمقام منعه من قبول ذلك؛ فأنكر إمامة </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علمه بها، وعليه فإنّ هذا الإنكار وهذا الجحد يستوجب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بحثنا إنّما يدور حول المخالفين وغير المؤمنين الذين يتمسّكون بعقيدتهم عن جهل وقصور، لا أُولئك الذين يتشبّثون بمخالفتهم عن علم وعمد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الكفر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قبال الإسلام، بل الكفر هنا في قبال الإيمان، بمعنى عدم الوصول إلى مراتبه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استشهاد سماحته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وحّده قبل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واستنتاجه الشرك بعكس نقيض هذه القضية، غير تامّ أيضاً؛ وذلك لأنّ الشرك غير عدم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منه الشرك الذي تمّ وصفه في القرآن بأنّه ظلم كبير، وأنّه الشرك الذي يُغفر كلّ ذنب سواه، بل المعنى المراد هنا من الشرك هو أنّ الشخص إذا لم يقبل تعلّم التوحيد من الأئمّة، لن يصل إلى المدارج التامّة والكاملة من التوحيد، وهذا المعنى يختلف عن القول بوجود شريك لله سبحانه وتعالى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استدلاله بكفر المخالفين بتلك الرواية الدالّة على عدم وجوب قضاء الصلاة على المستبصر، أضعف من سائر أدلّته الأُخرى؛ إذ لا تشتمل هذه الرواية على أيّ إشارة تدّل على </w:t>
      </w:r>
      <w:bookmarkStart w:id="74" w:name="pg9434_76555"/>
    </w:p>
    <w:p>
      <w:pPr>
        <w:pStyle w:val="BookText"/>
        <w:rPr/>
      </w:pPr>
      <w:bookmarkEnd w:id="74"/>
      <w:r>
        <w:rPr>
          <w:rFonts w:ascii="Amiri" w:hAnsi="Amiri" w:eastAsia="Amiri" w:cs="Amiri"/>
          <w:color w:val="111111"/>
          <w:sz w:val="28"/>
          <w:sz w:val="28"/>
          <w:szCs w:val="28"/>
          <w:rtl w:val="true"/>
          <w:lang w:bidi="ar-SA"/>
        </w:rPr>
        <w:t>كفرهم، وإنّ عدم وجوب قضاء الصلاة يأتي من كون المخالف جاهلاً قاصراً، وليس بسبب كفره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889187_2870459653"/>
      <w:bookmarkStart w:id="76" w:name="_Toc28"/>
      <w:bookmarkEnd w:id="75"/>
      <w:r>
        <w:rPr>
          <w:rtl w:val="true"/>
        </w:rPr>
        <w:t xml:space="preserve">و </w:t>
      </w:r>
      <w:r>
        <w:rPr>
          <w:rtl w:val="true"/>
        </w:rPr>
        <w:t xml:space="preserve">- </w:t>
      </w:r>
      <w:r>
        <w:rPr>
          <w:rtl w:val="true"/>
        </w:rPr>
        <w:t>تجاهر المخالفين بالفسق</w:t>
      </w:r>
      <w:bookmarkEnd w:id="76"/>
    </w:p>
    <w:p>
      <w:pPr>
        <w:pStyle w:val="BookText"/>
        <w:rPr/>
      </w:pPr>
      <w:r>
        <w:rPr>
          <w:rFonts w:ascii="Amiri" w:hAnsi="Amiri" w:eastAsia="Amiri" w:cs="Amiri"/>
          <w:color w:val="111111"/>
          <w:sz w:val="28"/>
          <w:sz w:val="28"/>
          <w:szCs w:val="28"/>
          <w:rtl w:val="true"/>
          <w:lang w:bidi="ar-SA"/>
        </w:rPr>
        <w:t xml:space="preserve">الدليل الآخر الذي أقامة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غيبة المخالفين، هو تجاهرهم بالفسق، بل وأكثر من ذلك؛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التزم به المخالفون أشدّ من الفسق، ألا وهو إنكار الولاية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تتّضح الإجابة عن هذا الادّعاء ممّا تقدّم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جميع هذه المفردات إنّما تتحقّق إذا كان هناك علم بتحقّق أمر، ومع ذلك يتمّ إنكاره عن عناد ولجاج، وفي التجاهر بالفسق قد اشترط العلم والتعمّد في الإتيان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أن ذكرنا فإنّ أغلب المخالفين لا ينكرون أحقّية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وعمد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5889189_2870459653"/>
      <w:bookmarkStart w:id="78" w:name="_Toc29"/>
      <w:bookmarkEnd w:id="77"/>
      <w:r>
        <w:rPr>
          <w:rtl w:val="true"/>
        </w:rPr>
        <w:t xml:space="preserve">ز </w:t>
      </w:r>
      <w:r>
        <w:rPr>
          <w:rtl w:val="true"/>
        </w:rPr>
        <w:t xml:space="preserve">- </w:t>
      </w:r>
      <w:r>
        <w:rPr>
          <w:rtl w:val="true"/>
        </w:rPr>
        <w:t>سيرة المتشرّعة على غيبة المخالفين</w:t>
      </w:r>
      <w:bookmarkEnd w:id="78"/>
    </w:p>
    <w:p>
      <w:pPr>
        <w:pStyle w:val="Heading4"/>
        <w:numPr>
          <w:ilvl w:val="3"/>
          <w:numId w:val="1"/>
        </w:numPr>
        <w:rPr/>
      </w:pPr>
      <w:bookmarkStart w:id="79" w:name="__RefHeading___Toc5889191_2870459653"/>
      <w:bookmarkStart w:id="80" w:name="_Toc30"/>
      <w:bookmarkEnd w:id="79"/>
      <w:r>
        <w:rPr>
          <w:rtl w:val="true"/>
        </w:rPr>
        <w:t>اشارة</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قامت سيرة المتشرّعة بين العامّة وعلماء الشيعة على غيبة المخالفين، وكانت السيرة مستمرة بين المتشرّعة على غيبة المخالفين وشتمهم ولعنهم في جميع الأمكنة والأزمنة، بل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جواز غيبة المخالفين، من الضروريات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الاستدلال بدوره غير تامّ أيضاً؛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مثل هذا السيرة على جواز واستمرار شتم ولعن المخالفين غير ثابت؛ إذ لم يتمّ نقل سيرة منعقدة في عصر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أن تكون هذه السيرة متّصلة بهم، وليس هناك أيّ شاهد على شتم ولعن ومباهتة المخالفين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بحيث يقع مورداً لتأييد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جواز لعنهم، لا يمكن لذلك أن يشكل دليلاً على جواز غيبتهم؛ وذلك لأنّ اللعن إنّما هو دعاء عليهم وطلب من الله بإبعاد رحمته عنهم، وهذا لا ربط له بهتك أعراضهم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النقطة بقوله</w:t>
      </w:r>
      <w:r>
        <w:rPr>
          <w:rFonts w:eastAsia="Amiri" w:cs="Amiri" w:ascii="Amiri" w:hAnsi="Amiri"/>
          <w:color w:val="111111"/>
          <w:sz w:val="28"/>
          <w:szCs w:val="28"/>
          <w:rtl w:val="true"/>
          <w:lang w:bidi="ar-SA"/>
        </w:rPr>
        <w:t xml:space="preserve">: </w:t>
      </w:r>
      <w:bookmarkStart w:id="81" w:name="pg9434_76557"/>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يدلّ جواز لعنه على جواز الغيبة مع تلك الأدلّة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طويل، أو قصير، وأعمى، وأجذم، وأبرص، وغير ذلك، وهو ظاهر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5889193_2870459653"/>
      <w:bookmarkStart w:id="83" w:name="_Toc31"/>
      <w:bookmarkEnd w:id="82"/>
      <w:r>
        <w:rPr>
          <w:rtl w:val="true"/>
        </w:rPr>
        <w:t>الأصل العملي في المسألة</w:t>
      </w:r>
      <w:bookmarkEnd w:id="83"/>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حرمة الغيبة قاصرة عن شمول غير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المسلمين والكافرين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تشمل خصوص المؤمنين فقط؛ وعليه يجري أصل البراءة بالنسبة لهم؛ فتجوز غيبتهم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العملي إنّما يجري عند فقد الأدلّة، ومع الالتفات إلى ما تقدّم فقد اتّضح أنّ الأدلّة النقليّة والعقليّة قائمة على حرمة غيبة جميع الناس المحترمين، الأعمّ من المؤمنين وغير المؤمنين، وعليه لا يمكن للأصل العملي أن يجري فيما نحن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العقلي على اعتبار الغيبة قبيحة وظلم، يشمل حرمة غيبة جميع المسلمين، بل وجميع الناس المحترمون، وبناء العقلاء يؤيّد هذا الحكم العقلي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فإنّنا نحتاج للخروج من هذا الأصل إلى أدلّة ثابتة وبراهين قاطعة </w:t>
      </w:r>
      <w:bookmarkStart w:id="84" w:name="pg9434_76558"/>
    </w:p>
    <w:p>
      <w:pPr>
        <w:pStyle w:val="BookText"/>
        <w:rPr/>
      </w:pPr>
      <w:bookmarkEnd w:id="84"/>
      <w:r>
        <w:rPr>
          <w:rFonts w:ascii="Amiri" w:hAnsi="Amiri" w:eastAsia="Amiri" w:cs="Amiri"/>
          <w:color w:val="111111"/>
          <w:sz w:val="28"/>
          <w:sz w:val="28"/>
          <w:szCs w:val="28"/>
          <w:rtl w:val="true"/>
          <w:lang w:bidi="ar-SA"/>
        </w:rPr>
        <w:t>من قبل الشارع المقدّس، وهو ما لم نحصل عليه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5889195_2870459653"/>
      <w:bookmarkStart w:id="86" w:name="_Toc32"/>
      <w:bookmarkEnd w:id="85"/>
      <w:r>
        <w:rPr>
          <w:rtl w:val="true"/>
        </w:rPr>
        <w:t>غيبة غير المسلمين</w:t>
      </w:r>
      <w:bookmarkEnd w:id="86"/>
    </w:p>
    <w:p>
      <w:pPr>
        <w:pStyle w:val="BookText"/>
        <w:rPr/>
      </w:pPr>
      <w:r>
        <w:rPr>
          <w:rFonts w:ascii="Amiri" w:hAnsi="Amiri" w:eastAsia="Amiri" w:cs="Amiri"/>
          <w:color w:val="111111"/>
          <w:sz w:val="28"/>
          <w:sz w:val="28"/>
          <w:szCs w:val="28"/>
          <w:rtl w:val="true"/>
          <w:lang w:bidi="ar-SA"/>
        </w:rPr>
        <w:t>بالنظر إلى ذهاب المشهور من الفقهاء إلى القول بجواز غيبة غير المسلم، إلا أنّه لم يتمّ إشباع البحث حول هذه المسألة، وإنّ أكثر الأبحاث حامت حول محور المؤمن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سوف نواصل البحث حول معنى الكفر والكافر، لكي نرى ما إذا كان لفظ الكافر يصدّق على غير المسلم أم لا؟</w:t>
      </w:r>
    </w:p>
    <w:p>
      <w:pPr>
        <w:pStyle w:val="Heading4"/>
        <w:numPr>
          <w:ilvl w:val="3"/>
          <w:numId w:val="1"/>
        </w:numPr>
        <w:rPr/>
      </w:pPr>
      <w:bookmarkStart w:id="87" w:name="__RefHeading___Toc5889197_2870459653"/>
      <w:bookmarkStart w:id="88" w:name="_Toc33"/>
      <w:bookmarkEnd w:id="87"/>
      <w:r>
        <w:rPr>
          <w:rtl w:val="true"/>
        </w:rPr>
        <w:t xml:space="preserve">معنى </w:t>
      </w:r>
      <w:r>
        <w:rPr>
          <w:rtl w:val="true"/>
        </w:rPr>
        <w:t>«</w:t>
      </w:r>
      <w:r>
        <w:rPr>
          <w:rtl w:val="true"/>
        </w:rPr>
        <w:t>الكفر</w:t>
      </w:r>
      <w:r>
        <w:rPr>
          <w:rtl w:val="true"/>
        </w:rPr>
        <w:t xml:space="preserve">» </w:t>
      </w:r>
      <w:r>
        <w:rPr>
          <w:rtl w:val="true"/>
        </w:rPr>
        <w:t>و</w:t>
      </w:r>
      <w:r>
        <w:rPr>
          <w:rtl w:val="true"/>
        </w:rPr>
        <w:t>«</w:t>
      </w:r>
      <w:r>
        <w:rPr>
          <w:rtl w:val="true"/>
        </w:rPr>
        <w:t>الكافر</w:t>
      </w:r>
      <w:r>
        <w:rPr>
          <w:rtl w:val="true"/>
        </w:rPr>
        <w:t>»</w:t>
      </w:r>
      <w:bookmarkEnd w:id="88"/>
    </w:p>
    <w:p>
      <w:pPr>
        <w:pStyle w:val="BookText"/>
        <w:rPr/>
      </w:pPr>
      <w:r>
        <w:rPr>
          <w:rFonts w:ascii="Amiri" w:hAnsi="Amiri" w:eastAsia="Amiri" w:cs="Amiri"/>
          <w:color w:val="111111"/>
          <w:sz w:val="28"/>
          <w:sz w:val="28"/>
          <w:szCs w:val="28"/>
          <w:rtl w:val="true"/>
          <w:lang w:bidi="ar-SA"/>
        </w:rPr>
        <w:t xml:space="preserve">لقد تم طرح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والأبحاث المرتبطة بذلك في عدّة مواضع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ودخول المساجد، والجهاد، والإرث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بالالتفات إلى أهمّية هذا البحث وارتباطه بمختلف الموضوعات، ومن بينها ماتقدّم، سوف ندخل في بحثها بالتفصيل، ونخوض في بيان وتوضيح مفهومها وكيفيّة تعلق الأحكام بها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حيثما ورد الحديث في الفقه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المراد منه هو الأعمّ من القاصر </w:t>
      </w:r>
      <w:bookmarkStart w:id="89" w:name="pg9434_76559"/>
    </w:p>
    <w:p>
      <w:pPr>
        <w:pStyle w:val="BookText"/>
        <w:rPr/>
      </w:pPr>
      <w:bookmarkEnd w:id="89"/>
      <w:r>
        <w:rPr>
          <w:rFonts w:ascii="Amiri" w:hAnsi="Amiri" w:eastAsia="Amiri" w:cs="Amiri"/>
          <w:color w:val="111111"/>
          <w:sz w:val="28"/>
          <w:sz w:val="28"/>
          <w:szCs w:val="28"/>
          <w:rtl w:val="true"/>
          <w:lang w:bidi="ar-SA"/>
        </w:rPr>
        <w:t>والمقصّر، وكلّ حكم كان يحمل عليهما، كان يحمل على مطلق الكافر دون تمييز بين القاصر والمقصّر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دقّة النظر دون أخذ الذهنيّات القبليّة بالاعتبار، وتجنّب العصبية الدينية والمذهبية، المقرونة بإمعان النظر الدقيق، سوف يوصلنا البحث إلى هذه النقطة، وهي أنّه في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موضوع بحثنا؛ أي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عن التقصير والمقصّرين من الكفّار موضوعاً للكثير من الأحكام، ومن بينها جواز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الرجوع إلى القرآن الكريم والتدقيق في آياته، وكذلك الرجوع إلى كتب اللغة، فيما يتعلّق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سوف تضع أمامنا نكات جديدة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889199_2870459653"/>
      <w:bookmarkStart w:id="91" w:name="_Toc34"/>
      <w:bookmarkEnd w:id="90"/>
      <w:r>
        <w:rPr>
          <w:rtl w:val="true"/>
        </w:rPr>
        <w:t xml:space="preserve">مفردة </w:t>
      </w:r>
      <w:r>
        <w:rPr>
          <w:rtl w:val="true"/>
        </w:rPr>
        <w:t>«</w:t>
      </w:r>
      <w:r>
        <w:rPr>
          <w:rtl w:val="true"/>
        </w:rPr>
        <w:t>الكفر</w:t>
      </w:r>
      <w:r>
        <w:rPr>
          <w:rtl w:val="true"/>
        </w:rPr>
        <w:t xml:space="preserve">» </w:t>
      </w:r>
      <w:r>
        <w:rPr>
          <w:rtl w:val="true"/>
        </w:rPr>
        <w:t>و</w:t>
      </w:r>
      <w:r>
        <w:rPr>
          <w:rtl w:val="true"/>
        </w:rPr>
        <w:t>«</w:t>
      </w:r>
      <w:r>
        <w:rPr>
          <w:rtl w:val="true"/>
        </w:rPr>
        <w:t>الكافر</w:t>
      </w:r>
      <w:r>
        <w:rPr>
          <w:rtl w:val="true"/>
        </w:rPr>
        <w:t xml:space="preserve">» </w:t>
      </w:r>
      <w:r>
        <w:rPr>
          <w:rtl w:val="true"/>
        </w:rPr>
        <w:t>في اللغة</w:t>
      </w:r>
      <w:bookmarkEnd w:id="91"/>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 الشيء، ووصف الليل بالكافر لستره الأشخاص، والزرّاع لستره البذر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كفر النعمة وكفرانها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 بترك أداء شكرها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الشيء تغطية تستهلكه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الشيء إذا غطّاه، وهو أصل الباب، ويُقال للفلاح كافر لأنّه يكفر البذر،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صحيح يدلّ على معنى واحد، وهو الستر والتغطية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كافر لأنّه يُغطّي الحبّبتراب الأرض</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المظلم؛ لأنّه ستر كلّ شيء بظلمته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الكافر؛ لأنّه يستر 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لأنّه يٌغطّي البذر بالتراب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معنى الكفر ووجه تسمية الكافر ممّا نقلناه عن علماء اللغة، وهو الستر والإخفاء، وهذا المعنى </w:t>
      </w:r>
      <w:bookmarkStart w:id="92" w:name="pg9434_76561"/>
    </w:p>
    <w:p>
      <w:pPr>
        <w:pStyle w:val="BookText"/>
        <w:rPr/>
      </w:pPr>
      <w:bookmarkEnd w:id="92"/>
      <w:r>
        <w:rPr>
          <w:rFonts w:ascii="Amiri" w:hAnsi="Amiri" w:eastAsia="Amiri" w:cs="Amiri"/>
          <w:color w:val="111111"/>
          <w:sz w:val="28"/>
          <w:sz w:val="28"/>
          <w:szCs w:val="28"/>
          <w:rtl w:val="true"/>
          <w:lang w:bidi="ar-SA"/>
        </w:rPr>
        <w:t>لا يتحقّق إلّا بعد العلم بما يتمّ ستره وإخفاؤه، وفي الحقيقة فإنّ الكافر ساتر لأنّه أخفى ما يعلمه من الحقّ والحقيقة، وهو إنّما يعمل على تغطية وحجب الحقّ بما يُظهره من الأباطيل وأمّا الجاهل القاصر، فليس لديه أدنى التفات بالنسبة إلى ما يكون من الحقّ، فضلاً عن أن يسعى إلى إخفائه وستره، وليس لديه غير اليقين بعقائده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نظرنا إلى هذه المسألة بدقّة وإنصاف بعيداً عن العصبيّة المذهبيّة، لوجدنا أن هذا هو الحقّ في المسألة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889201_2870459653"/>
      <w:bookmarkStart w:id="94" w:name="_Toc35"/>
      <w:bookmarkEnd w:id="93"/>
      <w:r>
        <w:rPr>
          <w:rtl w:val="true"/>
        </w:rPr>
        <w:t xml:space="preserve">مفردة </w:t>
      </w:r>
      <w:r>
        <w:rPr>
          <w:rtl w:val="true"/>
        </w:rPr>
        <w:t>«</w:t>
      </w:r>
      <w:r>
        <w:rPr>
          <w:rtl w:val="true"/>
        </w:rPr>
        <w:t>الكفر</w:t>
      </w:r>
      <w:r>
        <w:rPr>
          <w:rtl w:val="true"/>
        </w:rPr>
        <w:t xml:space="preserve">» </w:t>
      </w:r>
      <w:r>
        <w:rPr>
          <w:rtl w:val="true"/>
        </w:rPr>
        <w:t>و</w:t>
      </w:r>
      <w:r>
        <w:rPr>
          <w:rtl w:val="true"/>
        </w:rPr>
        <w:t>«</w:t>
      </w:r>
      <w:r>
        <w:rPr>
          <w:rtl w:val="true"/>
        </w:rPr>
        <w:t>الكافر</w:t>
      </w:r>
      <w:r>
        <w:rPr>
          <w:rtl w:val="true"/>
        </w:rPr>
        <w:t xml:space="preserve">» </w:t>
      </w:r>
      <w:r>
        <w:rPr>
          <w:rtl w:val="true"/>
        </w:rPr>
        <w:t>في القرآن الكريم</w:t>
      </w:r>
      <w:bookmarkEnd w:id="94"/>
    </w:p>
    <w:p>
      <w:pPr>
        <w:pStyle w:val="BookText"/>
        <w:rPr/>
      </w:pPr>
      <w:r>
        <w:rPr>
          <w:rFonts w:ascii="Amiri" w:hAnsi="Amiri" w:eastAsia="Amiri" w:cs="Amiri"/>
          <w:color w:val="111111"/>
          <w:sz w:val="28"/>
          <w:sz w:val="28"/>
          <w:szCs w:val="28"/>
          <w:rtl w:val="true"/>
          <w:lang w:bidi="ar-SA"/>
        </w:rPr>
        <w:t>لقد اقترن الكفر في القرآن الكريم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اقترت الكافر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الآيات التي تتحدّث عن الكفّار إنّما تعني المقصّرين منهم؛ إذ أنّ عذاب الشخص القاصر قبيح عقلاً وممنوع شرعاً؛ وذلك لأنّ أدلّة البراءة قد وردت في القرآن الكريم نفسه، ومن ذلك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لِيَهْلِكَ مَنْ هَلَكَ عَنْ بَيِّنَةٍ وَيَحْيَى مَنْ حَيَّ عَنْ بَيِّنَةٍ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الدالّة علىالبراءة الشرعيّة، تدلّ بدورها على هذه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أدلّة البراءة الشرعيّة من الكتاب والسنة، تحكي بأجمعها عن أنّ المراد من الكفّار في آيات القرآن هم خصوص المقصّرين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قبح عذاب وعقاب الكفّار القاصرين؛ بمعنى أنّه بالملازمة العقليّة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ندرك أنّه حيثما اقترن الكفر في القرآن الكريم بالعذاب، كان المراد من الكفر هو الذي يمثّل إنكاراً وجحداً بعد العلم واليقين؛ إذ القرآن الكريم لا يحكم بما يخالف العقل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لو ورد في القرآن عذاب أو نظير ذلك بالنسبة إلى الكافر، فإنّه لا يشمل غير المسلم القاصر، وإنّما يشمل خصوص الذي يمكن تعذيبه، </w:t>
      </w:r>
    </w:p>
    <w:p>
      <w:pPr>
        <w:pStyle w:val="BookText"/>
        <w:rPr/>
      </w:pPr>
      <w:r>
        <w:rPr>
          <w:rFonts w:ascii="Amiri" w:hAnsi="Amiri" w:eastAsia="Amiri" w:cs="Amiri"/>
          <w:color w:val="111111"/>
          <w:sz w:val="28"/>
          <w:sz w:val="28"/>
          <w:szCs w:val="28"/>
          <w:rtl w:val="true"/>
          <w:lang w:bidi="ar-SA"/>
        </w:rPr>
        <w:t>وهو الذي يعلم بأحقّية الإسلام، ومع ذلك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نلقي نظرة على بعض آيات القرآن الكريم التي ورد فيها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مشتقّاتهما، حيث يظهر في هذه الآيات بوضوح أنّ المراد من الكفر هو الذي يكون عن تقصير، وإنّ الأحكام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العذاب واللعنة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تحمل على هذا الصنف من الكفّار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الأساس فإنّ الكثير من الأفعال التي ذكرت في هذه الآيات عن الكفّار، إنّما ترتبط بالذين يرتكبون تلك الأفعال رغم علمهم ومعرفتهم للحقّ، ممّا لا يبقى معه أيّ شك أو شبهة في أنّ الكفر المقصود هنا هو الكفر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أفعال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الأنبياء، والإنكار بعد معرفة الحقّ، والصدّ عن سبيل الله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الآيات أدناه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سَوَاءٌ عَلَيْهِمْ أَأَنْذَرْتَهُمْ أَمْ لَمْ تُنْذِرْهُمْ لَا يُؤْمِنُونَ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5" w:name="pg9434_76564"/>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وَصَدُّوا عَنْ سَبِيلِ اللَّهِ قَدْ ضَلُّوا ضَلَالًا بَعِيدًا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والآية الثالثة من سورة التوبة، والآيات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والآية الرابعة من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تحدّث الله تبارك وتعالى في القرآن عن العذاب وأمثاله، كان يكمن في البين نوع من التقصير والجحد والإنكار والعناد من قبل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بداية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آيات القرآن الأُخرى وروايات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البراءة الشرعيّة، وبحكم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عقاب الجاهل القاصر قبيحاً، وإنّ صدور مثل هذا الأمر محال على الله عزّ وجلّ</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889203_2870459653"/>
      <w:bookmarkStart w:id="97" w:name="_Toc36"/>
      <w:bookmarkEnd w:id="96"/>
      <w:r>
        <w:rPr>
          <w:rtl w:val="true"/>
        </w:rPr>
        <w:t xml:space="preserve">مفردة </w:t>
      </w:r>
      <w:r>
        <w:rPr>
          <w:rtl w:val="true"/>
        </w:rPr>
        <w:t>«</w:t>
      </w:r>
      <w:r>
        <w:rPr>
          <w:rtl w:val="true"/>
        </w:rPr>
        <w:t>الكفر</w:t>
      </w:r>
      <w:r>
        <w:rPr>
          <w:rtl w:val="true"/>
        </w:rPr>
        <w:t xml:space="preserve">» </w:t>
      </w:r>
      <w:r>
        <w:rPr>
          <w:rtl w:val="true"/>
        </w:rPr>
        <w:t>و</w:t>
      </w:r>
      <w:r>
        <w:rPr>
          <w:rtl w:val="true"/>
        </w:rPr>
        <w:t>«</w:t>
      </w:r>
      <w:r>
        <w:rPr>
          <w:rtl w:val="true"/>
        </w:rPr>
        <w:t>الكافر</w:t>
      </w:r>
      <w:r>
        <w:rPr>
          <w:rtl w:val="true"/>
        </w:rPr>
        <w:t xml:space="preserve">» </w:t>
      </w:r>
      <w:r>
        <w:rPr>
          <w:rtl w:val="true"/>
        </w:rPr>
        <w:t>في الروايات</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جاء في بعض الروايات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خصوص الجحد والإنكار عن علم بأحقّية الشيء، كما في رواية عبد الرحيم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يُخرجه إلى الكفر، إلا الجحود والاستحلال</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يجرّه الإقرار والتسليم فهو الإيمان، وكلّ شيء يجرّه الإنكار والجحود فهو الكفر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وقفوا ولم يجحدوا، لم يكفروا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عن يساره، وزرارة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فيمن شكّ في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التفت إلى زرارة،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الأُخرى اعتبار المقصّرين من الكفّار، والذين ينكرونأحقّية الإسلام رغم علمهم بأحقّيته، أو الذين سلكوا طريق اللجاج والعداوة عن علم وعمد، بوصفهم مستحقّين للعذاب، وليس جميع الكفّار، كما في هذه الرواية 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عذّب كفرة أهل الكتاب، الذين يصدّون عن سبيلك، ويجحدون آياتك، ويكذّبون رسلك </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إلى أهل الكتاب، ثمّ العمل على تعريف الكافر بأنّه الذي يصدّ عن سبيل الله، وينكر آيات الله، ويكذّب الرسل، يدلّ بأجمعه على أنّهم مقصّرون في كفرهم، وإنّ هؤلاء المقصّرين من أهل الكتاب الذين يتّصفون بهذه الصفات، هم الذين يقعون مورداً لاستحقاق العذاب الإلهي، لا مطلقهم</w:t>
      </w:r>
      <w:r>
        <w:rPr>
          <w:rFonts w:eastAsia="Amiri" w:cs="Amiri" w:ascii="Amiri" w:hAnsi="Amiri"/>
          <w:color w:val="111111"/>
          <w:sz w:val="28"/>
          <w:szCs w:val="28"/>
          <w:rtl w:val="true"/>
          <w:lang w:bidi="ar-SA"/>
        </w:rPr>
        <w:t xml:space="preserve">. </w:t>
      </w:r>
      <w:bookmarkStart w:id="98" w:name="pg9434_76567"/>
    </w:p>
    <w:p>
      <w:pPr>
        <w:pStyle w:val="BookText"/>
        <w:rPr/>
      </w:pPr>
      <w:bookmarkEnd w:id="98"/>
      <w:r>
        <w:rPr>
          <w:rFonts w:ascii="Amiri" w:hAnsi="Amiri" w:eastAsia="Amiri" w:cs="Amiri"/>
          <w:color w:val="111111"/>
          <w:sz w:val="28"/>
          <w:sz w:val="28"/>
          <w:szCs w:val="28"/>
          <w:rtl w:val="true"/>
          <w:lang w:bidi="ar-SA"/>
        </w:rPr>
        <w:t>وفي رواية أُخرى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يُخلّد الله في النار إلّا أهل الكفر والجحود </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الخلود في العذاب الإلهي في هذه الرواية بالكفر والجحود، فإنّ هذا يدلّ على أنّ مراد الإمام هو الكفر عن تقصير وعناد؛ بمعنى أنّ الكفر في القرآن الكريم وأخبار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يُطلق على الجحود والإنكار والتبعيّة للهوى؛ حيث يوجب التقصير في الكفر وعدم الإسلام، حيث إنّ العذاب واللعنة الإلهيّة تشمل هذه الطائفة من الكفّار، وليس عدم الإسلام الناجم عن قصور وجهل؛ إذ كما سبق أن ذكرنا فإنّ العذاب والخلود فيه بسبب الكفر عن قصور وجهل لا يتناسب مع عدالة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889205_2870459653"/>
      <w:bookmarkStart w:id="100" w:name="_Toc37"/>
      <w:bookmarkEnd w:id="99"/>
      <w:r>
        <w:rPr>
          <w:rtl w:val="true"/>
        </w:rPr>
        <w:t xml:space="preserve">كلام </w:t>
      </w:r>
      <w:r>
        <w:rPr>
          <w:rtl w:val="true"/>
        </w:rPr>
        <w:t>«</w:t>
      </w:r>
      <w:r>
        <w:rPr>
          <w:rtl w:val="true"/>
        </w:rPr>
        <w:t>حديقة الأُصول</w:t>
      </w:r>
      <w:r>
        <w:rPr>
          <w:rtl w:val="true"/>
        </w:rPr>
        <w:t xml:space="preserve">» </w:t>
      </w:r>
      <w:r>
        <w:rPr>
          <w:rtl w:val="true"/>
        </w:rPr>
        <w:t>حول قصور وتقصير الكفّار</w:t>
      </w:r>
      <w:bookmarkEnd w:id="1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أروع وأجمل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القمّي، في ذيل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التقليد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xml:space="preserve">: </w:t>
      </w:r>
      <w:bookmarkStart w:id="101" w:name="pg9434_76568"/>
    </w:p>
    <w:p>
      <w:pPr>
        <w:pStyle w:val="BookText"/>
        <w:rPr/>
      </w:pPr>
      <w:bookmarkEnd w:id="101"/>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لفظ الكافر هو المقصّر؛ فيكون القاصر خلاف الظاهر وخلاف المتبادر من هذا اللفظ؛ فيكون محكوماً بعدم إرادته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الظهور أنّ الكافر مشتقّ من الكفر، بمعنى الستر، وهو فعل اختياري صادر عن قصد وشعور، فلا بدّ أن يكون المراد من الكافر من يكون كفره كذلك، ولا يكون ذلك إلّا كفر المقصّر، لا القاصر؛ فإنّ كفر القاصر انكفار لا كفر؛ نظير الفرق بين الاستتار والستر، والانجعال والجعل، والانكسار والكسر، فتدبّر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5889207_2870459653"/>
      <w:bookmarkStart w:id="103" w:name="_Toc38"/>
      <w:bookmarkEnd w:id="102"/>
      <w:r>
        <w:rPr>
          <w:rtl w:val="true"/>
        </w:rPr>
        <w:t xml:space="preserve">كلام الإمام الخميني </w:t>
      </w:r>
      <w:r>
        <w:rPr>
          <w:rtl w:val="true"/>
        </w:rPr>
        <w:t>(</w:t>
      </w:r>
      <w:r>
        <w:rPr>
          <w:rtl w:val="true"/>
        </w:rPr>
        <w:t>قدس سره</w:t>
      </w:r>
      <w:r>
        <w:rPr>
          <w:rtl w:val="true"/>
        </w:rPr>
        <w:t xml:space="preserve">) </w:t>
      </w:r>
      <w:r>
        <w:rPr>
          <w:rtl w:val="true"/>
        </w:rPr>
        <w:t>في قصور وتقصير الكفّار</w:t>
      </w:r>
      <w:bookmarkEnd w:id="103"/>
    </w:p>
    <w:p>
      <w:pPr>
        <w:pStyle w:val="BookText"/>
        <w:rPr/>
      </w:pPr>
      <w:r>
        <w:rPr>
          <w:rFonts w:ascii="Amiri" w:hAnsi="Amiri" w:eastAsia="Amiri" w:cs="Amiri"/>
          <w:color w:val="111111"/>
          <w:sz w:val="28"/>
          <w:sz w:val="28"/>
          <w:szCs w:val="28"/>
          <w:rtl w:val="true"/>
          <w:lang w:bidi="ar-SA"/>
        </w:rPr>
        <w:t xml:space="preserve">قال 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قلّ وندر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 قاصرون، لا 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عوامهم فظاهر؛ لعدم انقداح خلاف ما هم عليه من المذاهب في أذهانهم، بل هم قاطعون بصحّة مذهبهم وبطلان سائر المذاهب، نظير عوام المسلمين، فكما أنّ عوامنا عالمون بصحّة مذهبهم وبطلان سائر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المذاهب، من غير انقداح خلاف في أذهانهم لأجل التلقين والنشوء في محيط الإسلام، كذلك عوامهم من غير فرق بينهما من هذه الجهة، والقاطع معذور في متابعة قطعه، ولا يكون عاصياً وآثماً، ولا تصحّ عقوبته في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عوامهم، فالغالب فيهم أنّه بواسطة التلقينات من أوّل الطفولة والنشوء في محيط الكفر صاروا جازمين ومعتقدين بمذاهبهم الباطلة بحيث كلّما ورد على خلافها ردّوها بعقولهم المجبولة على خلاف الحقّ من بدو نشوئهم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اليهودي والنصراني كالعالم المسلم لا يرى حجّة الغير صحيحة، وصار بطلانها كالضروري له؛ لكون صحّة مذهبه ضروريّة لديه لا يحتمل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فيهم من يكون مقصّراً لو احتمل خلاف مذهبه وترك النظر إلى حجّته؛ عناداً أو تعصّباً، كما في بدو الإسلام في علماء اليهود والنصارى من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كجهّال المسلمين؛ منهم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والتكاليف أُصولاً وفروعاً مشتركة بين جميع المكلّفين </w:t>
      </w:r>
      <w:bookmarkStart w:id="104" w:name="pg9434_76570"/>
    </w:p>
    <w:p>
      <w:pPr>
        <w:pStyle w:val="BookText"/>
        <w:rPr/>
      </w:pPr>
      <w:bookmarkEnd w:id="104"/>
      <w:r>
        <w:rPr>
          <w:rFonts w:ascii="Amiri" w:hAnsi="Amiri" w:eastAsia="Amiri" w:cs="Amiri"/>
          <w:color w:val="111111"/>
          <w:sz w:val="28"/>
          <w:sz w:val="28"/>
          <w:szCs w:val="28"/>
          <w:rtl w:val="true"/>
          <w:lang w:bidi="ar-SA"/>
        </w:rPr>
        <w:t>عالمهم وجاهلهم، قاصرهم ومقصّرهم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 معاقبون على الأُصول والفروع لكن مع قيام الحجّة عليهم لا مطلقاً، فكما أنّ كون المسلمين معاقبين على الفروع ليس معناه أنّهم معاقبون عليها؛ سواء كانوا قاصرين أم مقصّرين، كذلك الكفّار طابق النعل بالنعل، بحكم العقل وأُصول العدليّة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5889209_2870459653"/>
      <w:bookmarkStart w:id="106" w:name="_Toc39"/>
      <w:bookmarkEnd w:id="105"/>
      <w:r>
        <w:rPr>
          <w:rtl w:val="true"/>
        </w:rPr>
        <w:t xml:space="preserve">كلام الشهيد المطهري </w:t>
      </w:r>
      <w:r>
        <w:rPr>
          <w:rtl w:val="true"/>
        </w:rPr>
        <w:t>(</w:t>
      </w:r>
      <w:r>
        <w:rPr>
          <w:rtl w:val="true"/>
        </w:rPr>
        <w:t>رحمة الله عليه</w:t>
      </w:r>
      <w:r>
        <w:rPr>
          <w:rtl w:val="true"/>
        </w:rPr>
        <w:t xml:space="preserve">) </w:t>
      </w:r>
      <w:r>
        <w:rPr>
          <w:rtl w:val="true"/>
        </w:rPr>
        <w:t>في القاصرين والمقصّرين من غير المسلمين</w:t>
      </w:r>
      <w:bookmarkEnd w:id="106"/>
    </w:p>
    <w:p>
      <w:pPr>
        <w:pStyle w:val="BookText"/>
        <w:rPr/>
      </w:pPr>
      <w:r>
        <w:rPr>
          <w:rFonts w:ascii="Amiri" w:hAnsi="Amiri" w:eastAsia="Amiri" w:cs="Amiri"/>
          <w:color w:val="111111"/>
          <w:sz w:val="28"/>
          <w:sz w:val="28"/>
          <w:szCs w:val="28"/>
          <w:rtl w:val="true"/>
          <w:lang w:bidi="ar-SA"/>
        </w:rPr>
        <w:t xml:space="preserve">قال الشيخ الشهيد مرتضى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مسلم أو غير مسلم، لا ننظر إلى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الناحية الجغرافية، نطلق على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يعيشون في منطقة، وصاروا بحكم التقليد والوراثة عن آبائهم وأمّهاتهم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المسلمين، وأمّا الأشخاص الآخرون الذين عاشوا ضمن جغرافية أُخرى وصاروا أتباعاً لدين آخر بحكم تقليدهم لآبائهم وأُمّهاتهم </w:t>
      </w:r>
    </w:p>
    <w:p>
      <w:pPr>
        <w:pStyle w:val="BookText"/>
        <w:rPr/>
      </w:pPr>
      <w:r>
        <w:rPr>
          <w:rFonts w:ascii="Amiri" w:hAnsi="Amiri" w:eastAsia="Amiri" w:cs="Amiri"/>
          <w:color w:val="111111"/>
          <w:sz w:val="28"/>
          <w:sz w:val="28"/>
          <w:szCs w:val="28"/>
          <w:rtl w:val="true"/>
          <w:lang w:bidi="ar-SA"/>
        </w:rPr>
        <w:t>أو لم يعتنقوا ديناً أصلاً، فنطلق عليهم عنوان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العلم بأنّ هذه الناحية لا تنطوي على أهمّية، لا من حيث الانتساب إلى الإسلام، ولا من حيث الانتساب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منّا من المسلمين على مستوى التقليد والجغرافيا؛ بمعنى أنّنا مسلمون لأنّنا ولدنا من أبوين مسلمين، وقد ترعرعنا وعشنا في منطقة يقطنها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يحظى بالقيمة في الواقع هو الإسلام الحقيقي، وهو الذي يكون فيه الشخص مستسلماً للحقّ والحقيقة قلباً وقالباً، والذي يفتح قلبه للحقيقة ليؤمن بما هو حقّ ويعمل به، وإنّ الإسلام الذي آمن به إنّما اعتنقه على أساس البحث والتحقيق من جهة، وعلى أساس التسليم وعدم العصبيّة من ناحية أُخرى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الشخص متّصفاً بالتسليم، وبقي الإسلام خافياً عليه لسبب وآخر، ولم يكن مقصّراً في ذلك، فإنّ الله لا يعذّبه أبداً، وسوف يكون بمنجى من عذابالجحيم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حكماء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ابن سينا، وصدر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الناس الذين لا يعترفون بالحقيقة إنّما هم قاصرون وغير مقصّرين؛ فإنّ هؤلاء إذا لم يكونوا يؤمنون بالله لا يستحقّون العذاب، وفي الوقت نفسه لا يستحقّون النعيم أيضاً، وإن كانوا يؤمنون بالله والمعاد ويعملون الصالحات قربة إلى الله، سوف يحصلون على جزاء إحسانهم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يشقى سوى المقصّرين دون القاصرين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نظرتم إلى هذه المسيحيّة المحرّفة، وذهبتم إلى القرى والمدن المسيحيّة، هل ستعتبرون كلّ كاهن شخصاً فاسداً ولئيماً؟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أستطيع الجزم بأنّ ما بين سبعين إلى ثمانين بالمئة من هؤلاء هم أّناس صالحون مؤمنون أتقياء مخلصون، وطالما علّموا الناس الصدق والتقوى والطهر باسم السيّد المسيح، وليس لهم أيّ تقصير في ذلك؛ وعليه فإنّهم </w:t>
      </w:r>
      <w:bookmarkStart w:id="107" w:name="pg9434_76573"/>
    </w:p>
    <w:p>
      <w:pPr>
        <w:pStyle w:val="BookText"/>
        <w:rPr/>
      </w:pPr>
      <w:bookmarkEnd w:id="107"/>
      <w:r>
        <w:rPr>
          <w:rFonts w:ascii="Amiri" w:hAnsi="Amiri" w:eastAsia="Amiri" w:cs="Amiri"/>
          <w:color w:val="111111"/>
          <w:sz w:val="28"/>
          <w:sz w:val="28"/>
          <w:szCs w:val="28"/>
          <w:rtl w:val="true"/>
          <w:lang w:bidi="ar-SA"/>
        </w:rPr>
        <w:t>يستحقّون الجنّة، وحتّى كاهنهم يدخل الجنّة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يجب التمييز والفصل بين رجال الدين المسيحيين الفاسدين وبين أكثريّة المبشّرين وأتباع السيّد المسيح</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5889211_2870459653"/>
      <w:bookmarkStart w:id="109" w:name="_Toc40"/>
      <w:bookmarkEnd w:id="108"/>
      <w:r>
        <w:rPr>
          <w:rtl w:val="true"/>
        </w:rPr>
        <w:t>الكرامة الذاتيّة للبشر</w:t>
      </w:r>
      <w:bookmarkEnd w:id="109"/>
    </w:p>
    <w:p>
      <w:pPr>
        <w:pStyle w:val="BookText"/>
        <w:rPr/>
      </w:pPr>
      <w:r>
        <w:rPr>
          <w:rFonts w:ascii="Amiri" w:hAnsi="Amiri" w:eastAsia="Amiri" w:cs="Amiri"/>
          <w:color w:val="111111"/>
          <w:sz w:val="28"/>
          <w:sz w:val="28"/>
          <w:szCs w:val="28"/>
          <w:rtl w:val="true"/>
          <w:lang w:bidi="ar-SA"/>
        </w:rPr>
        <w:t>بالإضافة إلى ما تقدّم، لا يمكن اعتبار هذا النوع من الأحكام منسجماً مع أصل الكرامة الذاتيّة للإنسان؛ وذلك لأنّ الإسلام يرى أنّ هناك قيمة لأصل وذات جميع الناس، وأنّ العقيدة والمذهب وسائر الاتجاهات الفكريّة من عوارض ذلك، وكما أنّ اللون والعِرق والقوميّة والغنى والفقر وما إلى ذلك، لا يوجب أفضليّة وامتيازاً، كذلك العقيدة والمذهب لن يستوجب أفضليّة وامتيازاً في أيّ شيء، ناهيك عن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نسبة هذا الأمر إلى الإسلام الحنيف، والحال أنّ الله سبحانه وتعالى قد تحدّث في القرآن الكريم عن كرامة جميع الناس بشكل صريح، كما في قوله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كَرَّمْنَا بَنِي آدَمَ وَحَمَلْنَاهُمْ فِي الْبَرِّ وَالْبَحْرِ وَرَزَقْنَاهُمْ</w:t>
      </w:r>
    </w:p>
    <w:p>
      <w:pPr>
        <w:pStyle w:val="BookText"/>
        <w:rPr/>
      </w:pPr>
      <w:r>
        <w:rPr>
          <w:rFonts w:ascii="Amiri" w:hAnsi="Amiri" w:eastAsia="Amiri" w:cs="Amiri"/>
          <w:color w:val="111111"/>
          <w:sz w:val="28"/>
          <w:sz w:val="28"/>
          <w:szCs w:val="28"/>
          <w:rtl w:val="true"/>
          <w:lang w:bidi="ar-SA"/>
        </w:rPr>
        <w:t>مِنَ الطَّيِّبَاتِ وَفَضَّلْنَاهُمْ عَلَى كَثِيرٍ مِمَّنْ خَلَقْنَا تَفْضِيلًا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هذا المعنى في الروايات المأثورة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الرواية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إلى ذلك من الموارد الأُخرى التي سنتعرّض لها في الصفحات الآتية</w:t>
      </w:r>
      <w:r>
        <w:rPr>
          <w:rFonts w:eastAsia="Amiri" w:cs="Amiri" w:ascii="Amiri" w:hAnsi="Amiri"/>
          <w:color w:val="111111"/>
          <w:sz w:val="28"/>
          <w:szCs w:val="28"/>
          <w:rtl w:val="true"/>
          <w:lang w:bidi="ar-SA"/>
        </w:rPr>
        <w:t xml:space="preserve">. </w:t>
      </w:r>
      <w:bookmarkStart w:id="110" w:name="pg9434_76575"/>
    </w:p>
    <w:p>
      <w:pPr>
        <w:pStyle w:val="Heading2"/>
        <w:numPr>
          <w:ilvl w:val="1"/>
          <w:numId w:val="1"/>
        </w:numPr>
        <w:rPr/>
      </w:pPr>
      <w:bookmarkStart w:id="111" w:name="__RefHeading___Toc5889213_2870459653"/>
      <w:bookmarkStart w:id="112" w:name="_Toc41"/>
      <w:bookmarkEnd w:id="110"/>
      <w:bookmarkEnd w:id="111"/>
      <w:r>
        <w:rPr>
          <w:rtl w:val="true"/>
        </w:rPr>
        <w:t>التعامل مع غير المسلمين من زاوية الروايات</w:t>
      </w:r>
      <w:bookmarkEnd w:id="112"/>
    </w:p>
    <w:p>
      <w:pPr>
        <w:pStyle w:val="Heading3"/>
        <w:numPr>
          <w:ilvl w:val="2"/>
          <w:numId w:val="1"/>
        </w:numPr>
        <w:rPr/>
      </w:pPr>
      <w:bookmarkStart w:id="113" w:name="__RefHeading___Toc5889215_2870459653"/>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هناك الكثير من الروايات التي تشتمل على حثّ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وأتباعهم إلى التعامل مع الآخرين بأُسلوب حسن، كي يؤدّي هذا التعامل إلى ترغيبهم وتشجيعهم على اعتناق المذهب الحقّ، وبذلك تنفتح لهم آفاق المعرفة، والتعرّف بعد ذلك على واقع وحقيقة 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ورد في المأثور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خاطب شيعته قائلاً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لجماعة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 قولوا للناس حُسناً، واحفظوا ألسنتكم وكفوها عن الفضول وقبح القول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مقام النصح والإرشاد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 حبّبونا إلى الناس ولا تبغضونا إليهم، فجرّوا إلينا كلّ مودّة، وادفعوا عنّا كلّ 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جدّاً أنّ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طلبوا في هذه الروايات من شيعتهم أن يعملوا بهذه التعاليم في تعاملهم مع المختلفين معهم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أنّك عندما تتعامل مع شخص غير شيعي أو غير مسلم، عليك أن تتعامل معه بشكل تكون معه زينة وفخراً ورفعة لشأن أئمّتنا، لا أن تكون سبباً في التنفير منهم وكراهتهم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أتباعه وشيعته بأن يقوموا بكلّ ما يوجب زيادة </w:t>
      </w:r>
    </w:p>
    <w:p>
      <w:pPr>
        <w:pStyle w:val="BookText"/>
        <w:rPr/>
      </w:pPr>
      <w:r>
        <w:rPr>
          <w:rFonts w:ascii="Amiri" w:hAnsi="Amiri" w:eastAsia="Amiri" w:cs="Amiri"/>
          <w:color w:val="111111"/>
          <w:sz w:val="28"/>
          <w:sz w:val="28"/>
          <w:szCs w:val="28"/>
          <w:rtl w:val="true"/>
          <w:lang w:bidi="ar-SA"/>
        </w:rPr>
        <w:t>محبّتهم ومودّتهم بين المختلفين، وأن يجتنبوا ويبتعدوا عن كلّ ما من شأنه أن يبغّض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طلبوا منهم أن يتعاملوا مع المختلف معاملة حسنة، وأن يرفقوا لهم في القول، وأن يجتنبوا فضول الكلام أو الحديث معهم بسوء؛ كي يروا في سلوكهم أمارات السعي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والتقوىفي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الأئمّة الأطهار شيعتهم في تعاملهم مع المختلفين معهم في الدين والمذهب؟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نقول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الروايات بأجمعها قد استعملت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فإنّ هذا التعبير عندما يتمّ استعماله يراد به المخالفين للشيعة، أو مطلق الناس الأعمّ من المسلمين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 قال في الرواية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حبّبونا إلى الناس ولا تبغضونا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محبوبين من قبل أصحابهم ولم يكن الأصحاب يبغضونهم، بل إنّ المخالفين هم الذي يحتاجون إلى أن نستجلب مودّتهم ومحبّتهم، وأن نمحو من أذهانهم ما يُنسب إلى الأئمّة باطلاً</w:t>
      </w:r>
      <w:r>
        <w:rPr>
          <w:rFonts w:eastAsia="Amiri" w:cs="Amiri" w:ascii="Amiri" w:hAnsi="Amiri"/>
          <w:color w:val="111111"/>
          <w:sz w:val="28"/>
          <w:szCs w:val="28"/>
          <w:rtl w:val="true"/>
          <w:lang w:bidi="ar-SA"/>
        </w:rPr>
        <w:t xml:space="preserve">. </w:t>
      </w:r>
      <w:bookmarkStart w:id="115" w:name="pg9434_76578"/>
    </w:p>
    <w:p>
      <w:pPr>
        <w:pStyle w:val="BookText"/>
        <w:rPr/>
      </w:pPr>
      <w:bookmarkEnd w:id="115"/>
      <w:r>
        <w:rPr>
          <w:rFonts w:ascii="Amiri" w:hAnsi="Amiri" w:eastAsia="Amiri" w:cs="Amiri"/>
          <w:color w:val="111111"/>
          <w:sz w:val="28"/>
          <w:sz w:val="28"/>
          <w:szCs w:val="28"/>
          <w:rtl w:val="true"/>
          <w:lang w:bidi="ar-SA"/>
        </w:rPr>
        <w:t>يتضح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أنّ القول بجواز غيبة المخالفين وغير المسلمين، لن يؤدّي إلى زيادة محبّة المخالف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ويؤدّي إلى بغضهم ووهنهم وكراهتهم للأئمّة؛ إذ عندما يشاهد أتباع سائر المذاهب والأديان أنّ أئمّة دين ومذهب مّا، يجيزون شتمهم وهتك عرضهم والإساءة إليهم، سوف يمتعضون منهم ويبغضونهم بطبيعة الحال، وهذا يقع إلى الضدّ تماماً من توجيهات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موارد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والسبّ والاتّهام، من المصاديق البارزة والتامّة لفضول الكلام وقبيح القول وعدم ضبط اللسان، وقد ورد النهي من قبل الأئمّة الأطهار عن جميع هذه الموارد بشكل مطلق، ولا سيّما في التعاطي والتعامل مع المختلفين في الدين والمذهب</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889217_2870459653"/>
      <w:bookmarkStart w:id="117" w:name="_Toc43"/>
      <w:bookmarkEnd w:id="116"/>
      <w:r>
        <w:rPr>
          <w:rtl w:val="true"/>
        </w:rPr>
        <w:t xml:space="preserve">نماذج عمليّة من تعامل المعصومين </w:t>
      </w:r>
      <w:r>
        <w:rPr>
          <w:rtl w:val="true"/>
        </w:rPr>
        <w:t>(</w:t>
      </w:r>
      <w:r>
        <w:rPr>
          <w:rtl w:val="true"/>
        </w:rPr>
        <w:t>عليهم السلام</w:t>
      </w:r>
      <w:r>
        <w:rPr>
          <w:rtl w:val="true"/>
        </w:rPr>
        <w:t xml:space="preserve">) </w:t>
      </w:r>
      <w:r>
        <w:rPr>
          <w:rtl w:val="true"/>
        </w:rPr>
        <w:t>مع المختلفين وغير المسلمين</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لنا أن نقبل بمثل هذا الحكم، في حين هناك الكثير من النماذج المأثورة عن السيرة العمليّة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تعاملهم مع </w:t>
      </w:r>
    </w:p>
    <w:p>
      <w:pPr>
        <w:pStyle w:val="BookText"/>
        <w:rPr/>
      </w:pPr>
      <w:r>
        <w:rPr>
          <w:rFonts w:ascii="Amiri" w:hAnsi="Amiri" w:eastAsia="Amiri" w:cs="Amiri"/>
          <w:color w:val="111111"/>
          <w:sz w:val="28"/>
          <w:sz w:val="28"/>
          <w:szCs w:val="28"/>
          <w:rtl w:val="true"/>
          <w:lang w:bidi="ar-SA"/>
        </w:rPr>
        <w:t>المخالفين وأتباع سائر الأديان، وهي تختلف بالكامل عن مثل هذه الممارسات، وتتناقض مع القول بجواز غيبتهم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نذكر بعض النماذج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شيخ مكفوف يسأل؛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من غير المقبول القول إنّ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يُبدون مثل هذه الحسّاسيّة تجاه المشاكل الماديّة لغير المسلم، ويأمرون بالإنفاق عليه من بيت المال، يحكمون في الوقت نفسه بجواز هتك حيثيّته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نفس هذا الاهتمام من قبل الإمام بهذا الشخص النصراني يأتي في إطار الحفاظ على كرامته وسمعته وعرضه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عندما سمع بعض أصحابه يشتم معاوية وأصحابه في حرب صفين،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يتعامل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يحاربونه ويشهرون بوجهه السيف، بمثل هذا التعامل المترفّع، ولا يسمح لأصحابه بالتعرّض إلى حيثيّتهم وسمعتهم، فمن البديهي أن يبدي اهتماماً أكبر بحيثيّة وسمعة وكرامة أُولئك الذين يختلفون عنّا في مجرّد الانتماء الديني والمذهبي، وهو الانتماء الذي يكون سببه القصور والجهل، دون العناد والتعصّب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يرون ملامة على الذي يموت كمداً من المسلمين، وهو يرى اعتداءاً من قبل المغيرين على يهوديّة يسلبونها قرطها أو خلخالها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يقبلوا بالتعرّض إلى حيثية وكرامة المختلف في الدين والمذهب بسببقصوره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غير الشيعة وغير المسلمين الذين لا يبدون في تشبّثهم بدينهم وعقيدتهم عداوة وعناداً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فينزع حجلها وقُلبها وقلائدها ورُعُثها، ما تمتنع منه إلّا بالاسترجاع والاسترحام، ثمّ انصرفوا وافرين ما نال رجلاً منهم كلم ولا أريق لهم دم، فلو أنّ امرءاً مسلماً مات من بعد هذا أسفاً ما كان به ملوماً، بل كان به عندي جديراً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اتّصاف الإنسان بالإنسانيّة يكفي لحصانته على مستوى احترام سمعته وشخصيّته وضمان كرامته وعدم إهدار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أنّه قال في عهده إلى مالك 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قلبك الرحمة للرعيّة، 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الأمر بالرحمة والمحبّة واللطف بنظائرنا في الإنسانيّة، لا ينسجم مع القول بجواز غيبتهم وبيان عيوبهم مما يُعدّ نوعاً من الظلم، ويجب لذلك أن نجد محملاً آخر لتلك الروايات </w:t>
      </w:r>
    </w:p>
    <w:p>
      <w:pPr>
        <w:pStyle w:val="BookText"/>
        <w:rPr/>
      </w:pPr>
      <w:r>
        <w:rPr>
          <w:rFonts w:ascii="Amiri" w:hAnsi="Amiri" w:eastAsia="Amiri" w:cs="Amiri"/>
          <w:color w:val="111111"/>
          <w:sz w:val="28"/>
          <w:sz w:val="28"/>
          <w:szCs w:val="28"/>
          <w:rtl w:val="true"/>
          <w:lang w:bidi="ar-SA"/>
        </w:rPr>
        <w:t>التي توهم جواز غيبة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نعرض عليكم رواية تبيّن السيرة العمليّة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أتباع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أبا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عدل الطريق بالذمّي عدل 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عدلت معي؟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الصُّحبة أن يُشيّع الرجل صاحبه هنيئة إذا فارقه، وكذلك أمرنانبيّنا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الذمّي أسلم لذلك</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عظمة هذه النفس وسعة هذه الروح التي يتمتّع بها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يُنسب لهم من الحكم بجواز الغيبة والسبّ وأمثال هذه الأحكام؟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العثور على نماذج كثيرة أُخرى من هذه الروايات، وهي تشكّل تحدّياً أمام القول بأحكام من </w:t>
      </w:r>
    </w:p>
    <w:p>
      <w:pPr>
        <w:pStyle w:val="BookText"/>
        <w:rPr/>
      </w:pP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غيبة وسبّ المخالف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تأمّلنا فيها سوف تأخذ بنا إلى موقع آخر هو الأنسب مع روح الرأفة والرحمة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يخطر إلى الذهن سؤال، وإنّ الإجابة عنه بعد شيء من التدقيق تدعو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كنّا نعيش ضمن مجتمع مؤلّف من مختلف الأديان والفِرَق والمذاهب، وقلنا بجواز غيبة المختلف، ألن يؤدّي ذلك إلى ضرب الهدف والغاية الأصليّة التي جاء بها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الهدف المتمثّل بإرساء دعائم الأخلاق الفرديّة والاجتماعيّة؟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لأنّنا بذلك نعمل من جهة على إشاعة الفحشاء والمنكر في المجتمع الذي هو بحاجة إلى الحفاظ على السلم الأهلي والمجتمعي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الحقيقة نعمل بذلك على ضرب الهدوء، ونساعد في إيجاد سوء الظنّ وعدم الوثوق ببعضنا، وبذلك سوف يختلّ نظام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سلوكنا هذا يؤدّي بالآخر إلى مواجهتنا بالمثل، وسوف يؤدّي ذلك في المقابل إلى هتك حرمتنا وحيثيّتنا وكرامتنا بحقّ وباطل</w:t>
      </w:r>
      <w:r>
        <w:rPr>
          <w:rFonts w:eastAsia="Amiri" w:cs="Amiri" w:ascii="Amiri" w:hAnsi="Amiri"/>
          <w:color w:val="111111"/>
          <w:sz w:val="28"/>
          <w:szCs w:val="28"/>
          <w:rtl w:val="true"/>
          <w:lang w:bidi="ar-SA"/>
        </w:rPr>
        <w:t xml:space="preserve">. </w:t>
      </w:r>
      <w:bookmarkStart w:id="118" w:name="pg9434_76584"/>
    </w:p>
    <w:p>
      <w:pPr>
        <w:pStyle w:val="Heading2"/>
        <w:numPr>
          <w:ilvl w:val="1"/>
          <w:numId w:val="1"/>
        </w:numPr>
        <w:rPr/>
      </w:pPr>
      <w:bookmarkStart w:id="119" w:name="__RefHeading___Toc5889219_2870459653"/>
      <w:bookmarkStart w:id="120" w:name="_Toc44"/>
      <w:bookmarkEnd w:id="118"/>
      <w:bookmarkEnd w:id="119"/>
      <w:r>
        <w:rPr>
          <w:rtl w:val="true"/>
        </w:rPr>
        <w:t>النتيجة</w:t>
      </w:r>
      <w:bookmarkEnd w:id="120"/>
    </w:p>
    <w:p>
      <w:pPr>
        <w:pStyle w:val="BookText"/>
        <w:rPr/>
      </w:pPr>
      <w:r>
        <w:rPr>
          <w:rFonts w:ascii="Amiri" w:hAnsi="Amiri" w:eastAsia="Amiri" w:cs="Amiri"/>
          <w:color w:val="111111"/>
          <w:sz w:val="28"/>
          <w:sz w:val="28"/>
          <w:szCs w:val="28"/>
          <w:rtl w:val="true"/>
          <w:lang w:bidi="ar-SA"/>
        </w:rPr>
        <w:t>بعد الدراسة الدقيقة والمتأنّية والرؤية الجديدة إلى الآيات والروايات، بعيداً عن العصبيّات والمركوزات الذهنيّة، نصل إلى نتيجة مفادها أنّ أدلّة حرمة الغيبة تشمل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الأدلّة التي تقصر حرمة الغيبة على الشيعة الإماميّة الإثني عشريّة فقط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فإنّ غيبة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الشيعة وغير الشيعة، والمسلمين وغير المسلمين، وحتّى الكفّار ما دام اعتقادهم عن قصور 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فإنّ المسلمين من غير الشيعة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والكفّار إذا كانوا مقصّرين أو جاحدين ومنكرين في اعتقادهم، أو ناصبونا العداء والعناد، لا يكونون مشمولين لحكم عدم الحرمة، وبذلك تكون غيبتهم جائزة</w:t>
      </w:r>
      <w:r>
        <w:rPr>
          <w:rFonts w:eastAsia="Amiri" w:cs="Amiri" w:ascii="Amiri" w:hAnsi="Amiri"/>
          <w:color w:val="111111"/>
          <w:sz w:val="28"/>
          <w:szCs w:val="28"/>
          <w:rtl w:val="true"/>
          <w:lang w:bidi="ar-SA"/>
        </w:rPr>
        <w:t xml:space="preserve">. </w:t>
      </w:r>
      <w:bookmarkStart w:id="121" w:name="pg9434_76586"/>
    </w:p>
    <w:p>
      <w:pPr>
        <w:pStyle w:val="Heading2"/>
        <w:numPr>
          <w:ilvl w:val="1"/>
          <w:numId w:val="1"/>
        </w:numPr>
        <w:rPr/>
      </w:pPr>
      <w:bookmarkStart w:id="122" w:name="__RefHeading___Toc5889221_2870459653"/>
      <w:bookmarkStart w:id="123" w:name="_Toc45"/>
      <w:bookmarkEnd w:id="121"/>
      <w:bookmarkEnd w:id="122"/>
      <w:r>
        <w:rPr>
          <w:rtl w:val="true"/>
        </w:rPr>
        <w:t>المصادر</w:t>
      </w:r>
      <w:bookmarkEnd w:id="123"/>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الصدوق، محمّد بن علي بن بابويه، 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 الشيخ محمّد حسن النجفي،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أحكام العترة الطاهرة، الشيخ يوسف البحراني، دفتر انتشارات اسلامي التابعة لجامعة المدرسين، قم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البساتين في شرح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قراجه داغي، المولى محمّد علي، </w:t>
      </w:r>
    </w:p>
    <w:p>
      <w:pPr>
        <w:pStyle w:val="BookText"/>
        <w:rPr/>
      </w:pPr>
      <w:r>
        <w:rPr>
          <w:rFonts w:ascii="Amiri" w:hAnsi="Amiri" w:eastAsia="Amiri" w:cs="Amiri"/>
          <w:color w:val="111111"/>
          <w:sz w:val="28"/>
          <w:sz w:val="28"/>
          <w:szCs w:val="28"/>
          <w:rtl w:val="true"/>
          <w:lang w:bidi="ar-SA"/>
        </w:rPr>
        <w:t>المطبوعة في ضمن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وباطل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الشهيد المطهري، مرتضى، انتشارات صدرا،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الصدوق، محمّد بن علي بن بابويه، 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 الحلي، محمّد بن إدريس، دفتر انتشارات اسلامي التابعة لجامعة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تاج اللغة وصحاح العربية، الجوهري، إسماعيل بن حماد، دارالعلم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الشهيد المطهري، مرتضى، انتشارات صدرا،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الصدوق، محمّد بن علي بن بابويه،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الكليني، أبو جعفر، محمّد بن يعقوب، دارالكتب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 الشيخ الأنصاري، مرتضى بن محمّد أمين الأنصاري، المؤتمر العالمي لإحياء ذكرى الشيخ الأنصاري، قم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w:t>
      </w:r>
    </w:p>
    <w:p>
      <w:pPr>
        <w:pStyle w:val="BookText"/>
        <w:rPr/>
      </w:pPr>
      <w:r>
        <w:rPr>
          <w:rFonts w:ascii="Amiri" w:hAnsi="Amiri" w:eastAsia="Amiri" w:cs="Amiri"/>
          <w:color w:val="111111"/>
          <w:sz w:val="28"/>
          <w:sz w:val="28"/>
          <w:szCs w:val="28"/>
          <w:rtl w:val="true"/>
          <w:lang w:bidi="ar-SA"/>
        </w:rPr>
        <w:t>الأذهان، المقدّس الأردبيلي، أحمد،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الشهيد المطهري، مرتضى، انتشارات صدرا،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الميرزا حسين النوري، 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أبوالقاسم الموسوي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 الفيومي، أحمد بن محمّد المقري، منشورات الوافي،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 أبوالحسن، أحمد بن فارس زكريا، انتشارات دفتر تبليغات اسلامي،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ألفاظ القرآن، الراغب الإصفهاني، حسين بن محمّد، دارالعلم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السامية،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المكاسب المحرّمة، الإمام الخميني، السيّد روح الله الموسوي، مؤسسة تنظيم ونشر آثار الإمام الخميني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الصدوق، محمّد بن </w:t>
      </w:r>
    </w:p>
    <w:p>
      <w:pPr>
        <w:pStyle w:val="BookText"/>
        <w:rPr/>
      </w:pPr>
      <w:r>
        <w:rPr>
          <w:rFonts w:ascii="Amiri" w:hAnsi="Amiri" w:eastAsia="Amiri" w:cs="Amiri"/>
          <w:color w:val="111111"/>
          <w:sz w:val="28"/>
          <w:sz w:val="28"/>
          <w:szCs w:val="28"/>
          <w:rtl w:val="true"/>
          <w:lang w:bidi="ar-SA"/>
        </w:rPr>
        <w:t>علي بن بابويه، دارالكتب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 الجزري، ابن الأثير، مبارك بن محمّد، مؤسسة إسماعيليان للطباعة والنشر،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الشريف الرضي، محمّد بن حسين، انتشارات هجرت، قم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الحر العاملي، محمّد بن الحسن، مؤسسة آل البيت لإحياء التراث، قم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في شرح إرشاد الأذهان،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 ظاهر الأخبار اختصاص حرمة الغيبة بالمؤمن؛ فيجوز اغتياب المخالف، كما يجوز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عموم الآية كبعض الروايات لمطلق المسلم، مدفوع بما علم بضرورة المذهب من عدم احترامهم وعدم جريان احكام الإسلام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 التاسع،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فی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كتاب الحدود، أبواب حدّ المرتد، الباب العاشر،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البلدان،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البلدان،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قصاص النفس،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قصاص النفس،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قصاص النفس،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كتاب الأمر بالمعروف، أبواب جهاد النفس،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قوانين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العدل الإلهي،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العدل الإلهي،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الحق والباطل،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وما يناسبه،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صبحي الصالح،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صبحي الصالح،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الحج، أبواب أحكام العشرة،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12996</Words>
  <Characters>59097</Characters>
  <CharactersWithSpaces>71563</CharactersWithSpaces>
  <Paragraphs>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2026-08-20T14:32:00Z</dcterms:created>
  <dc:creator>ghaemiyeh.com</dc:creator>
  <dc:description/>
  <dc:language>en-US</dc:language>
  <cp:lastModifiedBy/>
  <dcterms:modified xsi:type="dcterms:W3CDTF">2026-08-20T18:02:02Z</dcterms:modified>
  <cp:revision>1</cp:revision>
  <dc:subject/>
  <dc:title>حرمة اغتیاب الانسان</dc:title>
</cp:coreProperties>
</file>

<file path=docProps/custom.xml><?xml version="1.0" encoding="utf-8"?>
<Properties xmlns="http://schemas.openxmlformats.org/officeDocument/2006/custom-properties" xmlns:vt="http://schemas.openxmlformats.org/officeDocument/2006/docPropsVTypes"/>
</file>