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8</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3213_2870459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853215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53217_2870459653">
            <w:r>
              <w:rPr>
                <w:webHidden/>
                <w:rStyle w:val="IndexLink"/>
                <w:rtl w:val="true"/>
              </w:rPr>
              <w:t>الأسس المعتمدة للنشر</w:t>
            </w:r>
            <w:r>
              <w:rPr>
                <w:rStyle w:val="IndexLink"/>
                <w:rtl w:val="true"/>
              </w:rPr>
              <w:tab/>
            </w:r>
            <w:r>
              <w:rPr>
                <w:rStyle w:val="IndexLink"/>
              </w:rPr>
              <w:t>12</w:t>
            </w:r>
          </w:hyperlink>
        </w:p>
        <w:p>
          <w:pPr>
            <w:pStyle w:val="Contents2"/>
            <w:tabs>
              <w:tab w:val="clear" w:pos="8743"/>
              <w:tab w:val="right" w:pos="9026" w:leader="dot"/>
            </w:tabs>
            <w:rPr/>
          </w:pPr>
          <w:hyperlink w:anchor="__RefHeading___Toc2853219_2870459653">
            <w:r>
              <w:rPr>
                <w:webHidden/>
                <w:rStyle w:val="IndexLink"/>
                <w:rtl w:val="true"/>
              </w:rPr>
              <w:t>محتويات العدد</w:t>
            </w:r>
            <w:r>
              <w:rPr>
                <w:rStyle w:val="IndexLink"/>
                <w:rtl w:val="true"/>
              </w:rPr>
              <w:tab/>
            </w:r>
            <w:r>
              <w:rPr>
                <w:rStyle w:val="IndexLink"/>
              </w:rPr>
              <w:t>14</w:t>
            </w:r>
          </w:hyperlink>
        </w:p>
        <w:p>
          <w:pPr>
            <w:pStyle w:val="Contents2"/>
            <w:tabs>
              <w:tab w:val="clear" w:pos="8743"/>
              <w:tab w:val="right" w:pos="9026" w:leader="dot"/>
            </w:tabs>
            <w:rPr/>
          </w:pPr>
          <w:hyperlink w:anchor="__RefHeading___Toc2853221_2870459653">
            <w:r>
              <w:rPr>
                <w:webHidden/>
                <w:rStyle w:val="IndexLink"/>
                <w:rtl w:val="true"/>
              </w:rPr>
              <w:t>كلمة العدد</w:t>
            </w:r>
            <w:r>
              <w:rPr>
                <w:rStyle w:val="IndexLink"/>
                <w:rtl w:val="true"/>
              </w:rPr>
              <w:tab/>
            </w:r>
            <w:r>
              <w:rPr>
                <w:rStyle w:val="IndexLink"/>
              </w:rPr>
              <w:t>16</w:t>
            </w:r>
          </w:hyperlink>
        </w:p>
        <w:p>
          <w:pPr>
            <w:pStyle w:val="Contents2"/>
            <w:tabs>
              <w:tab w:val="clear" w:pos="8743"/>
              <w:tab w:val="right" w:pos="9026" w:leader="dot"/>
            </w:tabs>
            <w:rPr/>
          </w:pPr>
          <w:hyperlink w:anchor="__RefHeading___Toc2853223_2870459653">
            <w:r>
              <w:rPr>
                <w:webHidden/>
                <w:rStyle w:val="IndexLink"/>
                <w:rtl w:val="true"/>
              </w:rPr>
              <w:t xml:space="preserve">طرق إلغاء خصوصية المورد عند الوحيد البهبهاني </w:t>
            </w:r>
            <w:r>
              <w:rPr>
                <w:rStyle w:val="IndexLink"/>
                <w:rtl w:val="true"/>
              </w:rPr>
              <w:t>(</w:t>
            </w:r>
            <w:r>
              <w:rPr>
                <w:rStyle w:val="IndexLink"/>
                <w:rtl w:val="true"/>
              </w:rPr>
              <w:t>رحمة الله</w:t>
            </w:r>
            <w:r>
              <w:rPr>
                <w:rStyle w:val="IndexLink"/>
                <w:rtl w:val="true"/>
              </w:rPr>
              <w:t xml:space="preserve">) - </w:t>
            </w:r>
            <w:r>
              <w:rPr>
                <w:rStyle w:val="IndexLink"/>
                <w:rtl w:val="true"/>
              </w:rPr>
              <w:t xml:space="preserve">الشيخ وليد العامري </w:t>
            </w:r>
            <w:r>
              <w:rPr>
                <w:rStyle w:val="IndexLink"/>
                <w:rtl w:val="true"/>
              </w:rPr>
              <w:t>(</w:t>
            </w:r>
            <w:r>
              <w:rPr>
                <w:rStyle w:val="IndexLink"/>
                <w:rtl w:val="true"/>
              </w:rPr>
              <w:t>دام عزه</w:t>
            </w:r>
            <w:r>
              <w:rPr>
                <w:rStyle w:val="IndexLink"/>
                <w:rtl w:val="true"/>
              </w:rPr>
              <w:t>)</w:t>
              <w:tab/>
            </w:r>
            <w:r>
              <w:rPr>
                <w:rStyle w:val="IndexLink"/>
              </w:rPr>
              <w:t>20</w:t>
            </w:r>
          </w:hyperlink>
        </w:p>
        <w:p>
          <w:pPr>
            <w:pStyle w:val="Contents3"/>
            <w:tabs>
              <w:tab w:val="clear" w:pos="8459"/>
              <w:tab w:val="right" w:pos="9026" w:leader="dot"/>
            </w:tabs>
            <w:rPr/>
          </w:pPr>
          <w:hyperlink w:anchor="__RefHeading___Toc2853225_2870459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853227_2870459653">
            <w:r>
              <w:rPr>
                <w:webHidden/>
                <w:rStyle w:val="IndexLink"/>
                <w:rtl w:val="true"/>
              </w:rPr>
              <w:t>القسم الأوَّل</w:t>
            </w:r>
            <w:r>
              <w:rPr>
                <w:rStyle w:val="IndexLink"/>
                <w:rtl w:val="true"/>
              </w:rPr>
              <w:t xml:space="preserve">: </w:t>
            </w:r>
            <w:r>
              <w:rPr>
                <w:rStyle w:val="IndexLink"/>
                <w:rtl w:val="true"/>
              </w:rPr>
              <w:t>التعدّي على سبيل اليقين</w:t>
            </w:r>
            <w:r>
              <w:rPr>
                <w:rStyle w:val="IndexLink"/>
                <w:rtl w:val="true"/>
              </w:rPr>
              <w:tab/>
            </w:r>
            <w:r>
              <w:rPr>
                <w:rStyle w:val="IndexLink"/>
              </w:rPr>
              <w:t>27</w:t>
            </w:r>
          </w:hyperlink>
        </w:p>
        <w:p>
          <w:pPr>
            <w:pStyle w:val="Contents4"/>
            <w:tabs>
              <w:tab w:val="clear" w:pos="8176"/>
              <w:tab w:val="right" w:pos="9026" w:leader="dot"/>
            </w:tabs>
            <w:rPr/>
          </w:pPr>
          <w:hyperlink w:anchor="__RefHeading___Toc2853229_2870459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853231_2870459653">
            <w:r>
              <w:rPr>
                <w:webHidden/>
                <w:rStyle w:val="IndexLink"/>
                <w:rtl w:val="true"/>
              </w:rPr>
              <w:t>النحو الأوَّل</w:t>
            </w:r>
            <w:r>
              <w:rPr>
                <w:rStyle w:val="IndexLink"/>
                <w:rtl w:val="true"/>
              </w:rPr>
              <w:t xml:space="preserve">: </w:t>
            </w:r>
            <w:r>
              <w:rPr>
                <w:rStyle w:val="IndexLink"/>
                <w:rtl w:val="true"/>
              </w:rPr>
              <w:t>ما كان منشأ اليقين بالتعدّي هو حكم العقل</w:t>
            </w:r>
            <w:r>
              <w:rPr>
                <w:rStyle w:val="IndexLink"/>
                <w:rtl w:val="true"/>
              </w:rPr>
              <w:tab/>
            </w:r>
            <w:r>
              <w:rPr>
                <w:rStyle w:val="IndexLink"/>
              </w:rPr>
              <w:t>27</w:t>
            </w:r>
          </w:hyperlink>
        </w:p>
        <w:p>
          <w:pPr>
            <w:pStyle w:val="Contents5"/>
            <w:tabs>
              <w:tab w:val="clear" w:pos="7892"/>
              <w:tab w:val="right" w:pos="9026" w:leader="dot"/>
            </w:tabs>
            <w:rPr/>
          </w:pPr>
          <w:hyperlink w:anchor="__RefHeading___Toc2853233_287045965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2853235_2870459653">
            <w:r>
              <w:rPr>
                <w:webHidden/>
                <w:rStyle w:val="IndexLink"/>
                <w:rtl w:val="true"/>
              </w:rPr>
              <w:t>القول الأوَّل</w:t>
            </w:r>
            <w:r>
              <w:rPr>
                <w:rStyle w:val="IndexLink"/>
                <w:rtl w:val="true"/>
              </w:rPr>
              <w:tab/>
            </w:r>
            <w:r>
              <w:rPr>
                <w:rStyle w:val="IndexLink"/>
              </w:rPr>
              <w:t>28</w:t>
            </w:r>
          </w:hyperlink>
        </w:p>
        <w:p>
          <w:pPr>
            <w:pStyle w:val="Contents5"/>
            <w:tabs>
              <w:tab w:val="clear" w:pos="7892"/>
              <w:tab w:val="right" w:pos="9026" w:leader="dot"/>
            </w:tabs>
            <w:rPr/>
          </w:pPr>
          <w:hyperlink w:anchor="__RefHeading___Toc2853237_2870459653">
            <w:r>
              <w:rPr>
                <w:webHidden/>
                <w:rStyle w:val="IndexLink"/>
                <w:rtl w:val="true"/>
              </w:rPr>
              <w:t>القول الثاني</w:t>
            </w:r>
            <w:r>
              <w:rPr>
                <w:rStyle w:val="IndexLink"/>
                <w:rtl w:val="true"/>
              </w:rPr>
              <w:tab/>
            </w:r>
            <w:r>
              <w:rPr>
                <w:rStyle w:val="IndexLink"/>
              </w:rPr>
              <w:t>28</w:t>
            </w:r>
          </w:hyperlink>
        </w:p>
        <w:p>
          <w:pPr>
            <w:pStyle w:val="Contents5"/>
            <w:tabs>
              <w:tab w:val="clear" w:pos="7892"/>
              <w:tab w:val="right" w:pos="9026" w:leader="dot"/>
            </w:tabs>
            <w:rPr/>
          </w:pPr>
          <w:hyperlink w:anchor="__RefHeading___Toc2853239_2870459653">
            <w:r>
              <w:rPr>
                <w:webHidden/>
                <w:rStyle w:val="IndexLink"/>
                <w:rtl w:val="true"/>
              </w:rPr>
              <w:t>القول الثالث</w:t>
            </w:r>
            <w:r>
              <w:rPr>
                <w:rStyle w:val="IndexLink"/>
                <w:rtl w:val="true"/>
              </w:rPr>
              <w:tab/>
            </w:r>
            <w:r>
              <w:rPr>
                <w:rStyle w:val="IndexLink"/>
              </w:rPr>
              <w:t>29</w:t>
            </w:r>
          </w:hyperlink>
        </w:p>
        <w:p>
          <w:pPr>
            <w:pStyle w:val="Contents4"/>
            <w:tabs>
              <w:tab w:val="clear" w:pos="8176"/>
              <w:tab w:val="right" w:pos="9026" w:leader="dot"/>
            </w:tabs>
            <w:rPr/>
          </w:pPr>
          <w:hyperlink w:anchor="__RefHeading___Toc2853241_2870459653">
            <w:r>
              <w:rPr>
                <w:webHidden/>
                <w:rStyle w:val="IndexLink"/>
                <w:rtl w:val="true"/>
              </w:rPr>
              <w:t>النحو الآخر</w:t>
            </w:r>
            <w:r>
              <w:rPr>
                <w:rStyle w:val="IndexLink"/>
                <w:rtl w:val="true"/>
              </w:rPr>
              <w:t xml:space="preserve">: </w:t>
            </w:r>
            <w:r>
              <w:rPr>
                <w:rStyle w:val="IndexLink"/>
                <w:rtl w:val="true"/>
              </w:rPr>
              <w:t>ما كان منشأ اليقين بالتعدّي هو النقل</w:t>
            </w:r>
            <w:r>
              <w:rPr>
                <w:rStyle w:val="IndexLink"/>
                <w:rtl w:val="true"/>
              </w:rPr>
              <w:tab/>
            </w:r>
            <w:r>
              <w:rPr>
                <w:rStyle w:val="IndexLink"/>
              </w:rPr>
              <w:t>32</w:t>
            </w:r>
          </w:hyperlink>
        </w:p>
        <w:p>
          <w:pPr>
            <w:pStyle w:val="Contents3"/>
            <w:tabs>
              <w:tab w:val="clear" w:pos="8459"/>
              <w:tab w:val="right" w:pos="9026" w:leader="dot"/>
            </w:tabs>
            <w:rPr/>
          </w:pPr>
          <w:hyperlink w:anchor="__RefHeading___Toc2853243_2870459653">
            <w:r>
              <w:rPr>
                <w:webHidden/>
                <w:rStyle w:val="IndexLink"/>
                <w:rtl w:val="true"/>
              </w:rPr>
              <w:t>القسم الثاني</w:t>
            </w:r>
            <w:r>
              <w:rPr>
                <w:rStyle w:val="IndexLink"/>
                <w:rtl w:val="true"/>
              </w:rPr>
              <w:t xml:space="preserve">: </w:t>
            </w:r>
            <w:r>
              <w:rPr>
                <w:rStyle w:val="IndexLink"/>
                <w:rtl w:val="true"/>
              </w:rPr>
              <w:t>التعدّي على سبيل الظن</w:t>
            </w:r>
            <w:r>
              <w:rPr>
                <w:rStyle w:val="IndexLink"/>
                <w:rtl w:val="true"/>
              </w:rPr>
              <w:tab/>
            </w:r>
            <w:r>
              <w:rPr>
                <w:rStyle w:val="IndexLink"/>
              </w:rPr>
              <w:t>37</w:t>
            </w:r>
          </w:hyperlink>
        </w:p>
        <w:p>
          <w:pPr>
            <w:pStyle w:val="Contents4"/>
            <w:tabs>
              <w:tab w:val="clear" w:pos="8176"/>
              <w:tab w:val="right" w:pos="9026" w:leader="dot"/>
            </w:tabs>
            <w:rPr/>
          </w:pPr>
          <w:hyperlink w:anchor="__RefHeading___Toc2853245_2870459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853247_2870459653">
            <w:r>
              <w:rPr>
                <w:webHidden/>
                <w:rStyle w:val="IndexLink"/>
                <w:rtl w:val="true"/>
              </w:rPr>
              <w:t>النحو الأوَّل</w:t>
            </w:r>
            <w:r>
              <w:rPr>
                <w:rStyle w:val="IndexLink"/>
                <w:rtl w:val="true"/>
              </w:rPr>
              <w:t xml:space="preserve">: </w:t>
            </w:r>
            <w:r>
              <w:rPr>
                <w:rStyle w:val="IndexLink"/>
                <w:rtl w:val="true"/>
              </w:rPr>
              <w:t>القياس بطريق الأولى</w:t>
            </w:r>
            <w:r>
              <w:rPr>
                <w:rStyle w:val="IndexLink"/>
                <w:rtl w:val="true"/>
              </w:rPr>
              <w:tab/>
            </w:r>
            <w:r>
              <w:rPr>
                <w:rStyle w:val="IndexLink"/>
              </w:rPr>
              <w:t>37</w:t>
            </w:r>
          </w:hyperlink>
        </w:p>
        <w:p>
          <w:pPr>
            <w:pStyle w:val="Contents5"/>
            <w:tabs>
              <w:tab w:val="clear" w:pos="7892"/>
              <w:tab w:val="right" w:pos="9026" w:leader="dot"/>
            </w:tabs>
            <w:rPr/>
          </w:pPr>
          <w:hyperlink w:anchor="__RefHeading___Toc2853249_2870459653">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853251_2870459653">
            <w:r>
              <w:rPr>
                <w:webHidden/>
                <w:rStyle w:val="IndexLink"/>
                <w:rtl w:val="true"/>
              </w:rPr>
              <w:t>الأمر الأوَّل</w:t>
            </w:r>
            <w:r>
              <w:rPr>
                <w:rStyle w:val="IndexLink"/>
                <w:rtl w:val="true"/>
              </w:rPr>
              <w:t xml:space="preserve">: </w:t>
            </w:r>
            <w:r>
              <w:rPr>
                <w:rStyle w:val="IndexLink"/>
                <w:rtl w:val="true"/>
              </w:rPr>
              <w:t>أشار إلى النزاع في طريق دلالة قياس الأولوية</w:t>
            </w:r>
            <w:r>
              <w:rPr>
                <w:rStyle w:val="IndexLink"/>
                <w:rtl w:val="true"/>
              </w:rPr>
              <w:tab/>
            </w:r>
            <w:r>
              <w:rPr>
                <w:rStyle w:val="IndexLink"/>
              </w:rPr>
              <w:t>38</w:t>
            </w:r>
          </w:hyperlink>
        </w:p>
        <w:p>
          <w:pPr>
            <w:pStyle w:val="Contents6"/>
            <w:tabs>
              <w:tab w:val="clear" w:pos="7609"/>
              <w:tab w:val="right" w:pos="9026" w:leader="dot"/>
            </w:tabs>
            <w:rPr/>
          </w:pPr>
          <w:hyperlink w:anchor="__RefHeading___Toc2853253_2870459653">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2853255_2870459653">
            <w:r>
              <w:rPr>
                <w:webHidden/>
                <w:rStyle w:val="IndexLink"/>
                <w:rtl w:val="true"/>
              </w:rPr>
              <w:t>القول الأوَّل</w:t>
            </w:r>
            <w:r>
              <w:rPr>
                <w:rStyle w:val="IndexLink"/>
                <w:rtl w:val="true"/>
              </w:rPr>
              <w:tab/>
            </w:r>
            <w:r>
              <w:rPr>
                <w:rStyle w:val="IndexLink"/>
              </w:rPr>
              <w:t>38</w:t>
            </w:r>
          </w:hyperlink>
        </w:p>
        <w:p>
          <w:pPr>
            <w:pStyle w:val="Contents6"/>
            <w:tabs>
              <w:tab w:val="clear" w:pos="7609"/>
              <w:tab w:val="right" w:pos="9026" w:leader="dot"/>
            </w:tabs>
            <w:rPr/>
          </w:pPr>
          <w:hyperlink w:anchor="__RefHeading___Toc2853257_2870459653">
            <w:r>
              <w:rPr>
                <w:webHidden/>
                <w:rStyle w:val="IndexLink"/>
                <w:rtl w:val="true"/>
              </w:rPr>
              <w:t>القول الثاني</w:t>
            </w:r>
            <w:r>
              <w:rPr>
                <w:rStyle w:val="IndexLink"/>
                <w:rtl w:val="true"/>
              </w:rPr>
              <w:tab/>
            </w:r>
            <w:r>
              <w:rPr>
                <w:rStyle w:val="IndexLink"/>
              </w:rPr>
              <w:t>38</w:t>
            </w:r>
          </w:hyperlink>
        </w:p>
        <w:p>
          <w:pPr>
            <w:pStyle w:val="Contents6"/>
            <w:tabs>
              <w:tab w:val="clear" w:pos="7609"/>
              <w:tab w:val="right" w:pos="9026" w:leader="dot"/>
            </w:tabs>
            <w:rPr/>
          </w:pPr>
          <w:hyperlink w:anchor="__RefHeading___Toc2853259_2870459653">
            <w:r>
              <w:rPr>
                <w:webHidden/>
                <w:rStyle w:val="IndexLink"/>
                <w:rtl w:val="true"/>
              </w:rPr>
              <w:t>القول الثالث</w:t>
            </w:r>
            <w:r>
              <w:rPr>
                <w:rStyle w:val="IndexLink"/>
                <w:rtl w:val="true"/>
              </w:rPr>
              <w:tab/>
            </w:r>
            <w:r>
              <w:rPr>
                <w:rStyle w:val="IndexLink"/>
              </w:rPr>
              <w:t>39</w:t>
            </w:r>
          </w:hyperlink>
        </w:p>
        <w:p>
          <w:pPr>
            <w:pStyle w:val="Contents5"/>
            <w:tabs>
              <w:tab w:val="clear" w:pos="7892"/>
              <w:tab w:val="right" w:pos="9026" w:leader="dot"/>
            </w:tabs>
            <w:rPr/>
          </w:pPr>
          <w:hyperlink w:anchor="__RefHeading___Toc2853261_2870459653">
            <w:r>
              <w:rPr>
                <w:webHidden/>
                <w:rStyle w:val="IndexLink"/>
                <w:rtl w:val="true"/>
              </w:rPr>
              <w:t>الأمر الثاني</w:t>
            </w:r>
            <w:r>
              <w:rPr>
                <w:rStyle w:val="IndexLink"/>
                <w:rtl w:val="true"/>
              </w:rPr>
              <w:t xml:space="preserve">: </w:t>
            </w:r>
            <w:r>
              <w:rPr>
                <w:rStyle w:val="IndexLink"/>
                <w:rtl w:val="true"/>
              </w:rPr>
              <w:t>في النسبة بين مفهوم الموافقة وقياس الأولوية</w:t>
            </w:r>
            <w:r>
              <w:rPr>
                <w:rStyle w:val="IndexLink"/>
                <w:rtl w:val="true"/>
              </w:rPr>
              <w:tab/>
            </w:r>
            <w:r>
              <w:rPr>
                <w:rStyle w:val="IndexLink"/>
              </w:rPr>
              <w:t>39</w:t>
            </w:r>
          </w:hyperlink>
        </w:p>
        <w:p>
          <w:pPr>
            <w:pStyle w:val="Contents5"/>
            <w:tabs>
              <w:tab w:val="clear" w:pos="7892"/>
              <w:tab w:val="right" w:pos="9026" w:leader="dot"/>
            </w:tabs>
            <w:rPr/>
          </w:pPr>
          <w:hyperlink w:anchor="__RefHeading___Toc2853263_2870459653">
            <w:r>
              <w:rPr>
                <w:webHidden/>
                <w:rStyle w:val="IndexLink"/>
                <w:rtl w:val="true"/>
              </w:rPr>
              <w:t>الأمر الثالث</w:t>
            </w:r>
            <w:r>
              <w:rPr>
                <w:rStyle w:val="IndexLink"/>
                <w:rtl w:val="true"/>
              </w:rPr>
              <w:t xml:space="preserve">: </w:t>
            </w:r>
            <w:r>
              <w:rPr>
                <w:rStyle w:val="IndexLink"/>
                <w:rtl w:val="true"/>
              </w:rPr>
              <w:t>استند في إثبات الحجّية في المقام وغيره إلى الفهم العرفي</w:t>
            </w:r>
            <w:r>
              <w:rPr>
                <w:rStyle w:val="IndexLink"/>
                <w:rtl w:val="true"/>
              </w:rPr>
              <w:tab/>
            </w:r>
            <w:r>
              <w:rPr>
                <w:rStyle w:val="IndexLink"/>
              </w:rPr>
              <w:t>42</w:t>
            </w:r>
          </w:hyperlink>
        </w:p>
        <w:p>
          <w:pPr>
            <w:pStyle w:val="Contents5"/>
            <w:tabs>
              <w:tab w:val="clear" w:pos="7892"/>
              <w:tab w:val="right" w:pos="9026" w:leader="dot"/>
            </w:tabs>
            <w:rPr/>
          </w:pPr>
          <w:hyperlink w:anchor="__RefHeading___Toc2853265_2870459653">
            <w:r>
              <w:rPr>
                <w:webHidden/>
                <w:rStyle w:val="IndexLink"/>
                <w:rtl w:val="true"/>
              </w:rPr>
              <w:t>الأمر الرابع</w:t>
            </w:r>
            <w:r>
              <w:rPr>
                <w:rStyle w:val="IndexLink"/>
                <w:rtl w:val="true"/>
              </w:rPr>
              <w:t xml:space="preserve">: </w:t>
            </w:r>
            <w:r>
              <w:rPr>
                <w:rStyle w:val="IndexLink"/>
                <w:rtl w:val="true"/>
              </w:rPr>
              <w:t>في بيان ضابطة الأولوية</w:t>
            </w:r>
            <w:r>
              <w:rPr>
                <w:rStyle w:val="IndexLink"/>
                <w:rtl w:val="true"/>
              </w:rPr>
              <w:tab/>
            </w:r>
            <w:r>
              <w:rPr>
                <w:rStyle w:val="IndexLink"/>
              </w:rPr>
              <w:t>46</w:t>
            </w:r>
          </w:hyperlink>
        </w:p>
        <w:p>
          <w:pPr>
            <w:pStyle w:val="Contents6"/>
            <w:tabs>
              <w:tab w:val="clear" w:pos="7609"/>
              <w:tab w:val="right" w:pos="9026" w:leader="dot"/>
            </w:tabs>
            <w:rPr/>
          </w:pPr>
          <w:hyperlink w:anchor="__RefHeading___Toc2853267_2870459653">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853269_2870459653">
            <w:r>
              <w:rPr>
                <w:webHidden/>
                <w:rStyle w:val="IndexLink"/>
                <w:rtl w:val="true"/>
              </w:rPr>
              <w:t>القسم الأوَّل</w:t>
            </w:r>
            <w:r>
              <w:rPr>
                <w:rStyle w:val="IndexLink"/>
                <w:rtl w:val="true"/>
              </w:rPr>
              <w:t xml:space="preserve">: </w:t>
            </w:r>
            <w:r>
              <w:rPr>
                <w:rStyle w:val="IndexLink"/>
                <w:rtl w:val="true"/>
              </w:rPr>
              <w:t>الأولوية العرفية</w:t>
            </w:r>
            <w:r>
              <w:rPr>
                <w:rStyle w:val="IndexLink"/>
                <w:rtl w:val="true"/>
              </w:rPr>
              <w:tab/>
            </w:r>
            <w:r>
              <w:rPr>
                <w:rStyle w:val="IndexLink"/>
              </w:rPr>
              <w:t>46</w:t>
            </w:r>
          </w:hyperlink>
        </w:p>
        <w:p>
          <w:pPr>
            <w:pStyle w:val="Contents6"/>
            <w:tabs>
              <w:tab w:val="clear" w:pos="7609"/>
              <w:tab w:val="right" w:pos="9026" w:leader="dot"/>
            </w:tabs>
            <w:rPr/>
          </w:pPr>
          <w:hyperlink w:anchor="__RefHeading___Toc2853271_2870459653">
            <w:r>
              <w:rPr>
                <w:webHidden/>
                <w:rStyle w:val="IndexLink"/>
                <w:rtl w:val="true"/>
              </w:rPr>
              <w:t>القسم الآخر</w:t>
            </w:r>
            <w:r>
              <w:rPr>
                <w:rStyle w:val="IndexLink"/>
                <w:rtl w:val="true"/>
              </w:rPr>
              <w:t xml:space="preserve">: </w:t>
            </w:r>
            <w:r>
              <w:rPr>
                <w:rStyle w:val="IndexLink"/>
                <w:rtl w:val="true"/>
              </w:rPr>
              <w:t>الأولوية العقلية</w:t>
            </w:r>
            <w:r>
              <w:rPr>
                <w:rStyle w:val="IndexLink"/>
                <w:rtl w:val="true"/>
              </w:rPr>
              <w:tab/>
            </w:r>
            <w:r>
              <w:rPr>
                <w:rStyle w:val="IndexLink"/>
              </w:rPr>
              <w:t>48</w:t>
            </w:r>
          </w:hyperlink>
        </w:p>
        <w:p>
          <w:pPr>
            <w:pStyle w:val="Contents4"/>
            <w:tabs>
              <w:tab w:val="clear" w:pos="8176"/>
              <w:tab w:val="right" w:pos="9026" w:leader="dot"/>
            </w:tabs>
            <w:rPr/>
          </w:pPr>
          <w:hyperlink w:anchor="__RefHeading___Toc2853273_2870459653">
            <w:r>
              <w:rPr>
                <w:webHidden/>
                <w:rStyle w:val="IndexLink"/>
                <w:rtl w:val="true"/>
              </w:rPr>
              <w:t>النحو الثاني</w:t>
            </w:r>
            <w:r>
              <w:rPr>
                <w:rStyle w:val="IndexLink"/>
                <w:rtl w:val="true"/>
              </w:rPr>
              <w:t xml:space="preserve">: </w:t>
            </w:r>
            <w:r>
              <w:rPr>
                <w:rStyle w:val="IndexLink"/>
                <w:rtl w:val="true"/>
              </w:rPr>
              <w:t>القياس منصوص العلّة</w:t>
            </w:r>
            <w:r>
              <w:rPr>
                <w:rStyle w:val="IndexLink"/>
                <w:rtl w:val="true"/>
              </w:rPr>
              <w:tab/>
            </w:r>
            <w:r>
              <w:rPr>
                <w:rStyle w:val="IndexLink"/>
              </w:rPr>
              <w:t>49</w:t>
            </w:r>
          </w:hyperlink>
        </w:p>
        <w:p>
          <w:pPr>
            <w:pStyle w:val="Contents5"/>
            <w:tabs>
              <w:tab w:val="clear" w:pos="7892"/>
              <w:tab w:val="right" w:pos="9026" w:leader="dot"/>
            </w:tabs>
            <w:rPr/>
          </w:pPr>
          <w:hyperlink w:anchor="__RefHeading___Toc2853275_287045965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853277_2870459653">
            <w:r>
              <w:rPr>
                <w:webHidden/>
                <w:rStyle w:val="IndexLink"/>
                <w:rtl w:val="true"/>
              </w:rPr>
              <w:t>القول الأوَّل</w:t>
            </w:r>
            <w:r>
              <w:rPr>
                <w:rStyle w:val="IndexLink"/>
                <w:rtl w:val="true"/>
              </w:rPr>
              <w:tab/>
            </w:r>
            <w:r>
              <w:rPr>
                <w:rStyle w:val="IndexLink"/>
              </w:rPr>
              <w:t>50</w:t>
            </w:r>
          </w:hyperlink>
        </w:p>
        <w:p>
          <w:pPr>
            <w:pStyle w:val="Contents5"/>
            <w:tabs>
              <w:tab w:val="clear" w:pos="7892"/>
              <w:tab w:val="right" w:pos="9026" w:leader="dot"/>
            </w:tabs>
            <w:rPr/>
          </w:pPr>
          <w:hyperlink w:anchor="__RefHeading___Toc2853279_2870459653">
            <w:r>
              <w:rPr>
                <w:webHidden/>
                <w:rStyle w:val="IndexLink"/>
                <w:rtl w:val="true"/>
              </w:rPr>
              <w:t>القول الثاني</w:t>
            </w:r>
            <w:r>
              <w:rPr>
                <w:rStyle w:val="IndexLink"/>
                <w:rtl w:val="true"/>
              </w:rPr>
              <w:tab/>
            </w:r>
            <w:r>
              <w:rPr>
                <w:rStyle w:val="IndexLink"/>
              </w:rPr>
              <w:t>51</w:t>
            </w:r>
          </w:hyperlink>
        </w:p>
        <w:p>
          <w:pPr>
            <w:pStyle w:val="Contents5"/>
            <w:tabs>
              <w:tab w:val="clear" w:pos="7892"/>
              <w:tab w:val="right" w:pos="9026" w:leader="dot"/>
            </w:tabs>
            <w:rPr/>
          </w:pPr>
          <w:hyperlink w:anchor="__RefHeading___Toc2853281_2870459653">
            <w:r>
              <w:rPr>
                <w:webHidden/>
                <w:rStyle w:val="IndexLink"/>
                <w:rtl w:val="true"/>
              </w:rPr>
              <w:t>القول الثالث</w:t>
            </w:r>
            <w:r>
              <w:rPr>
                <w:rStyle w:val="IndexLink"/>
                <w:rtl w:val="true"/>
              </w:rPr>
              <w:tab/>
            </w:r>
            <w:r>
              <w:rPr>
                <w:rStyle w:val="IndexLink"/>
              </w:rPr>
              <w:t>51</w:t>
            </w:r>
          </w:hyperlink>
        </w:p>
        <w:p>
          <w:pPr>
            <w:pStyle w:val="Contents6"/>
            <w:tabs>
              <w:tab w:val="clear" w:pos="7609"/>
              <w:tab w:val="right" w:pos="9026" w:leader="dot"/>
            </w:tabs>
            <w:rPr/>
          </w:pPr>
          <w:hyperlink w:anchor="__RefHeading___Toc2853283_2870459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2853285_2870459653">
            <w:r>
              <w:rPr>
                <w:webHidden/>
                <w:rStyle w:val="IndexLink"/>
                <w:rtl w:val="true"/>
              </w:rPr>
              <w:t>الإشكال الأوَّل</w:t>
            </w:r>
            <w:r>
              <w:rPr>
                <w:rStyle w:val="IndexLink"/>
                <w:rtl w:val="true"/>
              </w:rPr>
              <w:tab/>
            </w:r>
            <w:r>
              <w:rPr>
                <w:rStyle w:val="IndexLink"/>
              </w:rPr>
              <w:t>53</w:t>
            </w:r>
          </w:hyperlink>
        </w:p>
        <w:p>
          <w:pPr>
            <w:pStyle w:val="Contents6"/>
            <w:tabs>
              <w:tab w:val="clear" w:pos="7609"/>
              <w:tab w:val="right" w:pos="9026" w:leader="dot"/>
            </w:tabs>
            <w:rPr/>
          </w:pPr>
          <w:hyperlink w:anchor="__RefHeading___Toc2853287_2870459653">
            <w:r>
              <w:rPr>
                <w:webHidden/>
                <w:rStyle w:val="IndexLink"/>
                <w:rtl w:val="true"/>
              </w:rPr>
              <w:t>الإشكال الثاني</w:t>
            </w:r>
            <w:r>
              <w:rPr>
                <w:rStyle w:val="IndexLink"/>
                <w:rtl w:val="true"/>
              </w:rPr>
              <w:tab/>
            </w:r>
            <w:r>
              <w:rPr>
                <w:rStyle w:val="IndexLink"/>
              </w:rPr>
              <w:t>53</w:t>
            </w:r>
          </w:hyperlink>
        </w:p>
        <w:p>
          <w:pPr>
            <w:pStyle w:val="Contents6"/>
            <w:tabs>
              <w:tab w:val="clear" w:pos="7609"/>
              <w:tab w:val="right" w:pos="9026" w:leader="dot"/>
            </w:tabs>
            <w:rPr/>
          </w:pPr>
          <w:hyperlink w:anchor="__RefHeading___Toc2853289_2870459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2853291_2870459653">
            <w:r>
              <w:rPr>
                <w:webHidden/>
                <w:rStyle w:val="IndexLink"/>
                <w:rtl w:val="true"/>
              </w:rPr>
              <w:t>الأمر الأوَّل</w:t>
            </w:r>
            <w:r>
              <w:rPr>
                <w:rStyle w:val="IndexLink"/>
                <w:rtl w:val="true"/>
              </w:rPr>
              <w:tab/>
            </w:r>
            <w:r>
              <w:rPr>
                <w:rStyle w:val="IndexLink"/>
              </w:rPr>
              <w:t>54</w:t>
            </w:r>
          </w:hyperlink>
        </w:p>
        <w:p>
          <w:pPr>
            <w:pStyle w:val="Contents6"/>
            <w:tabs>
              <w:tab w:val="clear" w:pos="7609"/>
              <w:tab w:val="right" w:pos="9026" w:leader="dot"/>
            </w:tabs>
            <w:rPr/>
          </w:pPr>
          <w:hyperlink w:anchor="__RefHeading___Toc2853293_2870459653">
            <w:r>
              <w:rPr>
                <w:webHidden/>
                <w:rStyle w:val="IndexLink"/>
                <w:rtl w:val="true"/>
              </w:rPr>
              <w:t>الأمر الثاني</w:t>
            </w:r>
            <w:r>
              <w:rPr>
                <w:rStyle w:val="IndexLink"/>
                <w:rtl w:val="true"/>
              </w:rPr>
              <w:tab/>
            </w:r>
            <w:r>
              <w:rPr>
                <w:rStyle w:val="IndexLink"/>
              </w:rPr>
              <w:t>54</w:t>
            </w:r>
          </w:hyperlink>
        </w:p>
        <w:p>
          <w:pPr>
            <w:pStyle w:val="Contents6"/>
            <w:tabs>
              <w:tab w:val="clear" w:pos="7609"/>
              <w:tab w:val="right" w:pos="9026" w:leader="dot"/>
            </w:tabs>
            <w:rPr/>
          </w:pPr>
          <w:hyperlink w:anchor="__RefHeading___Toc2853295_2870459653">
            <w:r>
              <w:rPr>
                <w:webHidden/>
                <w:rStyle w:val="IndexLink"/>
                <w:rtl w:val="true"/>
              </w:rPr>
              <w:t>الأمر الثالث</w:t>
            </w:r>
            <w:r>
              <w:rPr>
                <w:rStyle w:val="IndexLink"/>
                <w:rtl w:val="true"/>
              </w:rPr>
              <w:tab/>
            </w:r>
            <w:r>
              <w:rPr>
                <w:rStyle w:val="IndexLink"/>
              </w:rPr>
              <w:t>55</w:t>
            </w:r>
          </w:hyperlink>
        </w:p>
        <w:p>
          <w:pPr>
            <w:pStyle w:val="Contents4"/>
            <w:tabs>
              <w:tab w:val="clear" w:pos="8176"/>
              <w:tab w:val="right" w:pos="9026" w:leader="dot"/>
            </w:tabs>
            <w:rPr/>
          </w:pPr>
          <w:hyperlink w:anchor="__RefHeading___Toc2853297_2870459653">
            <w:r>
              <w:rPr>
                <w:webHidden/>
                <w:rStyle w:val="IndexLink"/>
                <w:rtl w:val="true"/>
              </w:rPr>
              <w:t>النحو الثالث</w:t>
            </w:r>
            <w:r>
              <w:rPr>
                <w:rStyle w:val="IndexLink"/>
                <w:rtl w:val="true"/>
              </w:rPr>
              <w:t xml:space="preserve">: </w:t>
            </w:r>
            <w:r>
              <w:rPr>
                <w:rStyle w:val="IndexLink"/>
                <w:rtl w:val="true"/>
              </w:rPr>
              <w:t>قاعدة عموم البدلية</w:t>
            </w:r>
            <w:r>
              <w:rPr>
                <w:rStyle w:val="IndexLink"/>
                <w:rtl w:val="true"/>
              </w:rPr>
              <w:tab/>
            </w:r>
            <w:r>
              <w:rPr>
                <w:rStyle w:val="IndexLink"/>
              </w:rPr>
              <w:t>58</w:t>
            </w:r>
          </w:hyperlink>
        </w:p>
        <w:p>
          <w:pPr>
            <w:pStyle w:val="Contents4"/>
            <w:tabs>
              <w:tab w:val="clear" w:pos="8176"/>
              <w:tab w:val="right" w:pos="9026" w:leader="dot"/>
            </w:tabs>
            <w:rPr/>
          </w:pPr>
          <w:hyperlink w:anchor="__RefHeading___Toc2853299_2870459653">
            <w:r>
              <w:rPr>
                <w:webHidden/>
                <w:rStyle w:val="IndexLink"/>
                <w:rtl w:val="true"/>
              </w:rPr>
              <w:t>النحو الرابع</w:t>
            </w:r>
            <w:r>
              <w:rPr>
                <w:rStyle w:val="IndexLink"/>
                <w:rtl w:val="true"/>
              </w:rPr>
              <w:t xml:space="preserve">: </w:t>
            </w:r>
            <w:r>
              <w:rPr>
                <w:rStyle w:val="IndexLink"/>
                <w:rtl w:val="true"/>
              </w:rPr>
              <w:t>عموم المنزلة</w:t>
            </w:r>
            <w:r>
              <w:rPr>
                <w:rStyle w:val="IndexLink"/>
                <w:rtl w:val="true"/>
              </w:rPr>
              <w:tab/>
            </w:r>
            <w:r>
              <w:rPr>
                <w:rStyle w:val="IndexLink"/>
              </w:rPr>
              <w:t>62</w:t>
            </w:r>
          </w:hyperlink>
        </w:p>
        <w:p>
          <w:pPr>
            <w:pStyle w:val="Contents5"/>
            <w:tabs>
              <w:tab w:val="clear" w:pos="7892"/>
              <w:tab w:val="right" w:pos="9026" w:leader="dot"/>
            </w:tabs>
            <w:rPr/>
          </w:pPr>
          <w:hyperlink w:anchor="__RefHeading___Toc2853301_2870459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2853303_2870459653">
            <w:r>
              <w:rPr>
                <w:webHidden/>
                <w:rStyle w:val="IndexLink"/>
                <w:rtl w:val="true"/>
              </w:rPr>
              <w:t>الأمر الأوَّل</w:t>
            </w:r>
            <w:r>
              <w:rPr>
                <w:rStyle w:val="IndexLink"/>
                <w:rtl w:val="true"/>
              </w:rPr>
              <w:tab/>
            </w:r>
            <w:r>
              <w:rPr>
                <w:rStyle w:val="IndexLink"/>
              </w:rPr>
              <w:t>66</w:t>
            </w:r>
          </w:hyperlink>
        </w:p>
        <w:p>
          <w:pPr>
            <w:pStyle w:val="Contents5"/>
            <w:tabs>
              <w:tab w:val="clear" w:pos="7892"/>
              <w:tab w:val="right" w:pos="9026" w:leader="dot"/>
            </w:tabs>
            <w:rPr/>
          </w:pPr>
          <w:hyperlink w:anchor="__RefHeading___Toc2853305_2870459653">
            <w:r>
              <w:rPr>
                <w:webHidden/>
                <w:rStyle w:val="IndexLink"/>
                <w:rtl w:val="true"/>
              </w:rPr>
              <w:t>الأمر الثاني</w:t>
            </w:r>
            <w:r>
              <w:rPr>
                <w:rStyle w:val="IndexLink"/>
                <w:rtl w:val="true"/>
              </w:rPr>
              <w:tab/>
            </w:r>
            <w:r>
              <w:rPr>
                <w:rStyle w:val="IndexLink"/>
              </w:rPr>
              <w:t>66</w:t>
            </w:r>
          </w:hyperlink>
        </w:p>
        <w:p>
          <w:pPr>
            <w:pStyle w:val="Contents5"/>
            <w:tabs>
              <w:tab w:val="clear" w:pos="7892"/>
              <w:tab w:val="right" w:pos="9026" w:leader="dot"/>
            </w:tabs>
            <w:rPr/>
          </w:pPr>
          <w:hyperlink w:anchor="__RefHeading___Toc2853307_2870459653">
            <w:r>
              <w:rPr>
                <w:webHidden/>
                <w:rStyle w:val="IndexLink"/>
                <w:rtl w:val="true"/>
              </w:rPr>
              <w:t>الأمر الثالث</w:t>
            </w:r>
            <w:r>
              <w:rPr>
                <w:rStyle w:val="IndexLink"/>
                <w:rtl w:val="true"/>
              </w:rPr>
              <w:tab/>
            </w:r>
            <w:r>
              <w:rPr>
                <w:rStyle w:val="IndexLink"/>
              </w:rPr>
              <w:t>66</w:t>
            </w:r>
          </w:hyperlink>
        </w:p>
        <w:p>
          <w:pPr>
            <w:pStyle w:val="Contents4"/>
            <w:tabs>
              <w:tab w:val="clear" w:pos="8176"/>
              <w:tab w:val="right" w:pos="9026" w:leader="dot"/>
            </w:tabs>
            <w:rPr/>
          </w:pPr>
          <w:hyperlink w:anchor="__RefHeading___Toc2853309_2870459653">
            <w:r>
              <w:rPr>
                <w:webHidden/>
                <w:rStyle w:val="IndexLink"/>
                <w:rtl w:val="true"/>
              </w:rPr>
              <w:t>النحو الخامس</w:t>
            </w:r>
            <w:r>
              <w:rPr>
                <w:rStyle w:val="IndexLink"/>
                <w:rtl w:val="true"/>
              </w:rPr>
              <w:t xml:space="preserve">: </w:t>
            </w:r>
            <w:r>
              <w:rPr>
                <w:rStyle w:val="IndexLink"/>
                <w:rtl w:val="true"/>
              </w:rPr>
              <w:t>عموم الشباهة</w:t>
            </w:r>
            <w:r>
              <w:rPr>
                <w:rStyle w:val="IndexLink"/>
                <w:rtl w:val="true"/>
              </w:rPr>
              <w:tab/>
            </w:r>
            <w:r>
              <w:rPr>
                <w:rStyle w:val="IndexLink"/>
              </w:rPr>
              <w:t>68</w:t>
            </w:r>
          </w:hyperlink>
        </w:p>
        <w:p>
          <w:pPr>
            <w:pStyle w:val="Contents4"/>
            <w:tabs>
              <w:tab w:val="clear" w:pos="8176"/>
              <w:tab w:val="right" w:pos="9026" w:leader="dot"/>
            </w:tabs>
            <w:rPr/>
          </w:pPr>
          <w:hyperlink w:anchor="__RefHeading___Toc2853311_2870459653">
            <w:r>
              <w:rPr>
                <w:webHidden/>
                <w:rStyle w:val="IndexLink"/>
                <w:rtl w:val="true"/>
              </w:rPr>
              <w:t>النحو السادس</w:t>
            </w:r>
            <w:r>
              <w:rPr>
                <w:rStyle w:val="IndexLink"/>
                <w:rtl w:val="true"/>
              </w:rPr>
              <w:t xml:space="preserve">: </w:t>
            </w:r>
            <w:r>
              <w:rPr>
                <w:rStyle w:val="IndexLink"/>
                <w:rtl w:val="true"/>
              </w:rPr>
              <w:t>قاعدة اتّحاد طريق المسألتين</w:t>
            </w:r>
            <w:r>
              <w:rPr>
                <w:rStyle w:val="IndexLink"/>
                <w:rtl w:val="true"/>
              </w:rPr>
              <w:tab/>
            </w:r>
            <w:r>
              <w:rPr>
                <w:rStyle w:val="IndexLink"/>
              </w:rPr>
              <w:t>69</w:t>
            </w:r>
          </w:hyperlink>
        </w:p>
        <w:p>
          <w:pPr>
            <w:pStyle w:val="Contents4"/>
            <w:tabs>
              <w:tab w:val="clear" w:pos="8176"/>
              <w:tab w:val="right" w:pos="9026" w:leader="dot"/>
            </w:tabs>
            <w:rPr/>
          </w:pPr>
          <w:hyperlink w:anchor="__RefHeading___Toc2853313_2870459653">
            <w:r>
              <w:rPr>
                <w:webHidden/>
                <w:rStyle w:val="IndexLink"/>
                <w:rtl w:val="true"/>
              </w:rPr>
              <w:t>النحو السابع</w:t>
            </w:r>
            <w:r>
              <w:rPr>
                <w:rStyle w:val="IndexLink"/>
                <w:rtl w:val="true"/>
              </w:rPr>
              <w:t xml:space="preserve">: </w:t>
            </w:r>
            <w:r>
              <w:rPr>
                <w:rStyle w:val="IndexLink"/>
                <w:rtl w:val="true"/>
              </w:rPr>
              <w:t>القاعدة الثابتة المسلّمة أو الواردة في خبر واحد</w:t>
            </w:r>
            <w:r>
              <w:rPr>
                <w:rStyle w:val="IndexLink"/>
                <w:rtl w:val="true"/>
              </w:rPr>
              <w:tab/>
            </w:r>
            <w:r>
              <w:rPr>
                <w:rStyle w:val="IndexLink"/>
              </w:rPr>
              <w:t>72</w:t>
            </w:r>
          </w:hyperlink>
        </w:p>
        <w:p>
          <w:pPr>
            <w:pStyle w:val="Contents3"/>
            <w:tabs>
              <w:tab w:val="clear" w:pos="8459"/>
              <w:tab w:val="right" w:pos="9026" w:leader="dot"/>
            </w:tabs>
            <w:rPr/>
          </w:pPr>
          <w:hyperlink w:anchor="__RefHeading___Toc2853315_2870459653">
            <w:r>
              <w:rPr>
                <w:webHidden/>
                <w:rStyle w:val="IndexLink"/>
                <w:rtl w:val="true"/>
              </w:rPr>
              <w:t>خلاصة ونتائج البحث</w:t>
            </w:r>
            <w:r>
              <w:rPr>
                <w:rStyle w:val="IndexLink"/>
                <w:rtl w:val="true"/>
              </w:rPr>
              <w:tab/>
            </w:r>
            <w:r>
              <w:rPr>
                <w:rStyle w:val="IndexLink"/>
              </w:rPr>
              <w:t>74</w:t>
            </w:r>
          </w:hyperlink>
        </w:p>
        <w:p>
          <w:pPr>
            <w:pStyle w:val="Contents3"/>
            <w:tabs>
              <w:tab w:val="clear" w:pos="8459"/>
              <w:tab w:val="right" w:pos="9026" w:leader="dot"/>
            </w:tabs>
            <w:rPr/>
          </w:pPr>
          <w:hyperlink w:anchor="__RefHeading___Toc2853317_2870459653">
            <w:r>
              <w:rPr>
                <w:webHidden/>
                <w:rStyle w:val="IndexLink"/>
                <w:rtl w:val="true"/>
              </w:rPr>
              <w:t>المصادر</w:t>
            </w:r>
            <w:r>
              <w:rPr>
                <w:rStyle w:val="IndexLink"/>
                <w:rtl w:val="true"/>
              </w:rPr>
              <w:tab/>
            </w:r>
            <w:r>
              <w:rPr>
                <w:rStyle w:val="IndexLink"/>
              </w:rPr>
              <w:t>78</w:t>
            </w:r>
          </w:hyperlink>
        </w:p>
        <w:p>
          <w:pPr>
            <w:pStyle w:val="Contents2"/>
            <w:tabs>
              <w:tab w:val="clear" w:pos="8743"/>
              <w:tab w:val="right" w:pos="9026" w:leader="dot"/>
            </w:tabs>
            <w:rPr/>
          </w:pPr>
          <w:hyperlink w:anchor="__RefHeading___Toc2853319_2870459653">
            <w:r>
              <w:rPr>
                <w:webHidden/>
                <w:rStyle w:val="IndexLink"/>
                <w:rtl w:val="true"/>
              </w:rPr>
              <w:t xml:space="preserve">نجاسة الخمر </w:t>
            </w:r>
            <w:r>
              <w:rPr>
                <w:rStyle w:val="IndexLink"/>
                <w:rtl w:val="true"/>
              </w:rPr>
              <w:t>(</w:t>
            </w:r>
            <w:r>
              <w:rPr>
                <w:rStyle w:val="IndexLink"/>
                <w:rtl w:val="true"/>
              </w:rPr>
              <w:t>القسم الثاني</w:t>
            </w:r>
            <w:r>
              <w:rPr>
                <w:rStyle w:val="IndexLink"/>
                <w:rtl w:val="true"/>
              </w:rPr>
              <w:t xml:space="preserve">) - </w:t>
            </w:r>
            <w:r>
              <w:rPr>
                <w:rStyle w:val="IndexLink"/>
                <w:rtl w:val="true"/>
              </w:rPr>
              <w:t xml:space="preserve">الشيخ علي العقيلي </w:t>
            </w:r>
            <w:r>
              <w:rPr>
                <w:rStyle w:val="IndexLink"/>
                <w:rtl w:val="true"/>
              </w:rPr>
              <w:t>(</w:t>
            </w:r>
            <w:r>
              <w:rPr>
                <w:rStyle w:val="IndexLink"/>
                <w:rtl w:val="true"/>
              </w:rPr>
              <w:t>دام عزه</w:t>
            </w:r>
            <w:r>
              <w:rPr>
                <w:rStyle w:val="IndexLink"/>
                <w:rtl w:val="true"/>
              </w:rPr>
              <w:t>)</w:t>
              <w:tab/>
            </w:r>
            <w:r>
              <w:rPr>
                <w:rStyle w:val="IndexLink"/>
              </w:rPr>
              <w:t>82</w:t>
            </w:r>
          </w:hyperlink>
        </w:p>
        <w:p>
          <w:pPr>
            <w:pStyle w:val="Contents3"/>
            <w:tabs>
              <w:tab w:val="clear" w:pos="8459"/>
              <w:tab w:val="right" w:pos="9026" w:leader="dot"/>
            </w:tabs>
            <w:rPr/>
          </w:pPr>
          <w:hyperlink w:anchor="__RefHeading___Toc2853321_2870459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2853323_2870459653">
            <w:r>
              <w:rPr>
                <w:webHidden/>
                <w:rStyle w:val="IndexLink"/>
                <w:rtl w:val="true"/>
              </w:rPr>
              <w:t>الروايات التي استدل بها على الطهارة</w:t>
            </w:r>
            <w:r>
              <w:rPr>
                <w:rStyle w:val="IndexLink"/>
                <w:rtl w:val="true"/>
              </w:rPr>
              <w:tab/>
            </w:r>
            <w:r>
              <w:rPr>
                <w:rStyle w:val="IndexLink"/>
              </w:rPr>
              <w:t>84</w:t>
            </w:r>
          </w:hyperlink>
        </w:p>
        <w:p>
          <w:pPr>
            <w:pStyle w:val="Contents3"/>
            <w:tabs>
              <w:tab w:val="clear" w:pos="8459"/>
              <w:tab w:val="right" w:pos="9026" w:leader="dot"/>
            </w:tabs>
            <w:rPr/>
          </w:pPr>
          <w:hyperlink w:anchor="__RefHeading___Toc2853325_2870459653">
            <w:r>
              <w:rPr>
                <w:webHidden/>
                <w:rStyle w:val="IndexLink"/>
                <w:rtl w:val="true"/>
              </w:rPr>
              <w:t>هل يمكن طرح روايات الطهارة؟</w:t>
            </w:r>
            <w:r>
              <w:rPr>
                <w:rStyle w:val="IndexLink"/>
                <w:rtl w:val="true"/>
              </w:rPr>
              <w:tab/>
            </w:r>
            <w:r>
              <w:rPr>
                <w:rStyle w:val="IndexLink"/>
              </w:rPr>
              <w:t>105</w:t>
            </w:r>
          </w:hyperlink>
        </w:p>
        <w:p>
          <w:pPr>
            <w:pStyle w:val="Contents3"/>
            <w:tabs>
              <w:tab w:val="clear" w:pos="8459"/>
              <w:tab w:val="right" w:pos="9026" w:leader="dot"/>
            </w:tabs>
            <w:rPr/>
          </w:pPr>
          <w:hyperlink w:anchor="__RefHeading___Toc2853327_2870459653">
            <w:r>
              <w:rPr>
                <w:webHidden/>
                <w:rStyle w:val="IndexLink"/>
                <w:rtl w:val="true"/>
              </w:rPr>
              <w:t>الوجوه الصناعية لرفع التعارض</w:t>
            </w:r>
            <w:r>
              <w:rPr>
                <w:rStyle w:val="IndexLink"/>
                <w:rtl w:val="true"/>
              </w:rPr>
              <w:tab/>
            </w:r>
            <w:r>
              <w:rPr>
                <w:rStyle w:val="IndexLink"/>
              </w:rPr>
              <w:t>108</w:t>
            </w:r>
          </w:hyperlink>
        </w:p>
        <w:p>
          <w:pPr>
            <w:pStyle w:val="Contents4"/>
            <w:tabs>
              <w:tab w:val="clear" w:pos="8176"/>
              <w:tab w:val="right" w:pos="9026" w:leader="dot"/>
            </w:tabs>
            <w:rPr/>
          </w:pPr>
          <w:hyperlink w:anchor="__RefHeading___Toc2853329_2870459653">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853331_2870459653">
            <w:r>
              <w:rPr>
                <w:webHidden/>
                <w:rStyle w:val="IndexLink"/>
                <w:rtl w:val="true"/>
              </w:rPr>
              <w:t>الوجه الأول</w:t>
            </w:r>
            <w:r>
              <w:rPr>
                <w:rStyle w:val="IndexLink"/>
                <w:rtl w:val="true"/>
              </w:rPr>
              <w:tab/>
            </w:r>
            <w:r>
              <w:rPr>
                <w:rStyle w:val="IndexLink"/>
              </w:rPr>
              <w:t>109</w:t>
            </w:r>
          </w:hyperlink>
        </w:p>
        <w:p>
          <w:pPr>
            <w:pStyle w:val="Contents4"/>
            <w:tabs>
              <w:tab w:val="clear" w:pos="8176"/>
              <w:tab w:val="right" w:pos="9026" w:leader="dot"/>
            </w:tabs>
            <w:rPr/>
          </w:pPr>
          <w:hyperlink w:anchor="__RefHeading___Toc2853333_2870459653">
            <w:r>
              <w:rPr>
                <w:webHidden/>
                <w:rStyle w:val="IndexLink"/>
                <w:rtl w:val="true"/>
              </w:rPr>
              <w:t>الوجه الثاني</w:t>
            </w:r>
            <w:r>
              <w:rPr>
                <w:rStyle w:val="IndexLink"/>
                <w:rtl w:val="true"/>
              </w:rPr>
              <w:tab/>
            </w:r>
            <w:r>
              <w:rPr>
                <w:rStyle w:val="IndexLink"/>
              </w:rPr>
              <w:t>117</w:t>
            </w:r>
          </w:hyperlink>
        </w:p>
        <w:p>
          <w:pPr>
            <w:pStyle w:val="Contents4"/>
            <w:tabs>
              <w:tab w:val="clear" w:pos="8176"/>
              <w:tab w:val="right" w:pos="9026" w:leader="dot"/>
            </w:tabs>
            <w:rPr/>
          </w:pPr>
          <w:hyperlink w:anchor="__RefHeading___Toc2853335_2870459653">
            <w:r>
              <w:rPr>
                <w:webHidden/>
                <w:rStyle w:val="IndexLink"/>
                <w:rtl w:val="true"/>
              </w:rPr>
              <w:t>الوجه الثالث</w:t>
            </w:r>
            <w:r>
              <w:rPr>
                <w:rStyle w:val="IndexLink"/>
                <w:rtl w:val="true"/>
              </w:rPr>
              <w:tab/>
            </w:r>
            <w:r>
              <w:rPr>
                <w:rStyle w:val="IndexLink"/>
              </w:rPr>
              <w:t>130</w:t>
            </w:r>
          </w:hyperlink>
        </w:p>
        <w:p>
          <w:pPr>
            <w:pStyle w:val="Contents4"/>
            <w:tabs>
              <w:tab w:val="clear" w:pos="8176"/>
              <w:tab w:val="right" w:pos="9026" w:leader="dot"/>
            </w:tabs>
            <w:rPr/>
          </w:pPr>
          <w:hyperlink w:anchor="__RefHeading___Toc2853337_2870459653">
            <w:r>
              <w:rPr>
                <w:webHidden/>
                <w:rStyle w:val="IndexLink"/>
                <w:rtl w:val="true"/>
              </w:rPr>
              <w:t>الوجه الرابع</w:t>
            </w:r>
            <w:r>
              <w:rPr>
                <w:rStyle w:val="IndexLink"/>
                <w:rtl w:val="true"/>
              </w:rPr>
              <w:tab/>
            </w:r>
            <w:r>
              <w:rPr>
                <w:rStyle w:val="IndexLink"/>
              </w:rPr>
              <w:t>132</w:t>
            </w:r>
          </w:hyperlink>
        </w:p>
        <w:p>
          <w:pPr>
            <w:pStyle w:val="Contents4"/>
            <w:tabs>
              <w:tab w:val="clear" w:pos="8176"/>
              <w:tab w:val="right" w:pos="9026" w:leader="dot"/>
            </w:tabs>
            <w:rPr/>
          </w:pPr>
          <w:hyperlink w:anchor="__RefHeading___Toc2853339_2870459653">
            <w:r>
              <w:rPr>
                <w:webHidden/>
                <w:rStyle w:val="IndexLink"/>
                <w:rtl w:val="true"/>
              </w:rPr>
              <w:t>الوجه الخامس</w:t>
            </w:r>
            <w:r>
              <w:rPr>
                <w:rStyle w:val="IndexLink"/>
                <w:rtl w:val="true"/>
              </w:rPr>
              <w:tab/>
            </w:r>
            <w:r>
              <w:rPr>
                <w:rStyle w:val="IndexLink"/>
              </w:rPr>
              <w:t>139</w:t>
            </w:r>
          </w:hyperlink>
        </w:p>
        <w:p>
          <w:pPr>
            <w:pStyle w:val="Contents4"/>
            <w:tabs>
              <w:tab w:val="clear" w:pos="8176"/>
              <w:tab w:val="right" w:pos="9026" w:leader="dot"/>
            </w:tabs>
            <w:rPr/>
          </w:pPr>
          <w:hyperlink w:anchor="__RefHeading___Toc2853341_2870459653">
            <w:r>
              <w:rPr>
                <w:webHidden/>
                <w:rStyle w:val="IndexLink"/>
                <w:rtl w:val="true"/>
              </w:rPr>
              <w:t>الوجه السادس</w:t>
            </w:r>
            <w:r>
              <w:rPr>
                <w:rStyle w:val="IndexLink"/>
                <w:rtl w:val="true"/>
              </w:rPr>
              <w:t xml:space="preserve">: </w:t>
            </w:r>
            <w:r>
              <w:rPr>
                <w:rStyle w:val="IndexLink"/>
                <w:rtl w:val="true"/>
              </w:rPr>
              <w:t>العمل بالاحتياط</w:t>
            </w:r>
            <w:r>
              <w:rPr>
                <w:rStyle w:val="IndexLink"/>
                <w:rtl w:val="true"/>
              </w:rPr>
              <w:tab/>
            </w:r>
            <w:r>
              <w:rPr>
                <w:rStyle w:val="IndexLink"/>
              </w:rPr>
              <w:t>144</w:t>
            </w:r>
          </w:hyperlink>
        </w:p>
        <w:p>
          <w:pPr>
            <w:pStyle w:val="Contents4"/>
            <w:tabs>
              <w:tab w:val="clear" w:pos="8176"/>
              <w:tab w:val="right" w:pos="9026" w:leader="dot"/>
            </w:tabs>
            <w:rPr/>
          </w:pPr>
          <w:hyperlink w:anchor="__RefHeading___Toc2853343_2870459653">
            <w:r>
              <w:rPr>
                <w:webHidden/>
                <w:rStyle w:val="IndexLink"/>
                <w:rtl w:val="true"/>
              </w:rPr>
              <w:t>الوجه السابع</w:t>
            </w:r>
            <w:r>
              <w:rPr>
                <w:rStyle w:val="IndexLink"/>
                <w:rtl w:val="true"/>
              </w:rPr>
              <w:tab/>
            </w:r>
            <w:r>
              <w:rPr>
                <w:rStyle w:val="IndexLink"/>
              </w:rPr>
              <w:t>146</w:t>
            </w:r>
          </w:hyperlink>
        </w:p>
        <w:p>
          <w:pPr>
            <w:pStyle w:val="Contents3"/>
            <w:tabs>
              <w:tab w:val="clear" w:pos="8459"/>
              <w:tab w:val="right" w:pos="9026" w:leader="dot"/>
            </w:tabs>
            <w:rPr/>
          </w:pPr>
          <w:hyperlink w:anchor="__RefHeading___Toc2853345_2870459653">
            <w:r>
              <w:rPr>
                <w:webHidden/>
                <w:rStyle w:val="IndexLink"/>
                <w:rtl w:val="true"/>
              </w:rPr>
              <w:t>فكرة التصنيف إلى الرتب</w:t>
            </w:r>
            <w:r>
              <w:rPr>
                <w:rStyle w:val="IndexLink"/>
                <w:rtl w:val="true"/>
              </w:rPr>
              <w:tab/>
            </w:r>
            <w:r>
              <w:rPr>
                <w:rStyle w:val="IndexLink"/>
              </w:rPr>
              <w:t>152</w:t>
            </w:r>
          </w:hyperlink>
        </w:p>
        <w:p>
          <w:pPr>
            <w:pStyle w:val="Contents4"/>
            <w:tabs>
              <w:tab w:val="clear" w:pos="8176"/>
              <w:tab w:val="right" w:pos="9026" w:leader="dot"/>
            </w:tabs>
            <w:rPr/>
          </w:pPr>
          <w:hyperlink w:anchor="__RefHeading___Toc2853347_2870459653">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853349_2870459653">
            <w:r>
              <w:rPr>
                <w:webHidden/>
                <w:rStyle w:val="IndexLink"/>
                <w:rtl w:val="true"/>
              </w:rPr>
              <w:t>فالمرتبة الأولى</w:t>
            </w:r>
            <w:r>
              <w:rPr>
                <w:rStyle w:val="IndexLink"/>
                <w:rtl w:val="true"/>
              </w:rPr>
              <w:tab/>
            </w:r>
            <w:r>
              <w:rPr>
                <w:rStyle w:val="IndexLink"/>
              </w:rPr>
              <w:t>152</w:t>
            </w:r>
          </w:hyperlink>
        </w:p>
        <w:p>
          <w:pPr>
            <w:pStyle w:val="Contents4"/>
            <w:tabs>
              <w:tab w:val="clear" w:pos="8176"/>
              <w:tab w:val="right" w:pos="9026" w:leader="dot"/>
            </w:tabs>
            <w:rPr/>
          </w:pPr>
          <w:hyperlink w:anchor="__RefHeading___Toc2853351_2870459653">
            <w:r>
              <w:rPr>
                <w:webHidden/>
                <w:rStyle w:val="IndexLink"/>
                <w:rtl w:val="true"/>
              </w:rPr>
              <w:t>والمرتبة الثانية</w:t>
            </w:r>
            <w:r>
              <w:rPr>
                <w:rStyle w:val="IndexLink"/>
                <w:rtl w:val="true"/>
              </w:rPr>
              <w:tab/>
            </w:r>
            <w:r>
              <w:rPr>
                <w:rStyle w:val="IndexLink"/>
              </w:rPr>
              <w:t>152</w:t>
            </w:r>
          </w:hyperlink>
        </w:p>
        <w:p>
          <w:pPr>
            <w:pStyle w:val="Contents4"/>
            <w:tabs>
              <w:tab w:val="clear" w:pos="8176"/>
              <w:tab w:val="right" w:pos="9026" w:leader="dot"/>
            </w:tabs>
            <w:rPr/>
          </w:pPr>
          <w:hyperlink w:anchor="__RefHeading___Toc2853353_2870459653">
            <w:r>
              <w:rPr>
                <w:webHidden/>
                <w:rStyle w:val="IndexLink"/>
                <w:rtl w:val="true"/>
              </w:rPr>
              <w:t>والمرتبة الثالثة</w:t>
            </w:r>
            <w:r>
              <w:rPr>
                <w:rStyle w:val="IndexLink"/>
                <w:rtl w:val="true"/>
              </w:rPr>
              <w:tab/>
            </w:r>
            <w:r>
              <w:rPr>
                <w:rStyle w:val="IndexLink"/>
              </w:rPr>
              <w:t>153</w:t>
            </w:r>
          </w:hyperlink>
        </w:p>
        <w:p>
          <w:pPr>
            <w:pStyle w:val="Contents4"/>
            <w:tabs>
              <w:tab w:val="clear" w:pos="8176"/>
              <w:tab w:val="right" w:pos="9026" w:leader="dot"/>
            </w:tabs>
            <w:rPr/>
          </w:pPr>
          <w:hyperlink w:anchor="__RefHeading___Toc2853355_2870459653">
            <w:r>
              <w:rPr>
                <w:webHidden/>
                <w:rStyle w:val="IndexLink"/>
                <w:rtl w:val="true"/>
              </w:rPr>
              <w:t>والمرتبة الرابعة</w:t>
            </w:r>
            <w:r>
              <w:rPr>
                <w:rStyle w:val="IndexLink"/>
                <w:rtl w:val="true"/>
              </w:rPr>
              <w:tab/>
            </w:r>
            <w:r>
              <w:rPr>
                <w:rStyle w:val="IndexLink"/>
              </w:rPr>
              <w:t>153</w:t>
            </w:r>
          </w:hyperlink>
        </w:p>
        <w:p>
          <w:pPr>
            <w:pStyle w:val="Contents3"/>
            <w:tabs>
              <w:tab w:val="clear" w:pos="8459"/>
              <w:tab w:val="right" w:pos="9026" w:leader="dot"/>
            </w:tabs>
            <w:rPr/>
          </w:pPr>
          <w:hyperlink w:anchor="__RefHeading___Toc2853357_2870459653">
            <w:r>
              <w:rPr>
                <w:webHidden/>
                <w:rStyle w:val="IndexLink"/>
                <w:rtl w:val="true"/>
              </w:rPr>
              <w:t>أبرز المصادر</w:t>
            </w:r>
            <w:r>
              <w:rPr>
                <w:rStyle w:val="IndexLink"/>
                <w:rtl w:val="true"/>
              </w:rPr>
              <w:tab/>
            </w:r>
            <w:r>
              <w:rPr>
                <w:rStyle w:val="IndexLink"/>
              </w:rPr>
              <w:t>157</w:t>
            </w:r>
          </w:hyperlink>
        </w:p>
        <w:p>
          <w:pPr>
            <w:pStyle w:val="Contents2"/>
            <w:tabs>
              <w:tab w:val="clear" w:pos="8743"/>
              <w:tab w:val="right" w:pos="9026" w:leader="dot"/>
            </w:tabs>
            <w:rPr/>
          </w:pPr>
          <w:hyperlink w:anchor="__RefHeading___Toc2853359_2870459653">
            <w:r>
              <w:rPr>
                <w:webHidden/>
                <w:rStyle w:val="IndexLink"/>
                <w:rtl w:val="true"/>
              </w:rPr>
              <w:t xml:space="preserve">حجيَّة الاطمئنان </w:t>
            </w:r>
            <w:r>
              <w:rPr>
                <w:rStyle w:val="IndexLink"/>
                <w:rtl w:val="true"/>
              </w:rPr>
              <w:t>(</w:t>
            </w:r>
            <w:r>
              <w:rPr>
                <w:rStyle w:val="IndexLink"/>
                <w:rtl w:val="true"/>
              </w:rPr>
              <w:t>القسم الثاني</w:t>
            </w:r>
            <w:r>
              <w:rPr>
                <w:rStyle w:val="IndexLink"/>
                <w:rtl w:val="true"/>
              </w:rPr>
              <w:t xml:space="preserve">) - </w:t>
            </w:r>
            <w:r>
              <w:rPr>
                <w:rStyle w:val="IndexLink"/>
                <w:rtl w:val="true"/>
              </w:rPr>
              <w:t xml:space="preserve">الشيخ أمجد رياض </w:t>
            </w:r>
            <w:r>
              <w:rPr>
                <w:rStyle w:val="IndexLink"/>
                <w:rtl w:val="true"/>
              </w:rPr>
              <w:t>(</w:t>
            </w:r>
            <w:r>
              <w:rPr>
                <w:rStyle w:val="IndexLink"/>
                <w:rtl w:val="true"/>
              </w:rPr>
              <w:t>دام عزه</w:t>
            </w:r>
            <w:r>
              <w:rPr>
                <w:rStyle w:val="IndexLink"/>
                <w:rtl w:val="true"/>
              </w:rPr>
              <w:t>)</w:t>
              <w:tab/>
            </w:r>
            <w:r>
              <w:rPr>
                <w:rStyle w:val="IndexLink"/>
              </w:rPr>
              <w:t>160</w:t>
            </w:r>
          </w:hyperlink>
        </w:p>
        <w:p>
          <w:pPr>
            <w:pStyle w:val="Contents3"/>
            <w:tabs>
              <w:tab w:val="clear" w:pos="8459"/>
              <w:tab w:val="right" w:pos="9026" w:leader="dot"/>
            </w:tabs>
            <w:rPr/>
          </w:pPr>
          <w:hyperlink w:anchor="__RefHeading___Toc2853361_2870459653">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2853363_2870459653">
            <w:r>
              <w:rPr>
                <w:webHidden/>
                <w:rStyle w:val="IndexLink"/>
                <w:rtl w:val="true"/>
              </w:rPr>
              <w:t>الطائفة الأولى</w:t>
            </w:r>
            <w:r>
              <w:rPr>
                <w:rStyle w:val="IndexLink"/>
                <w:rtl w:val="true"/>
              </w:rPr>
              <w:t xml:space="preserve">: </w:t>
            </w:r>
            <w:r>
              <w:rPr>
                <w:rStyle w:val="IndexLink"/>
                <w:rtl w:val="true"/>
              </w:rPr>
              <w:t>ما يظهر منه التأكيد على اليقين</w:t>
            </w:r>
            <w:r>
              <w:rPr>
                <w:rStyle w:val="IndexLink"/>
                <w:rtl w:val="true"/>
              </w:rPr>
              <w:tab/>
            </w:r>
            <w:r>
              <w:rPr>
                <w:rStyle w:val="IndexLink"/>
              </w:rPr>
              <w:t>164</w:t>
            </w:r>
          </w:hyperlink>
        </w:p>
        <w:p>
          <w:pPr>
            <w:pStyle w:val="Contents4"/>
            <w:tabs>
              <w:tab w:val="clear" w:pos="8176"/>
              <w:tab w:val="right" w:pos="9026" w:leader="dot"/>
            </w:tabs>
            <w:rPr/>
          </w:pPr>
          <w:hyperlink w:anchor="__RefHeading___Toc2853365_2870459653">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2853367_2870459653">
            <w:r>
              <w:rPr>
                <w:webHidden/>
                <w:rStyle w:val="IndexLink"/>
                <w:rtl w:val="true"/>
              </w:rPr>
              <w:t>القسم الأوَّل</w:t>
            </w:r>
            <w:r>
              <w:rPr>
                <w:rStyle w:val="IndexLink"/>
                <w:rtl w:val="true"/>
              </w:rPr>
              <w:tab/>
            </w:r>
            <w:r>
              <w:rPr>
                <w:rStyle w:val="IndexLink"/>
              </w:rPr>
              <w:t>164</w:t>
            </w:r>
          </w:hyperlink>
        </w:p>
        <w:p>
          <w:pPr>
            <w:pStyle w:val="Contents4"/>
            <w:tabs>
              <w:tab w:val="clear" w:pos="8176"/>
              <w:tab w:val="right" w:pos="9026" w:leader="dot"/>
            </w:tabs>
            <w:rPr/>
          </w:pPr>
          <w:hyperlink w:anchor="__RefHeading___Toc2853369_2870459653">
            <w:r>
              <w:rPr>
                <w:webHidden/>
                <w:rStyle w:val="IndexLink"/>
                <w:rtl w:val="true"/>
              </w:rPr>
              <w:t>القسم الثاني</w:t>
            </w:r>
            <w:r>
              <w:rPr>
                <w:rStyle w:val="IndexLink"/>
                <w:rtl w:val="true"/>
              </w:rPr>
              <w:t xml:space="preserve">: </w:t>
            </w:r>
            <w:r>
              <w:rPr>
                <w:rStyle w:val="IndexLink"/>
                <w:rtl w:val="true"/>
              </w:rPr>
              <w:t>ما ورد في موارد اليقين بالوقت</w:t>
            </w:r>
            <w:r>
              <w:rPr>
                <w:rStyle w:val="IndexLink"/>
                <w:rtl w:val="true"/>
              </w:rPr>
              <w:t>...</w:t>
              <w:tab/>
            </w:r>
            <w:r>
              <w:rPr>
                <w:rStyle w:val="IndexLink"/>
              </w:rPr>
              <w:t>167</w:t>
            </w:r>
          </w:hyperlink>
        </w:p>
        <w:p>
          <w:pPr>
            <w:pStyle w:val="Contents4"/>
            <w:tabs>
              <w:tab w:val="clear" w:pos="8176"/>
              <w:tab w:val="right" w:pos="9026" w:leader="dot"/>
            </w:tabs>
            <w:rPr/>
          </w:pPr>
          <w:hyperlink w:anchor="__RefHeading___Toc2853371_2870459653">
            <w:r>
              <w:rPr>
                <w:webHidden/>
                <w:rStyle w:val="IndexLink"/>
                <w:rtl w:val="true"/>
              </w:rPr>
              <w:t>القسم الثالث</w:t>
            </w:r>
            <w:r>
              <w:rPr>
                <w:rStyle w:val="IndexLink"/>
                <w:rtl w:val="true"/>
              </w:rPr>
              <w:t xml:space="preserve">: </w:t>
            </w:r>
            <w:r>
              <w:rPr>
                <w:rStyle w:val="IndexLink"/>
                <w:rtl w:val="true"/>
              </w:rPr>
              <w:t>ما ورد في الشك في الطهارة الحدثية</w:t>
            </w:r>
            <w:r>
              <w:rPr>
                <w:rStyle w:val="IndexLink"/>
                <w:rtl w:val="true"/>
              </w:rPr>
              <w:t>..</w:t>
              <w:tab/>
            </w:r>
            <w:r>
              <w:rPr>
                <w:rStyle w:val="IndexLink"/>
              </w:rPr>
              <w:t>168</w:t>
            </w:r>
          </w:hyperlink>
        </w:p>
        <w:p>
          <w:pPr>
            <w:pStyle w:val="Contents4"/>
            <w:tabs>
              <w:tab w:val="clear" w:pos="8176"/>
              <w:tab w:val="right" w:pos="9026" w:leader="dot"/>
            </w:tabs>
            <w:rPr/>
          </w:pPr>
          <w:hyperlink w:anchor="__RefHeading___Toc2853373_2870459653">
            <w:r>
              <w:rPr>
                <w:webHidden/>
                <w:rStyle w:val="IndexLink"/>
                <w:rtl w:val="true"/>
              </w:rPr>
              <w:t>القسم الرابع</w:t>
            </w:r>
            <w:r>
              <w:rPr>
                <w:rStyle w:val="IndexLink"/>
                <w:rtl w:val="true"/>
              </w:rPr>
              <w:t xml:space="preserve">: </w:t>
            </w:r>
            <w:r>
              <w:rPr>
                <w:rStyle w:val="IndexLink"/>
                <w:rtl w:val="true"/>
              </w:rPr>
              <w:t>ما ورد في الطهارة الخبثية</w:t>
            </w:r>
            <w:r>
              <w:rPr>
                <w:rStyle w:val="IndexLink"/>
                <w:rtl w:val="true"/>
              </w:rPr>
              <w:t>..</w:t>
              <w:tab/>
            </w:r>
            <w:r>
              <w:rPr>
                <w:rStyle w:val="IndexLink"/>
              </w:rPr>
              <w:t>169</w:t>
            </w:r>
          </w:hyperlink>
        </w:p>
        <w:p>
          <w:pPr>
            <w:pStyle w:val="Contents3"/>
            <w:tabs>
              <w:tab w:val="clear" w:pos="8459"/>
              <w:tab w:val="right" w:pos="9026" w:leader="dot"/>
            </w:tabs>
            <w:rPr/>
          </w:pPr>
          <w:hyperlink w:anchor="__RefHeading___Toc2853375_2870459653">
            <w:r>
              <w:rPr>
                <w:webHidden/>
                <w:rStyle w:val="IndexLink"/>
                <w:rtl w:val="true"/>
              </w:rPr>
              <w:t>الطائفة الثانية</w:t>
            </w:r>
            <w:r>
              <w:rPr>
                <w:rStyle w:val="IndexLink"/>
                <w:rtl w:val="true"/>
              </w:rPr>
              <w:t xml:space="preserve">: </w:t>
            </w:r>
            <w:r>
              <w:rPr>
                <w:rStyle w:val="IndexLink"/>
                <w:rtl w:val="true"/>
              </w:rPr>
              <w:t>ما دل على الاعتناء بالاحتمالات البعيدة التي يحصل الاطمئنان عادة بخلافها</w:t>
            </w:r>
            <w:r>
              <w:rPr>
                <w:rStyle w:val="IndexLink"/>
                <w:rtl w:val="true"/>
              </w:rPr>
              <w:tab/>
            </w:r>
            <w:r>
              <w:rPr>
                <w:rStyle w:val="IndexLink"/>
              </w:rPr>
              <w:t>172</w:t>
            </w:r>
          </w:hyperlink>
        </w:p>
        <w:p>
          <w:pPr>
            <w:pStyle w:val="Contents3"/>
            <w:tabs>
              <w:tab w:val="clear" w:pos="8459"/>
              <w:tab w:val="right" w:pos="9026" w:leader="dot"/>
            </w:tabs>
            <w:rPr/>
          </w:pPr>
          <w:hyperlink w:anchor="__RefHeading___Toc2853377_2870459653">
            <w:r>
              <w:rPr>
                <w:webHidden/>
                <w:rStyle w:val="IndexLink"/>
                <w:rtl w:val="true"/>
              </w:rPr>
              <w:t>الوجه الخامس</w:t>
            </w:r>
            <w:r>
              <w:rPr>
                <w:rStyle w:val="IndexLink"/>
                <w:rtl w:val="true"/>
              </w:rPr>
              <w:t xml:space="preserve">: </w:t>
            </w:r>
            <w:r>
              <w:rPr>
                <w:rStyle w:val="IndexLink"/>
                <w:rtl w:val="true"/>
              </w:rPr>
              <w:t>سيرة المتشرعة</w:t>
            </w:r>
            <w:r>
              <w:rPr>
                <w:rStyle w:val="IndexLink"/>
                <w:rtl w:val="true"/>
              </w:rPr>
              <w:tab/>
            </w:r>
            <w:r>
              <w:rPr>
                <w:rStyle w:val="IndexLink"/>
              </w:rPr>
              <w:t>175</w:t>
            </w:r>
          </w:hyperlink>
        </w:p>
        <w:p>
          <w:pPr>
            <w:pStyle w:val="Contents3"/>
            <w:tabs>
              <w:tab w:val="clear" w:pos="8459"/>
              <w:tab w:val="right" w:pos="9026" w:leader="dot"/>
            </w:tabs>
            <w:rPr/>
          </w:pPr>
          <w:hyperlink w:anchor="__RefHeading___Toc2853379_2870459653">
            <w:r>
              <w:rPr>
                <w:webHidden/>
                <w:rStyle w:val="IndexLink"/>
                <w:rtl w:val="true"/>
              </w:rPr>
              <w:t>الوجه السادس</w:t>
            </w:r>
            <w:r>
              <w:rPr>
                <w:rStyle w:val="IndexLink"/>
                <w:rtl w:val="true"/>
              </w:rPr>
              <w:tab/>
            </w:r>
            <w:r>
              <w:rPr>
                <w:rStyle w:val="IndexLink"/>
              </w:rPr>
              <w:t>176</w:t>
            </w:r>
          </w:hyperlink>
        </w:p>
        <w:p>
          <w:pPr>
            <w:pStyle w:val="Contents3"/>
            <w:tabs>
              <w:tab w:val="clear" w:pos="8459"/>
              <w:tab w:val="right" w:pos="9026" w:leader="dot"/>
            </w:tabs>
            <w:rPr/>
          </w:pPr>
          <w:hyperlink w:anchor="__RefHeading___Toc2853381_2870459653">
            <w:r>
              <w:rPr>
                <w:webHidden/>
                <w:rStyle w:val="IndexLink"/>
                <w:rtl w:val="true"/>
              </w:rPr>
              <w:t>الوجه السابع</w:t>
            </w:r>
            <w:r>
              <w:rPr>
                <w:rStyle w:val="IndexLink"/>
                <w:rtl w:val="true"/>
              </w:rPr>
              <w:tab/>
            </w:r>
            <w:r>
              <w:rPr>
                <w:rStyle w:val="IndexLink"/>
              </w:rPr>
              <w:t>179</w:t>
            </w:r>
          </w:hyperlink>
        </w:p>
        <w:p>
          <w:pPr>
            <w:pStyle w:val="Contents3"/>
            <w:tabs>
              <w:tab w:val="clear" w:pos="8459"/>
              <w:tab w:val="right" w:pos="9026" w:leader="dot"/>
            </w:tabs>
            <w:rPr/>
          </w:pPr>
          <w:hyperlink w:anchor="__RefHeading___Toc2853383_2870459653">
            <w:r>
              <w:rPr>
                <w:webHidden/>
                <w:rStyle w:val="IndexLink"/>
                <w:rtl w:val="true"/>
              </w:rPr>
              <w:t>الوجه الثامن</w:t>
            </w:r>
            <w:r>
              <w:rPr>
                <w:rStyle w:val="IndexLink"/>
                <w:rtl w:val="true"/>
              </w:rPr>
              <w:tab/>
            </w:r>
            <w:r>
              <w:rPr>
                <w:rStyle w:val="IndexLink"/>
              </w:rPr>
              <w:t>179</w:t>
            </w:r>
          </w:hyperlink>
        </w:p>
        <w:p>
          <w:pPr>
            <w:pStyle w:val="Contents3"/>
            <w:tabs>
              <w:tab w:val="clear" w:pos="8459"/>
              <w:tab w:val="right" w:pos="9026" w:leader="dot"/>
            </w:tabs>
            <w:rPr/>
          </w:pPr>
          <w:hyperlink w:anchor="__RefHeading___Toc2853385_2870459653">
            <w:r>
              <w:rPr>
                <w:webHidden/>
                <w:rStyle w:val="IndexLink"/>
                <w:rtl w:val="true"/>
              </w:rPr>
              <w:t>الخاتمة</w:t>
            </w:r>
            <w:r>
              <w:rPr>
                <w:rStyle w:val="IndexLink"/>
                <w:rtl w:val="true"/>
              </w:rPr>
              <w:tab/>
            </w:r>
            <w:r>
              <w:rPr>
                <w:rStyle w:val="IndexLink"/>
              </w:rPr>
              <w:t>182</w:t>
            </w:r>
          </w:hyperlink>
        </w:p>
        <w:p>
          <w:pPr>
            <w:pStyle w:val="Contents4"/>
            <w:tabs>
              <w:tab w:val="clear" w:pos="8176"/>
              <w:tab w:val="right" w:pos="9026" w:leader="dot"/>
            </w:tabs>
            <w:rPr/>
          </w:pPr>
          <w:hyperlink w:anchor="__RefHeading___Toc2853387_2870459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2853389_2870459653">
            <w:r>
              <w:rPr>
                <w:webHidden/>
                <w:rStyle w:val="IndexLink"/>
                <w:rtl w:val="true"/>
              </w:rPr>
              <w:t>التنبيه الأوَّل</w:t>
            </w:r>
            <w:r>
              <w:rPr>
                <w:rStyle w:val="IndexLink"/>
                <w:rtl w:val="true"/>
              </w:rPr>
              <w:t xml:space="preserve">: </w:t>
            </w:r>
            <w:r>
              <w:rPr>
                <w:rStyle w:val="IndexLink"/>
                <w:rtl w:val="true"/>
              </w:rPr>
              <w:t>في تقسيمات الاطمئنان</w:t>
            </w:r>
            <w:r>
              <w:rPr>
                <w:rStyle w:val="IndexLink"/>
                <w:rtl w:val="true"/>
              </w:rPr>
              <w:tab/>
            </w:r>
            <w:r>
              <w:rPr>
                <w:rStyle w:val="IndexLink"/>
              </w:rPr>
              <w:t>182</w:t>
            </w:r>
          </w:hyperlink>
        </w:p>
        <w:p>
          <w:pPr>
            <w:pStyle w:val="Contents5"/>
            <w:tabs>
              <w:tab w:val="clear" w:pos="7892"/>
              <w:tab w:val="right" w:pos="9026" w:leader="dot"/>
            </w:tabs>
            <w:rPr/>
          </w:pPr>
          <w:hyperlink w:anchor="__RefHeading___Toc2853391_2870459653">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2853393_2870459653">
            <w:r>
              <w:rPr>
                <w:webHidden/>
                <w:rStyle w:val="IndexLink"/>
                <w:rtl w:val="true"/>
              </w:rPr>
              <w:t>الأوَّل</w:t>
            </w:r>
            <w:r>
              <w:rPr>
                <w:rStyle w:val="IndexLink"/>
                <w:rtl w:val="true"/>
              </w:rPr>
              <w:t xml:space="preserve">: </w:t>
            </w:r>
            <w:r>
              <w:rPr>
                <w:rStyle w:val="IndexLink"/>
                <w:rtl w:val="true"/>
              </w:rPr>
              <w:t>تقسيمه إلى طريقي وموضوعي</w:t>
            </w:r>
            <w:r>
              <w:rPr>
                <w:rStyle w:val="IndexLink"/>
                <w:rtl w:val="true"/>
              </w:rPr>
              <w:tab/>
            </w:r>
            <w:r>
              <w:rPr>
                <w:rStyle w:val="IndexLink"/>
              </w:rPr>
              <w:t>182</w:t>
            </w:r>
          </w:hyperlink>
        </w:p>
        <w:p>
          <w:pPr>
            <w:pStyle w:val="Contents5"/>
            <w:tabs>
              <w:tab w:val="clear" w:pos="7892"/>
              <w:tab w:val="right" w:pos="9026" w:leader="dot"/>
            </w:tabs>
            <w:rPr/>
          </w:pPr>
          <w:hyperlink w:anchor="__RefHeading___Toc2853395_2870459653">
            <w:r>
              <w:rPr>
                <w:webHidden/>
                <w:rStyle w:val="IndexLink"/>
                <w:rtl w:val="true"/>
              </w:rPr>
              <w:t>الثاني</w:t>
            </w:r>
            <w:r>
              <w:rPr>
                <w:rStyle w:val="IndexLink"/>
                <w:rtl w:val="true"/>
              </w:rPr>
              <w:t xml:space="preserve">: </w:t>
            </w:r>
            <w:r>
              <w:rPr>
                <w:rStyle w:val="IndexLink"/>
                <w:rtl w:val="true"/>
              </w:rPr>
              <w:t>تقسيمه إلى شخصي ونوعي</w:t>
            </w:r>
            <w:r>
              <w:rPr>
                <w:rStyle w:val="IndexLink"/>
                <w:rtl w:val="true"/>
              </w:rPr>
              <w:tab/>
            </w:r>
            <w:r>
              <w:rPr>
                <w:rStyle w:val="IndexLink"/>
              </w:rPr>
              <w:t>183</w:t>
            </w:r>
          </w:hyperlink>
        </w:p>
        <w:p>
          <w:pPr>
            <w:pStyle w:val="Contents5"/>
            <w:tabs>
              <w:tab w:val="clear" w:pos="7892"/>
              <w:tab w:val="right" w:pos="9026" w:leader="dot"/>
            </w:tabs>
            <w:rPr/>
          </w:pPr>
          <w:hyperlink w:anchor="__RefHeading___Toc2853397_2870459653">
            <w:r>
              <w:rPr>
                <w:webHidden/>
                <w:rStyle w:val="IndexLink"/>
                <w:rtl w:val="true"/>
              </w:rPr>
              <w:t>الثالث</w:t>
            </w:r>
            <w:r>
              <w:rPr>
                <w:rStyle w:val="IndexLink"/>
                <w:rtl w:val="true"/>
              </w:rPr>
              <w:t xml:space="preserve">: </w:t>
            </w:r>
            <w:r>
              <w:rPr>
                <w:rStyle w:val="IndexLink"/>
                <w:rtl w:val="true"/>
              </w:rPr>
              <w:t>تقسيم الاطمئنان بحسب مناشئه إلى قسمين</w:t>
            </w:r>
            <w:r>
              <w:rPr>
                <w:rStyle w:val="IndexLink"/>
                <w:rtl w:val="true"/>
              </w:rPr>
              <w:tab/>
            </w:r>
            <w:r>
              <w:rPr>
                <w:rStyle w:val="IndexLink"/>
              </w:rPr>
              <w:t>184</w:t>
            </w:r>
          </w:hyperlink>
        </w:p>
        <w:p>
          <w:pPr>
            <w:pStyle w:val="Contents6"/>
            <w:tabs>
              <w:tab w:val="clear" w:pos="7609"/>
              <w:tab w:val="right" w:pos="9026" w:leader="dot"/>
            </w:tabs>
            <w:rPr/>
          </w:pPr>
          <w:hyperlink w:anchor="__RefHeading___Toc2853399_2870459653">
            <w:r>
              <w:rPr>
                <w:webHidden/>
                <w:rStyle w:val="IndexLink"/>
                <w:rtl w:val="true"/>
              </w:rPr>
              <w:t>القسم الأوَّل</w:t>
            </w:r>
            <w:r>
              <w:rPr>
                <w:rStyle w:val="IndexLink"/>
                <w:rtl w:val="true"/>
              </w:rPr>
              <w:tab/>
            </w:r>
            <w:r>
              <w:rPr>
                <w:rStyle w:val="IndexLink"/>
              </w:rPr>
              <w:t>184</w:t>
            </w:r>
          </w:hyperlink>
        </w:p>
        <w:p>
          <w:pPr>
            <w:pStyle w:val="Contents6"/>
            <w:tabs>
              <w:tab w:val="clear" w:pos="7609"/>
              <w:tab w:val="right" w:pos="9026" w:leader="dot"/>
            </w:tabs>
            <w:rPr/>
          </w:pPr>
          <w:hyperlink w:anchor="__RefHeading___Toc2853401_2870459653">
            <w:r>
              <w:rPr>
                <w:webHidden/>
                <w:rStyle w:val="IndexLink"/>
                <w:rtl w:val="true"/>
              </w:rPr>
              <w:t>القسم الثاني</w:t>
            </w:r>
            <w:r>
              <w:rPr>
                <w:rStyle w:val="IndexLink"/>
                <w:rtl w:val="true"/>
              </w:rPr>
              <w:tab/>
            </w:r>
            <w:r>
              <w:rPr>
                <w:rStyle w:val="IndexLink"/>
              </w:rPr>
              <w:t>184</w:t>
            </w:r>
          </w:hyperlink>
        </w:p>
        <w:p>
          <w:pPr>
            <w:pStyle w:val="Contents5"/>
            <w:tabs>
              <w:tab w:val="clear" w:pos="7892"/>
              <w:tab w:val="right" w:pos="9026" w:leader="dot"/>
            </w:tabs>
            <w:rPr/>
          </w:pPr>
          <w:hyperlink w:anchor="__RefHeading___Toc2853403_2870459653">
            <w:r>
              <w:rPr>
                <w:webHidden/>
                <w:rStyle w:val="IndexLink"/>
                <w:rtl w:val="true"/>
              </w:rPr>
              <w:t>الرابع</w:t>
            </w:r>
            <w:r>
              <w:rPr>
                <w:rStyle w:val="IndexLink"/>
                <w:rtl w:val="true"/>
              </w:rPr>
              <w:t xml:space="preserve">: </w:t>
            </w:r>
            <w:r>
              <w:rPr>
                <w:rStyle w:val="IndexLink"/>
                <w:rtl w:val="true"/>
              </w:rPr>
              <w:t>الاطمئنان الحاصل من الأسباب المتعارفة كخبر الثقة وقرائن الأحوال وظواهر الأقوال وغيرها</w:t>
            </w:r>
            <w:r>
              <w:rPr>
                <w:rStyle w:val="IndexLink"/>
                <w:rtl w:val="true"/>
              </w:rPr>
              <w:tab/>
            </w:r>
            <w:r>
              <w:rPr>
                <w:rStyle w:val="IndexLink"/>
              </w:rPr>
              <w:t>184</w:t>
            </w:r>
          </w:hyperlink>
        </w:p>
        <w:p>
          <w:pPr>
            <w:pStyle w:val="Contents5"/>
            <w:tabs>
              <w:tab w:val="clear" w:pos="7892"/>
              <w:tab w:val="right" w:pos="9026" w:leader="dot"/>
            </w:tabs>
            <w:rPr/>
          </w:pPr>
          <w:hyperlink w:anchor="__RefHeading___Toc2853405_2870459653">
            <w:r>
              <w:rPr>
                <w:webHidden/>
                <w:rStyle w:val="IndexLink"/>
                <w:rtl w:val="true"/>
              </w:rPr>
              <w:t>الخامس</w:t>
            </w:r>
            <w:r>
              <w:rPr>
                <w:rStyle w:val="IndexLink"/>
                <w:rtl w:val="true"/>
              </w:rPr>
              <w:t xml:space="preserve">: </w:t>
            </w:r>
            <w:r>
              <w:rPr>
                <w:rStyle w:val="IndexLink"/>
                <w:rtl w:val="true"/>
              </w:rPr>
              <w:t>تقسيمه إلى الاطمئنان المعتاد للناس والاطمئنان لمن هو كثير الاطمئنان وهو على حدّ قطع القطّاع</w:t>
            </w:r>
            <w:r>
              <w:rPr>
                <w:rStyle w:val="IndexLink"/>
                <w:rtl w:val="true"/>
              </w:rPr>
              <w:tab/>
            </w:r>
            <w:r>
              <w:rPr>
                <w:rStyle w:val="IndexLink"/>
              </w:rPr>
              <w:t>184</w:t>
            </w:r>
          </w:hyperlink>
        </w:p>
        <w:p>
          <w:pPr>
            <w:pStyle w:val="Contents4"/>
            <w:tabs>
              <w:tab w:val="clear" w:pos="8176"/>
              <w:tab w:val="right" w:pos="9026" w:leader="dot"/>
            </w:tabs>
            <w:rPr/>
          </w:pPr>
          <w:hyperlink w:anchor="__RefHeading___Toc2853407_2870459653">
            <w:r>
              <w:rPr>
                <w:webHidden/>
                <w:rStyle w:val="IndexLink"/>
                <w:rtl w:val="true"/>
              </w:rPr>
              <w:t>التنبيه الثاني</w:t>
            </w:r>
            <w:r>
              <w:rPr>
                <w:rStyle w:val="IndexLink"/>
                <w:rtl w:val="true"/>
              </w:rPr>
              <w:t xml:space="preserve">: </w:t>
            </w:r>
            <w:r>
              <w:rPr>
                <w:rStyle w:val="IndexLink"/>
                <w:rtl w:val="true"/>
              </w:rPr>
              <w:t>أنواع متعلّق الاطمئنان</w:t>
            </w:r>
            <w:r>
              <w:rPr>
                <w:rStyle w:val="IndexLink"/>
                <w:rtl w:val="true"/>
              </w:rPr>
              <w:tab/>
            </w:r>
            <w:r>
              <w:rPr>
                <w:rStyle w:val="IndexLink"/>
              </w:rPr>
              <w:t>186</w:t>
            </w:r>
          </w:hyperlink>
        </w:p>
        <w:p>
          <w:pPr>
            <w:pStyle w:val="Contents4"/>
            <w:tabs>
              <w:tab w:val="clear" w:pos="8176"/>
              <w:tab w:val="right" w:pos="9026" w:leader="dot"/>
            </w:tabs>
            <w:rPr/>
          </w:pPr>
          <w:hyperlink w:anchor="__RefHeading___Toc2853409_2870459653">
            <w:r>
              <w:rPr>
                <w:webHidden/>
                <w:rStyle w:val="IndexLink"/>
                <w:rtl w:val="true"/>
              </w:rPr>
              <w:t>التنبيه الثالث</w:t>
            </w:r>
            <w:r>
              <w:rPr>
                <w:rStyle w:val="IndexLink"/>
                <w:rtl w:val="true"/>
              </w:rPr>
              <w:tab/>
            </w:r>
            <w:r>
              <w:rPr>
                <w:rStyle w:val="IndexLink"/>
              </w:rPr>
              <w:t>188</w:t>
            </w:r>
          </w:hyperlink>
        </w:p>
        <w:p>
          <w:pPr>
            <w:pStyle w:val="Contents5"/>
            <w:tabs>
              <w:tab w:val="clear" w:pos="7892"/>
              <w:tab w:val="right" w:pos="9026" w:leader="dot"/>
            </w:tabs>
            <w:rPr/>
          </w:pPr>
          <w:hyperlink w:anchor="__RefHeading___Toc2853411_2870459653">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2853413_2870459653">
            <w:r>
              <w:rPr>
                <w:webHidden/>
                <w:rStyle w:val="IndexLink"/>
                <w:rtl w:val="true"/>
              </w:rPr>
              <w:t>المعضلة الأولى</w:t>
            </w:r>
            <w:r>
              <w:rPr>
                <w:rStyle w:val="IndexLink"/>
                <w:rtl w:val="true"/>
              </w:rPr>
              <w:tab/>
            </w:r>
            <w:r>
              <w:rPr>
                <w:rStyle w:val="IndexLink"/>
              </w:rPr>
              <w:t>188</w:t>
            </w:r>
          </w:hyperlink>
        </w:p>
        <w:p>
          <w:pPr>
            <w:pStyle w:val="Contents5"/>
            <w:tabs>
              <w:tab w:val="clear" w:pos="7892"/>
              <w:tab w:val="right" w:pos="9026" w:leader="dot"/>
            </w:tabs>
            <w:rPr/>
          </w:pPr>
          <w:hyperlink w:anchor="__RefHeading___Toc2853415_2870459653">
            <w:r>
              <w:rPr>
                <w:webHidden/>
                <w:rStyle w:val="IndexLink"/>
                <w:rtl w:val="true"/>
              </w:rPr>
              <w:t>المعضلة الثانية</w:t>
            </w:r>
            <w:r>
              <w:rPr>
                <w:rStyle w:val="IndexLink"/>
                <w:rtl w:val="true"/>
              </w:rPr>
              <w:t xml:space="preserve">: </w:t>
            </w:r>
            <w:r>
              <w:rPr>
                <w:rStyle w:val="IndexLink"/>
                <w:rtl w:val="true"/>
              </w:rPr>
              <w:t>في تحديد درجة الاحتمال الموجبة للاستقرار النفسي</w:t>
            </w:r>
            <w:r>
              <w:rPr>
                <w:rStyle w:val="IndexLink"/>
                <w:rtl w:val="true"/>
              </w:rPr>
              <w:tab/>
            </w:r>
            <w:r>
              <w:rPr>
                <w:rStyle w:val="IndexLink"/>
              </w:rPr>
              <w:t>189</w:t>
            </w:r>
          </w:hyperlink>
        </w:p>
        <w:p>
          <w:pPr>
            <w:pStyle w:val="Contents4"/>
            <w:tabs>
              <w:tab w:val="clear" w:pos="8176"/>
              <w:tab w:val="right" w:pos="9026" w:leader="dot"/>
            </w:tabs>
            <w:rPr/>
          </w:pPr>
          <w:hyperlink w:anchor="__RefHeading___Toc2853417_2870459653">
            <w:r>
              <w:rPr>
                <w:webHidden/>
                <w:rStyle w:val="IndexLink"/>
                <w:rtl w:val="true"/>
              </w:rPr>
              <w:t>التنبيه الرابع</w:t>
            </w:r>
            <w:r>
              <w:rPr>
                <w:rStyle w:val="IndexLink"/>
                <w:rtl w:val="true"/>
              </w:rPr>
              <w:tab/>
            </w:r>
            <w:r>
              <w:rPr>
                <w:rStyle w:val="IndexLink"/>
              </w:rPr>
              <w:t>191</w:t>
            </w:r>
          </w:hyperlink>
        </w:p>
        <w:p>
          <w:pPr>
            <w:pStyle w:val="Contents4"/>
            <w:tabs>
              <w:tab w:val="clear" w:pos="8176"/>
              <w:tab w:val="right" w:pos="9026" w:leader="dot"/>
            </w:tabs>
            <w:rPr/>
          </w:pPr>
          <w:hyperlink w:anchor="__RefHeading___Toc2853419_2870459653">
            <w:r>
              <w:rPr>
                <w:webHidden/>
                <w:rStyle w:val="IndexLink"/>
                <w:rtl w:val="true"/>
              </w:rPr>
              <w:t>التنبيه الخامس</w:t>
            </w:r>
            <w:r>
              <w:rPr>
                <w:rStyle w:val="IndexLink"/>
                <w:rtl w:val="true"/>
              </w:rPr>
              <w:t xml:space="preserve">: </w:t>
            </w:r>
            <w:r>
              <w:rPr>
                <w:rStyle w:val="IndexLink"/>
                <w:rtl w:val="true"/>
              </w:rPr>
              <w:t>قد استثنى بعض الأعلام من موارد حجيَّة الاطمئنان</w:t>
            </w:r>
            <w:r>
              <w:rPr>
                <w:rStyle w:val="IndexLink"/>
                <w:rtl w:val="true"/>
              </w:rPr>
              <w:t>..</w:t>
              <w:tab/>
            </w:r>
            <w:r>
              <w:rPr>
                <w:rStyle w:val="IndexLink"/>
              </w:rPr>
              <w:t>193</w:t>
            </w:r>
          </w:hyperlink>
        </w:p>
        <w:p>
          <w:pPr>
            <w:pStyle w:val="Contents3"/>
            <w:tabs>
              <w:tab w:val="clear" w:pos="8459"/>
              <w:tab w:val="right" w:pos="9026" w:leader="dot"/>
            </w:tabs>
            <w:rPr/>
          </w:pPr>
          <w:hyperlink w:anchor="__RefHeading___Toc2853421_2870459653">
            <w:r>
              <w:rPr>
                <w:webHidden/>
                <w:rStyle w:val="IndexLink"/>
                <w:rtl w:val="true"/>
              </w:rPr>
              <w:t>المصادر والمراجع</w:t>
            </w:r>
            <w:r>
              <w:rPr>
                <w:rStyle w:val="IndexLink"/>
                <w:rtl w:val="true"/>
              </w:rPr>
              <w:tab/>
            </w:r>
            <w:r>
              <w:rPr>
                <w:rStyle w:val="IndexLink"/>
              </w:rPr>
              <w:t>199</w:t>
            </w:r>
          </w:hyperlink>
        </w:p>
        <w:p>
          <w:pPr>
            <w:pStyle w:val="Contents2"/>
            <w:tabs>
              <w:tab w:val="clear" w:pos="8743"/>
              <w:tab w:val="right" w:pos="9026" w:leader="dot"/>
            </w:tabs>
            <w:rPr/>
          </w:pPr>
          <w:hyperlink w:anchor="__RefHeading___Toc2853423_2870459653">
            <w:r>
              <w:rPr>
                <w:webHidden/>
                <w:rStyle w:val="IndexLink"/>
                <w:rtl w:val="true"/>
              </w:rPr>
              <w:t xml:space="preserve">رواية السراد عن ثابت بن دينار </w:t>
            </w:r>
            <w:r>
              <w:rPr>
                <w:rStyle w:val="IndexLink"/>
                <w:rtl w:val="true"/>
              </w:rPr>
              <w:t xml:space="preserve">- </w:t>
            </w:r>
            <w:r>
              <w:rPr>
                <w:rStyle w:val="IndexLink"/>
                <w:rtl w:val="true"/>
              </w:rPr>
              <w:t xml:space="preserve">السيد غيث شبر </w:t>
            </w:r>
            <w:r>
              <w:rPr>
                <w:rStyle w:val="IndexLink"/>
                <w:rtl w:val="true"/>
              </w:rPr>
              <w:t>(</w:t>
            </w:r>
            <w:r>
              <w:rPr>
                <w:rStyle w:val="IndexLink"/>
                <w:rtl w:val="true"/>
              </w:rPr>
              <w:t>دام عزه</w:t>
            </w:r>
            <w:r>
              <w:rPr>
                <w:rStyle w:val="IndexLink"/>
                <w:rtl w:val="true"/>
              </w:rPr>
              <w:t>)</w:t>
              <w:tab/>
            </w:r>
            <w:r>
              <w:rPr>
                <w:rStyle w:val="IndexLink"/>
              </w:rPr>
              <w:t>214</w:t>
            </w:r>
          </w:hyperlink>
        </w:p>
        <w:p>
          <w:pPr>
            <w:pStyle w:val="Contents3"/>
            <w:tabs>
              <w:tab w:val="clear" w:pos="8459"/>
              <w:tab w:val="right" w:pos="9026" w:leader="dot"/>
            </w:tabs>
            <w:rPr/>
          </w:pPr>
          <w:hyperlink w:anchor="__RefHeading___Toc2853425_2870459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2853427_2870459653">
            <w:r>
              <w:rPr>
                <w:webHidden/>
                <w:rStyle w:val="IndexLink"/>
                <w:rtl w:val="true"/>
              </w:rPr>
              <w:t>المسلك الأول</w:t>
            </w:r>
            <w:r>
              <w:rPr>
                <w:rStyle w:val="IndexLink"/>
                <w:rtl w:val="true"/>
              </w:rPr>
              <w:t xml:space="preserve">: </w:t>
            </w:r>
            <w:r>
              <w:rPr>
                <w:rStyle w:val="IndexLink"/>
                <w:rtl w:val="true"/>
              </w:rPr>
              <w:t>قبول الإشكال والتسليم بسقوط الواسطة</w:t>
            </w:r>
            <w:r>
              <w:rPr>
                <w:rStyle w:val="IndexLink"/>
                <w:rtl w:val="true"/>
              </w:rPr>
              <w:tab/>
            </w:r>
            <w:r>
              <w:rPr>
                <w:rStyle w:val="IndexLink"/>
              </w:rPr>
              <w:t>220</w:t>
            </w:r>
          </w:hyperlink>
        </w:p>
        <w:p>
          <w:pPr>
            <w:pStyle w:val="Contents4"/>
            <w:tabs>
              <w:tab w:val="clear" w:pos="8176"/>
              <w:tab w:val="right" w:pos="9026" w:leader="dot"/>
            </w:tabs>
            <w:rPr/>
          </w:pPr>
          <w:hyperlink w:anchor="__RefHeading___Toc2853429_2870459653">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2853431_2870459653">
            <w:r>
              <w:rPr>
                <w:webHidden/>
                <w:rStyle w:val="IndexLink"/>
                <w:rtl w:val="true"/>
              </w:rPr>
              <w:t>الاتجاه الأول</w:t>
            </w:r>
            <w:r>
              <w:rPr>
                <w:rStyle w:val="IndexLink"/>
                <w:rtl w:val="true"/>
              </w:rPr>
              <w:t xml:space="preserve">: </w:t>
            </w:r>
            <w:r>
              <w:rPr>
                <w:rStyle w:val="IndexLink"/>
                <w:rtl w:val="true"/>
              </w:rPr>
              <w:t>التسليم بالضعف نتيجة للإرسال</w:t>
            </w:r>
            <w:r>
              <w:rPr>
                <w:rStyle w:val="IndexLink"/>
                <w:rtl w:val="true"/>
              </w:rPr>
              <w:tab/>
            </w:r>
            <w:r>
              <w:rPr>
                <w:rStyle w:val="IndexLink"/>
              </w:rPr>
              <w:t>220</w:t>
            </w:r>
          </w:hyperlink>
        </w:p>
        <w:p>
          <w:pPr>
            <w:pStyle w:val="Contents4"/>
            <w:tabs>
              <w:tab w:val="clear" w:pos="8176"/>
              <w:tab w:val="right" w:pos="9026" w:leader="dot"/>
            </w:tabs>
            <w:rPr/>
          </w:pPr>
          <w:hyperlink w:anchor="__RefHeading___Toc2853433_2870459653">
            <w:r>
              <w:rPr>
                <w:webHidden/>
                <w:rStyle w:val="IndexLink"/>
                <w:rtl w:val="true"/>
              </w:rPr>
              <w:t>الاتجاه الآخر</w:t>
            </w:r>
            <w:r>
              <w:rPr>
                <w:rStyle w:val="IndexLink"/>
                <w:rtl w:val="true"/>
              </w:rPr>
              <w:t xml:space="preserve">: </w:t>
            </w:r>
            <w:r>
              <w:rPr>
                <w:rStyle w:val="IndexLink"/>
                <w:rtl w:val="true"/>
              </w:rPr>
              <w:t>تصحيح السند بالبناء على اعتبار الواسطة</w:t>
            </w:r>
            <w:r>
              <w:rPr>
                <w:rStyle w:val="IndexLink"/>
                <w:rtl w:val="true"/>
              </w:rPr>
              <w:tab/>
            </w:r>
            <w:r>
              <w:rPr>
                <w:rStyle w:val="IndexLink"/>
              </w:rPr>
              <w:t>224</w:t>
            </w:r>
          </w:hyperlink>
        </w:p>
        <w:p>
          <w:pPr>
            <w:pStyle w:val="Contents5"/>
            <w:tabs>
              <w:tab w:val="clear" w:pos="7892"/>
              <w:tab w:val="right" w:pos="9026" w:leader="dot"/>
            </w:tabs>
            <w:rPr/>
          </w:pPr>
          <w:hyperlink w:anchor="__RefHeading___Toc2853435_2870459653">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2853437_2870459653">
            <w:r>
              <w:rPr>
                <w:webHidden/>
                <w:rStyle w:val="IndexLink"/>
                <w:rtl w:val="true"/>
              </w:rPr>
              <w:t>الأمر الأول</w:t>
            </w:r>
            <w:r>
              <w:rPr>
                <w:rStyle w:val="IndexLink"/>
                <w:rtl w:val="true"/>
              </w:rPr>
              <w:t xml:space="preserve">: </w:t>
            </w:r>
            <w:r>
              <w:rPr>
                <w:rStyle w:val="IndexLink"/>
                <w:rtl w:val="true"/>
              </w:rPr>
              <w:t>سبب سقوط الواسطة</w:t>
            </w:r>
            <w:r>
              <w:rPr>
                <w:rStyle w:val="IndexLink"/>
                <w:rtl w:val="true"/>
              </w:rPr>
              <w:tab/>
            </w:r>
            <w:r>
              <w:rPr>
                <w:rStyle w:val="IndexLink"/>
              </w:rPr>
              <w:t>224</w:t>
            </w:r>
          </w:hyperlink>
        </w:p>
        <w:p>
          <w:pPr>
            <w:pStyle w:val="Contents6"/>
            <w:tabs>
              <w:tab w:val="clear" w:pos="7609"/>
              <w:tab w:val="right" w:pos="9026" w:leader="dot"/>
            </w:tabs>
            <w:rPr/>
          </w:pPr>
          <w:hyperlink w:anchor="__RefHeading___Toc2853439_2870459653">
            <w:r>
              <w:rPr>
                <w:webHidden/>
                <w:rStyle w:val="IndexLink"/>
                <w:rtl w:val="true"/>
              </w:rPr>
              <w:t>الإجابة الأولى</w:t>
            </w:r>
            <w:r>
              <w:rPr>
                <w:rStyle w:val="IndexLink"/>
                <w:rtl w:val="true"/>
              </w:rPr>
              <w:tab/>
            </w:r>
            <w:r>
              <w:rPr>
                <w:rStyle w:val="IndexLink"/>
              </w:rPr>
              <w:t>224</w:t>
            </w:r>
          </w:hyperlink>
        </w:p>
        <w:p>
          <w:pPr>
            <w:pStyle w:val="Contents6"/>
            <w:tabs>
              <w:tab w:val="clear" w:pos="7609"/>
              <w:tab w:val="right" w:pos="9026" w:leader="dot"/>
            </w:tabs>
            <w:rPr/>
          </w:pPr>
          <w:hyperlink w:anchor="__RefHeading___Toc2853441_2870459653">
            <w:r>
              <w:rPr>
                <w:webHidden/>
                <w:rStyle w:val="IndexLink"/>
                <w:rtl w:val="true"/>
              </w:rPr>
              <w:t>الإجابة الأخرى</w:t>
            </w:r>
            <w:r>
              <w:rPr>
                <w:rStyle w:val="IndexLink"/>
                <w:rtl w:val="true"/>
              </w:rPr>
              <w:tab/>
            </w:r>
            <w:r>
              <w:rPr>
                <w:rStyle w:val="IndexLink"/>
              </w:rPr>
              <w:t>225</w:t>
            </w:r>
          </w:hyperlink>
        </w:p>
        <w:p>
          <w:pPr>
            <w:pStyle w:val="Contents5"/>
            <w:tabs>
              <w:tab w:val="clear" w:pos="7892"/>
              <w:tab w:val="right" w:pos="9026" w:leader="dot"/>
            </w:tabs>
            <w:rPr/>
          </w:pPr>
          <w:hyperlink w:anchor="__RefHeading___Toc2853443_2870459653">
            <w:r>
              <w:rPr>
                <w:webHidden/>
                <w:rStyle w:val="IndexLink"/>
                <w:rtl w:val="true"/>
              </w:rPr>
              <w:t>الأمر الآخر</w:t>
            </w:r>
            <w:r>
              <w:rPr>
                <w:rStyle w:val="IndexLink"/>
                <w:rtl w:val="true"/>
              </w:rPr>
              <w:t xml:space="preserve">: </w:t>
            </w:r>
            <w:r>
              <w:rPr>
                <w:rStyle w:val="IndexLink"/>
                <w:rtl w:val="true"/>
              </w:rPr>
              <w:t>معرفة الواسط</w:t>
            </w:r>
            <w:r>
              <w:rPr>
                <w:rStyle w:val="IndexLink"/>
                <w:rtl w:val="true"/>
              </w:rPr>
              <w:tab/>
            </w:r>
            <w:r>
              <w:rPr>
                <w:rStyle w:val="IndexLink"/>
              </w:rPr>
              <w:t>225</w:t>
            </w:r>
          </w:hyperlink>
        </w:p>
        <w:p>
          <w:pPr>
            <w:pStyle w:val="Contents6"/>
            <w:tabs>
              <w:tab w:val="clear" w:pos="7609"/>
              <w:tab w:val="right" w:pos="9026" w:leader="dot"/>
            </w:tabs>
            <w:rPr/>
          </w:pPr>
          <w:hyperlink w:anchor="__RefHeading___Toc2853445_2870459653">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2853447_2870459653">
            <w:r>
              <w:rPr>
                <w:webHidden/>
                <w:rStyle w:val="IndexLink"/>
                <w:rtl w:val="true"/>
              </w:rPr>
              <w:t>الأول</w:t>
            </w:r>
            <w:r>
              <w:rPr>
                <w:rStyle w:val="IndexLink"/>
                <w:rtl w:val="true"/>
              </w:rPr>
              <w:t xml:space="preserve">: </w:t>
            </w:r>
            <w:r>
              <w:rPr>
                <w:rStyle w:val="IndexLink"/>
                <w:rtl w:val="true"/>
              </w:rPr>
              <w:t>الواسطة هو ابن رئاب شيخه الأشهر وتلميذ الثمالي الأشهر</w:t>
            </w:r>
            <w:r>
              <w:rPr>
                <w:rStyle w:val="IndexLink"/>
                <w:rtl w:val="true"/>
              </w:rPr>
              <w:tab/>
            </w:r>
            <w:r>
              <w:rPr>
                <w:rStyle w:val="IndexLink"/>
              </w:rPr>
              <w:t>225</w:t>
            </w:r>
          </w:hyperlink>
        </w:p>
        <w:p>
          <w:pPr>
            <w:pStyle w:val="Contents6"/>
            <w:tabs>
              <w:tab w:val="clear" w:pos="7609"/>
              <w:tab w:val="right" w:pos="9026" w:leader="dot"/>
            </w:tabs>
            <w:rPr/>
          </w:pPr>
          <w:hyperlink w:anchor="__RefHeading___Toc2853449_2870459653">
            <w:r>
              <w:rPr>
                <w:webHidden/>
                <w:rStyle w:val="IndexLink"/>
                <w:rtl w:val="true"/>
              </w:rPr>
              <w:t>الآخر</w:t>
            </w:r>
            <w:r>
              <w:rPr>
                <w:rStyle w:val="IndexLink"/>
                <w:rtl w:val="true"/>
              </w:rPr>
              <w:t xml:space="preserve">: </w:t>
            </w:r>
            <w:r>
              <w:rPr>
                <w:rStyle w:val="IndexLink"/>
                <w:rtl w:val="true"/>
              </w:rPr>
              <w:t>حسن الواسطة بحساب الاحتمال</w:t>
            </w:r>
            <w:r>
              <w:rPr>
                <w:rStyle w:val="IndexLink"/>
                <w:rtl w:val="true"/>
              </w:rPr>
              <w:tab/>
            </w:r>
            <w:r>
              <w:rPr>
                <w:rStyle w:val="IndexLink"/>
              </w:rPr>
              <w:t>226</w:t>
            </w:r>
          </w:hyperlink>
        </w:p>
        <w:p>
          <w:pPr>
            <w:pStyle w:val="Contents3"/>
            <w:tabs>
              <w:tab w:val="clear" w:pos="8459"/>
              <w:tab w:val="right" w:pos="9026" w:leader="dot"/>
            </w:tabs>
            <w:rPr/>
          </w:pPr>
          <w:hyperlink w:anchor="__RefHeading___Toc2853451_2870459653">
            <w:r>
              <w:rPr>
                <w:webHidden/>
                <w:rStyle w:val="IndexLink"/>
                <w:rtl w:val="true"/>
              </w:rPr>
              <w:t>المسلك الثاني</w:t>
            </w:r>
            <w:r>
              <w:rPr>
                <w:rStyle w:val="IndexLink"/>
                <w:rtl w:val="true"/>
              </w:rPr>
              <w:t xml:space="preserve">: </w:t>
            </w:r>
            <w:r>
              <w:rPr>
                <w:rStyle w:val="IndexLink"/>
                <w:rtl w:val="true"/>
              </w:rPr>
              <w:t>القول بعدم الملاقاة وعدم الواسطة</w:t>
            </w:r>
            <w:r>
              <w:rPr>
                <w:rStyle w:val="IndexLink"/>
                <w:rtl w:val="true"/>
              </w:rPr>
              <w:tab/>
            </w:r>
            <w:r>
              <w:rPr>
                <w:rStyle w:val="IndexLink"/>
              </w:rPr>
              <w:t>227</w:t>
            </w:r>
          </w:hyperlink>
        </w:p>
        <w:p>
          <w:pPr>
            <w:pStyle w:val="Contents4"/>
            <w:tabs>
              <w:tab w:val="clear" w:pos="8176"/>
              <w:tab w:val="right" w:pos="9026" w:leader="dot"/>
            </w:tabs>
            <w:rPr/>
          </w:pPr>
          <w:hyperlink w:anchor="__RefHeading___Toc2853453_2870459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853455_2870459653">
            <w:r>
              <w:rPr>
                <w:webHidden/>
                <w:rStyle w:val="IndexLink"/>
                <w:rtl w:val="true"/>
              </w:rPr>
              <w:t>الطريق الأول</w:t>
            </w:r>
            <w:r>
              <w:rPr>
                <w:rStyle w:val="IndexLink"/>
                <w:rtl w:val="true"/>
              </w:rPr>
              <w:t xml:space="preserve">: </w:t>
            </w:r>
            <w:r>
              <w:rPr>
                <w:rStyle w:val="IndexLink"/>
                <w:rtl w:val="true"/>
              </w:rPr>
              <w:t>أنها بالوصية</w:t>
            </w:r>
            <w:r>
              <w:rPr>
                <w:rStyle w:val="IndexLink"/>
                <w:rtl w:val="true"/>
              </w:rPr>
              <w:tab/>
            </w:r>
            <w:r>
              <w:rPr>
                <w:rStyle w:val="IndexLink"/>
              </w:rPr>
              <w:t>227</w:t>
            </w:r>
          </w:hyperlink>
        </w:p>
        <w:p>
          <w:pPr>
            <w:pStyle w:val="Contents4"/>
            <w:tabs>
              <w:tab w:val="clear" w:pos="8176"/>
              <w:tab w:val="right" w:pos="9026" w:leader="dot"/>
            </w:tabs>
            <w:rPr/>
          </w:pPr>
          <w:hyperlink w:anchor="__RefHeading___Toc2853457_2870459653">
            <w:r>
              <w:rPr>
                <w:webHidden/>
                <w:rStyle w:val="IndexLink"/>
                <w:rtl w:val="true"/>
              </w:rPr>
              <w:t>الطريق الآخر</w:t>
            </w:r>
            <w:r>
              <w:rPr>
                <w:rStyle w:val="IndexLink"/>
                <w:rtl w:val="true"/>
              </w:rPr>
              <w:t xml:space="preserve">: </w:t>
            </w:r>
            <w:r>
              <w:rPr>
                <w:rStyle w:val="IndexLink"/>
                <w:rtl w:val="true"/>
              </w:rPr>
              <w:t>أنها بالوجادة</w:t>
            </w:r>
            <w:r>
              <w:rPr>
                <w:rStyle w:val="IndexLink"/>
                <w:rtl w:val="true"/>
              </w:rPr>
              <w:tab/>
            </w:r>
            <w:r>
              <w:rPr>
                <w:rStyle w:val="IndexLink"/>
              </w:rPr>
              <w:t>232</w:t>
            </w:r>
          </w:hyperlink>
        </w:p>
        <w:p>
          <w:pPr>
            <w:pStyle w:val="Contents3"/>
            <w:tabs>
              <w:tab w:val="clear" w:pos="8459"/>
              <w:tab w:val="right" w:pos="9026" w:leader="dot"/>
            </w:tabs>
            <w:rPr/>
          </w:pPr>
          <w:hyperlink w:anchor="__RefHeading___Toc2853459_2870459653">
            <w:r>
              <w:rPr>
                <w:webHidden/>
                <w:rStyle w:val="IndexLink"/>
                <w:rtl w:val="true"/>
              </w:rPr>
              <w:t>المسلك الثالث</w:t>
            </w:r>
            <w:r>
              <w:rPr>
                <w:rStyle w:val="IndexLink"/>
                <w:rtl w:val="true"/>
              </w:rPr>
              <w:t xml:space="preserve">: </w:t>
            </w:r>
            <w:r>
              <w:rPr>
                <w:rStyle w:val="IndexLink"/>
                <w:rtl w:val="true"/>
              </w:rPr>
              <w:t>حل الإشكال والقول بالمباشرة</w:t>
            </w:r>
            <w:r>
              <w:rPr>
                <w:rStyle w:val="IndexLink"/>
                <w:rtl w:val="true"/>
              </w:rPr>
              <w:tab/>
            </w:r>
            <w:r>
              <w:rPr>
                <w:rStyle w:val="IndexLink"/>
              </w:rPr>
              <w:t>234</w:t>
            </w:r>
          </w:hyperlink>
        </w:p>
        <w:p>
          <w:pPr>
            <w:pStyle w:val="Contents4"/>
            <w:tabs>
              <w:tab w:val="clear" w:pos="8176"/>
              <w:tab w:val="right" w:pos="9026" w:leader="dot"/>
            </w:tabs>
            <w:rPr/>
          </w:pPr>
          <w:hyperlink w:anchor="__RefHeading___Toc2853461_2870459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853463_2870459653">
            <w:r>
              <w:rPr>
                <w:webHidden/>
                <w:rStyle w:val="IndexLink"/>
                <w:rtl w:val="true"/>
              </w:rPr>
              <w:t>الحل الأول</w:t>
            </w:r>
            <w:r>
              <w:rPr>
                <w:rStyle w:val="IndexLink"/>
                <w:rtl w:val="true"/>
              </w:rPr>
              <w:t xml:space="preserve">: </w:t>
            </w:r>
            <w:r>
              <w:rPr>
                <w:rStyle w:val="IndexLink"/>
                <w:rtl w:val="true"/>
              </w:rPr>
              <w:t>المراد به البطائني</w:t>
            </w:r>
            <w:r>
              <w:rPr>
                <w:rStyle w:val="IndexLink"/>
                <w:rtl w:val="true"/>
              </w:rPr>
              <w:tab/>
            </w:r>
            <w:r>
              <w:rPr>
                <w:rStyle w:val="IndexLink"/>
              </w:rPr>
              <w:t>234</w:t>
            </w:r>
          </w:hyperlink>
        </w:p>
        <w:p>
          <w:pPr>
            <w:pStyle w:val="Contents4"/>
            <w:tabs>
              <w:tab w:val="clear" w:pos="8176"/>
              <w:tab w:val="right" w:pos="9026" w:leader="dot"/>
            </w:tabs>
            <w:rPr/>
          </w:pPr>
          <w:hyperlink w:anchor="__RefHeading___Toc2853465_2870459653">
            <w:r>
              <w:rPr>
                <w:webHidden/>
                <w:rStyle w:val="IndexLink"/>
                <w:rtl w:val="true"/>
              </w:rPr>
              <w:t>الحل الثاني</w:t>
            </w:r>
            <w:r>
              <w:rPr>
                <w:rStyle w:val="IndexLink"/>
                <w:rtl w:val="true"/>
              </w:rPr>
              <w:t xml:space="preserve">: </w:t>
            </w:r>
            <w:r>
              <w:rPr>
                <w:rStyle w:val="IndexLink"/>
                <w:rtl w:val="true"/>
              </w:rPr>
              <w:t>تعمير ابن حبوب</w:t>
            </w:r>
            <w:r>
              <w:rPr>
                <w:rStyle w:val="IndexLink"/>
                <w:rtl w:val="true"/>
              </w:rPr>
              <w:tab/>
            </w:r>
            <w:r>
              <w:rPr>
                <w:rStyle w:val="IndexLink"/>
              </w:rPr>
              <w:t>236</w:t>
            </w:r>
          </w:hyperlink>
        </w:p>
        <w:p>
          <w:pPr>
            <w:pStyle w:val="Contents4"/>
            <w:tabs>
              <w:tab w:val="clear" w:pos="8176"/>
              <w:tab w:val="right" w:pos="9026" w:leader="dot"/>
            </w:tabs>
            <w:rPr/>
          </w:pPr>
          <w:hyperlink w:anchor="__RefHeading___Toc2853467_2870459653">
            <w:r>
              <w:rPr>
                <w:webHidden/>
                <w:rStyle w:val="IndexLink"/>
                <w:rtl w:val="true"/>
              </w:rPr>
              <w:t>الحل الثالث</w:t>
            </w:r>
            <w:r>
              <w:rPr>
                <w:rStyle w:val="IndexLink"/>
                <w:rtl w:val="true"/>
              </w:rPr>
              <w:t xml:space="preserve">: </w:t>
            </w:r>
            <w:r>
              <w:rPr>
                <w:rStyle w:val="IndexLink"/>
                <w:rtl w:val="true"/>
              </w:rPr>
              <w:t>تغيير سنة وفاة ابن حبوب</w:t>
            </w:r>
            <w:r>
              <w:rPr>
                <w:rStyle w:val="IndexLink"/>
                <w:rtl w:val="true"/>
              </w:rPr>
              <w:tab/>
            </w:r>
            <w:r>
              <w:rPr>
                <w:rStyle w:val="IndexLink"/>
              </w:rPr>
              <w:t>238</w:t>
            </w:r>
          </w:hyperlink>
        </w:p>
        <w:p>
          <w:pPr>
            <w:pStyle w:val="Contents4"/>
            <w:tabs>
              <w:tab w:val="clear" w:pos="8176"/>
              <w:tab w:val="right" w:pos="9026" w:leader="dot"/>
            </w:tabs>
            <w:rPr/>
          </w:pPr>
          <w:hyperlink w:anchor="__RefHeading___Toc2853469_2870459653">
            <w:r>
              <w:rPr>
                <w:webHidden/>
                <w:rStyle w:val="IndexLink"/>
                <w:rtl w:val="true"/>
              </w:rPr>
              <w:t>الحل الرابع</w:t>
            </w:r>
            <w:r>
              <w:rPr>
                <w:rStyle w:val="IndexLink"/>
                <w:rtl w:val="true"/>
              </w:rPr>
              <w:t xml:space="preserve">: </w:t>
            </w:r>
            <w:r>
              <w:rPr>
                <w:rStyle w:val="IndexLink"/>
                <w:rtl w:val="true"/>
              </w:rPr>
              <w:t>لا حجة على عدم الملاقاة</w:t>
            </w:r>
            <w:r>
              <w:rPr>
                <w:rStyle w:val="IndexLink"/>
                <w:rtl w:val="true"/>
              </w:rPr>
              <w:tab/>
            </w:r>
            <w:r>
              <w:rPr>
                <w:rStyle w:val="IndexLink"/>
              </w:rPr>
              <w:t>241</w:t>
            </w:r>
          </w:hyperlink>
        </w:p>
        <w:p>
          <w:pPr>
            <w:pStyle w:val="Contents4"/>
            <w:tabs>
              <w:tab w:val="clear" w:pos="8176"/>
              <w:tab w:val="right" w:pos="9026" w:leader="dot"/>
            </w:tabs>
            <w:rPr/>
          </w:pPr>
          <w:hyperlink w:anchor="__RefHeading___Toc2853471_2870459653">
            <w:r>
              <w:rPr>
                <w:webHidden/>
                <w:rStyle w:val="IndexLink"/>
                <w:rtl w:val="true"/>
              </w:rPr>
              <w:t>الحل الخامس</w:t>
            </w:r>
            <w:r>
              <w:rPr>
                <w:rStyle w:val="IndexLink"/>
                <w:rtl w:val="true"/>
              </w:rPr>
              <w:t xml:space="preserve">: </w:t>
            </w:r>
            <w:r>
              <w:rPr>
                <w:rStyle w:val="IndexLink"/>
                <w:rtl w:val="true"/>
              </w:rPr>
              <w:t>التصحيف</w:t>
            </w:r>
            <w:r>
              <w:rPr>
                <w:rStyle w:val="IndexLink"/>
                <w:rtl w:val="true"/>
              </w:rPr>
              <w:tab/>
            </w:r>
            <w:r>
              <w:rPr>
                <w:rStyle w:val="IndexLink"/>
              </w:rPr>
              <w:t>243</w:t>
            </w:r>
          </w:hyperlink>
        </w:p>
        <w:p>
          <w:pPr>
            <w:pStyle w:val="Contents3"/>
            <w:tabs>
              <w:tab w:val="clear" w:pos="8459"/>
              <w:tab w:val="right" w:pos="9026" w:leader="dot"/>
            </w:tabs>
            <w:rPr/>
          </w:pPr>
          <w:hyperlink w:anchor="__RefHeading___Toc2853473_2870459653">
            <w:r>
              <w:rPr>
                <w:webHidden/>
                <w:rStyle w:val="IndexLink"/>
                <w:rtl w:val="true"/>
              </w:rPr>
              <w:t>المصادر</w:t>
            </w:r>
            <w:r>
              <w:rPr>
                <w:rStyle w:val="IndexLink"/>
                <w:rtl w:val="true"/>
              </w:rPr>
              <w:tab/>
            </w:r>
            <w:r>
              <w:rPr>
                <w:rStyle w:val="IndexLink"/>
              </w:rPr>
              <w:t>245</w:t>
            </w:r>
          </w:hyperlink>
        </w:p>
        <w:p>
          <w:pPr>
            <w:pStyle w:val="Contents2"/>
            <w:tabs>
              <w:tab w:val="clear" w:pos="8743"/>
              <w:tab w:val="right" w:pos="9026" w:leader="dot"/>
            </w:tabs>
            <w:rPr/>
          </w:pPr>
          <w:hyperlink w:anchor="__RefHeading___Toc2853475_2870459653">
            <w:r>
              <w:rPr>
                <w:webHidden/>
                <w:rStyle w:val="IndexLink"/>
                <w:rtl w:val="true"/>
              </w:rPr>
              <w:t>تحقيق حال جابر الجعفي</w:t>
            </w:r>
            <w:r>
              <w:rPr>
                <w:rStyle w:val="IndexLink"/>
                <w:rtl w:val="true"/>
              </w:rPr>
              <w:t>(</w:t>
            </w:r>
            <w:r>
              <w:rPr>
                <w:rStyle w:val="IndexLink"/>
                <w:rtl w:val="true"/>
              </w:rPr>
              <w:t>الحلقة الثانية</w:t>
            </w:r>
            <w:r>
              <w:rPr>
                <w:rStyle w:val="IndexLink"/>
                <w:rtl w:val="true"/>
              </w:rPr>
              <w:t xml:space="preserve">) - </w:t>
            </w:r>
            <w:r>
              <w:rPr>
                <w:rStyle w:val="IndexLink"/>
                <w:rtl w:val="true"/>
              </w:rPr>
              <w:t xml:space="preserve">الشيخ محمَّد الجعفري </w:t>
            </w:r>
            <w:r>
              <w:rPr>
                <w:rStyle w:val="IndexLink"/>
                <w:rtl w:val="true"/>
              </w:rPr>
              <w:t>(</w:t>
            </w:r>
            <w:r>
              <w:rPr>
                <w:rStyle w:val="IndexLink"/>
                <w:rtl w:val="true"/>
              </w:rPr>
              <w:t>دام عزه</w:t>
            </w:r>
            <w:r>
              <w:rPr>
                <w:rStyle w:val="IndexLink"/>
                <w:rtl w:val="true"/>
              </w:rPr>
              <w:t>)</w:t>
              <w:tab/>
            </w:r>
            <w:r>
              <w:rPr>
                <w:rStyle w:val="IndexLink"/>
              </w:rPr>
              <w:t>250</w:t>
            </w:r>
          </w:hyperlink>
        </w:p>
        <w:p>
          <w:pPr>
            <w:pStyle w:val="Contents3"/>
            <w:tabs>
              <w:tab w:val="clear" w:pos="8459"/>
              <w:tab w:val="right" w:pos="9026" w:leader="dot"/>
            </w:tabs>
            <w:rPr/>
          </w:pPr>
          <w:hyperlink w:anchor="__RefHeading___Toc2853477_2870459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2853479_2870459653">
            <w:r>
              <w:rPr>
                <w:webHidden/>
                <w:rStyle w:val="IndexLink"/>
                <w:rtl w:val="true"/>
              </w:rPr>
              <w:t>الجهة الثالثة عشرة</w:t>
            </w:r>
            <w:r>
              <w:rPr>
                <w:rStyle w:val="IndexLink"/>
                <w:rtl w:val="true"/>
              </w:rPr>
              <w:t xml:space="preserve">: </w:t>
            </w:r>
            <w:r>
              <w:rPr>
                <w:rStyle w:val="IndexLink"/>
                <w:rtl w:val="true"/>
              </w:rPr>
              <w:t>شهرة جابر في الوسط الاجتماعي</w:t>
            </w:r>
            <w:r>
              <w:rPr>
                <w:rStyle w:val="IndexLink"/>
                <w:rtl w:val="true"/>
              </w:rPr>
              <w:t>..</w:t>
              <w:tab/>
            </w:r>
            <w:r>
              <w:rPr>
                <w:rStyle w:val="IndexLink"/>
              </w:rPr>
              <w:t>252</w:t>
            </w:r>
          </w:hyperlink>
        </w:p>
        <w:p>
          <w:pPr>
            <w:pStyle w:val="Contents4"/>
            <w:tabs>
              <w:tab w:val="clear" w:pos="8176"/>
              <w:tab w:val="right" w:pos="9026" w:leader="dot"/>
            </w:tabs>
            <w:rPr/>
          </w:pPr>
          <w:hyperlink w:anchor="__RefHeading___Toc2853481_2870459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2853483_2870459653">
            <w:r>
              <w:rPr>
                <w:webHidden/>
                <w:rStyle w:val="IndexLink"/>
                <w:rtl w:val="true"/>
              </w:rPr>
              <w:t>الأوَّل</w:t>
            </w:r>
            <w:r>
              <w:rPr>
                <w:rStyle w:val="IndexLink"/>
                <w:rtl w:val="true"/>
              </w:rPr>
              <w:t xml:space="preserve">: </w:t>
            </w:r>
            <w:r>
              <w:rPr>
                <w:rStyle w:val="IndexLink"/>
                <w:rtl w:val="true"/>
              </w:rPr>
              <w:t>أصالته</w:t>
            </w:r>
            <w:r>
              <w:rPr>
                <w:rStyle w:val="IndexLink"/>
                <w:rtl w:val="true"/>
              </w:rPr>
              <w:t>..</w:t>
              <w:tab/>
            </w:r>
            <w:r>
              <w:rPr>
                <w:rStyle w:val="IndexLink"/>
              </w:rPr>
              <w:t>252</w:t>
            </w:r>
          </w:hyperlink>
        </w:p>
        <w:p>
          <w:pPr>
            <w:pStyle w:val="Contents4"/>
            <w:tabs>
              <w:tab w:val="clear" w:pos="8176"/>
              <w:tab w:val="right" w:pos="9026" w:leader="dot"/>
            </w:tabs>
            <w:rPr/>
          </w:pPr>
          <w:hyperlink w:anchor="__RefHeading___Toc2853485_2870459653">
            <w:r>
              <w:rPr>
                <w:webHidden/>
                <w:rStyle w:val="IndexLink"/>
                <w:rtl w:val="true"/>
              </w:rPr>
              <w:t>الثاني</w:t>
            </w:r>
            <w:r>
              <w:rPr>
                <w:rStyle w:val="IndexLink"/>
                <w:rtl w:val="true"/>
              </w:rPr>
              <w:t xml:space="preserve">: </w:t>
            </w:r>
            <w:r>
              <w:rPr>
                <w:rStyle w:val="IndexLink"/>
                <w:rtl w:val="true"/>
              </w:rPr>
              <w:t>نشاطه العلمي</w:t>
            </w:r>
            <w:r>
              <w:rPr>
                <w:rStyle w:val="IndexLink"/>
                <w:rtl w:val="true"/>
              </w:rPr>
              <w:t>..</w:t>
              <w:tab/>
            </w:r>
            <w:r>
              <w:rPr>
                <w:rStyle w:val="IndexLink"/>
              </w:rPr>
              <w:t>254</w:t>
            </w:r>
          </w:hyperlink>
        </w:p>
        <w:p>
          <w:pPr>
            <w:pStyle w:val="Contents4"/>
            <w:tabs>
              <w:tab w:val="clear" w:pos="8176"/>
              <w:tab w:val="right" w:pos="9026" w:leader="dot"/>
            </w:tabs>
            <w:rPr/>
          </w:pPr>
          <w:hyperlink w:anchor="__RefHeading___Toc2853487_2870459653">
            <w:r>
              <w:rPr>
                <w:webHidden/>
                <w:rStyle w:val="IndexLink"/>
                <w:rtl w:val="true"/>
              </w:rPr>
              <w:t>الثالث</w:t>
            </w:r>
            <w:r>
              <w:rPr>
                <w:rStyle w:val="IndexLink"/>
                <w:rtl w:val="true"/>
              </w:rPr>
              <w:t xml:space="preserve">: </w:t>
            </w:r>
            <w:r>
              <w:rPr>
                <w:rStyle w:val="IndexLink"/>
                <w:rtl w:val="true"/>
              </w:rPr>
              <w:t xml:space="preserve">التحوّل الذي صار في مذهبه إلى مذهب الباقر والصادق </w:t>
            </w:r>
            <w:r>
              <w:rPr>
                <w:rStyle w:val="IndexLink"/>
                <w:rtl w:val="true"/>
              </w:rPr>
              <w:t>(</w:t>
            </w:r>
            <w:r>
              <w:rPr>
                <w:rStyle w:val="IndexLink"/>
                <w:rtl w:val="true"/>
              </w:rPr>
              <w:t>علیهما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2853489_2870459653">
            <w:r>
              <w:rPr>
                <w:webHidden/>
                <w:rStyle w:val="IndexLink"/>
                <w:rtl w:val="true"/>
              </w:rPr>
              <w:t>الجهة الرابعة عشرة</w:t>
            </w:r>
            <w:r>
              <w:rPr>
                <w:rStyle w:val="IndexLink"/>
                <w:rtl w:val="true"/>
              </w:rPr>
              <w:t xml:space="preserve">: </w:t>
            </w:r>
            <w:r>
              <w:rPr>
                <w:rStyle w:val="IndexLink"/>
                <w:rtl w:val="true"/>
              </w:rPr>
              <w:t>جابر والسلطة الحاكمة</w:t>
            </w:r>
            <w:r>
              <w:rPr>
                <w:rStyle w:val="IndexLink"/>
                <w:rtl w:val="true"/>
              </w:rPr>
              <w:t>..</w:t>
              <w:tab/>
            </w:r>
            <w:r>
              <w:rPr>
                <w:rStyle w:val="IndexLink"/>
              </w:rPr>
              <w:t>255</w:t>
            </w:r>
          </w:hyperlink>
        </w:p>
        <w:p>
          <w:pPr>
            <w:pStyle w:val="Contents3"/>
            <w:tabs>
              <w:tab w:val="clear" w:pos="8459"/>
              <w:tab w:val="right" w:pos="9026" w:leader="dot"/>
            </w:tabs>
            <w:rPr/>
          </w:pPr>
          <w:hyperlink w:anchor="__RefHeading___Toc2853491_2870459653">
            <w:r>
              <w:rPr>
                <w:webHidden/>
                <w:rStyle w:val="IndexLink"/>
                <w:rtl w:val="true"/>
              </w:rPr>
              <w:t>الجهة الخامسة عشرة</w:t>
            </w:r>
            <w:r>
              <w:rPr>
                <w:rStyle w:val="IndexLink"/>
                <w:rtl w:val="true"/>
              </w:rPr>
              <w:t xml:space="preserve">: </w:t>
            </w:r>
            <w:r>
              <w:rPr>
                <w:rStyle w:val="IndexLink"/>
                <w:rtl w:val="true"/>
              </w:rPr>
              <w:t>جنون جابر أو تظاهره بالجنون</w:t>
            </w:r>
            <w:r>
              <w:rPr>
                <w:rStyle w:val="IndexLink"/>
                <w:rtl w:val="true"/>
              </w:rPr>
              <w:t>..</w:t>
              <w:tab/>
            </w:r>
            <w:r>
              <w:rPr>
                <w:rStyle w:val="IndexLink"/>
              </w:rPr>
              <w:t>265</w:t>
            </w:r>
          </w:hyperlink>
        </w:p>
        <w:p>
          <w:pPr>
            <w:pStyle w:val="Contents3"/>
            <w:tabs>
              <w:tab w:val="clear" w:pos="8459"/>
              <w:tab w:val="right" w:pos="9026" w:leader="dot"/>
            </w:tabs>
            <w:rPr/>
          </w:pPr>
          <w:hyperlink w:anchor="__RefHeading___Toc2853493_2870459653">
            <w:r>
              <w:rPr>
                <w:webHidden/>
                <w:rStyle w:val="IndexLink"/>
                <w:rtl w:val="true"/>
              </w:rPr>
              <w:t>الجهة السادسة عشرة</w:t>
            </w:r>
            <w:r>
              <w:rPr>
                <w:rStyle w:val="IndexLink"/>
                <w:rtl w:val="true"/>
              </w:rPr>
              <w:t xml:space="preserve">: </w:t>
            </w:r>
            <w:r>
              <w:rPr>
                <w:rStyle w:val="IndexLink"/>
                <w:rtl w:val="true"/>
              </w:rPr>
              <w:t>طبيعة تعامل جابر مع الوسط السُنّي العام بعد تحوّله الفكري إلى المذهب الإمامي</w:t>
            </w:r>
            <w:r>
              <w:rPr>
                <w:rStyle w:val="IndexLink"/>
                <w:rtl w:val="true"/>
              </w:rPr>
              <w:t>..</w:t>
              <w:tab/>
            </w:r>
            <w:r>
              <w:rPr>
                <w:rStyle w:val="IndexLink"/>
              </w:rPr>
              <w:t>269</w:t>
            </w:r>
          </w:hyperlink>
        </w:p>
        <w:p>
          <w:pPr>
            <w:pStyle w:val="Contents3"/>
            <w:tabs>
              <w:tab w:val="clear" w:pos="8459"/>
              <w:tab w:val="right" w:pos="9026" w:leader="dot"/>
            </w:tabs>
            <w:rPr/>
          </w:pPr>
          <w:hyperlink w:anchor="__RefHeading___Toc2853495_2870459653">
            <w:r>
              <w:rPr>
                <w:webHidden/>
                <w:rStyle w:val="IndexLink"/>
                <w:rtl w:val="true"/>
              </w:rPr>
              <w:t>الجهة السابعة عشرة</w:t>
            </w:r>
            <w:r>
              <w:rPr>
                <w:rStyle w:val="IndexLink"/>
                <w:rtl w:val="true"/>
              </w:rPr>
              <w:t xml:space="preserve">: </w:t>
            </w:r>
            <w:r>
              <w:rPr>
                <w:rStyle w:val="IndexLink"/>
                <w:rtl w:val="true"/>
              </w:rPr>
              <w:t>جابر والحركات الثوريّة</w:t>
            </w:r>
            <w:r>
              <w:rPr>
                <w:rStyle w:val="IndexLink"/>
                <w:rtl w:val="true"/>
              </w:rPr>
              <w:t>..</w:t>
              <w:tab/>
            </w:r>
            <w:r>
              <w:rPr>
                <w:rStyle w:val="IndexLink"/>
              </w:rPr>
              <w:t>272</w:t>
            </w:r>
          </w:hyperlink>
        </w:p>
        <w:p>
          <w:pPr>
            <w:pStyle w:val="Contents3"/>
            <w:tabs>
              <w:tab w:val="clear" w:pos="8459"/>
              <w:tab w:val="right" w:pos="9026" w:leader="dot"/>
            </w:tabs>
            <w:rPr/>
          </w:pPr>
          <w:hyperlink w:anchor="__RefHeading___Toc2853497_2870459653">
            <w:r>
              <w:rPr>
                <w:webHidden/>
                <w:rStyle w:val="IndexLink"/>
                <w:rtl w:val="true"/>
              </w:rPr>
              <w:t>الجهة الثامنة عشرة</w:t>
            </w:r>
            <w:r>
              <w:rPr>
                <w:rStyle w:val="IndexLink"/>
                <w:rtl w:val="true"/>
              </w:rPr>
              <w:t xml:space="preserve">: </w:t>
            </w:r>
            <w:r>
              <w:rPr>
                <w:rStyle w:val="IndexLink"/>
                <w:rtl w:val="true"/>
              </w:rPr>
              <w:t xml:space="preserve">عناية الإمام الباقر </w:t>
            </w:r>
            <w:r>
              <w:rPr>
                <w:rStyle w:val="IndexLink"/>
                <w:rtl w:val="true"/>
              </w:rPr>
              <w:t>(</w:t>
            </w:r>
            <w:r>
              <w:rPr>
                <w:rStyle w:val="IndexLink"/>
                <w:rtl w:val="true"/>
              </w:rPr>
              <w:t>علیه السلام</w:t>
            </w:r>
            <w:r>
              <w:rPr>
                <w:rStyle w:val="IndexLink"/>
                <w:rtl w:val="true"/>
              </w:rPr>
              <w:t xml:space="preserve">) </w:t>
            </w:r>
            <w:r>
              <w:rPr>
                <w:rStyle w:val="IndexLink"/>
                <w:rtl w:val="true"/>
              </w:rPr>
              <w:t>بجابر</w:t>
            </w:r>
            <w:r>
              <w:rPr>
                <w:rStyle w:val="IndexLink"/>
                <w:rtl w:val="true"/>
              </w:rPr>
              <w:t>..</w:t>
              <w:tab/>
            </w:r>
            <w:r>
              <w:rPr>
                <w:rStyle w:val="IndexLink"/>
              </w:rPr>
              <w:t>275</w:t>
            </w:r>
          </w:hyperlink>
        </w:p>
        <w:p>
          <w:pPr>
            <w:pStyle w:val="Contents3"/>
            <w:tabs>
              <w:tab w:val="clear" w:pos="8459"/>
              <w:tab w:val="right" w:pos="9026" w:leader="dot"/>
            </w:tabs>
            <w:rPr/>
          </w:pPr>
          <w:hyperlink w:anchor="__RefHeading___Toc2853499_2870459653">
            <w:r>
              <w:rPr>
                <w:webHidden/>
                <w:rStyle w:val="IndexLink"/>
                <w:rtl w:val="true"/>
              </w:rPr>
              <w:t>الجهة التاسعة عشرة</w:t>
            </w:r>
            <w:r>
              <w:rPr>
                <w:rStyle w:val="IndexLink"/>
                <w:rtl w:val="true"/>
              </w:rPr>
              <w:t xml:space="preserve">: </w:t>
            </w:r>
            <w:r>
              <w:rPr>
                <w:rStyle w:val="IndexLink"/>
                <w:rtl w:val="true"/>
              </w:rPr>
              <w:t>خوارق جابر أو كراماته</w:t>
            </w:r>
            <w:r>
              <w:rPr>
                <w:rStyle w:val="IndexLink"/>
                <w:rtl w:val="true"/>
              </w:rPr>
              <w:t>..</w:t>
              <w:tab/>
            </w:r>
            <w:r>
              <w:rPr>
                <w:rStyle w:val="IndexLink"/>
              </w:rPr>
              <w:t>280</w:t>
            </w:r>
          </w:hyperlink>
        </w:p>
        <w:p>
          <w:pPr>
            <w:pStyle w:val="Contents3"/>
            <w:tabs>
              <w:tab w:val="clear" w:pos="8459"/>
              <w:tab w:val="right" w:pos="9026" w:leader="dot"/>
            </w:tabs>
            <w:rPr/>
          </w:pPr>
          <w:hyperlink w:anchor="__RefHeading___Toc2853501_2870459653">
            <w:r>
              <w:rPr>
                <w:webHidden/>
                <w:rStyle w:val="IndexLink"/>
                <w:rtl w:val="true"/>
              </w:rPr>
              <w:t>الجهة العشرون</w:t>
            </w:r>
            <w:r>
              <w:rPr>
                <w:rStyle w:val="IndexLink"/>
                <w:rtl w:val="true"/>
              </w:rPr>
              <w:t xml:space="preserve">: </w:t>
            </w:r>
            <w:r>
              <w:rPr>
                <w:rStyle w:val="IndexLink"/>
                <w:rtl w:val="true"/>
              </w:rPr>
              <w:t>جابر والأنباء الغيبية</w:t>
            </w:r>
            <w:r>
              <w:rPr>
                <w:rStyle w:val="IndexLink"/>
                <w:rtl w:val="true"/>
              </w:rPr>
              <w:t>..</w:t>
              <w:tab/>
            </w:r>
            <w:r>
              <w:rPr>
                <w:rStyle w:val="IndexLink"/>
              </w:rPr>
              <w:t>285</w:t>
            </w:r>
          </w:hyperlink>
        </w:p>
        <w:p>
          <w:pPr>
            <w:pStyle w:val="Contents3"/>
            <w:tabs>
              <w:tab w:val="clear" w:pos="8459"/>
              <w:tab w:val="right" w:pos="9026" w:leader="dot"/>
            </w:tabs>
            <w:rPr/>
          </w:pPr>
          <w:hyperlink w:anchor="__RefHeading___Toc2853503_2870459653">
            <w:r>
              <w:rPr>
                <w:webHidden/>
                <w:rStyle w:val="IndexLink"/>
                <w:rtl w:val="true"/>
              </w:rPr>
              <w:t>الجهة الحادية والعشرون</w:t>
            </w:r>
            <w:r>
              <w:rPr>
                <w:rStyle w:val="IndexLink"/>
                <w:rtl w:val="true"/>
              </w:rPr>
              <w:t xml:space="preserve">: </w:t>
            </w:r>
            <w:r>
              <w:rPr>
                <w:rStyle w:val="IndexLink"/>
                <w:rtl w:val="true"/>
              </w:rPr>
              <w:t>جابر والغلاة</w:t>
            </w:r>
            <w:r>
              <w:rPr>
                <w:rStyle w:val="IndexLink"/>
                <w:rtl w:val="true"/>
              </w:rPr>
              <w:t>..</w:t>
              <w:tab/>
            </w:r>
            <w:r>
              <w:rPr>
                <w:rStyle w:val="IndexLink"/>
              </w:rPr>
              <w:t>304</w:t>
            </w:r>
          </w:hyperlink>
        </w:p>
        <w:p>
          <w:pPr>
            <w:pStyle w:val="Contents2"/>
            <w:tabs>
              <w:tab w:val="clear" w:pos="8743"/>
              <w:tab w:val="right" w:pos="9026" w:leader="dot"/>
            </w:tabs>
            <w:rPr/>
          </w:pPr>
          <w:hyperlink w:anchor="__RefHeading___Toc2853505_2870459653">
            <w:r>
              <w:rPr>
                <w:webHidden/>
                <w:rStyle w:val="IndexLink"/>
                <w:rtl w:val="true"/>
              </w:rPr>
              <w:t xml:space="preserve">تعقیبات حول وثاقة رواة کامل الزیارات </w:t>
            </w:r>
            <w:r>
              <w:rPr>
                <w:rStyle w:val="IndexLink"/>
                <w:rtl w:val="true"/>
              </w:rPr>
              <w:t xml:space="preserve">- </w:t>
            </w:r>
            <w:r>
              <w:rPr>
                <w:rStyle w:val="IndexLink"/>
                <w:rtl w:val="true"/>
              </w:rPr>
              <w:t xml:space="preserve">الشيخ بشّار أبو كلل </w:t>
            </w:r>
            <w:r>
              <w:rPr>
                <w:rStyle w:val="IndexLink"/>
                <w:rtl w:val="true"/>
              </w:rPr>
              <w:t>(</w:t>
            </w:r>
            <w:r>
              <w:rPr>
                <w:rStyle w:val="IndexLink"/>
                <w:rtl w:val="true"/>
              </w:rPr>
              <w:t>دام عزه</w:t>
            </w:r>
            <w:r>
              <w:rPr>
                <w:rStyle w:val="IndexLink"/>
                <w:rtl w:val="true"/>
              </w:rPr>
              <w:t>)</w:t>
              <w:tab/>
            </w:r>
            <w:r>
              <w:rPr>
                <w:rStyle w:val="IndexLink"/>
              </w:rPr>
              <w:t>326</w:t>
            </w:r>
          </w:hyperlink>
        </w:p>
        <w:p>
          <w:pPr>
            <w:pStyle w:val="Contents3"/>
            <w:tabs>
              <w:tab w:val="clear" w:pos="8459"/>
              <w:tab w:val="right" w:pos="9026" w:leader="dot"/>
            </w:tabs>
            <w:rPr/>
          </w:pPr>
          <w:hyperlink w:anchor="__RefHeading___Toc2853507_2870459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2853509_2870459653">
            <w:r>
              <w:rPr>
                <w:webHidden/>
                <w:rStyle w:val="IndexLink"/>
                <w:rtl w:val="true"/>
              </w:rPr>
              <w:t>المصادر</w:t>
            </w:r>
            <w:r>
              <w:rPr>
                <w:rStyle w:val="IndexLink"/>
                <w:rtl w:val="true"/>
              </w:rPr>
              <w:tab/>
            </w:r>
            <w:r>
              <w:rPr>
                <w:rStyle w:val="IndexLink"/>
              </w:rPr>
              <w:t>386</w:t>
            </w:r>
          </w:hyperlink>
        </w:p>
        <w:p>
          <w:pPr>
            <w:pStyle w:val="Contents2"/>
            <w:tabs>
              <w:tab w:val="clear" w:pos="8743"/>
              <w:tab w:val="right" w:pos="9026" w:leader="dot"/>
            </w:tabs>
            <w:rPr/>
          </w:pPr>
          <w:hyperlink w:anchor="__RefHeading___Toc2853511_2870459653">
            <w:r>
              <w:rPr>
                <w:webHidden/>
                <w:rStyle w:val="IndexLink"/>
                <w:rtl w:val="true"/>
              </w:rPr>
              <w:t xml:space="preserve">رسالة اللباس المشکوک </w:t>
            </w:r>
            <w:r>
              <w:rPr>
                <w:rStyle w:val="IndexLink"/>
                <w:rtl w:val="true"/>
              </w:rPr>
              <w:t xml:space="preserve">- </w:t>
            </w:r>
            <w:r>
              <w:rPr>
                <w:rStyle w:val="IndexLink"/>
                <w:rtl w:val="true"/>
              </w:rPr>
              <w:t xml:space="preserve">الشیخ محمد اسماعیل الغروی المحلاتی </w:t>
            </w:r>
            <w:r>
              <w:rPr>
                <w:rStyle w:val="IndexLink"/>
                <w:rtl w:val="true"/>
              </w:rPr>
              <w:t>(</w:t>
            </w:r>
            <w:r>
              <w:rPr>
                <w:rStyle w:val="IndexLink"/>
                <w:rtl w:val="true"/>
              </w:rPr>
              <w:t>قدس سره</w:t>
            </w:r>
            <w:r>
              <w:rPr>
                <w:rStyle w:val="IndexLink"/>
                <w:rtl w:val="true"/>
              </w:rPr>
              <w:t>)</w:t>
              <w:tab/>
            </w:r>
            <w:r>
              <w:rPr>
                <w:rStyle w:val="IndexLink"/>
              </w:rPr>
              <w:t>390</w:t>
            </w:r>
          </w:hyperlink>
        </w:p>
        <w:p>
          <w:pPr>
            <w:pStyle w:val="Contents3"/>
            <w:tabs>
              <w:tab w:val="clear" w:pos="8459"/>
              <w:tab w:val="right" w:pos="9026" w:leader="dot"/>
            </w:tabs>
            <w:rPr/>
          </w:pPr>
          <w:hyperlink w:anchor="__RefHeading___Toc2853513_2870459653">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2853515_2870459653">
            <w:r>
              <w:rPr>
                <w:webHidden/>
                <w:rStyle w:val="IndexLink"/>
                <w:rtl w:val="true"/>
              </w:rPr>
              <w:t>المقدمة</w:t>
            </w:r>
            <w:r>
              <w:rPr>
                <w:rStyle w:val="IndexLink"/>
                <w:rtl w:val="true"/>
              </w:rPr>
              <w:tab/>
            </w:r>
            <w:r>
              <w:rPr>
                <w:rStyle w:val="IndexLink"/>
              </w:rPr>
              <w:t>392</w:t>
            </w:r>
          </w:hyperlink>
        </w:p>
        <w:p>
          <w:pPr>
            <w:pStyle w:val="Contents4"/>
            <w:tabs>
              <w:tab w:val="clear" w:pos="8176"/>
              <w:tab w:val="right" w:pos="9026" w:leader="dot"/>
            </w:tabs>
            <w:rPr/>
          </w:pPr>
          <w:hyperlink w:anchor="__RefHeading___Toc2853517_2870459653">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2853519_2870459653">
            <w:r>
              <w:rPr>
                <w:webHidden/>
                <w:rStyle w:val="IndexLink"/>
                <w:rtl w:val="true"/>
              </w:rPr>
              <w:t xml:space="preserve">موجز في ترجمة المؤلف </w:t>
            </w:r>
            <w:r>
              <w:rPr>
                <w:rStyle w:val="IndexLink"/>
                <w:rtl w:val="true"/>
              </w:rPr>
              <w:t>(</w:t>
            </w:r>
            <w:r>
              <w:rPr>
                <w:rStyle w:val="IndexLink"/>
                <w:rtl w:val="true"/>
              </w:rPr>
              <w:t>طاب ثراه</w:t>
            </w:r>
            <w:r>
              <w:rPr>
                <w:rStyle w:val="IndexLink"/>
                <w:rtl w:val="true"/>
              </w:rPr>
              <w:t>)</w:t>
              <w:tab/>
            </w:r>
            <w:r>
              <w:rPr>
                <w:rStyle w:val="IndexLink"/>
              </w:rPr>
              <w:t>396</w:t>
            </w:r>
          </w:hyperlink>
        </w:p>
        <w:p>
          <w:pPr>
            <w:pStyle w:val="Contents5"/>
            <w:tabs>
              <w:tab w:val="clear" w:pos="7892"/>
              <w:tab w:val="right" w:pos="9026" w:leader="dot"/>
            </w:tabs>
            <w:rPr/>
          </w:pPr>
          <w:hyperlink w:anchor="__RefHeading___Toc2853521_2870459653">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2853523_2870459653">
            <w:r>
              <w:rPr>
                <w:webHidden/>
                <w:rStyle w:val="IndexLink"/>
              </w:rPr>
              <w:t>1</w:t>
            </w:r>
            <w:r>
              <w:rPr>
                <w:rStyle w:val="IndexLink"/>
                <w:rtl w:val="true"/>
              </w:rPr>
              <w:t xml:space="preserve">. </w:t>
            </w:r>
            <w:r>
              <w:rPr>
                <w:rStyle w:val="IndexLink"/>
                <w:rtl w:val="true"/>
              </w:rPr>
              <w:t>نسبه ونسبته</w:t>
            </w:r>
            <w:r>
              <w:rPr>
                <w:rStyle w:val="IndexLink"/>
                <w:rtl w:val="true"/>
              </w:rPr>
              <w:tab/>
            </w:r>
            <w:r>
              <w:rPr>
                <w:rStyle w:val="IndexLink"/>
              </w:rPr>
              <w:t>396</w:t>
            </w:r>
          </w:hyperlink>
        </w:p>
        <w:p>
          <w:pPr>
            <w:pStyle w:val="Contents5"/>
            <w:tabs>
              <w:tab w:val="clear" w:pos="7892"/>
              <w:tab w:val="right" w:pos="9026" w:leader="dot"/>
            </w:tabs>
            <w:rPr/>
          </w:pPr>
          <w:hyperlink w:anchor="__RefHeading___Toc2853525_2870459653">
            <w:r>
              <w:rPr>
                <w:webHidden/>
                <w:rStyle w:val="IndexLink"/>
              </w:rPr>
              <w:t>2</w:t>
            </w:r>
            <w:r>
              <w:rPr>
                <w:rStyle w:val="IndexLink"/>
                <w:rtl w:val="true"/>
              </w:rPr>
              <w:t xml:space="preserve">. </w:t>
            </w:r>
            <w:r>
              <w:rPr>
                <w:rStyle w:val="IndexLink"/>
                <w:rtl w:val="true"/>
              </w:rPr>
              <w:t>ولادته ونشأته</w:t>
            </w:r>
            <w:r>
              <w:rPr>
                <w:rStyle w:val="IndexLink"/>
                <w:rtl w:val="true"/>
              </w:rPr>
              <w:tab/>
            </w:r>
            <w:r>
              <w:rPr>
                <w:rStyle w:val="IndexLink"/>
              </w:rPr>
              <w:t>396</w:t>
            </w:r>
          </w:hyperlink>
        </w:p>
        <w:p>
          <w:pPr>
            <w:pStyle w:val="Contents5"/>
            <w:tabs>
              <w:tab w:val="clear" w:pos="7892"/>
              <w:tab w:val="right" w:pos="9026" w:leader="dot"/>
            </w:tabs>
            <w:rPr/>
          </w:pPr>
          <w:hyperlink w:anchor="__RefHeading___Toc2853527_2870459653">
            <w:r>
              <w:rPr>
                <w:webHidden/>
                <w:rStyle w:val="IndexLink"/>
              </w:rPr>
              <w:t>3</w:t>
            </w:r>
            <w:r>
              <w:rPr>
                <w:rStyle w:val="IndexLink"/>
                <w:rtl w:val="true"/>
              </w:rPr>
              <w:t xml:space="preserve">. </w:t>
            </w:r>
            <w:r>
              <w:rPr>
                <w:rStyle w:val="IndexLink"/>
                <w:rtl w:val="true"/>
              </w:rPr>
              <w:t>دراسته وحياته العلميَّة</w:t>
            </w:r>
            <w:r>
              <w:rPr>
                <w:rStyle w:val="IndexLink"/>
                <w:rtl w:val="true"/>
              </w:rPr>
              <w:tab/>
            </w:r>
            <w:r>
              <w:rPr>
                <w:rStyle w:val="IndexLink"/>
              </w:rPr>
              <w:t>397</w:t>
            </w:r>
          </w:hyperlink>
        </w:p>
        <w:p>
          <w:pPr>
            <w:pStyle w:val="Contents5"/>
            <w:tabs>
              <w:tab w:val="clear" w:pos="7892"/>
              <w:tab w:val="right" w:pos="9026" w:leader="dot"/>
            </w:tabs>
            <w:rPr/>
          </w:pPr>
          <w:hyperlink w:anchor="__RefHeading___Toc2853529_2870459653">
            <w:r>
              <w:rPr>
                <w:webHidden/>
                <w:rStyle w:val="IndexLink"/>
              </w:rPr>
              <w:t>4</w:t>
            </w:r>
            <w:r>
              <w:rPr>
                <w:rStyle w:val="IndexLink"/>
                <w:rtl w:val="true"/>
              </w:rPr>
              <w:t xml:space="preserve">. </w:t>
            </w:r>
            <w:r>
              <w:rPr>
                <w:rStyle w:val="IndexLink"/>
                <w:rtl w:val="true"/>
              </w:rPr>
              <w:t>آثاره ومؤلّفاته</w:t>
            </w:r>
            <w:r>
              <w:rPr>
                <w:rStyle w:val="IndexLink"/>
                <w:rtl w:val="true"/>
              </w:rPr>
              <w:tab/>
            </w:r>
            <w:r>
              <w:rPr>
                <w:rStyle w:val="IndexLink"/>
              </w:rPr>
              <w:t>398</w:t>
            </w:r>
          </w:hyperlink>
        </w:p>
        <w:p>
          <w:pPr>
            <w:pStyle w:val="Contents5"/>
            <w:tabs>
              <w:tab w:val="clear" w:pos="7892"/>
              <w:tab w:val="right" w:pos="9026" w:leader="dot"/>
            </w:tabs>
            <w:rPr/>
          </w:pPr>
          <w:hyperlink w:anchor="__RefHeading___Toc2853531_2870459653">
            <w:r>
              <w:rPr>
                <w:webHidden/>
                <w:rStyle w:val="IndexLink"/>
              </w:rPr>
              <w:t>5</w:t>
            </w:r>
            <w:r>
              <w:rPr>
                <w:rStyle w:val="IndexLink"/>
                <w:rtl w:val="true"/>
              </w:rPr>
              <w:t xml:space="preserve">. </w:t>
            </w:r>
            <w:r>
              <w:rPr>
                <w:rStyle w:val="IndexLink"/>
                <w:rtl w:val="true"/>
              </w:rPr>
              <w:t>فكره ونشاطه السياسي</w:t>
            </w:r>
            <w:r>
              <w:rPr>
                <w:rStyle w:val="IndexLink"/>
                <w:rtl w:val="true"/>
              </w:rPr>
              <w:tab/>
            </w:r>
            <w:r>
              <w:rPr>
                <w:rStyle w:val="IndexLink"/>
              </w:rPr>
              <w:t>400</w:t>
            </w:r>
          </w:hyperlink>
        </w:p>
        <w:p>
          <w:pPr>
            <w:pStyle w:val="Contents5"/>
            <w:tabs>
              <w:tab w:val="clear" w:pos="7892"/>
              <w:tab w:val="right" w:pos="9026" w:leader="dot"/>
            </w:tabs>
            <w:rPr/>
          </w:pPr>
          <w:hyperlink w:anchor="__RefHeading___Toc2853533_2870459653">
            <w:r>
              <w:rPr>
                <w:webHidden/>
                <w:rStyle w:val="IndexLink"/>
              </w:rPr>
              <w:t>6</w:t>
            </w:r>
            <w:r>
              <w:rPr>
                <w:rStyle w:val="IndexLink"/>
                <w:rtl w:val="true"/>
              </w:rPr>
              <w:t xml:space="preserve">. </w:t>
            </w:r>
            <w:r>
              <w:rPr>
                <w:rStyle w:val="IndexLink"/>
                <w:rtl w:val="true"/>
              </w:rPr>
              <w:t>خصاله وصفاته الحميدة</w:t>
            </w:r>
            <w:r>
              <w:rPr>
                <w:rStyle w:val="IndexLink"/>
                <w:rtl w:val="true"/>
              </w:rPr>
              <w:tab/>
            </w:r>
            <w:r>
              <w:rPr>
                <w:rStyle w:val="IndexLink"/>
              </w:rPr>
              <w:t>402</w:t>
            </w:r>
          </w:hyperlink>
        </w:p>
        <w:p>
          <w:pPr>
            <w:pStyle w:val="Contents5"/>
            <w:tabs>
              <w:tab w:val="clear" w:pos="7892"/>
              <w:tab w:val="right" w:pos="9026" w:leader="dot"/>
            </w:tabs>
            <w:rPr/>
          </w:pPr>
          <w:hyperlink w:anchor="__RefHeading___Toc2853535_2870459653">
            <w:r>
              <w:rPr>
                <w:webHidden/>
                <w:rStyle w:val="IndexLink"/>
              </w:rPr>
              <w:t>7</w:t>
            </w:r>
            <w:r>
              <w:rPr>
                <w:rStyle w:val="IndexLink"/>
                <w:rtl w:val="true"/>
              </w:rPr>
              <w:t xml:space="preserve">. </w:t>
            </w:r>
            <w:r>
              <w:rPr>
                <w:rStyle w:val="IndexLink"/>
                <w:rtl w:val="true"/>
              </w:rPr>
              <w:t>كلمات الثناء عليه</w:t>
            </w:r>
            <w:r>
              <w:rPr>
                <w:rStyle w:val="IndexLink"/>
                <w:rtl w:val="true"/>
              </w:rPr>
              <w:tab/>
            </w:r>
            <w:r>
              <w:rPr>
                <w:rStyle w:val="IndexLink"/>
              </w:rPr>
              <w:t>402</w:t>
            </w:r>
          </w:hyperlink>
        </w:p>
        <w:p>
          <w:pPr>
            <w:pStyle w:val="Contents5"/>
            <w:tabs>
              <w:tab w:val="clear" w:pos="7892"/>
              <w:tab w:val="right" w:pos="9026" w:leader="dot"/>
            </w:tabs>
            <w:rPr/>
          </w:pPr>
          <w:hyperlink w:anchor="__RefHeading___Toc2853537_2870459653">
            <w:r>
              <w:rPr>
                <w:webHidden/>
                <w:rStyle w:val="IndexLink"/>
              </w:rPr>
              <w:t>8</w:t>
            </w:r>
            <w:r>
              <w:rPr>
                <w:rStyle w:val="IndexLink"/>
                <w:rtl w:val="true"/>
              </w:rPr>
              <w:t xml:space="preserve">. </w:t>
            </w:r>
            <w:r>
              <w:rPr>
                <w:rStyle w:val="IndexLink"/>
                <w:rtl w:val="true"/>
              </w:rPr>
              <w:t>طلّابه وتلامذته</w:t>
            </w:r>
            <w:r>
              <w:rPr>
                <w:rStyle w:val="IndexLink"/>
                <w:rtl w:val="true"/>
              </w:rPr>
              <w:tab/>
            </w:r>
            <w:r>
              <w:rPr>
                <w:rStyle w:val="IndexLink"/>
              </w:rPr>
              <w:t>403</w:t>
            </w:r>
          </w:hyperlink>
        </w:p>
        <w:p>
          <w:pPr>
            <w:pStyle w:val="Contents5"/>
            <w:tabs>
              <w:tab w:val="clear" w:pos="7892"/>
              <w:tab w:val="right" w:pos="9026" w:leader="dot"/>
            </w:tabs>
            <w:rPr/>
          </w:pPr>
          <w:hyperlink w:anchor="__RefHeading___Toc2853539_2870459653">
            <w:r>
              <w:rPr>
                <w:webHidden/>
                <w:rStyle w:val="IndexLink"/>
              </w:rPr>
              <w:t>9</w:t>
            </w:r>
            <w:r>
              <w:rPr>
                <w:rStyle w:val="IndexLink"/>
                <w:rtl w:val="true"/>
              </w:rPr>
              <w:t xml:space="preserve">. </w:t>
            </w:r>
            <w:r>
              <w:rPr>
                <w:rStyle w:val="IndexLink"/>
                <w:rtl w:val="true"/>
              </w:rPr>
              <w:t>إخوانه وأولاده</w:t>
            </w:r>
            <w:r>
              <w:rPr>
                <w:rStyle w:val="IndexLink"/>
                <w:rtl w:val="true"/>
              </w:rPr>
              <w:tab/>
            </w:r>
            <w:r>
              <w:rPr>
                <w:rStyle w:val="IndexLink"/>
              </w:rPr>
              <w:t>404</w:t>
            </w:r>
          </w:hyperlink>
        </w:p>
        <w:p>
          <w:pPr>
            <w:pStyle w:val="Contents5"/>
            <w:tabs>
              <w:tab w:val="clear" w:pos="7892"/>
              <w:tab w:val="right" w:pos="9026" w:leader="dot"/>
            </w:tabs>
            <w:rPr/>
          </w:pPr>
          <w:hyperlink w:anchor="__RefHeading___Toc2853541_2870459653">
            <w:r>
              <w:rPr>
                <w:webHidden/>
                <w:rStyle w:val="IndexLink"/>
              </w:rPr>
              <w:t>10</w:t>
            </w:r>
            <w:r>
              <w:rPr>
                <w:rStyle w:val="IndexLink"/>
                <w:rtl w:val="true"/>
              </w:rPr>
              <w:t xml:space="preserve">. </w:t>
            </w:r>
            <w:r>
              <w:rPr>
                <w:rStyle w:val="IndexLink"/>
                <w:rtl w:val="true"/>
              </w:rPr>
              <w:t>وفاته ومدفنه</w:t>
            </w:r>
            <w:r>
              <w:rPr>
                <w:rStyle w:val="IndexLink"/>
                <w:rtl w:val="true"/>
              </w:rPr>
              <w:tab/>
            </w:r>
            <w:r>
              <w:rPr>
                <w:rStyle w:val="IndexLink"/>
              </w:rPr>
              <w:t>405</w:t>
            </w:r>
          </w:hyperlink>
        </w:p>
        <w:p>
          <w:pPr>
            <w:pStyle w:val="Contents4"/>
            <w:tabs>
              <w:tab w:val="clear" w:pos="8176"/>
              <w:tab w:val="right" w:pos="9026" w:leader="dot"/>
            </w:tabs>
            <w:rPr/>
          </w:pPr>
          <w:hyperlink w:anchor="__RefHeading___Toc2853543_2870459653">
            <w:r>
              <w:rPr>
                <w:webHidden/>
                <w:rStyle w:val="IndexLink"/>
                <w:rtl w:val="true"/>
              </w:rPr>
              <w:t>التعريف برسالة اللباس المشكوك</w:t>
            </w:r>
            <w:r>
              <w:rPr>
                <w:rStyle w:val="IndexLink"/>
                <w:rtl w:val="true"/>
              </w:rPr>
              <w:tab/>
            </w:r>
            <w:r>
              <w:rPr>
                <w:rStyle w:val="IndexLink"/>
              </w:rPr>
              <w:t>406</w:t>
            </w:r>
          </w:hyperlink>
        </w:p>
        <w:p>
          <w:pPr>
            <w:pStyle w:val="Contents3"/>
            <w:tabs>
              <w:tab w:val="clear" w:pos="8459"/>
              <w:tab w:val="right" w:pos="9026" w:leader="dot"/>
            </w:tabs>
            <w:rPr/>
          </w:pPr>
          <w:hyperlink w:anchor="__RefHeading___Toc2853545_2870459653">
            <w:r>
              <w:rPr>
                <w:webHidden/>
                <w:rStyle w:val="IndexLink"/>
                <w:rtl w:val="true"/>
              </w:rPr>
              <w:t>متن الرسالة</w:t>
            </w:r>
            <w:r>
              <w:rPr>
                <w:rStyle w:val="IndexLink"/>
                <w:rtl w:val="true"/>
              </w:rPr>
              <w:tab/>
            </w:r>
            <w:r>
              <w:rPr>
                <w:rStyle w:val="IndexLink"/>
              </w:rPr>
              <w:t>411</w:t>
            </w:r>
          </w:hyperlink>
        </w:p>
        <w:p>
          <w:pPr>
            <w:pStyle w:val="Contents4"/>
            <w:tabs>
              <w:tab w:val="clear" w:pos="8176"/>
              <w:tab w:val="right" w:pos="9026" w:leader="dot"/>
            </w:tabs>
            <w:rPr/>
          </w:pPr>
          <w:hyperlink w:anchor="__RefHeading___Toc2853547_2870459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2853549_2870459653">
            <w:r>
              <w:rPr>
                <w:webHidden/>
                <w:rStyle w:val="IndexLink"/>
                <w:rtl w:val="true"/>
              </w:rPr>
              <w:t>درَّةٌ لامعةٌ غرويَّةٌ</w:t>
            </w:r>
            <w:r>
              <w:rPr>
                <w:rStyle w:val="IndexLink"/>
                <w:rtl w:val="true"/>
              </w:rPr>
              <w:tab/>
            </w:r>
            <w:r>
              <w:rPr>
                <w:rStyle w:val="IndexLink"/>
              </w:rPr>
              <w:t>414</w:t>
            </w:r>
          </w:hyperlink>
        </w:p>
        <w:p>
          <w:pPr>
            <w:pStyle w:val="Contents4"/>
            <w:tabs>
              <w:tab w:val="clear" w:pos="8176"/>
              <w:tab w:val="right" w:pos="9026" w:leader="dot"/>
            </w:tabs>
            <w:rPr/>
          </w:pPr>
          <w:hyperlink w:anchor="__RefHeading___Toc2853551_2870459653">
            <w:r>
              <w:rPr>
                <w:webHidden/>
                <w:rStyle w:val="IndexLink"/>
                <w:rtl w:val="true"/>
              </w:rPr>
              <w:t>الاختلاف في جريان أصالة البراءة في دوران الأمر بين الأقلّ والأكثر في الأجزاء والشرائط والموانع</w:t>
            </w:r>
            <w:r>
              <w:rPr>
                <w:rStyle w:val="IndexLink"/>
                <w:rtl w:val="true"/>
              </w:rPr>
              <w:tab/>
            </w:r>
            <w:r>
              <w:rPr>
                <w:rStyle w:val="IndexLink"/>
              </w:rPr>
              <w:t>415</w:t>
            </w:r>
          </w:hyperlink>
        </w:p>
        <w:p>
          <w:pPr>
            <w:pStyle w:val="Contents4"/>
            <w:tabs>
              <w:tab w:val="clear" w:pos="8176"/>
              <w:tab w:val="right" w:pos="9026" w:leader="dot"/>
            </w:tabs>
            <w:rPr/>
          </w:pPr>
          <w:hyperlink w:anchor="__RefHeading___Toc2853553_2870459653">
            <w:r>
              <w:rPr>
                <w:webHidden/>
                <w:rStyle w:val="IndexLink"/>
                <w:rtl w:val="true"/>
              </w:rPr>
              <w:t>عدم جريان أصالة البراءة في الشبهة المصداقيّة للجزء والشرط</w:t>
            </w:r>
            <w:r>
              <w:rPr>
                <w:rStyle w:val="IndexLink"/>
                <w:rtl w:val="true"/>
              </w:rPr>
              <w:t>]</w:t>
              <w:tab/>
            </w:r>
            <w:r>
              <w:rPr>
                <w:rStyle w:val="IndexLink"/>
              </w:rPr>
              <w:t>415</w:t>
            </w:r>
          </w:hyperlink>
        </w:p>
        <w:p>
          <w:pPr>
            <w:pStyle w:val="Contents4"/>
            <w:tabs>
              <w:tab w:val="clear" w:pos="8176"/>
              <w:tab w:val="right" w:pos="9026" w:leader="dot"/>
            </w:tabs>
            <w:rPr/>
          </w:pPr>
          <w:hyperlink w:anchor="__RefHeading___Toc2853555_2870459653">
            <w:r>
              <w:rPr>
                <w:webHidden/>
                <w:rStyle w:val="IndexLink"/>
                <w:rtl w:val="true"/>
              </w:rPr>
              <w:t>تقريب عدم جريان أصالة البراءة في الشبهة المصداقيّة للمانع</w:t>
            </w:r>
            <w:r>
              <w:rPr>
                <w:rStyle w:val="IndexLink"/>
                <w:rtl w:val="true"/>
              </w:rPr>
              <w:t>]</w:t>
              <w:tab/>
            </w:r>
            <w:r>
              <w:rPr>
                <w:rStyle w:val="IndexLink"/>
              </w:rPr>
              <w:t>416</w:t>
            </w:r>
          </w:hyperlink>
        </w:p>
        <w:p>
          <w:pPr>
            <w:pStyle w:val="Contents4"/>
            <w:tabs>
              <w:tab w:val="clear" w:pos="8176"/>
              <w:tab w:val="right" w:pos="9026" w:leader="dot"/>
            </w:tabs>
            <w:rPr/>
          </w:pPr>
          <w:hyperlink w:anchor="__RefHeading___Toc2853557_2870459653">
            <w:r>
              <w:rPr>
                <w:webHidden/>
                <w:rStyle w:val="IndexLink"/>
                <w:rtl w:val="true"/>
              </w:rPr>
              <w:t>تقريب جريان أصالة البراءة في الشبهة المصداقيّة للمانع</w:t>
            </w:r>
            <w:r>
              <w:rPr>
                <w:rStyle w:val="IndexLink"/>
                <w:rtl w:val="true"/>
              </w:rPr>
              <w:tab/>
            </w:r>
            <w:r>
              <w:rPr>
                <w:rStyle w:val="IndexLink"/>
              </w:rPr>
              <w:t>417</w:t>
            </w:r>
          </w:hyperlink>
        </w:p>
        <w:p>
          <w:pPr>
            <w:pStyle w:val="Contents4"/>
            <w:tabs>
              <w:tab w:val="clear" w:pos="8176"/>
              <w:tab w:val="right" w:pos="9026" w:leader="dot"/>
            </w:tabs>
            <w:rPr/>
          </w:pPr>
          <w:hyperlink w:anchor="__RefHeading___Toc2853559_2870459653">
            <w:r>
              <w:rPr>
                <w:webHidden/>
                <w:rStyle w:val="IndexLink"/>
                <w:rtl w:val="true"/>
              </w:rPr>
              <w:t>هل تفترق الشبهات المصداقيّة لمتعلّقات النواهي النفسيّة والغيريّة في جريان أصالة البراءة فيها وعدمه؟</w:t>
            </w:r>
            <w:r>
              <w:rPr>
                <w:rStyle w:val="IndexLink"/>
                <w:rtl w:val="true"/>
              </w:rPr>
              <w:tab/>
            </w:r>
            <w:r>
              <w:rPr>
                <w:rStyle w:val="IndexLink"/>
              </w:rPr>
              <w:t>419</w:t>
            </w:r>
          </w:hyperlink>
        </w:p>
        <w:p>
          <w:pPr>
            <w:pStyle w:val="Contents4"/>
            <w:tabs>
              <w:tab w:val="clear" w:pos="8176"/>
              <w:tab w:val="right" w:pos="9026" w:leader="dot"/>
            </w:tabs>
            <w:rPr/>
          </w:pPr>
          <w:hyperlink w:anchor="__RefHeading___Toc2853561_2870459653">
            <w:r>
              <w:rPr>
                <w:webHidden/>
                <w:rStyle w:val="IndexLink"/>
                <w:rtl w:val="true"/>
              </w:rPr>
              <w:t>هل مانعيّة كون اللباس من أجزاء ما لا يؤكل لحمه انحلاليّة أو لا؟</w:t>
            </w:r>
            <w:r>
              <w:rPr>
                <w:rStyle w:val="IndexLink"/>
                <w:rtl w:val="true"/>
              </w:rPr>
              <w:tab/>
            </w:r>
            <w:r>
              <w:rPr>
                <w:rStyle w:val="IndexLink"/>
              </w:rPr>
              <w:t>421</w:t>
            </w:r>
          </w:hyperlink>
        </w:p>
        <w:p>
          <w:pPr>
            <w:pStyle w:val="Contents4"/>
            <w:tabs>
              <w:tab w:val="clear" w:pos="8176"/>
              <w:tab w:val="right" w:pos="9026" w:leader="dot"/>
            </w:tabs>
            <w:rPr/>
          </w:pPr>
          <w:hyperlink w:anchor="__RefHeading___Toc2853563_2870459653">
            <w:r>
              <w:rPr>
                <w:webHidden/>
                <w:rStyle w:val="IndexLink"/>
                <w:rtl w:val="true"/>
              </w:rPr>
              <w:t>ما يفترق به جريان أصالة البراءة في الشبهات الحكميّة عن جريانها في الشبهات الموضوعيّة</w:t>
            </w:r>
            <w:r>
              <w:rPr>
                <w:rStyle w:val="IndexLink"/>
                <w:rtl w:val="true"/>
              </w:rPr>
              <w:tab/>
            </w:r>
            <w:r>
              <w:rPr>
                <w:rStyle w:val="IndexLink"/>
              </w:rPr>
              <w:t>422</w:t>
            </w:r>
          </w:hyperlink>
        </w:p>
        <w:p>
          <w:pPr>
            <w:pStyle w:val="Contents4"/>
            <w:tabs>
              <w:tab w:val="clear" w:pos="8176"/>
              <w:tab w:val="right" w:pos="9026" w:leader="dot"/>
            </w:tabs>
            <w:rPr/>
          </w:pPr>
          <w:hyperlink w:anchor="__RefHeading___Toc2853565_2870459653">
            <w:r>
              <w:rPr>
                <w:webHidden/>
                <w:rStyle w:val="IndexLink"/>
                <w:rtl w:val="true"/>
              </w:rPr>
              <w:t>تقريب عدم جريان أصالة البراءة في الشبهة المصداقيّة للمانع لكونها من قبيل الشكّ في المحصّل، والجواب عنه</w:t>
            </w:r>
            <w:r>
              <w:rPr>
                <w:rStyle w:val="IndexLink"/>
                <w:rtl w:val="true"/>
              </w:rPr>
              <w:tab/>
            </w:r>
            <w:r>
              <w:rPr>
                <w:rStyle w:val="IndexLink"/>
              </w:rPr>
              <w:t>424</w:t>
            </w:r>
          </w:hyperlink>
        </w:p>
        <w:p>
          <w:pPr>
            <w:pStyle w:val="Contents4"/>
            <w:tabs>
              <w:tab w:val="clear" w:pos="8176"/>
              <w:tab w:val="right" w:pos="9026" w:leader="dot"/>
            </w:tabs>
            <w:rPr/>
          </w:pPr>
          <w:hyperlink w:anchor="__RefHeading___Toc2853567_2870459653">
            <w:r>
              <w:rPr>
                <w:webHidden/>
                <w:rStyle w:val="IndexLink"/>
                <w:rtl w:val="true"/>
              </w:rPr>
              <w:t>المناقشة في جريان أصالة البراءة في دوران الأمر بين الأقلّ والأكثر من جهة لزوم تحصيل المصالح الملزمة المولويّة والجواب عنها</w:t>
            </w:r>
            <w:r>
              <w:rPr>
                <w:rStyle w:val="IndexLink"/>
                <w:rtl w:val="true"/>
              </w:rPr>
              <w:tab/>
            </w:r>
            <w:r>
              <w:rPr>
                <w:rStyle w:val="IndexLink"/>
              </w:rPr>
              <w:t>427</w:t>
            </w:r>
          </w:hyperlink>
        </w:p>
        <w:p>
          <w:pPr>
            <w:pStyle w:val="Contents4"/>
            <w:tabs>
              <w:tab w:val="clear" w:pos="8176"/>
              <w:tab w:val="right" w:pos="9026" w:leader="dot"/>
            </w:tabs>
            <w:rPr/>
          </w:pPr>
          <w:hyperlink w:anchor="__RefHeading___Toc2853569_2870459653">
            <w:r>
              <w:rPr>
                <w:webHidden/>
                <w:rStyle w:val="IndexLink"/>
                <w:rtl w:val="true"/>
              </w:rPr>
              <w:t>هل خلوّ اللباس من أجزاء ما لا يؤكل لحمه شرط في الصلاة أو اشتماله عليها مانع؟</w:t>
            </w:r>
            <w:r>
              <w:rPr>
                <w:rStyle w:val="IndexLink"/>
                <w:rtl w:val="true"/>
              </w:rPr>
              <w:tab/>
            </w:r>
            <w:r>
              <w:rPr>
                <w:rStyle w:val="IndexLink"/>
              </w:rPr>
              <w:t>428</w:t>
            </w:r>
          </w:hyperlink>
        </w:p>
        <w:p>
          <w:pPr>
            <w:pStyle w:val="Contents4"/>
            <w:tabs>
              <w:tab w:val="clear" w:pos="8176"/>
              <w:tab w:val="right" w:pos="9026" w:leader="dot"/>
            </w:tabs>
            <w:rPr/>
          </w:pPr>
          <w:hyperlink w:anchor="__RefHeading___Toc2853571_2870459653">
            <w:r>
              <w:rPr>
                <w:webHidden/>
                <w:rStyle w:val="IndexLink"/>
                <w:rtl w:val="true"/>
              </w:rPr>
              <w:t>حول جريان أصالة الحِلّ في الشبهة المصداقيّة للمانع</w:t>
            </w:r>
            <w:r>
              <w:rPr>
                <w:rStyle w:val="IndexLink"/>
                <w:rtl w:val="true"/>
              </w:rPr>
              <w:tab/>
            </w:r>
            <w:r>
              <w:rPr>
                <w:rStyle w:val="IndexLink"/>
              </w:rPr>
              <w:t>429</w:t>
            </w:r>
          </w:hyperlink>
        </w:p>
        <w:p>
          <w:pPr>
            <w:pStyle w:val="Contents4"/>
            <w:tabs>
              <w:tab w:val="clear" w:pos="8176"/>
              <w:tab w:val="right" w:pos="9026" w:leader="dot"/>
            </w:tabs>
            <w:rPr/>
          </w:pPr>
          <w:hyperlink w:anchor="__RefHeading___Toc2853573_2870459653">
            <w:r>
              <w:rPr>
                <w:webHidden/>
                <w:rStyle w:val="IndexLink"/>
                <w:rtl w:val="true"/>
              </w:rPr>
              <w:t>حول التمسّك بحديث الرفع في الشبهة المصداقيّة للمانع</w:t>
            </w:r>
            <w:r>
              <w:rPr>
                <w:rStyle w:val="IndexLink"/>
                <w:rtl w:val="true"/>
              </w:rPr>
              <w:tab/>
            </w:r>
            <w:r>
              <w:rPr>
                <w:rStyle w:val="IndexLink"/>
              </w:rPr>
              <w:t>430</w:t>
            </w:r>
          </w:hyperlink>
        </w:p>
        <w:p>
          <w:pPr>
            <w:pStyle w:val="Contents4"/>
            <w:tabs>
              <w:tab w:val="clear" w:pos="8176"/>
              <w:tab w:val="right" w:pos="9026" w:leader="dot"/>
            </w:tabs>
            <w:rPr/>
          </w:pPr>
          <w:hyperlink w:anchor="__RefHeading___Toc2853575_2870459653">
            <w:r>
              <w:rPr>
                <w:webHidden/>
                <w:rStyle w:val="IndexLink"/>
                <w:rtl w:val="true"/>
              </w:rPr>
              <w:t>عدم جريان أصالة البراءة في الشبهة المصداقيّة للمانع إذا كان الشكّ فيها مسبّباً عن الشكّ في حكم آخر</w:t>
            </w:r>
            <w:r>
              <w:rPr>
                <w:rStyle w:val="IndexLink"/>
                <w:rtl w:val="true"/>
              </w:rPr>
              <w:tab/>
            </w:r>
            <w:r>
              <w:rPr>
                <w:rStyle w:val="IndexLink"/>
              </w:rPr>
              <w:t>431</w:t>
            </w:r>
          </w:hyperlink>
        </w:p>
        <w:p>
          <w:pPr>
            <w:pStyle w:val="Contents4"/>
            <w:tabs>
              <w:tab w:val="clear" w:pos="8176"/>
              <w:tab w:val="right" w:pos="9026" w:leader="dot"/>
            </w:tabs>
            <w:rPr/>
          </w:pPr>
          <w:hyperlink w:anchor="__RefHeading___Toc2853577_2870459653">
            <w:r>
              <w:rPr>
                <w:webHidden/>
                <w:rStyle w:val="IndexLink"/>
                <w:rtl w:val="true"/>
              </w:rPr>
              <w:t>أصالة الحرمة في أعراض المسلمين ودمائهم وأموالهم</w:t>
            </w:r>
            <w:r>
              <w:rPr>
                <w:rStyle w:val="IndexLink"/>
                <w:rtl w:val="true"/>
              </w:rPr>
              <w:tab/>
            </w:r>
            <w:r>
              <w:rPr>
                <w:rStyle w:val="IndexLink"/>
              </w:rPr>
              <w:t>434</w:t>
            </w:r>
          </w:hyperlink>
        </w:p>
        <w:p>
          <w:pPr>
            <w:pStyle w:val="Contents4"/>
            <w:tabs>
              <w:tab w:val="clear" w:pos="8176"/>
              <w:tab w:val="right" w:pos="9026" w:leader="dot"/>
            </w:tabs>
            <w:rPr/>
          </w:pPr>
          <w:hyperlink w:anchor="__RefHeading___Toc2853579_2870459653">
            <w:r>
              <w:rPr>
                <w:webHidden/>
                <w:rStyle w:val="IndexLink"/>
                <w:rtl w:val="true"/>
              </w:rPr>
              <w:t>أصالة الحرمة في اللحوم</w:t>
            </w:r>
            <w:r>
              <w:rPr>
                <w:rStyle w:val="IndexLink"/>
                <w:rtl w:val="true"/>
              </w:rPr>
              <w:tab/>
            </w:r>
            <w:r>
              <w:rPr>
                <w:rStyle w:val="IndexLink"/>
              </w:rPr>
              <w:t>434</w:t>
            </w:r>
          </w:hyperlink>
        </w:p>
        <w:p>
          <w:pPr>
            <w:pStyle w:val="Contents4"/>
            <w:tabs>
              <w:tab w:val="clear" w:pos="8176"/>
              <w:tab w:val="right" w:pos="9026" w:leader="dot"/>
            </w:tabs>
            <w:rPr/>
          </w:pPr>
          <w:hyperlink w:anchor="__RefHeading___Toc2853581_2870459653">
            <w:r>
              <w:rPr>
                <w:webHidden/>
                <w:rStyle w:val="IndexLink"/>
                <w:rtl w:val="true"/>
              </w:rPr>
              <w:t>مقتضى الأصل في الشكّ السببي في كون اللباس من الميتة</w:t>
            </w:r>
            <w:r>
              <w:rPr>
                <w:rStyle w:val="IndexLink"/>
                <w:rtl w:val="true"/>
              </w:rPr>
              <w:tab/>
            </w:r>
            <w:r>
              <w:rPr>
                <w:rStyle w:val="IndexLink"/>
              </w:rPr>
              <w:t>435</w:t>
            </w:r>
          </w:hyperlink>
        </w:p>
        <w:p>
          <w:pPr>
            <w:pStyle w:val="Contents4"/>
            <w:tabs>
              <w:tab w:val="clear" w:pos="8176"/>
              <w:tab w:val="right" w:pos="9026" w:leader="dot"/>
            </w:tabs>
            <w:rPr/>
          </w:pPr>
          <w:hyperlink w:anchor="__RefHeading___Toc2853583_2870459653">
            <w:r>
              <w:rPr>
                <w:webHidden/>
                <w:rStyle w:val="IndexLink"/>
                <w:rtl w:val="true"/>
              </w:rPr>
              <w:t>مقتضى الأصل في الشكّ السببي في كون اللباس ممَّا يحرم أكل لحمه</w:t>
            </w:r>
            <w:r>
              <w:rPr>
                <w:rStyle w:val="IndexLink"/>
                <w:rtl w:val="true"/>
              </w:rPr>
              <w:tab/>
            </w:r>
            <w:r>
              <w:rPr>
                <w:rStyle w:val="IndexLink"/>
              </w:rPr>
              <w:t>436</w:t>
            </w:r>
          </w:hyperlink>
        </w:p>
        <w:p>
          <w:pPr>
            <w:pStyle w:val="Contents4"/>
            <w:tabs>
              <w:tab w:val="clear" w:pos="8176"/>
              <w:tab w:val="right" w:pos="9026" w:leader="dot"/>
            </w:tabs>
            <w:rPr/>
          </w:pPr>
          <w:hyperlink w:anchor="__RefHeading___Toc2853585_2870459653">
            <w:r>
              <w:rPr>
                <w:webHidden/>
                <w:rStyle w:val="IndexLink"/>
                <w:rtl w:val="true"/>
              </w:rPr>
              <w:t>مقتضى الأصل في الشكّ السببي في كون اللباس من الحرير أو الذهب</w:t>
            </w:r>
            <w:r>
              <w:rPr>
                <w:rStyle w:val="IndexLink"/>
                <w:rtl w:val="true"/>
              </w:rPr>
              <w:tab/>
            </w:r>
            <w:r>
              <w:rPr>
                <w:rStyle w:val="IndexLink"/>
              </w:rPr>
              <w:t>436</w:t>
            </w:r>
          </w:hyperlink>
        </w:p>
        <w:p>
          <w:pPr>
            <w:pStyle w:val="Contents4"/>
            <w:tabs>
              <w:tab w:val="clear" w:pos="8176"/>
              <w:tab w:val="right" w:pos="9026" w:leader="dot"/>
            </w:tabs>
            <w:rPr/>
          </w:pPr>
          <w:hyperlink w:anchor="__RefHeading___Toc2853587_2870459653">
            <w:r>
              <w:rPr>
                <w:webHidden/>
                <w:rStyle w:val="IndexLink"/>
                <w:rtl w:val="true"/>
              </w:rPr>
              <w:t>مقتضى الأصل في الشكّ السببي في كون المكان أو اللباس مغصوباً</w:t>
            </w:r>
            <w:r>
              <w:rPr>
                <w:rStyle w:val="IndexLink"/>
                <w:rtl w:val="true"/>
              </w:rPr>
              <w:tab/>
            </w:r>
            <w:r>
              <w:rPr>
                <w:rStyle w:val="IndexLink"/>
              </w:rPr>
              <w:t>437</w:t>
            </w:r>
          </w:hyperlink>
        </w:p>
        <w:p>
          <w:pPr>
            <w:pStyle w:val="Contents4"/>
            <w:tabs>
              <w:tab w:val="clear" w:pos="8176"/>
              <w:tab w:val="right" w:pos="9026" w:leader="dot"/>
            </w:tabs>
            <w:rPr/>
          </w:pPr>
          <w:hyperlink w:anchor="__RefHeading___Toc2853589_2870459653">
            <w:r>
              <w:rPr>
                <w:webHidden/>
                <w:rStyle w:val="IndexLink"/>
                <w:rtl w:val="true"/>
              </w:rPr>
              <w:t>مقتضى الأصل في الشكّ السببي في كون البدن أو اللباس متنجساً</w:t>
            </w:r>
            <w:r>
              <w:rPr>
                <w:rStyle w:val="IndexLink"/>
                <w:rtl w:val="true"/>
              </w:rPr>
              <w:tab/>
            </w:r>
            <w:r>
              <w:rPr>
                <w:rStyle w:val="IndexLink"/>
              </w:rPr>
              <w:t>439</w:t>
            </w:r>
          </w:hyperlink>
        </w:p>
        <w:p>
          <w:pPr>
            <w:pStyle w:val="Contents4"/>
            <w:tabs>
              <w:tab w:val="clear" w:pos="8176"/>
              <w:tab w:val="right" w:pos="9026" w:leader="dot"/>
            </w:tabs>
            <w:rPr/>
          </w:pPr>
          <w:hyperlink w:anchor="__RefHeading___Toc2853591_2870459653">
            <w:r>
              <w:rPr>
                <w:webHidden/>
                <w:rStyle w:val="IndexLink"/>
                <w:rtl w:val="true"/>
              </w:rPr>
              <w:t>عدم جريان أصالة البراءة في الشبهة المصداقيّة للقاطع</w:t>
            </w:r>
            <w:r>
              <w:rPr>
                <w:rStyle w:val="IndexLink"/>
                <w:rtl w:val="true"/>
              </w:rPr>
              <w:tab/>
            </w:r>
            <w:r>
              <w:rPr>
                <w:rStyle w:val="IndexLink"/>
              </w:rPr>
              <w:t>439</w:t>
            </w:r>
          </w:hyperlink>
        </w:p>
        <w:p>
          <w:pPr>
            <w:pStyle w:val="Contents3"/>
            <w:tabs>
              <w:tab w:val="clear" w:pos="8459"/>
              <w:tab w:val="right" w:pos="9026" w:leader="dot"/>
            </w:tabs>
            <w:rPr/>
          </w:pPr>
          <w:hyperlink w:anchor="__RefHeading___Toc2853593_2870459653">
            <w:r>
              <w:rPr>
                <w:webHidden/>
                <w:rStyle w:val="IndexLink"/>
                <w:rtl w:val="true"/>
              </w:rPr>
              <w:t>مصادر المقدّمة والتحقيق</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1_107893"/>
      <w:bookmarkStart w:id="1" w:name="pg9111_107893"/>
      <w:bookmarkEnd w:id="1"/>
    </w:p>
    <w:p>
      <w:pPr>
        <w:pStyle w:val="Heading2"/>
        <w:numPr>
          <w:ilvl w:val="1"/>
          <w:numId w:val="1"/>
        </w:numPr>
        <w:rPr/>
      </w:pPr>
      <w:bookmarkStart w:id="2" w:name="pg9111_107893"/>
      <w:bookmarkStart w:id="3" w:name="__RefHeading___Toc2853213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دراسات علمیة</w:t>
      </w:r>
    </w:p>
    <w:p>
      <w:pPr>
        <w:pStyle w:val="BookText"/>
        <w:rPr/>
      </w:pPr>
      <w:r>
        <w:rPr>
          <w:rFonts w:ascii="Amiri" w:hAnsi="Amiri" w:eastAsia="Amiri" w:cs="Amiri"/>
          <w:color w:val="111111"/>
          <w:sz w:val="28"/>
          <w:sz w:val="28"/>
          <w:szCs w:val="28"/>
          <w:rtl w:val="true"/>
          <w:lang w:bidi="ar-SA"/>
        </w:rPr>
        <w:t>مجلة نصف سنوية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321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11_107897"/>
      <w:bookmarkStart w:id="8" w:name="pg9111_107897"/>
      <w:bookmarkEnd w:id="8"/>
    </w:p>
    <w:p>
      <w:pPr>
        <w:pStyle w:val="Heading2"/>
        <w:numPr>
          <w:ilvl w:val="1"/>
          <w:numId w:val="1"/>
        </w:numPr>
        <w:rPr/>
      </w:pPr>
      <w:bookmarkStart w:id="9" w:name="pg9111_107897"/>
      <w:bookmarkStart w:id="10" w:name="__RefHeading___Toc2853217_2870459653"/>
      <w:bookmarkStart w:id="11" w:name="_Toc3"/>
      <w:bookmarkEnd w:id="9"/>
      <w:bookmarkEnd w:id="10"/>
      <w:r>
        <w:rPr>
          <w:rtl w:val="true"/>
        </w:rPr>
        <w:t>الأسس المعتمدة للنشر</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يزيد على ذلك يمكن جعله في حلقتين أو أكثر حسب نظر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محتويات العدد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11_107899"/>
      <w:bookmarkStart w:id="13" w:name="pg9111_107899"/>
      <w:bookmarkEnd w:id="13"/>
    </w:p>
    <w:p>
      <w:pPr>
        <w:pStyle w:val="Heading2"/>
        <w:numPr>
          <w:ilvl w:val="1"/>
          <w:numId w:val="1"/>
        </w:numPr>
        <w:rPr/>
      </w:pPr>
      <w:bookmarkStart w:id="14" w:name="pg9111_107899"/>
      <w:bookmarkStart w:id="15" w:name="__RefHeading___Toc2853219_2870459653"/>
      <w:bookmarkStart w:id="16" w:name="_Toc4"/>
      <w:bookmarkEnd w:id="14"/>
      <w:bookmarkEnd w:id="15"/>
      <w:r>
        <w:rPr>
          <w:rtl w:val="true"/>
        </w:rPr>
        <w:t>محتويات العدد</w:t>
      </w:r>
      <w:bookmarkEnd w:id="16"/>
    </w:p>
    <w:p>
      <w:pPr>
        <w:pStyle w:val="BookText"/>
        <w:rPr/>
      </w:pP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إدارة المجلة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طرق إلغاء خصوصية المورد عند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وليد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نجاسة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علي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حجية الاطمئنان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أمجد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رواية السراد عن ثابت بن دينار</w:t>
      </w:r>
    </w:p>
    <w:p>
      <w:pPr>
        <w:pStyle w:val="BookText"/>
        <w:rPr/>
      </w:pPr>
      <w:r>
        <w:rPr>
          <w:rFonts w:ascii="Amiri" w:hAnsi="Amiri" w:eastAsia="Amiri" w:cs="Amiri"/>
          <w:color w:val="111111"/>
          <w:sz w:val="28"/>
          <w:sz w:val="28"/>
          <w:szCs w:val="28"/>
          <w:rtl w:val="true"/>
          <w:lang w:bidi="ar-SA"/>
        </w:rPr>
        <w:t xml:space="preserve">السيد غيث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تحقيق حال جابر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تعقيبات حول وثاقة رواة كامل الزيارات</w:t>
      </w:r>
    </w:p>
    <w:p>
      <w:pPr>
        <w:pStyle w:val="BookText"/>
        <w:rPr/>
      </w:pPr>
      <w:r>
        <w:rPr>
          <w:rFonts w:ascii="Amiri" w:hAnsi="Amiri" w:eastAsia="Amiri" w:cs="Amiri"/>
          <w:color w:val="111111"/>
          <w:sz w:val="28"/>
          <w:sz w:val="28"/>
          <w:szCs w:val="28"/>
          <w:rtl w:val="true"/>
          <w:lang w:bidi="ar-SA"/>
        </w:rPr>
        <w:t xml:space="preserve">الشيخ بشار أبو كلل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رسالة اللباس المشكوك للشيخ محمد إسماعيل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دراسات 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111_107901"/>
      <w:bookmarkStart w:id="18" w:name="pg9111_107901"/>
      <w:bookmarkEnd w:id="18"/>
    </w:p>
    <w:p>
      <w:pPr>
        <w:pStyle w:val="Heading2"/>
        <w:numPr>
          <w:ilvl w:val="1"/>
          <w:numId w:val="1"/>
        </w:numPr>
        <w:rPr/>
      </w:pPr>
      <w:bookmarkStart w:id="19" w:name="pg9111_107901"/>
      <w:bookmarkStart w:id="20" w:name="__RefHeading___Toc2853221_2870459653"/>
      <w:bookmarkStart w:id="21" w:name="_Toc5"/>
      <w:bookmarkEnd w:id="19"/>
      <w:bookmarkEnd w:id="20"/>
      <w:r>
        <w:rPr>
          <w:rtl w:val="true"/>
        </w:rPr>
        <w:t>كلمة العدد</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الأمّة التي يُراد لها هداية الناس والشهادة على كلمة الله وميثاقه في الأرض، تلك التي تحافظ على العناصر الحيويّة للعلم، وتبقى حاضرة في أروقته، ولها يَدٌ في منجزاته، ويكون عندها أيضاً حلول مشاكل العصر، وعند علمائها البصيرة اللازمة لإثبات الطريق الأفضل لتمثيل مقاصد الشريعة والحكمة في أفعال وتوجّهات الإنسان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مهمّات عناصر العلم تلك الاستمرار في البحث العلميّ، وإعادة تمثيل القواعد الكلّيّة والتشريعات الإلهيّة المستفادة من الكتاب والسُنّة في تنوّعات وتصريفات الأفعال والنشاط الإنسانيّ، لتكون مفهومة لأبناء العصر ومستدَلَّاً عليها بوضوح من منابع مآخذها ومصادر 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من مسائل الفقه مثلاً قد لا يكون حكمها واضحاً في المدرك والمقصد ما لم يتمّ تحديد موضوعها جيداً وفكّ التباسه وتداخله مع موضوعات أخرى بسبب التطوّر الزمنيّ أو التباعد عن عصر النصّ، وتلك مهمّة البحث العلميّ، خصوصاً مع تطوّر أدواته ومنها علم الأصول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جملة من التطوّرات الأخرى في الأدوات كأساليب الاستقراء بعد توفّر نسخ محقّقة ومنقّحة، والمقارنة بين مصادر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يتوفّر من البحث الآلي الحديث الإلكتروني الذي يعالج ملايين البيانات التراثيّة أو الحديثة التي تمثّل قوام الخلفيّات العلميّة لكثير من المسائل، كلُّ ذلك يساعد في تنقيحٍ أكثر دقةً للمسألة الفقهيّة </w:t>
      </w:r>
    </w:p>
    <w:p>
      <w:pPr>
        <w:pStyle w:val="BookText"/>
        <w:rPr/>
      </w:pPr>
      <w:r>
        <w:rPr>
          <w:rFonts w:ascii="Amiri" w:hAnsi="Amiri" w:eastAsia="Amiri" w:cs="Amiri"/>
          <w:color w:val="111111"/>
          <w:sz w:val="28"/>
          <w:sz w:val="28"/>
          <w:szCs w:val="28"/>
          <w:rtl w:val="true"/>
          <w:lang w:bidi="ar-SA"/>
        </w:rPr>
        <w:t>ويجعلها أكثر ملائَمةً لأهدافها التي من أجلها شُرِّعت، كما أنَّ الإقبال على الثقافات والعلوم الأخرى ينبّه الفقيه أو الباحث إلى وسائل وأدلّة تجعل من أدواته أكثر إقناعاً وقوّةً من حيث الجانب الإثباتي للأدلّة لتكون بذلك مسائل الشرع أكثر ملائَمةً وواقعيّةً لعصرٍ عُرف بتوسّع أدواته وبناء إدراكاته وقناعاته على وسائل أكثر عمقاً وأوضح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أنَّ النظر في كتاب استدلالي كُتب قبل ثلاثة قرون أو أكثر ومقارنته بآخر كُتب متأخراً مع العناية بتلك العناصر التي ذكرناها آنفاً، تُظهِر بشكلٍ واضحٍ الفرق بينهما في تصوّرات المسألة أو طريقة إثباتها ونوعيّة ذلك الإثبات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أنَّنا نتكلَّم في مسائل غير مستحدَثة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ثمرة واضحة من ثمرات تطوّر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كثيرٌ من التطوّر في بُنية المسألة الفقهيّة أو الأصوليّة كامناً في طريقة تصوّر مبادئ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الجو والثقافة التي تؤثّر فيها العلوم الأخرى فتؤثّر بدورها في كشف أبعاد تلك المبادئ وعمقها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ليس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راجعنا فهرساً لمسائل الفقهاء في رسائلهم العمليّة فنكتشف عدداً ليس بالقليل من المسائل التي ليس لها ذكر أو تدوين في الكتب الفقهيّة المعتمدة المتقدِّمة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عرفنا أنَّ القفزات في أداء العلوم الأخرى أو أسلوب الحياة الذي يمارسه الإنسان العصري قد ألقت بظلالها على علم الفقه والتشريع ليستجيب بجملة من البحوث أثمرت مسائل كثيرة مضافة في أبواب الفقه، لم يكن بالإمكان إغفالها، ولا كانت المسائل الشرعيّة التقليديّة متكفّلة بالإجابة عن التكاليف والمواقف التي تفرضها تلك التغيرات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الشيء تقريباً ينطبق على علم الأصول، وإنْ اختلفت طريقة التأثير على تجدّد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نشير هنا إلى أنَّ هذا التغيير في المسائل بنفسه وأسبابَه موضوعٌ يستحق </w:t>
      </w:r>
    </w:p>
    <w:p>
      <w:pPr>
        <w:pStyle w:val="BookText"/>
        <w:rPr/>
      </w:pPr>
      <w:r>
        <w:rPr>
          <w:rFonts w:ascii="Amiri" w:hAnsi="Amiri" w:eastAsia="Amiri" w:cs="Amiri"/>
          <w:color w:val="111111"/>
          <w:sz w:val="28"/>
          <w:sz w:val="28"/>
          <w:szCs w:val="28"/>
          <w:rtl w:val="true"/>
          <w:lang w:bidi="ar-SA"/>
        </w:rPr>
        <w:t>أنْ يبذل الباحثون من أجله جهداً في تجليته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طريق حركته في التأثير على مسائل العلمين، والتأمّل في أسباب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نوعاً من البحوث التاريخيّة للعلم ينفع في تمييز الثابت والمتغيّر في العلوم الدينيّة، وبالتالي الكشف عن الثابت والمتغيّر في النظرة الدينيّة للحياة والنشاط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تصوراتنا كمجلَّة تُعنى بالبحث العلميّ التخصّصيّ في العلوم العائدة إلى الشريعة، والفوائد المترتبة على ذلك البحث وإحيائه بصورة عامّة، وإنْ كان عمل المجلَّة لا يقتصر على ذلك، فإنَّها تعتني أيضاً بالتراث الذي كتبته أيدي العلماء وظلّ حبيس الطروس والدفاتر ممّا يستحق التحقيق والإخراج ليضيف رصيداً إلى التراث العلميّ وإلى الباحث الحديث الذي يشكّل ذلك التراث أحد أدواته، لذلك تجد في كلّ عدد مخطوطة مستحقّة يخرجها أحد الأفاضل بحُلَّة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نشكر كلَّ الأفاضل الذين ساهموا بجهودهم المباركة في إثراء بحوث المجلَّة، وكذلك العاملون على إخراجها بالشكل المرضيّ من كلِّ الجهات، وندعو الطلبة الأفاضل في الحوزة العلميّة إلى المساهمة بشكل أكثر فاعلية في مثل هذه المظاهرة العلميّة والنشاط الفكري لنفض غبار الركود، ولنكشف أيضاً عن استيعاب الفقه الإماميّ للمسائل المتولِّدة من التطوّرات في كلّ مناحي الحياة واستحقاقه ليكون شاهد حقٍ على واقعيّة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المجلَّة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111_107905"/>
      <w:bookmarkStart w:id="23" w:name="pg9111_107905"/>
      <w:bookmarkEnd w:id="23"/>
    </w:p>
    <w:p>
      <w:pPr>
        <w:pStyle w:val="Heading2"/>
        <w:numPr>
          <w:ilvl w:val="1"/>
          <w:numId w:val="1"/>
        </w:numPr>
        <w:rPr/>
      </w:pPr>
      <w:bookmarkStart w:id="24" w:name="pg9111_107905"/>
      <w:bookmarkStart w:id="25" w:name="__RefHeading___Toc2853223_2870459653"/>
      <w:bookmarkStart w:id="26" w:name="_Toc6"/>
      <w:bookmarkEnd w:id="24"/>
      <w:bookmarkEnd w:id="25"/>
      <w:r>
        <w:rPr>
          <w:rtl w:val="true"/>
        </w:rPr>
        <w:t xml:space="preserve">طرق إلغاء خصوصية المورد عند الوحيد البهبهاني </w:t>
      </w:r>
      <w:r>
        <w:rPr>
          <w:rtl w:val="true"/>
        </w:rPr>
        <w:t>(</w:t>
      </w:r>
      <w:r>
        <w:rPr>
          <w:rtl w:val="true"/>
        </w:rPr>
        <w:t>رحمة الله</w:t>
      </w:r>
      <w:r>
        <w:rPr>
          <w:rtl w:val="true"/>
        </w:rPr>
        <w:t xml:space="preserve">) - </w:t>
      </w:r>
      <w:r>
        <w:rPr>
          <w:rtl w:val="true"/>
        </w:rPr>
        <w:t xml:space="preserve">الشيخ وليد العامري </w:t>
      </w:r>
      <w:r>
        <w:rPr>
          <w:rtl w:val="true"/>
        </w:rPr>
        <w:t>(</w:t>
      </w:r>
      <w:r>
        <w:rPr>
          <w:rtl w:val="true"/>
        </w:rPr>
        <w:t>دام عزه</w:t>
      </w:r>
      <w:r>
        <w:rPr>
          <w:rtl w:val="true"/>
        </w:rPr>
        <w:t>)</w:t>
      </w:r>
      <w:bookmarkEnd w:id="26"/>
    </w:p>
    <w:p>
      <w:pPr>
        <w:pStyle w:val="Heading3"/>
        <w:numPr>
          <w:ilvl w:val="2"/>
          <w:numId w:val="1"/>
        </w:numPr>
        <w:rPr/>
      </w:pPr>
      <w:bookmarkStart w:id="27" w:name="__RefHeading___Toc2853225_2870459653"/>
      <w:bookmarkStart w:id="28" w:name="_Toc7"/>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يُحرم التعدّي عن النصوص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عدم التعدّي أيضاً جزماً، ويُحرم مخالفة النصوص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عدم المخالفة جزماً؛ فلا بُدَّ للمجتهد من معرفة المقامين وتمييزهما ومعرفة دليل التعدّي حتّى يكون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الفرق بين المقامين أعظم خطراً على المجتهد، فلو كان أحد لم يفرّق ولم يعرف ما به الفرق يُخرِّب في الدين تخريبات كثيرة من أوَّل الفقه إلى آخره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التعدّي عن مورد النصّ وإلغاء خصوصيته من الأبحاث التي حظيت باهتمام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يبحث أهمية وخطورة هذا المبحث تارةً، وطرقه وأسبابه تارةً أُخرى، هذا بالإضافة إلى وضوح تطبيقه لموارد التعدّي في كتبه الفقهية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هذا العنوان بصورة مستقلّة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الفوائد الحائرية</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ضمن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أيضاً، وكذلك بحثه في شرحه لمقدّمة المفاتيح في ضمن كتابه مصابيح الظلام</w:t>
      </w:r>
      <w:r>
        <w:rPr>
          <w:rStyle w:val="FootnoteAnchor"/>
          <w:rtl w:val="true"/>
        </w:rPr>
        <w:footnoteReference w:id="4"/>
      </w:r>
      <w:r>
        <w:rPr>
          <w:rFonts w:ascii="Amiri" w:hAnsi="Amiri" w:eastAsia="Amiri" w:cs="Amiri"/>
          <w:color w:val="111111"/>
          <w:sz w:val="28"/>
          <w:sz w:val="28"/>
          <w:szCs w:val="28"/>
          <w:rtl w:val="true"/>
          <w:lang w:bidi="ar-SA"/>
        </w:rPr>
        <w:t>، فضلاً على الإشارة إليه في موارد متفرقة خصوصاً في كتابه الفوائد الحائرية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أهمية هذا البحث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الفوائد الحائرية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للمجتهد من مراعاة العلوم اللغوية، والعرف العامّ والخاصّ، وأنَّه لا يجوز التعدّي عن مدلول النصّ أصلاً ورأساً، ولا مخالفته مطلقاً، وأنَّ من تعدّى أو خالف بقدر ذرّة أو عشر معشار رأس شعرة يكون حاكماً بغير ما أنزل الله، ومفترياً على الله تعالى ومتعدّياً حدود الله وعاملاً بالقياس، هالكاً ومهلكاً للناس، ومبتدعاً بدعاً كثيرة في الدين، ومضيّعاً سُنّة خير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ترى أنَّه من </w:t>
      </w:r>
    </w:p>
    <w:p>
      <w:pPr>
        <w:pStyle w:val="BookText"/>
        <w:rPr/>
      </w:pPr>
      <w:r>
        <w:rPr>
          <w:rFonts w:ascii="Amiri" w:hAnsi="Amiri" w:eastAsia="Amiri" w:cs="Amiri"/>
          <w:color w:val="111111"/>
          <w:sz w:val="28"/>
          <w:sz w:val="28"/>
          <w:szCs w:val="28"/>
          <w:rtl w:val="true"/>
          <w:lang w:bidi="ar-SA"/>
        </w:rPr>
        <w:t>أوَّل الفقه إلى آخره في كلّ نصّ يقع التعدّي والمخالفة بلا شبهة، بل لا يجوز عدم التعدّي، ولو لم نتعدَّ لحكمنا بغير ما أنزل الله وافترينا على الله وشرّعنا في الدين إلى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أنَّه يحرم التعدّي عن النصوص جزماً ويحرم عدم التعدّي أيضاً جزماً، ويحرم مخالفة النصوص جزماً ويحرم عدم المخالفة جزماً؛ فلابُدَّ للمجتهد من معرفة المقامين وتمييزهما ومعرفة دليل التعدّي حتّى يكون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الفرق بين المقامين أعظم خطراً على المجتهد، فلو كان أحد لم يفرّق ولم يعرف ما به الفرق يُخرِّب في الدين تخريبات كثيرة من أوَّل الفقه إلى آخره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وسيقع البحث في بيان تلك الطرق وأسباب التعدّي التي ذكرها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ضابطة كل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البدء نذكر نصّين للوحيد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حصر فيهما 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لمقدّمة المفاتيح،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أنَّ التعدّي إمَّا على سبيل اليقين أو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العقل كعدم التكليف بما لا يطاق، واجتماع النقيضين والضدّين، والترجيح من غير مرجّح، وأنَّ نوع الإنسان بخلقة واحدة، كما في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معيّنة لا تدري دمها من العذرة أو الحيض، أنْ تدخل 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منحصر في الإجماع البسيط أو المركّب، إذ لم يوجد نصّ يكون قطعي السند والمتن والدلالة خالياً عن جميع المعارضات، أو قطعي العلاج، بل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 حكم من نصّ إلّا بمعونة الإجماع، وهذا ظاهر على مَن تفطّن بما أشرنا إليه من المتعدّيات وتأمّل في دلالة النصوص على الحكم، مع قطع النظر عن النقديات، </w:t>
      </w:r>
    </w:p>
    <w:p>
      <w:pPr>
        <w:pStyle w:val="BookText"/>
        <w:rPr/>
      </w:pPr>
      <w:r>
        <w:rPr>
          <w:rFonts w:ascii="Amiri" w:hAnsi="Amiri" w:eastAsia="Amiri" w:cs="Amiri"/>
          <w:color w:val="111111"/>
          <w:sz w:val="28"/>
          <w:sz w:val="28"/>
          <w:szCs w:val="28"/>
          <w:rtl w:val="true"/>
          <w:lang w:bidi="ar-SA"/>
        </w:rPr>
        <w:t>سيّما مع ملاحظة ما دلّ على حجّية ظنون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القياس بطريق أولى، والشيعة مجتمعة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نزاعهم في طريقها، والحقّ أنَّه الدلالة الالتزامية، فلو لم يصل إلى هذا الحدّ لا يكون حجّة، ولذا ورد في بعض الأخبار المنع عن العمل بعد ما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نقيسه بأحسنه، هذا وربّما تكون الدلالة 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المنصوص العلّة، وعندهم في حجّيته خلاف، والحقّ الحجّية، للدلالة العرفية، وهذا أعمّ من أن تكون العلّة مذكورة صريحاً، أو يذكر أمر في مقام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القاعدة الثابتة المسلّمة، مثل البيّنة على المدّعي واليمين على مَن أنكر، وأنَّ النكول موجب للحكم، أو القاعدة الواردة في خبر واحد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اتحاد طريق المسألتين،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بتحريم ذات البعل بالزنا بها بسبب تحريم المعتدّة بالعدّة الرجعية بالزنا بها، للنصّ على أنَّها بحكم الزوجة، فالزوجة بطريق أولى، فإنَّ الظاهر من الفقهاء أنَّه ليس بقياس أصلاً، وأنَّ المنشأ الفهم العرفي، وهو كذلك بعد وجود ذاك النصّ وملاحظته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تعليق الحكم على الوصف المشعر بالعلّية، لاسيّما وأنَّ هذا الوصف شرطٌ في التحريم بلا ريبة، مضافاً إلى الاستقراء في كون حكمها حكم ذات البعل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عموم المنزلة،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بمنزلة الطهارة المائية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من عموم الشباهة كما في تشبيهات الشارع واستعاراته في مقام يظهر منه أنَّ الشباهة في الحكم الشرعي، وأنَّ الفرض أنْ يفهم الراوي ذلك، هذا إذا كان جميع وجه الشبه على سواء في الظهور وانصراف الذهن، أو القدر الذي يكون كذلك 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الخمر على النبيذ،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منشؤه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عموم البدلية، مثل حكمهم في التيمم بوجوب تقديم اليمنى على اليسرى، لأنَّه بدل،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والمنشأ في هذا أيضاً الفهم العرفي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ذكره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التعدّي ربَّما يكون بعد ملاحظة أمرٍ، مثل القياس المنصوص العلّة، ومثل التلازم بين الحكمين،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كلام، إنَّما الكلام في مثل المواضع التي أشرنا إليها، من أنَّه بمجرد اللفظ يفهم التعدّي أو المخالفة، ومعلوم أنَّ ذلك لم يتحقّق إلّا بمنشأ، وهو التظافر والتسامع من المسلمين أو الفقهاء، والأنس بطريقتهم، وما فهموا من فتاواهم، وما رسخ في الخواطر من معاشرتهم ومخالطتهم، فربَّما يكون إجماعاً ضرورياً، وربَّما يكون إجماعاً نظرياً، وربَّما يكون إجماعاً ظنياً، وربَّما يكون مجرّد الشهرة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التمييز بين هذه الأقسام، فإنَّ القسمين الأولين لا تأمّل في حجّيتهما، والآخرين وقع النزاع في كلّ واحدٍ منهما، فلا بُدَّ من التشخيص ومعرفة الدليل، ثُمَّ الاعتماد والفتوى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أيضاً أنَّ التعدّي ربَّما يصير بتنقيح المناط، وهو مثل القياس إلّا أنَّ العلّة فيه منقّحة، أي حصل اليقين بأنَّ خصوصية الموضع لا دخل لها في الحكم، وكذا اليقين بعدم المانع في مورد آخر، فيجزم بالتعدّي، لامتناع تخلّف المعلول عن العلّة، مثل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 أهلي في شهر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القطع </w:t>
      </w:r>
    </w:p>
    <w:p>
      <w:pPr>
        <w:pStyle w:val="BookText"/>
        <w:rPr/>
      </w:pPr>
      <w:r>
        <w:rPr>
          <w:rFonts w:ascii="Amiri" w:hAnsi="Amiri" w:eastAsia="Amiri" w:cs="Amiri"/>
          <w:color w:val="111111"/>
          <w:sz w:val="28"/>
          <w:sz w:val="28"/>
          <w:szCs w:val="28"/>
          <w:rtl w:val="true"/>
          <w:lang w:bidi="ar-SA"/>
        </w:rPr>
        <w:t>حاصل بأنَّ العلّة هي الجماع فيه من غير مدخلية الأعرابية، ولا كون الجماع بالزوجة الدائمة، بل المتعة والجارية والزنا أيضاً كذلك، وربَّما لا يحصل القطع بالنسبة إلى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فالقطع إنَّما حصل بالإجماع، وهو المنقّح، إذ لا بُدَّ للتنقيح من منقّح شرعاً وليس فيما نحن فيه سوى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المواضع يصير المنقّح هو حكم العقل على سبيل اليقين، لكنّه قليل جداً، فالعمدة والأصل هو الإجماع؛ ولذا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فهم الحكم في حديث من أوَّل الفقه إلى آخره إلّا بمعونة الإجماع</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المقدّمة نشرع في بيان الطرق بحسب التقسيم المتقدّم الذي ذكره في شرحه لمقدّمة المفاتيح</w:t>
      </w:r>
      <w:r>
        <w:rPr>
          <w:rFonts w:eastAsia="Amiri" w:cs="Amiri" w:ascii="Amiri" w:hAnsi="Amiri"/>
          <w:color w:val="111111"/>
          <w:sz w:val="28"/>
          <w:szCs w:val="28"/>
          <w:rtl w:val="true"/>
          <w:lang w:bidi="ar-SA"/>
        </w:rPr>
        <w:t xml:space="preserve">. </w:t>
      </w:r>
      <w:bookmarkStart w:id="29" w:name="pg9111_107912"/>
    </w:p>
    <w:p>
      <w:pPr>
        <w:pStyle w:val="Heading3"/>
        <w:numPr>
          <w:ilvl w:val="2"/>
          <w:numId w:val="1"/>
        </w:numPr>
        <w:rPr/>
      </w:pPr>
      <w:bookmarkStart w:id="30" w:name="__RefHeading___Toc2853227_2870459653"/>
      <w:bookmarkStart w:id="31" w:name="_Toc8"/>
      <w:bookmarkEnd w:id="29"/>
      <w:bookmarkEnd w:id="30"/>
      <w:r>
        <w:rPr>
          <w:rtl w:val="true"/>
        </w:rPr>
        <w:t>القسم الأوَّل</w:t>
      </w:r>
      <w:r>
        <w:rPr>
          <w:rtl w:val="true"/>
        </w:rPr>
        <w:t xml:space="preserve">: </w:t>
      </w:r>
      <w:r>
        <w:rPr>
          <w:rtl w:val="true"/>
        </w:rPr>
        <w:t>التعدّي على سبيل اليقين</w:t>
      </w:r>
      <w:bookmarkEnd w:id="31"/>
    </w:p>
    <w:p>
      <w:pPr>
        <w:pStyle w:val="Heading4"/>
        <w:numPr>
          <w:ilvl w:val="3"/>
          <w:numId w:val="1"/>
        </w:numPr>
        <w:rPr/>
      </w:pPr>
      <w:bookmarkStart w:id="32" w:name="__RefHeading___Toc2853229_2870459653"/>
      <w:bookmarkStart w:id="33" w:name="_Toc9"/>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وله نحوان</w:t>
      </w:r>
      <w:r>
        <w:rPr>
          <w:rFonts w:eastAsia="IRNazanin" w:cs="IRNazanin"/>
          <w:color w:val="111111"/>
          <w:sz w:val="28"/>
          <w:szCs w:val="28"/>
          <w:rtl w:val="true"/>
          <w:lang w:bidi="fa-IR"/>
        </w:rPr>
        <w:t>:</w:t>
      </w:r>
    </w:p>
    <w:p>
      <w:pPr>
        <w:pStyle w:val="Heading4"/>
        <w:numPr>
          <w:ilvl w:val="3"/>
          <w:numId w:val="1"/>
        </w:numPr>
        <w:rPr/>
      </w:pPr>
      <w:bookmarkStart w:id="34" w:name="__RefHeading___Toc2853231_2870459653"/>
      <w:bookmarkStart w:id="35" w:name="_Toc10"/>
      <w:bookmarkEnd w:id="34"/>
      <w:r>
        <w:rPr>
          <w:rtl w:val="true"/>
        </w:rPr>
        <w:t>النحو الأوَّل</w:t>
      </w:r>
      <w:r>
        <w:rPr>
          <w:rtl w:val="true"/>
        </w:rPr>
        <w:t xml:space="preserve">: </w:t>
      </w:r>
      <w:r>
        <w:rPr>
          <w:rtl w:val="true"/>
        </w:rPr>
        <w:t>ما كان منشأ اليقين بالتعدّي هو حكم العقل</w:t>
      </w:r>
      <w:bookmarkEnd w:id="35"/>
    </w:p>
    <w:p>
      <w:pPr>
        <w:pStyle w:val="Heading5"/>
        <w:numPr>
          <w:ilvl w:val="4"/>
          <w:numId w:val="1"/>
        </w:numPr>
        <w:rPr/>
      </w:pPr>
      <w:bookmarkStart w:id="36" w:name="__RefHeading___Toc2853233_2870459653"/>
      <w:bookmarkStart w:id="37" w:name="_Toc11"/>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في البدء نعرض رأي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العقل، وعلاقته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لا بأس باستذكار مراداتهم من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ونخصّ بالكلام العقل العملي، أي إدراك العقل لما ينبغي فعله أو تركه، ومن أسباب ذلك هو إدراكه لحسن أو قبح ذلك الشيء، وقد ذكروا لمسألة الحسن والقبح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معاني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الكمال والنقص، وموردها الأفعال الاختيارية ومتعلّقاتها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الذي فيه كمال للنفس يوصف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فيه نقص للنفس يوصف بالقبيح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الملائمة للنفس والمنافرة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كذلك الأفعال الاختيارية ومتعلّقاتها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فيه ملائمة والتذاذ للنفس يوصف بالحسن، والذي فيه منافرة وألم واشمئزاز للنفس يوصف بالقبح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المدح والثواب، والذمّ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ما استحقّ فاعله المدح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والقبيح ما استحقّ فاعله الذمّ والعقاب، والحسن والقبح بهذا المعنى موردهما الأفعال الاختيارية فقط دون متعلّقاتها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محلّ النزاع في مسألة الحسن والقبح إنَّما هو المعنى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الظاهر من عبارات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أعمّ، حيث وصف الأشاعرة المنكرين للحسن والقبح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إنكارهم في اللسان وفي مقام المخاصمة، وإلّا فَهُم في مقام </w:t>
      </w:r>
      <w:bookmarkStart w:id="38" w:name="pg9111_107913"/>
    </w:p>
    <w:p>
      <w:pPr>
        <w:pStyle w:val="BookText"/>
        <w:rPr/>
      </w:pPr>
      <w:bookmarkEnd w:id="38"/>
      <w:r>
        <w:rPr>
          <w:rFonts w:ascii="Amiri" w:hAnsi="Amiri" w:eastAsia="Amiri" w:cs="Amiri"/>
          <w:color w:val="111111"/>
          <w:sz w:val="28"/>
          <w:sz w:val="28"/>
          <w:szCs w:val="28"/>
          <w:rtl w:val="true"/>
          <w:lang w:bidi="ar-SA"/>
        </w:rPr>
        <w:t>الموعظة وتهذيب الأخلاق يصرّحون بهما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ونقض عليهم أيضاً بما سلّموا به من وجود المنافرات والملائمات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الحسن والقبح بهذا المعنى الثالث ذكروا له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والقبح الذاتيان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الفعل يكون علّة تامّة للحسن والقبح، كالعدل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علّة تامّة للحسن، والظلم علّة تامّة للقبح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والقبح العرضيان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الفعل يكون فيه اقتضاء بذاته للحسن أو القبح ما لم يمنعه مانع ويعرض عليه 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علّية تامّة ولا اقتضاء فيه للحسن والقبح، وإنَّما يتّصف بالحسن إذا انطبق عليه عنوان حسن، وكذا يتّصف بالقبيح إذا انطبق عليه عنوان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والنزاع في مسألة الحسن والقبح إنَّما وقع في خصوص القسم الأوَّل من هذه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ثلاثة أقوال مشهورة في هذا المقام</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853235_2870459653"/>
      <w:bookmarkStart w:id="40" w:name="_Toc12"/>
      <w:bookmarkEnd w:id="39"/>
      <w:r>
        <w:rPr>
          <w:rtl w:val="true"/>
        </w:rPr>
        <w:t>القول الأوَّل</w:t>
      </w:r>
      <w:bookmarkEnd w:id="40"/>
    </w:p>
    <w:p>
      <w:pPr>
        <w:pStyle w:val="BookText"/>
        <w:rPr/>
      </w:pPr>
      <w:r>
        <w:rPr>
          <w:rFonts w:ascii="Amiri" w:hAnsi="Amiri" w:eastAsia="Amiri" w:cs="Amiri"/>
          <w:color w:val="111111"/>
          <w:sz w:val="28"/>
          <w:sz w:val="28"/>
          <w:szCs w:val="28"/>
          <w:rtl w:val="true"/>
          <w:lang w:bidi="ar-SA"/>
        </w:rPr>
        <w:t>ما نُسب لمشهور الفلاسفة من أنَّ الحسن والقبح من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الحسن هو ما تبانى العقلاء على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والقبيح هو ما تبانى العقلاء على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وراء تباني وتطابق آراء العقلاء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وأدرجوها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التأديبات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قسم من القضايا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تطابق آراء العقلاء هذا لا بُدَّ له من سبب، وقالوا إنَّ سببه هو إدراكهم للمصلحة أو المفسدة النوعيتين في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حكم العقلاء بالحسن والقبح هو إدراكهم للمصلحة أو المفسدة النوعيتين</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2853237_2870459653"/>
      <w:bookmarkStart w:id="42" w:name="_Toc13"/>
      <w:bookmarkEnd w:id="41"/>
      <w:r>
        <w:rPr>
          <w:rtl w:val="true"/>
        </w:rPr>
        <w:t>القول الثاني</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نُسب للمتكلّمين من أنَّ الحسن والقبح من الأُمور والصفات </w:t>
      </w:r>
      <w:bookmarkStart w:id="43" w:name="pg9111_107914"/>
    </w:p>
    <w:p>
      <w:pPr>
        <w:pStyle w:val="BookText"/>
        <w:rPr/>
      </w:pPr>
      <w:bookmarkEnd w:id="43"/>
      <w:r>
        <w:rPr>
          <w:rFonts w:ascii="Amiri" w:hAnsi="Amiri" w:eastAsia="Amiri" w:cs="Amiri"/>
          <w:color w:val="111111"/>
          <w:sz w:val="28"/>
          <w:sz w:val="28"/>
          <w:szCs w:val="28"/>
          <w:rtl w:val="true"/>
          <w:lang w:bidi="ar-SA"/>
        </w:rPr>
        <w:t>الواقعية المتعلّقة بالأفعال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الحسن واقعاً حسن لا أنَّ حسنه ينشأ من اعتبار العقلاء له، وكذا الفعل القبيح واقعاً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القضايا الأولية البديهية التي ليس للاعتبار والوضع إليها سبيل، كما هو الحال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أو ارتفاع النقيضين</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853239_2870459653"/>
      <w:bookmarkStart w:id="45" w:name="_Toc14"/>
      <w:bookmarkEnd w:id="44"/>
      <w:r>
        <w:rPr>
          <w:rtl w:val="true"/>
        </w:rPr>
        <w:t>القول الثالث</w:t>
      </w:r>
      <w:bookmarkEnd w:id="45"/>
    </w:p>
    <w:p>
      <w:pPr>
        <w:pStyle w:val="BookText"/>
        <w:rPr/>
      </w:pPr>
      <w:r>
        <w:rPr>
          <w:rFonts w:ascii="Amiri" w:hAnsi="Amiri" w:eastAsia="Amiri" w:cs="Amiri"/>
          <w:color w:val="111111"/>
          <w:sz w:val="28"/>
          <w:sz w:val="28"/>
          <w:szCs w:val="28"/>
          <w:rtl w:val="true"/>
          <w:lang w:bidi="ar-SA"/>
        </w:rPr>
        <w:t>ما نُسب للأشاعرة من إنكارهم للحسن والقبح الذاتي للأفعال وبقطع النظر عن حكم الشارع، فالحسن ما حسّنه الشارع والقبيح ما قبّحه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واقع لحسن وقبح الأشياء وراء حكم الشارع، سواء كان ذلك الواقع هو تطابق آراء العقلاء، أو القضية الأولية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مختار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المعتزلة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الحسن والقبيح مقتضى ذات الفعل من حيث هي هي،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من مقتضى وصفه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بالوجوه والاعتبارات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المعتزلة فلعلّهم لا يُعَيِّنون ذلك ويقولون بالأعمّ والقدر المشترك، وهو الصواب</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وبقطع النظر عن الملاحظات التي يمكن أنْ تُذكر حول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خارجة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أنَّ حكم العقل هو الأعمّ من كون منشئه هو القضايا الأولية البديهيّة، أو الاعتبار والتباني العقلائي، فيترتّب عليه أنَّ الحكم العقلي من الأُمور الواضحة والمرتكزة في أذهان العقلاء، فكون الحكم العقلي ناشئ من إدراكه للقضايا البديهية أو إدراكه للمصالح أو المفاسد النوعيتين والتي تبانى عليها آراء عامّة العقلاء مآله في الحقيقة إلى ارتكاز ذلك الأمر وتلك القضايا في الذهن العقلائي، ومن المعلوم أنَّ المرتكزات الذهنية تمثّل قرائن لبّية متّصلة يتصرّف على </w:t>
      </w:r>
    </w:p>
    <w:p>
      <w:pPr>
        <w:pStyle w:val="BookText"/>
        <w:rPr/>
      </w:pPr>
      <w:r>
        <w:rPr>
          <w:rFonts w:ascii="Amiri" w:hAnsi="Amiri" w:eastAsia="Amiri" w:cs="Amiri"/>
          <w:color w:val="111111"/>
          <w:sz w:val="28"/>
          <w:sz w:val="28"/>
          <w:szCs w:val="28"/>
          <w:rtl w:val="true"/>
          <w:lang w:bidi="ar-SA"/>
        </w:rPr>
        <w:t>ضوئها ذهن السامع والمتلقّي في ظهورات الكلام ويحكم بالانصراف من تعميم أو تخصيص أو إلغاء لخصوصية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الارتكاز يعني رسوخ تلك الصورة القائم عليها الارتكاز في الذهن العقلائي، وذلك الرسوخ موجب لعدم التفات الذهن إلى ما دونها، وظهورها بالخصوص من كلام المتكلّم، وعليه فاللازم على المتكلّم عند عدم إرادة تلك الصورة المترسخة أنْ يُعمل عناية لرفع ذلك الرسوخ، وإلفات السامع والمخاطب إلى ما يريده، ولا بُدَّ أنْ تتناسب تلك العناية كمّاً وكيفاً مع ثبوت ورسوخ ذلك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 هذا البيان والتفسير يتّضح حال الموارد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لحكم العقل باستحالته، فيحكم بقبحه، وصدور القبيح من الحكيم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النقيضين والضدّين بالبيان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من غير مرجّح والذي مرجعه إلى صدور المعلول من غير 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نوع الإنسان بخلقة واحدة، كما في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معيّنة لا تدري دمها من العذرة أو الحيض، أنْ تدخل القطنة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وذكرها في الفوائد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في امرأة اشتبه دم حيضها بالعذرة إنْ خرجت القطنة مطوقة فهو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نجزم أنَّ هذا حالة جميع النساء، لأنَّ خلقتهن واحدة، لا خصوصية لامرأة فيه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القاعدة لعلّها المنشأ للحكم بالاشتراك في الأحكام بين النساء مثلاً فيما يختصّ بهنّ، وبين الرجال والنساء فيما يشتركون به، أو بين الرجال فيما يختصّون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الاشتراك هذه لم يتمّ استفادتها بعنوانها من دليلٍ خاصٍّ حتّى يحكم بحجّية </w:t>
      </w:r>
    </w:p>
    <w:p>
      <w:pPr>
        <w:pStyle w:val="BookText"/>
        <w:rPr/>
      </w:pPr>
      <w:r>
        <w:rPr>
          <w:rFonts w:ascii="Amiri" w:hAnsi="Amiri" w:eastAsia="Amiri" w:cs="Amiri"/>
          <w:color w:val="111111"/>
          <w:sz w:val="28"/>
          <w:sz w:val="28"/>
          <w:szCs w:val="28"/>
          <w:rtl w:val="true"/>
          <w:lang w:bidi="ar-SA"/>
        </w:rPr>
        <w:t>ظهوره الظنّي، وتكون القاعدة من القواعد الظنّية التي قام الدليل الخاصّ على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ناشئة من الجزم والاطمئنان بذلك والناشئ من تجميع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وببركة هذا الاطمئنان تصبح هذه القاعدة من الأُمور المرتكزة في ذهن مَن حصل عنده ذلك الاطمئنان، فيجري فيها الكلام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تقدّم من شرحه لمقدّمة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ذكره في ما تقدّم نقله عن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حالاته إلى حكم العقل،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يخرج بقاعدة تنقيح المناط، وهو مثل القياس إلّا أنَّ العلّة المستنبطة فيه يقينية، بناءً على القاعدة المسلّمة عند الشيعة من كون الحسن والقبح عقليّين وعدم جواز تخلّف المعلول عن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والتنقيح لا يحصل إلّا بدليل يقيني شرعي فينحصر دليله في الإجماع والعقل، ومن هذا لا يذكر فقهاؤنا في كتبهم الاستدلالية اسم تنقيح المناط غالباً، لأنَّ الحجّة في الحقيقة هي تنقيح المناط بعنوان اليقين، وهو منحصر فيما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تقدّم نقله عن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للتنقيح من منقّح شرعاً وليس فيما نحن فيه سوى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الموارد يصير المنقّح هو حكم العقل على سبيل اليقين، لكنه قليل جداً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تنقيح المناط هو استكشاف لمناط وملاك الحكم والذي هو حقيقة وروح الحكم، فالحكم يدور مداره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حصول ذلك 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حصل اليقين بأنَّ خصوصية الموضع لا دخل لها في الحكم، وكذا اليقين بعدم المانع في مورد آخر، فيجزم بالتعدّي لامتناع تخلف المعلول عن العلّة، </w:t>
      </w:r>
      <w:bookmarkStart w:id="46" w:name="pg9111_107917"/>
    </w:p>
    <w:p>
      <w:pPr>
        <w:pStyle w:val="BookText"/>
        <w:rPr/>
      </w:pPr>
      <w:bookmarkEnd w:id="46"/>
      <w:r>
        <w:rPr>
          <w:rFonts w:ascii="IRNazanin" w:hAnsi="IRNazanin" w:eastAsia="IRNazanin"/>
          <w:color w:val="111111"/>
          <w:sz w:val="28"/>
          <w:sz w:val="28"/>
          <w:szCs w:val="28"/>
          <w:rtl w:val="true"/>
          <w:lang w:bidi="fa-IR"/>
        </w:rPr>
        <w:t xml:space="preserve">مثل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 أهلي في شهر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القطع حاصل بأنَّ العلّة هي الجماع فيه من غير مدخلية الأعرابية ولا كون الجماع بالزوجة الدائمة، بل المتعة والجارية والزنا أيضاً كذلك</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فرقه عن القياس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مستنبط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والمنصوص العلّة، فقد بيّنه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الحجة في الحقيقة هي تنقيح المناط بعنوان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بعنوان اليقين؛ لأنَّ الظني إنْ كان بغير النصّ فهو بعينه القياس المحرّم، وإنْ كان النصّ فهو القياس المنصوص العلّة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تنقيح المناط إنْ استند إلى حكم العقل فمرجع التعدّي حينئذٍ إلى الارتكاز؛ لما تقدّم من أنَّ الحكم العقلي هو بمثابة القرينة اللبّية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استناده إلى الإجماع، فسيأتي التعرّض إليه في النحو الآخر</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853241_2870459653"/>
      <w:bookmarkStart w:id="48" w:name="_Toc15"/>
      <w:bookmarkEnd w:id="47"/>
      <w:r>
        <w:rPr>
          <w:rtl w:val="true"/>
        </w:rPr>
        <w:t>النحو الآخر</w:t>
      </w:r>
      <w:r>
        <w:rPr>
          <w:rtl w:val="true"/>
        </w:rPr>
        <w:t xml:space="preserve">: </w:t>
      </w:r>
      <w:r>
        <w:rPr>
          <w:rtl w:val="true"/>
        </w:rPr>
        <w:t>ما كان منشأ اليقين بالتعدّي هو النقل</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بالإجماع البسيط أو المركب، كما تقدَّم نقل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النقل، وهو منحصر في الإجماع البسيط أو المركب؛ إذ لم يوجد نصّ يكون قطعي السند والمتن والدلالة خالياً عن جميع المعارضات، أو قطعي العلاج، بل قال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إثبات حكم من نصّ إلّا بمعونة الإجماع، وهذا ظاهر على مَن تفطن بما أشرنا إليه من المتعديات، وتأمّل في دلالة النصوص على الحكم مع قطع النظر عن التعدّيات، سيّما مع ملاحظة ما دلّ على حجية ظنون المجتهد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ولبيان الأمر نحتاج وبنحو من الإيجاز لبيان رأي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 فإنَّه اهتمّ به تنظيراً وتطبيقاً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شكّ في أنَّ الإجماع في اصطلاح الفقهاء عبارة عن اتفاق جمع يحصل من اتفاقهم اليقين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يحصل العلم واليقين لا يكون إجماعاً عندهم قطعاً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في الإجماع ثلاثة طرق للإجماع، قوّى الثالث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ينكر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 إليه معظم المحقّقين من أنَّ العلم يحصل من اتفاق الكلّ بأنَّ ذلك من رئيسهم، واتّفق كلّ المحقّقين في أمثال هذه الأزمان على ذلك</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بعض كلماته استناده إلى حساب الاحتمال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كلّ مسألةٍ شرعيةٍ في نفسها تحتمل احتمالات، وبعد ما رأينا فقيهاً متّقياً عادلاً متقناً عارفاً ورعاً مطلّعاً ماهراً مقدّساً أفتى فيها، يترجّح في النظر ما أفتى به، وليس وجود فتواه كعدمه على السواء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رأينا فقيهاً آخر يوافق الأول يحصل من فتواه ظنٌّ آخر ومن توافقهما ظنٌّ آخر، وهكذا كلّما زاد فقيه في الفتوى يحصل منه ظنٌّ آخر، ومن التوافق به ظنٌّ آخر، ومن توافق المتوافقين ظنٌّ آخر، وهكذا إلى أنْ يصل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كثرة الظنونات وكثرة التوافق يقتضي العلم به عادة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وحصول الظنّ من فتوى فقيه ماهر عادل متقٍّ باذل للجهد في استحصاله من الأدلّة الشرعية مستفرغ للوسع في ملاحظة جميع ما له دخل في الأخذ والفهم موصٍ للغير في الاحتياط في أخذ الحكم غايته، لا ينكره قلب </w:t>
      </w:r>
    </w:p>
    <w:p>
      <w:pPr>
        <w:pStyle w:val="BookText"/>
        <w:rPr/>
      </w:pPr>
      <w:r>
        <w:rPr>
          <w:rFonts w:ascii="Amiri" w:hAnsi="Amiri" w:eastAsia="Amiri" w:cs="Amiri"/>
          <w:color w:val="111111"/>
          <w:sz w:val="28"/>
          <w:sz w:val="28"/>
          <w:szCs w:val="28"/>
          <w:rtl w:val="true"/>
          <w:lang w:bidi="ar-SA"/>
        </w:rPr>
        <w:t>خالٍ عن الشوائب والمعائب، سيّما إذا كان الفقيه من القدماء، ثُمَّ إذا رأينا فقيهاً آخر مثله يشاركه حصل ظنّ آخر من قوله وقوّة أُخرى من اجتماعهما، وهكذا كلما رأينا فتوى حصل ظنّ منه وقوّة من انضمامه، وأُخرى من انضمامين، وعلى هذا القياس إلى أنْ يحصل العلم من نفس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بضميمة ملاحظة أنَّ أذهانهم مختلفة في إدراك الأُمور واستنباط المسائل، ومشربهم متفاوت في تأسيس المباني وتأصيل الأصول، ومع ذلك اتّفقوا هذا الاتفاق، وخصوصاً بعد التفطّن بما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وسيّما إذا كان الحكم ممّا يعمّ به البلوى وتكثر إليه الحاجة، وخصوصاً بعد ملاحظة أنَّ الأحكام الفقهية عند الرواة وسائر الشيعة ما كانت مقصورة فيما رووه في ذلك الزمان؛ لأنَّ تلك الروايات وردت بعد ظهور الشرع وانتشاره في الأقطار وامتداد ذلك في الأعصار، بحيث ما كان الرواة جاهلين ولا مستشكلين إلّا في أُمور خاصّة دعاهم إلى الجهل بها والاستشكال فيها أسباب معيّنة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تعميم الإجماع لما يشمل الاتفاق الضروري والإطباق، حيث ذكر إشكالاً لمنكري الإجماع وجواباً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البعض ربَّما يلجئهم جميع ما ذكرناه بعد المبالغة التامّة والإصرار وفي غاية الإكثار إلى القول بوجود غير الآية والحديث، وحصول العلم من غير جهتهما أيضاً،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 الإجماع؟ إذ لعلّه شيء آخر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ذكر ليس فطرياً بالبديهة، بل العقل لا طريق له أصلاً إلى وجوب مثل الصلاة والنجاسة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حصوله من النقل بالبديهة، فإذا لم يكن من الآية والحديث انحصر في الإجماع؛ إذ لا منشأ للعلم هنا إلّا اتفاق المسلمين أو </w:t>
      </w:r>
    </w:p>
    <w:p>
      <w:pPr>
        <w:pStyle w:val="BookText"/>
        <w:rPr/>
      </w:pPr>
      <w:r>
        <w:rPr>
          <w:rFonts w:ascii="Amiri" w:hAnsi="Amiri" w:eastAsia="Amiri" w:cs="Amiri"/>
          <w:color w:val="111111"/>
          <w:sz w:val="28"/>
          <w:sz w:val="28"/>
          <w:szCs w:val="28"/>
          <w:rtl w:val="true"/>
          <w:lang w:bidi="ar-SA"/>
        </w:rPr>
        <w:t>الشيعة، ولو كانت المسألة خلافية لم يتحقّق هذا العلم بالبديهة، إلّا إذا كان الخلاف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المنشأ هو الوفاق، على أنَّه أي شيء يكون المنشأ نحن نسمّيه بالإجماع ولا مشاحّة في التسمية، ونسمّيه أيضاً بالضروري أو الوفاق والإطباق، فأيّ اسم ترضى فسمّه به، وأقلّه ما ذكرت من أنَّه علم آخر وطريق ثالث، وإنَّي لا أدري أنَّ المنشأ ماذا؟ ولا مشاحّة في الاصطلاح عند جميع مَن له فهم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عرفت أنَّ الإجماع هو خبر بالأصل، إلّا أنَّه لم يصل إلينا بعنوان معنون ظنّي، بل وصل بعنوان يقيني</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ظهر أنَّ ملاك الإجماع هو الاتفاق الموجب لحصول العلم، وهذا الاتفاق حاصل عند القدماء أيضاً، وحصوله كذلك يعني أنَّه وصل إليهم يدّاً بيدّ من عصر النصّ، ممّا يعني أنَّ الحكم كان من الأُمور الواضحة في أذهان الفقهاء والرواة من قبلهم،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وخصوصاً بعد ملاحظة أنَّ الأحكام الفقهية عند الرواة وسائر الشيعة ما كانت مقصورة في ما رووه في ذلك الزمان؛ لأنَّ تلك الروايات وردت بعد ظهور الشرع وانتشاره في الأقطار وامتداد ذلك في الأعصار، بحيث ما كان الرواة جاهلين ولا مستشكلين إلّا في أُمور خاصّة دعاهم إلى الجهل بها والاستشكال فيها أسباب معيّنة كما هو الحال في أمثال أزماننا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أمثال زماننا حصل بعض ما كانت غير حاصلة في ذلك الزمان، وإنْ خفي بعض ما كانت ظاهرة 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يلقون إليهم الأحكام من أوَّلها إلى آخرها، وما كانوا يعترضون على الرواة حين استشكالهم في أمرٍ خاصٍّ بأنَّ هذا الحكم من أين عرفت؟ ولِمَ تسأل عن هذا الأمر الخاصّ دون نفس الأحكام وباقي متعلقاتها؟ وما ذكر ظاهر </w:t>
      </w:r>
    </w:p>
    <w:p>
      <w:pPr>
        <w:pStyle w:val="BookText"/>
        <w:rPr/>
      </w:pPr>
      <w:r>
        <w:rPr>
          <w:rFonts w:ascii="Amiri" w:hAnsi="Amiri" w:eastAsia="Amiri" w:cs="Amiri"/>
          <w:color w:val="111111"/>
          <w:sz w:val="28"/>
          <w:sz w:val="28"/>
          <w:szCs w:val="28"/>
          <w:rtl w:val="true"/>
          <w:lang w:bidi="ar-SA"/>
        </w:rPr>
        <w:t>على المتأمّل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بجميع روايات الأحكام المسلّمة عند الشيعة، التي لا تأمّل في وفاق كل الشيعة عليها، بل الفقه لو كان مقصوراً في الروايات المروية في الكافي خاصّة لعلّه لم يثبت كثير منه، وكذا الحال بالنسبة إلى غير الكليني من القدماء</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الفقيه عندما يأتي للمسألة الكذائية والتي لا يوجد لبيانها حديث، يستند في بيان حكمها إلى ذلك الوضوح الواصل إليه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فمرجع هذا النحو من إلغاء خصوصية المورد هو إلى ذلك الاتفاق والوضوح والارتكاز</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وجوه التعدّي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الكلام في مثل المواضع التي أشرنا إليها من أنَّه بمجرد اللّفظ يُفهم التعدّي أو المخالفة، ومعلوم أنَّ ذلك لم يتحقّق إلّا بمنشأ، وهو التظافر والتسالم عليه من المسلمين أو الفقهاء، والأنس بطريقتهم، وما فهموا من فتاواهم، وما رسخ في الخواطر من معاشرتهم ومخالطتهم، فربَّما يكون إجماعاً ضرورياً، وربَّما يكون إجماعاً نظرياً، وربَّما يكون إجماعاً ظنّياً، وربَّما يكون مجرّد الشهرة بين الفقهاء، فلا بُدَّ من التمييز بين هذه الأقسام، فإنَّ القسمين الأولين لا تأمّل في حجّيتهما، والآخرين وقع النزاع في كلّ واحدٍ منهما، فلا بُدَّ من التشخيص ومعرفة الدليل ثُمَّ الاعتماد والفتوى</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9" w:name="pg9111_107922"/>
    </w:p>
    <w:p>
      <w:pPr>
        <w:pStyle w:val="Heading3"/>
        <w:numPr>
          <w:ilvl w:val="2"/>
          <w:numId w:val="1"/>
        </w:numPr>
        <w:rPr/>
      </w:pPr>
      <w:bookmarkStart w:id="50" w:name="__RefHeading___Toc2853243_2870459653"/>
      <w:bookmarkStart w:id="51" w:name="_Toc16"/>
      <w:bookmarkEnd w:id="49"/>
      <w:bookmarkEnd w:id="50"/>
      <w:r>
        <w:rPr>
          <w:rtl w:val="true"/>
        </w:rPr>
        <w:t>القسم الثاني</w:t>
      </w:r>
      <w:r>
        <w:rPr>
          <w:rtl w:val="true"/>
        </w:rPr>
        <w:t xml:space="preserve">: </w:t>
      </w:r>
      <w:r>
        <w:rPr>
          <w:rtl w:val="true"/>
        </w:rPr>
        <w:t>التعدّي على سبيل الظن</w:t>
      </w:r>
      <w:bookmarkEnd w:id="51"/>
    </w:p>
    <w:p>
      <w:pPr>
        <w:pStyle w:val="Heading4"/>
        <w:numPr>
          <w:ilvl w:val="3"/>
          <w:numId w:val="1"/>
        </w:numPr>
        <w:rPr/>
      </w:pPr>
      <w:bookmarkStart w:id="52" w:name="__RefHeading___Toc2853245_2870459653"/>
      <w:bookmarkStart w:id="53" w:name="_Toc17"/>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وقد 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أنحاء، هي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853247_2870459653"/>
      <w:bookmarkStart w:id="55" w:name="_Toc18"/>
      <w:bookmarkEnd w:id="54"/>
      <w:r>
        <w:rPr>
          <w:rtl w:val="true"/>
        </w:rPr>
        <w:t>النحو الأوَّل</w:t>
      </w:r>
      <w:r>
        <w:rPr>
          <w:rtl w:val="true"/>
        </w:rPr>
        <w:t xml:space="preserve">: </w:t>
      </w:r>
      <w:r>
        <w:rPr>
          <w:rtl w:val="true"/>
        </w:rPr>
        <w:t>القياس بطريق الأولى</w:t>
      </w:r>
      <w:bookmarkEnd w:id="55"/>
    </w:p>
    <w:p>
      <w:pPr>
        <w:pStyle w:val="Heading5"/>
        <w:numPr>
          <w:ilvl w:val="4"/>
          <w:numId w:val="1"/>
        </w:numPr>
        <w:rPr/>
      </w:pPr>
      <w:bookmarkStart w:id="56" w:name="__RefHeading___Toc2853249_2870459653"/>
      <w:bookmarkStart w:id="57" w:name="_Toc19"/>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لمقدّمة المفاتيح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من القياس بطريق أولى، والشيعة مجتمعة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نزاعهم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الدلالة الالتزامية، فلو لم يصل إلى هذا الحدّ لا يكون حجّة، ولذا ورد في بعض الأخبار المنع من العمل بعد ما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نقيسه بأحسنه؛ هذا وربَّما تكون الدلالة يقينيّة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يوجب التعدّي عن مقتضى النصّ أيضاً القياس بطريق أولى، والشيعة مجتمعة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نزاعهم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الدلالة الالتزامية، فلو لم يصل إلى هذا الحدّ لا يكون حجّة، ولذا ورد في بعض الأخبار المنع عن العمل بعد ما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نقيس على أحسنه، هذا وربّما تكون الدلالة يقينيّة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الأصولية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من الشارع حكم لجزئي فإنْ كان بالاطلاع عليه يفهم ويتبادر حكم جزئي آخر فَهْماً عرفياً وتبادراً متعارفاً، فيكون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الجزئي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مفاهيم ألفاظ الشرع، ويعبّر عن ذلك بالمفهوم الموافق والمفهوم المخالف، ومفهوم الوصف، ومفهوم الغاية، إلى غير ذلك، والتعبير عن المفهوم الموافق معلّلاً بالقياس بطريق الأولى لعلّه لا مشاحّة فيه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الموافقة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المفاهيم مفهوم الموافقة،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قوله </w:t>
      </w:r>
      <w:bookmarkStart w:id="58" w:name="pg9111_107923"/>
    </w:p>
    <w:p>
      <w:pPr>
        <w:pStyle w:val="BookText"/>
        <w:rPr/>
      </w:pPr>
      <w:bookmarkEnd w:id="58"/>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لَهُما أ ُفٍّ، ولا نزاع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النزاع في طريق دلالته، والمعتبر عندي الدلالة العرفية ودوران الحجّة معها، ووجهه ظاهر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مجموع ما تقدّم يظهر أنَّ مفهوم الموافقة والقياس بطريق أولى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حاشيته على المدارك قال تعليقاً على 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مفهوم الموافقة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من باب القياس بطريق أولى لا إشكال فيه، وأمَّا كونه من باب مفهوم الموافقة ربَّما يحتاج إلى تأمّل، وعندي فرق بين المقامين، فتأمّل</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هذا الطريق يقع في أُمور</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853251_2870459653"/>
      <w:bookmarkStart w:id="60" w:name="_Toc20"/>
      <w:bookmarkEnd w:id="59"/>
      <w:r>
        <w:rPr>
          <w:rtl w:val="true"/>
        </w:rPr>
        <w:t>الأمر الأوَّل</w:t>
      </w:r>
      <w:r>
        <w:rPr>
          <w:rtl w:val="true"/>
        </w:rPr>
        <w:t xml:space="preserve">: </w:t>
      </w:r>
      <w:r>
        <w:rPr>
          <w:rtl w:val="true"/>
        </w:rPr>
        <w:t>أشار إلى النزاع في طريق دلالة قياس الأولوية</w:t>
      </w:r>
      <w:bookmarkEnd w:id="60"/>
    </w:p>
    <w:p>
      <w:pPr>
        <w:pStyle w:val="Heading6"/>
        <w:numPr>
          <w:ilvl w:val="5"/>
          <w:numId w:val="1"/>
        </w:numPr>
        <w:rPr/>
      </w:pPr>
      <w:bookmarkStart w:id="61" w:name="__RefHeading___Toc2853253_2870459653"/>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النزاع في طريق دلالة قياس الأولوية، والمذكور في كلماتهم أنَّ هناك ثلاثة أقوال</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2853255_2870459653"/>
      <w:bookmarkStart w:id="64" w:name="_Toc22"/>
      <w:bookmarkEnd w:id="63"/>
      <w:r>
        <w:rPr>
          <w:rtl w:val="true"/>
        </w:rPr>
        <w:t>القول الأوَّل</w:t>
      </w:r>
      <w:bookmarkEnd w:id="64"/>
    </w:p>
    <w:p>
      <w:pPr>
        <w:pStyle w:val="BookText"/>
        <w:rPr/>
      </w:pPr>
      <w:r>
        <w:rPr>
          <w:rFonts w:ascii="Amiri" w:hAnsi="Amiri" w:eastAsia="Amiri" w:cs="Amiri"/>
          <w:color w:val="111111"/>
          <w:sz w:val="28"/>
          <w:sz w:val="28"/>
          <w:szCs w:val="28"/>
          <w:rtl w:val="true"/>
          <w:lang w:bidi="ar-SA"/>
        </w:rPr>
        <w:t>أنَّه من باب القياس، قال في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الذاهبين إلى كون مثله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قطع النظر عن المعنى المناسب المشترك المقصود من الحكم كالإكرام، في منع التأفيف، وعن كونه آكد في الفرع لما حكم به، ولا معنى للقياس إلّا ذلك</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ذهب لذلك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وسيأتي مزيد بيان لذلك</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853257_2870459653"/>
      <w:bookmarkStart w:id="66" w:name="_Toc23"/>
      <w:bookmarkEnd w:id="65"/>
      <w:r>
        <w:rPr>
          <w:rtl w:val="true"/>
        </w:rPr>
        <w:t>القول الثاني</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تدلّ عليه بالدلالة المطابقية باعتبار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منقولة عن موضوعها اللغوي إلى المنع من أنواع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ذلك إلى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7" w:name="pg9111_107924"/>
    </w:p>
    <w:p>
      <w:pPr>
        <w:pStyle w:val="Heading6"/>
        <w:numPr>
          <w:ilvl w:val="5"/>
          <w:numId w:val="1"/>
        </w:numPr>
        <w:rPr/>
      </w:pPr>
      <w:bookmarkStart w:id="68" w:name="__RefHeading___Toc2853259_2870459653"/>
      <w:bookmarkStart w:id="69" w:name="_Toc24"/>
      <w:bookmarkEnd w:id="67"/>
      <w:bookmarkEnd w:id="68"/>
      <w:r>
        <w:rPr>
          <w:rtl w:val="true"/>
        </w:rPr>
        <w:t>القول الثالث</w:t>
      </w:r>
      <w:bookmarkEnd w:id="69"/>
    </w:p>
    <w:p>
      <w:pPr>
        <w:pStyle w:val="BookText"/>
        <w:rPr/>
      </w:pPr>
      <w:r>
        <w:rPr>
          <w:rFonts w:ascii="Amiri" w:hAnsi="Amiri" w:eastAsia="Amiri" w:cs="Amiri"/>
          <w:color w:val="111111"/>
          <w:sz w:val="28"/>
          <w:sz w:val="28"/>
          <w:szCs w:val="28"/>
          <w:rtl w:val="true"/>
          <w:lang w:bidi="ar-SA"/>
        </w:rPr>
        <w:t xml:space="preserve">أنَّه من باب الدلالة الالتزامية، وهو ما ذهب إليه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إدراك التلازم بين موضوعي الحكم كي ينتقل الذهن من أحدهما إلى الآخر ويتبادر المعنى إلى الذهن من اللفظ وبالتالي تثبت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تحقّق شروط الدلالة الالتزامية حينئذٍ ككون التلازم بيِّن بالمعنى الأخصّ، وسيأتي مزيد بيان لذلك</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853261_2870459653"/>
      <w:bookmarkStart w:id="71" w:name="_Toc25"/>
      <w:bookmarkEnd w:id="70"/>
      <w:r>
        <w:rPr>
          <w:rtl w:val="true"/>
        </w:rPr>
        <w:t>الأمر الثاني</w:t>
      </w:r>
      <w:r>
        <w:rPr>
          <w:rtl w:val="true"/>
        </w:rPr>
        <w:t xml:space="preserve">: </w:t>
      </w:r>
      <w:r>
        <w:rPr>
          <w:rtl w:val="true"/>
        </w:rPr>
        <w:t>في النسبة بين مفهوم الموافقة وقياس الأولوية</w:t>
      </w:r>
      <w:bookmarkEnd w:id="71"/>
    </w:p>
    <w:p>
      <w:pPr>
        <w:pStyle w:val="BookText"/>
        <w:rPr/>
      </w:pPr>
      <w:r>
        <w:rPr>
          <w:rFonts w:ascii="Amiri" w:hAnsi="Amiri" w:eastAsia="Amiri" w:cs="Amiri"/>
          <w:color w:val="111111"/>
          <w:sz w:val="28"/>
          <w:sz w:val="28"/>
          <w:szCs w:val="28"/>
          <w:rtl w:val="true"/>
          <w:lang w:bidi="ar-SA"/>
        </w:rPr>
        <w:t>والظاهر أنَّ هناك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النسبة 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النسبة هي العموم من وجه ولا بأس بنقل بعض الكلمات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والموافق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القطعية والمساواة، والأولوية أيضاً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مفهوماً عرفياً من نفس اللفظ يعرفه كلّ عارف باللغة،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 ُفٍّ فإنَّه يستفاد منه كلّ أحد حرمة الشتم والضرب والقتل بالأولوية القطعية، ويعرف أنَّ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كونه أدنى مرتبة التضجّر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يحتاج استفادته إلى ضمّ مقدّمة عقلية إليه،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الإمام موجب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علم من الخارج أنَّ ذلك إنَّما هو لحرمة الإمام وليس لكونه بشراً مخلوقاً يُفهم منه حرمة سبّه تعالى بالأولوية، ولا بُدَّ فيه من كون المقدمة العقلية قطعية، وإلّا فيكون استحساناً وليس بحجة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الآخر فهو ظاهر كلام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أجود التقريرات،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المفهوم الموافق يكون على نحو الأولوية تارةً، وعلى نحو المساواة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فيما إذا كانت الأولوية من المدركات العقلية، وأمَّا إذا كانت 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 ُفٍّ الدالّ على حرمة ضرب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خارج عن المفهوم وداخل في المداليل اللفظية العرفية</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مراد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التفرقة بين 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 بالأولوية على وجوب إكرام العلماء، ومثل آية الأُف، فإنَّ الأوَّل لا يكون إلّا بنحو من الملازمة والانتقال من الأضعف إلى موضع آخر يكون هو الأولى بالحكم الوارد على غيره، بخلاف آية الأف فإنَّه مع هذه الأولوية يمكن أنْ يكون من قبيل الكبرى الكلّية التي ذكر منها فردها الخفي، فيخرج حينئذٍ عن عالم المفاهيم التي وقع الكلام في كون دلالتها لفظية، أو عقلية، وقد اختار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لفظيّة، ويكون مفاد الآية الشريفة داخلاً في المداليل العرفية بلا كلام، ويكون ذلك من قبيل ذكر ما هو الأخفى من أفراد موضوع الكبرى</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فنقطة افتراق مفهوم الموافقة هو ما كان على نحو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ونقطة افتراق الأولوية هو ما أسماه بالمدلول اللفظي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أيضاً ما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بمفهوم الموافقة ما يستفاد من الدليل مشاركته مع حكم الموضوع المذكور في الدليل إمَّا لكون ثبوته فيه أولى من ثبوته في ملزومه، أو لكونه مساوياً لاشتراكهما في علّة الحكم ومناطه، ويشترط فيه أنْ تكون الملازمة عرفية فلا يكفي ثبوت الملازمة بعنايات عقلية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فمورد افتراق </w:t>
      </w:r>
    </w:p>
    <w:p>
      <w:pPr>
        <w:pStyle w:val="BookText"/>
        <w:rPr/>
      </w:pPr>
      <w:r>
        <w:rPr>
          <w:rFonts w:ascii="Amiri" w:hAnsi="Amiri" w:eastAsia="Amiri" w:cs="Amiri"/>
          <w:color w:val="111111"/>
          <w:sz w:val="28"/>
          <w:sz w:val="28"/>
          <w:szCs w:val="28"/>
          <w:rtl w:val="true"/>
          <w:lang w:bidi="ar-SA"/>
        </w:rPr>
        <w:t>الأولوية وفق هذا الكلام هو الأولوية غير المستفادة من اللفظ وإنَّما المستفادة من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يظهر من مجموع كلمات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بينهما هي العموم من وجه، فقد قال في رسالة في الجمع بين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الحكم بالأولوية إمَّا لحكم العقل بها أو لحكم الشرع</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فالأولوية وفق هذا النصّ على قسمين أولوية شرعية وأولوية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أنَّ حجّية الأولوية إمَّا أنْ تكون لأجل الدلالة الالتزامية، وبالتالي تكون أولوية عرفية أو أولوية يقينية، والثابت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إمَّا ناشئ من حكم العقل أو النقل كما إذا ثبتت الأولوية بالإجماع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الأولوية الشرعية والعرفية مرجعهما إلى أمرٍ واحدٍ، فإنَّ الأولوية العرفية ما لم تندرج تحت حجّية الظهور، أو تكون يقينية، لا تكون حجّة وشرعية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فالأولوية العقلية خارجة عن مفهوم الموافقة لما تقدّم من أنَّ طريق دلالة مفهوم الموافقة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الدلالة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نقطة افتراق الأولوية عن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نقطة افتراق مفهوم الموافقة عن الأولوية فهو بما يسمّى بقياس التساوي أو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نقطة الالتقاء والاشتراك فهي الأولوية العرفية أو الشرعية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تفريقه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الأولوية ومفهوم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حاشيته على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هذا الذي ذكرناه</w:t>
      </w:r>
      <w:r>
        <w:rPr>
          <w:rFonts w:eastAsia="Amiri" w:cs="Amiri" w:ascii="Amiri" w:hAnsi="Amiri"/>
          <w:color w:val="111111"/>
          <w:sz w:val="28"/>
          <w:szCs w:val="28"/>
          <w:rtl w:val="true"/>
          <w:lang w:bidi="ar-SA"/>
        </w:rPr>
        <w:t xml:space="preserve">. </w:t>
      </w:r>
      <w:bookmarkStart w:id="72" w:name="pg9111_107927"/>
    </w:p>
    <w:p>
      <w:pPr>
        <w:pStyle w:val="Heading5"/>
        <w:numPr>
          <w:ilvl w:val="4"/>
          <w:numId w:val="1"/>
        </w:numPr>
        <w:rPr/>
      </w:pPr>
      <w:bookmarkStart w:id="73" w:name="__RefHeading___Toc2853263_2870459653"/>
      <w:bookmarkStart w:id="74" w:name="_Toc26"/>
      <w:bookmarkEnd w:id="72"/>
      <w:bookmarkEnd w:id="73"/>
      <w:r>
        <w:rPr>
          <w:rtl w:val="true"/>
        </w:rPr>
        <w:t>الأمر الثالث</w:t>
      </w:r>
      <w:r>
        <w:rPr>
          <w:rtl w:val="true"/>
        </w:rPr>
        <w:t xml:space="preserve">: </w:t>
      </w:r>
      <w:r>
        <w:rPr>
          <w:rtl w:val="true"/>
        </w:rPr>
        <w:t>استند في إثبات الحجّية في المقام وغيره إلى الفهم العرفي</w:t>
      </w:r>
      <w:bookmarkEnd w:id="74"/>
    </w:p>
    <w:p>
      <w:pPr>
        <w:pStyle w:val="BookText"/>
        <w:rPr/>
      </w:pPr>
      <w:r>
        <w:rPr>
          <w:rFonts w:ascii="Amiri" w:hAnsi="Amiri" w:eastAsia="Amiri" w:cs="Amiri"/>
          <w:color w:val="111111"/>
          <w:sz w:val="28"/>
          <w:sz w:val="28"/>
          <w:szCs w:val="28"/>
          <w:rtl w:val="true"/>
          <w:lang w:bidi="ar-SA"/>
        </w:rPr>
        <w:t xml:space="preserve">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الحجّية في المقام وغيره إلى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الالتزامية أحد سبل الفهم العرفي، فاقتضى الأمر الوقوف عند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الفهم العرفي كي يستند إليه ويكون حجّة لا بُدَّ أنْ يكون ناشئاً من مناسبة ونكتة نوعية عامّة، فالظهور الناشئ من هذا الفهم هو الذي يكون حجّة والذي يسمّى بالظهور الموضوعي، دون ما كان ناشئاً من ملابسات وعوامل شخصية ذاتية وهو ما يسمّى بالظهور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كلمات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تصورياً أو تصديقياً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يراد به الظهور في ذهن إنسان معيّن، وهذا هو الظهور الذاتي، وأُخرى يراد به الظهور بموجب علاقات اللغة وأساليب التعبير العامّ، وهذا هو الظهور الموضوعي، والأوَّل يتأثّر بالعوامل والظروف الشخصية للذهن التي تختلف من مورد إلى آخر تبعاً إلى أنسه الذهني وعلاقاته، بخلاف الثاني الذي له واقع محدّد يتمثّل في كل ذهنٍ يتحرّك بموجب علاقات اللغة وأساليب التعبير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موضوع الحجّية الظهور الموضوعي؛ لأنَّ هذه الحجّية قائمة على أساس أنَّ ظاهر حال كلّ متكلّم إرادة المعنى الظاهر من اللفظ، ومن الواضح أنَّ ظاهر حاله بوصفه إنساناً عرفياً إرادة ما هو المعنى الظاهر موضوعياً لا ما هو الظاهر نتيجة لملابسات شخصية في ذهن هذا السامع أو ذاك</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بكفاية الظن بالمناسبة والنكتة، ولا يشترط إحراز وجودها ببيان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طرق استكشاف ذلك الظهور الموضوعي تتمّ عن طريق الظهور الذاتي، ومن تلك الطرق ما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البحوث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إحراز الظهور </w:t>
      </w:r>
    </w:p>
    <w:p>
      <w:pPr>
        <w:pStyle w:val="BookText"/>
        <w:rPr/>
      </w:pPr>
      <w:r>
        <w:rPr>
          <w:rFonts w:ascii="Amiri" w:hAnsi="Amiri" w:eastAsia="Amiri" w:cs="Amiri"/>
          <w:color w:val="111111"/>
          <w:sz w:val="28"/>
          <w:sz w:val="28"/>
          <w:szCs w:val="28"/>
          <w:rtl w:val="true"/>
          <w:lang w:bidi="ar-SA"/>
        </w:rPr>
        <w:t>الموضوعي بإحدى طريقتين،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إحرازه تعبّداً، وذلك بدعوى جعل الظهور الذاتي أمارة عقلائية عليه، فإنَّ السيرة قائمة على جعل ما يتبادره كلّ شخص من الكلام هو الميزان في تشخيص الظهور الموضوعي المشترك عند العرف</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العبارة قيام السيرة العقلائية على أمارية الظهور الذاتي مطلقاً سواء حصل العلم والإحراز عند صاحب الظهور الذاتي للنكتة والمناسبة، أم كان الحاصل عنده مجرد الظن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يلاحظ على هذه الدعوى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الظهور الذاتي لما كان تبادراً كاشفاً عن الظهور الموضوعي، فلا بُدَّ من توفر شرط التبادر فيه وهو إحراز العلاقة اللغوية والعلم بها على تفصيل ذكروه في الأبحاث الأُصولية لنوع ذلك العلم بالوضع، كجوابٍ على إشكال الدور على ذلك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التبادر الذي هو علامة الحقيقة والوضع لا بُدَّ فيه من إحراز الوضع 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إحراز القرن الأكيد بين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نظرية القرن الأكيد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التبادر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إثبات التطابق بين ما يفهمه الشخص مع ما يفهمه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إحراز وجود العلاقة اللغوية العرفية وما يعتمده العرف من أساليب المحاورة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واضح لا غبار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الظهور الذاتي لا بُدَّ له من سبب ومستند، وهو إمَّا الوضع أو القرينة الخاصّة، وكلاهما خارج عن محلّ الكلام، وأمَّا القرينة العرفية العامّة وطريقة أهل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يستند السامع في فهمه إليها لا بُدَّ من اطلاعه عليها وإحرازه لوجودها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يتّضح أنَّ ادّعاء قيام سيرة في المقام على كفاية مطلق الظهور الذاتي أو الظنّ بالمناسبة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التفريق بين ما ذكرناه وبين حجّية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موضوعه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نوعين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بوجود نكتة ومناسبة يستند إليها العرف في محاوراتهم، وتمثّل قرينة عامّة على استكشاف مراداتهم، وهذا ما قلنا بعدم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وجود النكتة والمناسبة، ولكن السامع يشكّ في أنَّ المتكلّم هل أتبع طرق وأساليب أهل المحاورة واعتمد على تلك المناسبة في بيان مراده أم لا؟</w:t>
      </w:r>
    </w:p>
    <w:p>
      <w:pPr>
        <w:pStyle w:val="BookText"/>
        <w:rPr/>
      </w:pPr>
      <w:r>
        <w:rPr>
          <w:rFonts w:ascii="Amiri" w:hAnsi="Amiri" w:eastAsia="Amiri" w:cs="Amiri"/>
          <w:color w:val="111111"/>
          <w:sz w:val="28"/>
          <w:sz w:val="28"/>
          <w:szCs w:val="28"/>
          <w:rtl w:val="true"/>
          <w:lang w:bidi="ar-SA"/>
        </w:rPr>
        <w:t>وهنا قالوا إنَّ ظاهر حال كل متكلّم أنْ يتكلم على وفق أساليب وطرق المحاورة اللغوية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مورد حجية الظهور والتعبّد بالظهور الظني والذي قامت عليه السيرة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بلا بُدّية إحراز وجود المناسبة العرفية وطريقة وأسلوب أهل المحاورة لا يعني إخراج المسألة عن كبرى حجّية الظهور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إحراز وجود المناسبة العرفية، وعدم الاكتفاء بالظن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مراد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فإنَّ عبارته في البحوث وإنْ كانت موهمة بما تقدّم،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الحلقة الثالثة فسّرها بما يرجع بروحه إلى ما ذكرناه،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الظهور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يعبّر عنه بالتبادر أو الانسباق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بأنَّه أمارة عقلائية على تعيين الظهور الموضوعي، فكلّ إنسان إذا انسبق إلى ذهنه معنى مخصوص من كلام ولم يجد بالفحص شيئاً محدّداً شخصياً يمكن أنْ يفسّر ذلك </w:t>
      </w:r>
    </w:p>
    <w:p>
      <w:pPr>
        <w:pStyle w:val="BookText"/>
        <w:rPr/>
      </w:pPr>
      <w:r>
        <w:rPr>
          <w:rFonts w:ascii="Amiri" w:hAnsi="Amiri" w:eastAsia="Amiri" w:cs="Amiri"/>
          <w:color w:val="111111"/>
          <w:sz w:val="28"/>
          <w:sz w:val="28"/>
          <w:szCs w:val="28"/>
          <w:rtl w:val="true"/>
          <w:lang w:bidi="ar-SA"/>
        </w:rPr>
        <w:t>الانسباق، فيعتبر هذا الانسباق دليلاً على الظهور الموضوعي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السامع يقوم بعملية تحليلية في ذهنه لمعرفة سبب ذلك التبادر، فإنْ جرّده عن جميع الأسباب والعوامل الشخصية المحتملة انحصر السبب حينئذٍ بالمناسبة العرفية العامّة، فيكشف حينئذٍ عن الظهور الموضوعي، وذلك مساوق لإحراز وجود المناسبة والنكتة، وإلّا فالظن بها يعني احتمال مدخلية أحد العوامل الشخصية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المناسبة العرفية العامّة مرجعها إلى الارتكاز، فإنَّ المناسبة تعني أنَّ الطريقة اللغوية وأساليب الحوار عند أهل العرف والعقلاء هي تلك، أي أنَّ سيرتهم قامت على ذلك، ومن الواضح أنَّ منشأ الطريقة والسيرة هو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على وفق المناسبة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إحرازها بخصوصها وعينها، بل يكفي إحراز أصل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الفهم العرفي لمدلولات الأدلّة وكلمات الشارع والمتكلم لا بُدَّ لها من مستند، ومستندها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الوضع أو القرينة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خارجٌ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القرينة العامّة، والتي مرجعها إلى الارتكاز كما تقدّم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إلى ذلك تشير كلمات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الكلام في مثل المواضع التي أشرنا إليها من أنَّه بمجرد اللفظ يُفهم التعدّي أو المخالفة، ومعلوم أنَّ ذلك لم يتحقّق إلّا بمنشأ، وهو التظافر والتسامع من المسلمين أو الفقهاء والأنس بطريقتهم، وما فهموا من فتاواهم، وما رسخ في الخواطر من معاشرتهم ومخالطتهم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5" w:name="pg9111_107931"/>
    </w:p>
    <w:p>
      <w:pPr>
        <w:pStyle w:val="Heading5"/>
        <w:numPr>
          <w:ilvl w:val="4"/>
          <w:numId w:val="1"/>
        </w:numPr>
        <w:rPr/>
      </w:pPr>
      <w:bookmarkStart w:id="76" w:name="__RefHeading___Toc2853265_2870459653"/>
      <w:bookmarkStart w:id="77" w:name="_Toc27"/>
      <w:bookmarkEnd w:id="75"/>
      <w:bookmarkEnd w:id="76"/>
      <w:r>
        <w:rPr>
          <w:rtl w:val="true"/>
        </w:rPr>
        <w:t>الأمر الرابع</w:t>
      </w:r>
      <w:r>
        <w:rPr>
          <w:rtl w:val="true"/>
        </w:rPr>
        <w:t xml:space="preserve">: </w:t>
      </w:r>
      <w:r>
        <w:rPr>
          <w:rtl w:val="true"/>
        </w:rPr>
        <w:t>في بيان ضابطة الأولوية</w:t>
      </w:r>
      <w:bookmarkEnd w:id="77"/>
    </w:p>
    <w:p>
      <w:pPr>
        <w:pStyle w:val="Heading6"/>
        <w:numPr>
          <w:ilvl w:val="5"/>
          <w:numId w:val="1"/>
        </w:numPr>
        <w:rPr/>
      </w:pPr>
      <w:bookmarkStart w:id="78" w:name="__RefHeading___Toc2853267_2870459653"/>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قسّم الأعلام الأولوية إلى قسمين</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2853269_2870459653"/>
      <w:bookmarkStart w:id="81" w:name="_Toc29"/>
      <w:bookmarkEnd w:id="80"/>
      <w:r>
        <w:rPr>
          <w:rtl w:val="true"/>
        </w:rPr>
        <w:t>القسم الأوَّل</w:t>
      </w:r>
      <w:r>
        <w:rPr>
          <w:rtl w:val="true"/>
        </w:rPr>
        <w:t xml:space="preserve">: </w:t>
      </w:r>
      <w:r>
        <w:rPr>
          <w:rtl w:val="true"/>
        </w:rPr>
        <w:t>الأولوية العرفية</w:t>
      </w:r>
      <w:bookmarkEnd w:id="81"/>
    </w:p>
    <w:p>
      <w:pPr>
        <w:pStyle w:val="BookText"/>
        <w:rPr/>
      </w:pPr>
      <w:r>
        <w:rPr>
          <w:rFonts w:ascii="Amiri" w:hAnsi="Amiri" w:eastAsia="Amiri" w:cs="Amiri"/>
          <w:color w:val="111111"/>
          <w:sz w:val="28"/>
          <w:sz w:val="28"/>
          <w:szCs w:val="28"/>
          <w:rtl w:val="true"/>
          <w:lang w:bidi="ar-SA"/>
        </w:rPr>
        <w:t>ويمكن إجمال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الأولوية التي يفهمها العرف بمجرّد ثبوت المدلول المطابقي للكلام، ومن دون الحاجة إلى توسّط مقدمة عقلية أو خارجية، فيفهم منها العرف ثبوت الحكم للموضوع الآخر لأنَّه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هناك ملازمة بين الحكمين لا بين الموضوعين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منشآن محتملان لهذه الملازمة،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كلا الموضوعين في ملاك الحكم وذلك الملاك يكون أقوى وأشد في الموضوع الآخر منه في الموضوع الأول، أي أنَّ العرف يفهم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حرمة التأفف للوالدين هو الإهانة ومن دون دخل لأي خصوصية أخرى، فتكون هي علّة الحكم، ومن البديهي ثبوت الحكم في المورد والموضوع الذي يوجد فيه ذلك الملاك بنحو أقوى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منشأ فَهْم وتشخيص العرف لذلك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تنقيحه لمناط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يكون بطريق قطعي ولا يكفي فيه مجرد الظن، وإلّا لزم الوقوع في محذور القياس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تلك الطرق بالإجماع والعقل، ويمكن أنْ نضيف إلى ذلك الارتكاز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عقلائي أو متشرّعي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المرتكز في ذهن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حرمة التأفف للوالدين هو الإهانة، فالعرف وببركة ذلك الارتكاز يحرز ذلك الملاك وبالتالي يكتشف الملازمة القطعية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في المقام ليست من دلالة اللفظ على المدلول الالتزامي فالملازمة ليست بين اللفظ والمدلول الالتزامي، وإنَّما هي من دلالة المدلول على المدلول، وملازمة بين المدلول المطابقي والمدلول الذي يراد إثباته، وذلك لما تقدّم من أنَّ الملازمة </w:t>
      </w:r>
    </w:p>
    <w:p>
      <w:pPr>
        <w:pStyle w:val="BookText"/>
        <w:rPr/>
      </w:pPr>
      <w:r>
        <w:rPr>
          <w:rFonts w:ascii="Amiri" w:hAnsi="Amiri" w:eastAsia="Amiri" w:cs="Amiri"/>
          <w:color w:val="111111"/>
          <w:sz w:val="28"/>
          <w:sz w:val="28"/>
          <w:szCs w:val="28"/>
          <w:rtl w:val="true"/>
          <w:lang w:bidi="ar-SA"/>
        </w:rPr>
        <w:t>إنَّما تثبت بعد تنقيح المناط وتحديد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مدلولاً للفظ المذكور في الآية المباركة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بين المدلولين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التأفف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في الملاك وهو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جيء بصياغات أُخرى للدليل الذي يراد إثبات الأولوية به لما كان ذلك مؤثراً في ثبوت أو انتفاء الملازمة، بل لو ثبت الحكم بواسطة دليل غير لفظي لكانت الملازمة ثابتة أيضاً، فإنَّ اكتشاف الملاك وبالتالي الأولوية غير متوقف على نوع الصياغة اللفظية كما هو واضح ممّا يعني أنَّ الدال في المقام ليس هو اللفظ حتّى تكون الأولوية من دلالة اللفظ على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أحد وجوه الفرق بين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وإنْ اشتركا في دلالتهما على المدلول الالتزامي لكنَّ دلالة مفهوم المخالفة من دلالة اللفظ على المفهوم بقرينة أنَّ ثبوت المفهوم من عدمه يتأثّر بتأثّر الصياغات اللفظية، فالجملة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 عالماً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لها مفهوم الشرط، ولكن لو صيغت بصياغة الجملة الوصفية بأنْ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علياً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لها المفهوم بناءً على عدم ثبوت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تقدّم اتّضح الوجه في تعبير البعض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العرفية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كونها عرفية فباعتبار أنَّ العرف هو الذي يكتشف الملاك والأشدّية، وإمَّا كونها قطعية فباعتبار أنَّ ذلك الاكتشاف إنْ لم يبلغ مرتبة القطع والاطمئنان فلا اعتبار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ذكره من باب ذكر الخاصّ للتنبيه على العامّ، وذكر الفرد الخفي للتنبيه على الفرد الجليّ، وفي هذا الصدد يذكر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نقله 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تقرير الشيخ موسى الخوانساري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وجه الأولوية قد يكون لحكم العقل بها أو لدلالة اللفظ عليها، وأولوية حرمة إيذاء الوالدين بالضرب المستفادة من </w:t>
      </w:r>
      <w:bookmarkStart w:id="82" w:name="pg9111_107933"/>
    </w:p>
    <w:p>
      <w:pPr>
        <w:pStyle w:val="BookText"/>
        <w:rPr/>
      </w:pPr>
      <w:bookmarkEnd w:id="8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لَهُما أ ُفٍّ يمكن أنْ يكون على كلا الوجهين؛ لأنَّ العقل يحكم بعد أنْ علم بحرمة الأُف أنَّ الضرب محرّم بطريق أولى، فهذه الأولوية من الأحكام العقلية الملازمية، واللفظ أيضاً دالّ عليها بالدلالة السياقية؛ لأنَّه يفهم من هذا الكلام أنَّه من قبيل التنبيه على العامّ بذكر الخاصّ، فإنَّه بصدد بيان أوَّل درجة من الإيذاء وأدناه، فحرمة أعلى درجة تستفاد من سوق الكلام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قد صرَّح بأنَّها من المداليل الالتزامية اللفظية فتندرج تحت كبرى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هناك قرينة في سياق الكلام تدلّ على ذلك فحينئذٍ يكون التعميم لأجل تلك القرينة، وتندرج تحت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بعيداً عن مجموع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أنَّ العرف يفهم ذلك، فيرجع الكلام حينئذٍ إلى المنشأ الأوَّل</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2853271_2870459653"/>
      <w:bookmarkStart w:id="84" w:name="_Toc30"/>
      <w:bookmarkEnd w:id="83"/>
      <w:r>
        <w:rPr>
          <w:rtl w:val="true"/>
        </w:rPr>
        <w:t>القسم الآخر</w:t>
      </w:r>
      <w:r>
        <w:rPr>
          <w:rtl w:val="true"/>
        </w:rPr>
        <w:t xml:space="preserve">: </w:t>
      </w:r>
      <w:r>
        <w:rPr>
          <w:rtl w:val="true"/>
        </w:rPr>
        <w:t>الأولوية العقلية</w:t>
      </w:r>
      <w:bookmarkEnd w:id="84"/>
    </w:p>
    <w:p>
      <w:pPr>
        <w:pStyle w:val="BookText"/>
        <w:rPr/>
      </w:pPr>
      <w:r>
        <w:rPr>
          <w:rFonts w:ascii="Amiri" w:hAnsi="Amiri" w:eastAsia="Amiri" w:cs="Amiri"/>
          <w:color w:val="111111"/>
          <w:sz w:val="28"/>
          <w:sz w:val="28"/>
          <w:szCs w:val="28"/>
          <w:rtl w:val="true"/>
          <w:lang w:bidi="ar-SA"/>
        </w:rPr>
        <w:t>ولعلّ المراد منها قد اتّضح ممّا تقدَّم، فهي الأولوية التي تثبت من خلال توسّط مقدّمة عقلية، وهذه المقدّمة وبالتالي الأولوية لا بُدَّ أنْ تكون قطعية، أي من خلال هذه نستطيع أنْ نستكشف ملاك الحكم وأنَّه ثابت في الآخر بنحو أقوى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تقدّم فإنَّ من أبرز الطرق لاكتشاف ذلك هو الإجماع أو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فيها نفس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من دلالة المدلول على المدلول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تقدَّم أشار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قوانينه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فحاصل الكلام في القياس بطريق الأولى الذي يقول به الشيعة، لا بُدَّ أنْ يكون قياس نصّ على علّته أو نبّه عليها، ودفع احتمال مدخلية خصوصية الأصل فيها من جهة كون العلّة في الفرع أقوى </w:t>
      </w:r>
      <w:bookmarkStart w:id="85" w:name="pg9111_107934"/>
    </w:p>
    <w:p>
      <w:pPr>
        <w:pStyle w:val="BookText"/>
        <w:rPr/>
      </w:pPr>
      <w:bookmarkEnd w:id="85"/>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يتّضح حال دعوى أنَّ حجّية الأولوية من باب 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تبنّاه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يعني أنَّ الأولوية تحصل بواسطة تبادر المعنى إلى الذهن من اللفظ من دون ملاحظة الأصل والفرع والعلّة المشتركة بينهما وأنَّ تلك العلّة هي الملاك التامّ والمستقلّ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الالتزامية في المقام تعني عدم انفكاك تصوّر الفرع عن تصوّر الأصل، وبلا حاجة إلى تصوّر وملاحظة أمر آخر، فإنَّ ذلك هو الذي يحقّق شرط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بيِّن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تمامية ذلك، بل لا بُدَّ من استكشاف العلّة وأنَّها الملاك التامّ والمستقلّ للحكم وأنَّها متحقّقة في الآخر بنحو آكد وأشدّ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853273_2870459653"/>
      <w:bookmarkStart w:id="87" w:name="_Toc31"/>
      <w:bookmarkEnd w:id="86"/>
      <w:r>
        <w:rPr>
          <w:rtl w:val="true"/>
        </w:rPr>
        <w:t>النحو الثاني</w:t>
      </w:r>
      <w:r>
        <w:rPr>
          <w:rtl w:val="true"/>
        </w:rPr>
        <w:t xml:space="preserve">: </w:t>
      </w:r>
      <w:r>
        <w:rPr>
          <w:rtl w:val="true"/>
        </w:rPr>
        <w:t>القياس منصوص العلّة</w:t>
      </w:r>
      <w:bookmarkEnd w:id="87"/>
    </w:p>
    <w:p>
      <w:pPr>
        <w:pStyle w:val="Heading5"/>
        <w:numPr>
          <w:ilvl w:val="4"/>
          <w:numId w:val="1"/>
        </w:numPr>
        <w:rPr/>
      </w:pPr>
      <w:bookmarkStart w:id="88" w:name="__RefHeading___Toc2853275_2870459653"/>
      <w:bookmarkStart w:id="89" w:name="_Toc32"/>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لمقدّمة المفاتيح في مقام تعداد أنحاء هذا القسم من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العلّة، وعندهم في حجّيته خلاف، والحقّ الحجية للدلالة العرفية، وهذا أعمّ من أنْ تكون العلّة مذكورة صريحاً، أو يذكر أمر في مقام التعليل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 عند بيانه للتعدّي بتنقيح المناط وأنَّه لا بُدَّ فيه من اليقين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بعنوان اليقين؛ لأنَّ الظنّي إنْ كان بغير النصّ فهو بعينه القياس الحرام، وإنْ كان النصّ فهو القياس المنصوص العلّة، وفي حجّيته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بعدم الحجّية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بالحجّية مطلقاً، وهو المشهور المعروف في الكتب الاستدلالية</w:t>
      </w:r>
      <w:r>
        <w:rPr>
          <w:rFonts w:eastAsia="Amiri" w:cs="Amiri" w:ascii="Amiri" w:hAnsi="Amiri"/>
          <w:color w:val="111111"/>
          <w:sz w:val="28"/>
          <w:szCs w:val="28"/>
          <w:rtl w:val="true"/>
          <w:lang w:bidi="ar-SA"/>
        </w:rPr>
        <w:t xml:space="preserve">. </w:t>
      </w:r>
      <w:bookmarkStart w:id="90" w:name="pg9111_107935"/>
    </w:p>
    <w:p>
      <w:pPr>
        <w:pStyle w:val="BookText"/>
        <w:rPr/>
      </w:pPr>
      <w:bookmarkEnd w:id="90"/>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دليل من الخارج على عدم مدخليّة خصوص المادّة فهو حجّة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وخيرها أوسطها، للفهم العرفي من دون تأمّل منهم، ألا ترى أنَّه إذا قال الطبيب لواحد لا تأكل هذا لأنَّه حامض أو حلو، يعلم بلا تأمّل أنَّ الطبيب منعه عن أكل كلّ حامض أو حلو، وهكذا جميع استعمالاتهم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العموم مدلول اللفظ عرفاً، وقد مرَّ أنَّ الشارع يتكلّم بعنوان العرف ويخاطب على طريقتهم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ولبيان الأمر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بحجية القياس منصوص العلّة يدعي أنَّ العلّة المذكورة هي علّة للحكم فيدور الحكم مدارها سلباً وإيجاباً، وبالتالي يتعدّى عن مورد الحكم إلى كلّ مورد تحقّقت فيه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أنكر الحجّية أنكر كونها علّة وملاكاً للحكم الشرعي، بل العلّة المنصوصة إنَّما هي علّة لخصوص موردها، أو هي حكمة للتشريع وبالتالي فلا يدور الحكم مدارها، فيقتصر في الحكم على مورده ولا يتعدّى إلى غيره من الموارد وإنْ تحقّقت فيه تلك العلّة والحكمة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 المتقدّم ذكر ثلاثة أقوال في المسألة</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853277_2870459653"/>
      <w:bookmarkStart w:id="92" w:name="_Toc33"/>
      <w:bookmarkEnd w:id="91"/>
      <w:r>
        <w:rPr>
          <w:rtl w:val="true"/>
        </w:rPr>
        <w:t>القول الأوَّل</w:t>
      </w:r>
      <w:bookmarkEnd w:id="92"/>
    </w:p>
    <w:p>
      <w:pPr>
        <w:pStyle w:val="BookText"/>
        <w:rPr/>
      </w:pPr>
      <w:r>
        <w:rPr>
          <w:rFonts w:ascii="Amiri" w:hAnsi="Amiri" w:eastAsia="Amiri" w:cs="Amiri"/>
          <w:color w:val="111111"/>
          <w:sz w:val="28"/>
          <w:sz w:val="28"/>
          <w:szCs w:val="28"/>
          <w:rtl w:val="true"/>
          <w:lang w:bidi="ar-SA"/>
        </w:rPr>
        <w:t xml:space="preserve">عدم حجّية القياس منصوص العلّة مطلقاً ولعلّ من القائلين به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الردّ على مَن قال بإمكان التعدّي عن مورد العلّة المنصوصة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لأنَّ العلل الشرعية إنَّما تنبئ عن الدواعي إلى الفعل وعن وجه المصلحة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يشترك الشيئان في صفة واحدة وتكون في أحدهما داعيةً إلى فعله </w:t>
      </w:r>
      <w:bookmarkStart w:id="93" w:name="pg9111_107936"/>
    </w:p>
    <w:p>
      <w:pPr>
        <w:pStyle w:val="BookText"/>
        <w:rPr/>
      </w:pPr>
      <w:bookmarkEnd w:id="93"/>
      <w:r>
        <w:rPr>
          <w:rFonts w:ascii="Amiri" w:hAnsi="Amiri" w:eastAsia="Amiri" w:cs="Amiri"/>
          <w:color w:val="111111"/>
          <w:sz w:val="28"/>
          <w:sz w:val="28"/>
          <w:szCs w:val="28"/>
          <w:rtl w:val="true"/>
          <w:lang w:bidi="ar-SA"/>
        </w:rPr>
        <w:t>دون الآخر، مع ثبوتها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مثل المصلحة مفسدة، وقد يدعو الشيء إلى غيره في حالٍ دون حال وعلى وجهٍ دون وجه وقدرٍ منه دون قدر، وهذا باب في الدواعي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جاز أنْ يُعطى لوجه الإحسان فقيرٌ دون فقير، ودرهم منه دون درهم، وفي حالٍ دون حال أُخرى، وإنْ كان فيما لم نفعله الوجه الذي لأجله فعلنا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صحّت هذه الجملة لم يكن في النصّ على العلّة ما يوجب التخطّي والقياس، وجرى النصّ على العلّة مجرى النصّ على الحكم في قصره على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يقول إذا لم يوجب النصّ على العلّة التخطّي كان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يفيدنا ما لم نكن نعلمه لولاه، وهو ما كان له هذا الفعل المعيّن مصلحة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2853279_2870459653"/>
      <w:bookmarkStart w:id="95" w:name="_Toc34"/>
      <w:bookmarkEnd w:id="94"/>
      <w:r>
        <w:rPr>
          <w:rtl w:val="true"/>
        </w:rPr>
        <w:t>القول الثاني</w:t>
      </w:r>
      <w:bookmarkEnd w:id="95"/>
    </w:p>
    <w:p>
      <w:pPr>
        <w:pStyle w:val="BookText"/>
        <w:rPr/>
      </w:pPr>
      <w:r>
        <w:rPr>
          <w:rFonts w:ascii="Amiri" w:hAnsi="Amiri" w:eastAsia="Amiri" w:cs="Amiri"/>
          <w:color w:val="111111"/>
          <w:sz w:val="28"/>
          <w:sz w:val="28"/>
          <w:szCs w:val="28"/>
          <w:rtl w:val="true"/>
          <w:lang w:bidi="ar-SA"/>
        </w:rPr>
        <w:t xml:space="preserve">ما تبنّاه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للأكثر أيضاً، من الحجّية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تبنّى ذلك أيضاً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عندي أنَّ العلّة إذا كانت منصوصة وعُلم وجودها في الفرع كان حجّة</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واستدلّ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الأحكام الشرعية تابعة للمصالح الخفية والشرع كاشف عنها، فإذا نصّ على العلّة عرفنا أنَّها الباعثة والموجبة لذلك الحكم، فأين وجدت وجب وجود المعلول</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2853281_2870459653"/>
      <w:bookmarkStart w:id="97" w:name="_Toc35"/>
      <w:bookmarkEnd w:id="96"/>
      <w:r>
        <w:rPr>
          <w:rtl w:val="true"/>
        </w:rPr>
        <w:t>القول الثالث</w:t>
      </w:r>
      <w:bookmarkEnd w:id="97"/>
    </w:p>
    <w:p>
      <w:pPr>
        <w:pStyle w:val="Heading6"/>
        <w:numPr>
          <w:ilvl w:val="5"/>
          <w:numId w:val="1"/>
        </w:numPr>
        <w:rPr/>
      </w:pPr>
      <w:bookmarkStart w:id="98" w:name="__RefHeading___Toc2853283_2870459653"/>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إنَّ التعدّي والحجّية متوقّف على قيام الدليل الخارجي على التعدّي وإلغاء خصوصية المورد، وإلّا فالعلّة المنصوصة بحدّ نفسها غير موجبة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تبنّى ذلك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علّة الحكم وتعليقه عليها مطلقاً يوجب ثبوت الحكم إنْ ثبتت العلّة،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 يوجب الحدّ، والسرقة توجب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حكم في شيء بحكمٍ ثُمَّ نصّ على علّته فيه فإنْ نصّ مع ذلك على تعديته وجب، وإنْ لم ينصّ لم يجب تعدية الحكم إلّا مع القول بكون القياس حجّة،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أنْ يكون التحريم معلّلاً بالإسكار مطلقاً، ويحتمل أنْ يكون معلّلاً بإسكار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الاحتمال لا يعلم وجوب التعدّية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نصّ الشارع على العلّة وكان هناك شاهد حالٍ يدلّ على سقوط اعتبار ما عدا تلك العلّة في ثبوت الحكم جاز تعدية ذلك الحكم وكان ذلك برهاناً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ولتحقيق الحال في المسألة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القول الثاني وأنَّ العلّة المنصوصة علّة حكم يدور الحكم مدارها سلباً وإيجاباً، وذلك تمسّكاً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مقام تشريع وبيان للأحكام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نريد أنْ نحدّد أنَّ الشارع شرّع الحكم لعموم موارد العلّة أم لخصوص 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وطريقة الشارع في البيان يُراعى فيها الفهم العرفي وما هو المرتكز في أذهانهم، وما هو المرتكز في أذهان العرف هو أنَّ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مدار علّته، أي أنَّ العلّة هي المرادة حقيقةً، وهي التي تمثّل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إثبات أنَّ الشارع في مقام البيان من جهة العلّة ومدخليتها في ثبوت الحكم الشرعي، والتي هي من أهمّ مقدّمات الحكمة المثبتة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إذا احتملنا مدخلية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الحكم، فيمكن إلغاؤه بإطلاق كلام الشارع في التعليل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الحكم بعموم العلّة يتمّ ببركة الإطلاق، وهو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تعبيرهم </w:t>
      </w:r>
      <w:bookmarkStart w:id="100" w:name="pg9111_107938"/>
    </w:p>
    <w:p>
      <w:pPr>
        <w:pStyle w:val="BookText"/>
        <w:rPr/>
      </w:pPr>
      <w:bookmarkEnd w:id="100"/>
      <w:r>
        <w:rPr>
          <w:rFonts w:ascii="Amiri" w:hAnsi="Amiri" w:eastAsia="Amiri" w:cs="Amiri"/>
          <w:color w:val="111111"/>
          <w:sz w:val="28"/>
          <w:sz w:val="28"/>
          <w:szCs w:val="28"/>
          <w:rtl w:val="true"/>
          <w:lang w:bidi="ar-SA"/>
        </w:rPr>
        <w:t xml:space="preserve">لإثبات الإطلاق بالفهم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الدلالة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الدلالة الإطلاقية دلالة وفَهْم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ولتتميم هذا القول لا بُدَّ من دفع بعض الإشكالات التي قد تثار حوله</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2853285_2870459653"/>
      <w:bookmarkStart w:id="102" w:name="_Toc37"/>
      <w:bookmarkEnd w:id="101"/>
      <w:r>
        <w:rPr>
          <w:rtl w:val="true"/>
        </w:rPr>
        <w:t>الإشكال الأوَّل</w:t>
      </w:r>
      <w:bookmarkEnd w:id="102"/>
    </w:p>
    <w:p>
      <w:pPr>
        <w:pStyle w:val="BookText"/>
        <w:rPr/>
      </w:pPr>
      <w:r>
        <w:rPr>
          <w:rFonts w:ascii="Amiri" w:hAnsi="Amiri" w:eastAsia="Amiri" w:cs="Amiri"/>
          <w:color w:val="111111"/>
          <w:sz w:val="28"/>
          <w:sz w:val="28"/>
          <w:szCs w:val="28"/>
          <w:rtl w:val="true"/>
          <w:lang w:bidi="ar-SA"/>
        </w:rPr>
        <w:t>بمراجعة روايات التعليل، نجد أنَّ أكثر العلل المذكورة فيها هي من قبيل الحكمة؛ وذلك لعدم اطرادها أو انعكاسها، وعليه فأكثر روايات التعليل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الحكمة تمثّل جزء العلّة لا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مستهجن، وعليه فالإطلاق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نميّز بين نظرتين إلى العلل المذكورة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كلّ علّة بصورة منفردة، فإذا كانت غير مطّردة ولا منعكسة، فحينئذٍ لا يمكننا القول بأنَّ الشارع في مقام بيان علّة الحكم المطّردة، بل في مقام بيان جهة من جهات المصلحة وحكمة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مجموع العلل الصادرة من الشارع، ومن المعلوم أنَّ أغلب هذه العلل غير مطّردة ولا منعكسة، فهي حِكَمُ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يحتاجه الإطلاق هو لحاظ العلّة بالنظرة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بالإطلاق نريد أنْ نثبت شمول الحكم لكلّ أفراد تلك العلّة، لا أحكام متعدّدة لأفراد علل متعدّدة</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853287_2870459653"/>
      <w:bookmarkStart w:id="104" w:name="_Toc38"/>
      <w:bookmarkEnd w:id="103"/>
      <w:r>
        <w:rPr>
          <w:rtl w:val="true"/>
        </w:rPr>
        <w:t>الإشكال الثاني</w:t>
      </w:r>
      <w:bookmarkEnd w:id="104"/>
    </w:p>
    <w:p>
      <w:pPr>
        <w:pStyle w:val="Heading6"/>
        <w:numPr>
          <w:ilvl w:val="5"/>
          <w:numId w:val="1"/>
        </w:numPr>
        <w:rPr/>
      </w:pPr>
      <w:bookmarkStart w:id="105" w:name="__RefHeading___Toc2853289_2870459653"/>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الإطلاق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 على ظهور حال المتكلّم الشارع، ولمّا كانت أغلب العلل المذكورة من قبيل حكمة التشريع، فذلك يخدش بالظهور الحالي المدّعى، أي أنَّ طريقة الشارع وبالتالي ظاهر حاله أنَّه ليس بصدد ذكر العلل المطّردة، خصوصاً وأنَّ الوجوه التي يمكن بيانها كوجهٍ لذكر العلّة من باب حكمة التشريع كثيرة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الحكم بإطلاق العلّة، فلا بُدَّ أنْ ينظر إلى نفس تلك العلّة </w:t>
      </w:r>
      <w:bookmarkStart w:id="107" w:name="pg9111_107939"/>
    </w:p>
    <w:p>
      <w:pPr>
        <w:pStyle w:val="BookText"/>
        <w:rPr/>
      </w:pPr>
      <w:bookmarkEnd w:id="107"/>
      <w:r>
        <w:rPr>
          <w:rFonts w:ascii="Amiri" w:hAnsi="Amiri" w:eastAsia="Amiri" w:cs="Amiri"/>
          <w:color w:val="111111"/>
          <w:sz w:val="28"/>
          <w:sz w:val="28"/>
          <w:szCs w:val="28"/>
          <w:rtl w:val="true"/>
          <w:lang w:bidi="ar-SA"/>
        </w:rPr>
        <w:t>المذكورة في الرواية، فمع عدم المقيّد يتمّ الإطلاق؛ لتمامية الظهور المدّعى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بلوغ الغلبة حدّ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في المقام تامّ، فالأصل في العلل المنصوصة في روايات الأحكام أنْ تكون علل أحكام، لا حِكَمَ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ثلاثة أُمور لا بُدَّ من توفّرها حتّى تكون العلّة المنصوصة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على العلّة المأخوذة في الحكم بأنَّها من قبيل العلّة المنصوصة، وأنَّ الحكم غير مختصّ بمورده، بل يكون تابعاً لتلك العلّة أينما وجدت، يتوقّف على أُمور ثلاثة</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2853291_2870459653"/>
      <w:bookmarkStart w:id="109" w:name="_Toc40"/>
      <w:bookmarkEnd w:id="108"/>
      <w:r>
        <w:rPr>
          <w:rtl w:val="true"/>
        </w:rPr>
        <w:t>الأمر الأوَّل</w:t>
      </w:r>
      <w:bookmarkEnd w:id="109"/>
    </w:p>
    <w:p>
      <w:pPr>
        <w:pStyle w:val="BookText"/>
        <w:rPr/>
      </w:pPr>
      <w:r>
        <w:rPr>
          <w:rFonts w:ascii="Amiri" w:hAnsi="Amiri" w:eastAsia="Amiri" w:cs="Amiri"/>
          <w:color w:val="111111"/>
          <w:sz w:val="28"/>
          <w:sz w:val="28"/>
          <w:szCs w:val="28"/>
          <w:rtl w:val="true"/>
          <w:lang w:bidi="ar-SA"/>
        </w:rPr>
        <w:t>أنْ تكون العلّة من العناوين العرفية التي تكون معرفتها بيد العرف ليصلح أنْ يخاطب بها المكلف، وتلقى عهدتها عليه فعلاً أو تركاً، وذلك مثل الإسكار ونحوه من العناوين العرفية القابلة للإلقاء على عاتق المكلّف، أمّا لو لم تكن العلّة من هذا القبيل، بل كانت أمراً مجهول الحقيقة عند العرف مثل النهي عن الفحشاء بالنسبة إلى الأمر بالصلاة ونحو ذلك من العلل التي يجهلها العرف ولا يمكن أنْ تلقى إليه وأنْ يكلّفوا بها، لم تكن العلّة المذكورة صالحة لأنْ تكون من منصوص العلّة، ولا يتعدّى عن مورد الحكم إلى ما توجد فيه العلّة ممّا هو خارج عن مورد الحكم المذكور، بل تكون حينئذٍ من قبيل حكمة التشريع غير المطّردة ولا المنعكسة</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2853293_2870459653"/>
      <w:bookmarkStart w:id="111" w:name="_Toc41"/>
      <w:bookmarkEnd w:id="110"/>
      <w:r>
        <w:rPr>
          <w:rtl w:val="true"/>
        </w:rPr>
        <w:t>الأمر الثاني</w:t>
      </w:r>
      <w:bookmarkEnd w:id="11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يكون للحكم المعلّل إضافة إلى المورد، بحيث نحتمل فيه أنْ تكون العلّة المذكورة علّة لحكم خصوص ذلك المورد دون غيره ممّا وجدت فيه تلك العلّة،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تحريم الخمر لأجل الإسكار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يحتمل فيه كون الإسكار علّة لخصوص حرمة الخمر دون غيره ممّا وجد فيه الإسكار، بل لا بُدَّ أنْ يؤخذ الحكم المذكور </w:t>
      </w:r>
      <w:bookmarkStart w:id="112" w:name="pg9111_107940"/>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التحريم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العلّة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لذلك الحكم المطلق ليسري الحكم إلى كلّ ما وجدت فيه تلك العلّة</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2853295_2870459653"/>
      <w:bookmarkStart w:id="114" w:name="_Toc42"/>
      <w:bookmarkEnd w:id="113"/>
      <w:r>
        <w:rPr>
          <w:rtl w:val="true"/>
        </w:rPr>
        <w:t>الأمر الثالث</w:t>
      </w:r>
      <w:bookmarkEnd w:id="114"/>
    </w:p>
    <w:p>
      <w:pPr>
        <w:pStyle w:val="BookText"/>
        <w:rPr/>
      </w:pPr>
      <w:r>
        <w:rPr>
          <w:rFonts w:ascii="Amiri" w:hAnsi="Amiri" w:eastAsia="Amiri" w:cs="Amiri"/>
          <w:color w:val="111111"/>
          <w:sz w:val="28"/>
          <w:sz w:val="28"/>
          <w:szCs w:val="28"/>
          <w:rtl w:val="true"/>
          <w:lang w:bidi="ar-SA"/>
        </w:rPr>
        <w:t>أنْ لا يكون للعلّة المذكورة إضافة إلى خصوص المورد بحيث يحتمل أنْ تكون العلّة في ذلك الحكم هو خصوص المضاف منها إلى ذلك المورد دون غيرها ممّا يضاف إلى الموارد الأُخر،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لإسكاره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يحتمل فيه كون العلّة في التحريم هو خصوص الإسكار المضاف إلى الخمر دون مطلق الإسكار، بل لا بُدَّ أنْ تكون العلّة المذكورة مطلقة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لأجل الإسكار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العلّة في التحريم هو مطلق الإسكار، وتكون صحّة التعليل متوقّفة على تحقّق الكبرى الكلّية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مسكر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التحريم سارياً إلى كلّ مورد تتحقّق فيه العلّة المذكورة، أعني الإسكار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لأجل إسكاره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صحّة التعليل فيه لا تتوقّف على تحقّق تلك الكبرى الكلّية، بل يكفي في صحّته كون إسكار خصوص الخمر علّة في تحريمه من دون حاجة إلى تلك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التعليل راجعاً إلى الكبرى الكلّية إلّا حيث يكون حسن التعليل أو صحّته متوقّفاً على تحقّق تلك الكبرى، ولا يكون ذلك متوقّفاً على ما ذكر إلّا بعد تحقّق هذه الأُمور الثلاثة، ولو اختلّ واحدٌ منها لم تكن صحّة التعليل متوقّفة على تلك الكبرى ليكون ذلك التعليل طريقاً إلى استكشاف تلك الكبرى الكلّية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لكن الكلام في الأمرين الثاني والثالث، أي إضافة العلة أو الحكم إلى المورد مانع عن جريان الإطلاق، فلم يرتضها بعض </w:t>
      </w:r>
    </w:p>
    <w:p>
      <w:pPr>
        <w:pStyle w:val="BookText"/>
        <w:rPr/>
      </w:pPr>
      <w:r>
        <w:rPr>
          <w:rFonts w:ascii="Amiri" w:hAnsi="Amiri" w:eastAsia="Amiri" w:cs="Amiri"/>
          <w:color w:val="111111"/>
          <w:sz w:val="28"/>
          <w:sz w:val="28"/>
          <w:szCs w:val="28"/>
          <w:rtl w:val="true"/>
          <w:lang w:bidi="ar-SA"/>
        </w:rPr>
        <w:t xml:space="preserve">الأعلام ومنهم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ناقشهما على ما في هامش أجود التقريرات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هذا الاحتمال إنَّما هو على خلاف ما هو المرتكز في أذهان العرف من دوران كلّ حكم مدار علّته، ومن أنَّ العلّة المذكورة في الكلام هي بنفسها علّة للحكم، مع قطع النظر عن خصوصية قيامها بالموضوع المذكورة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نشكّ في أنَّ ما يستفاد عند أهل العرف 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هو المستفاد 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لإسكاره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مناقشة قول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نقول بالتفصيل بين المقدّمة الثانية والثالثة، أمَّا في المقدّمة الثالثة فكلامه تامّ؛ لاندراجها تحت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احتفاف الكلام بما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 من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نحتاج لبيان المراد من احتفاف الكلام بما يصلح للقرينية،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موردها الشكّ في قرينية الموجود، ولكي تتحقّق لا بُدَّ من توفّر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هناك شيء موجود محرز محتفٍ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احتمال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ما يدلّ عليه ذلك الموجود يدور أمره بين أكثر من مدلول ومعنى، ولم يتمّ تشخيص معناه بحدّه، أي هناك شكّ في الظهور سواء أكان ذلك الشكّ على نحو دوران الأمر بين المتباينين، أم بين الأقلّ والأكثر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أحد تلك المداليل والمعاني المحتملة على تقدير ثبوته قرينة مفسّرة لذلك الكلام، وهذا معنى كونه صالحاً للقرينية، أي الشيء الموجود على أحد محتملاته يكون 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تحقّق هذه الأُمور يرتفع الظهور الأوّلي للكلام، قال في أجود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وبوجود ما يصلح للقرينة لا ينعقد للكلام ظهور أصلاً ويكون من المجملات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الشكّ في قرينية الموجود المتصل فلا تجري أصالة عدم القرينة، لما عرفت من أنَّ النكتة في أصالة عدم القرينة المتصلة إنَّما هو غلبة عدم الغفلة، فمع الشكّ في القرينة من جهة أُخرى كاحتمال معنىً معيّن للفظ المتصل على تقديره يكون قرينة، لا يمكن نفيها بأصالة عدم القرينة، وبالتالي لا يحرز موضوع الظهور كي نتمسّك بأصالة الظهور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فكما لا يمكن التمسّك بالإطلاق مع وجود القرينة، كذلك لا يمكن التمسّك به مع وجود 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ومقامنا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إضافة العلّة إلى الضمير فيها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العلّة بذلك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عمومها لبقية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على الاحتمال الأوَّل يكون قرينة على الاختصاص، فتندرج في كبرى الاحتفاف بعد عدم تعيّن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فلا يندرج تحت كبرى الاحتفاف؛ لعدم تعدّد الاحتمالات المتكافئة بعد عدم الموجب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ذلك لا يمنع من تماميّة الإطلاق بعد عدم كونه احتمالاً معتدّاً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فقد اتضح ممّا تقدَّم أنَّ مرجع هذا النحو من إلغاء خصوصيّة المورد إلى الإطلاق</w:t>
      </w:r>
      <w:r>
        <w:rPr>
          <w:rFonts w:eastAsia="Amiri" w:cs="Amiri" w:ascii="Amiri" w:hAnsi="Amiri"/>
          <w:color w:val="111111"/>
          <w:sz w:val="28"/>
          <w:szCs w:val="28"/>
          <w:rtl w:val="true"/>
          <w:lang w:bidi="ar-SA"/>
        </w:rPr>
        <w:t xml:space="preserve">. </w:t>
      </w:r>
      <w:bookmarkStart w:id="115" w:name="pg9111_107943"/>
    </w:p>
    <w:p>
      <w:pPr>
        <w:pStyle w:val="Heading4"/>
        <w:numPr>
          <w:ilvl w:val="3"/>
          <w:numId w:val="1"/>
        </w:numPr>
        <w:rPr/>
      </w:pPr>
      <w:bookmarkStart w:id="116" w:name="__RefHeading___Toc2853297_2870459653"/>
      <w:bookmarkStart w:id="117" w:name="_Toc43"/>
      <w:bookmarkEnd w:id="115"/>
      <w:bookmarkEnd w:id="116"/>
      <w:r>
        <w:rPr>
          <w:rtl w:val="true"/>
        </w:rPr>
        <w:t>النحو الثالث</w:t>
      </w:r>
      <w:r>
        <w:rPr>
          <w:rtl w:val="true"/>
        </w:rPr>
        <w:t xml:space="preserve">: </w:t>
      </w:r>
      <w:r>
        <w:rPr>
          <w:rtl w:val="true"/>
        </w:rPr>
        <w:t>قاعدة عموم البدلية</w:t>
      </w:r>
      <w:bookmarkEnd w:id="1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عموم البدلية، مثل حكمهم في التيمّم بوجوب تقديم اليمنى على اليسرى؛ لأنَّه بدل، والمنشأ في هذا أيضاً الفهم العرفي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الفوائد الحائرية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الفوائد الجديدة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الفقهاء يُجرون في البدل الشرعي عن المبدل منه الشرعي أحكام ذلك المبدل منه إلّا أنْ يثبت خلاف ذلك من الشرع،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في التيمّم بوجوب البدأة من الأعلى في المسح، وترتيب اليدين بتقديم اليمين على اليسار،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وجوب الإخفات في التسبيح بدل الحمد في الركعتين الأخيرتين، وغير ذلك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دليلهم هو الفهم العرفي، ألا ترى أنَّ عمّاراً تمعك في التراب وتمرّغ في تيمّمه مع صلاحه وتقواه وتديّنه وكونه من أهل المعرفة واللسان، ولعلّك بملاحظة محاورات العرف ومعاملاتهم يظهر ذلك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يتحقّق فيه الفهم العرفي يمكن الاستناد والاحتجاج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الأمر كذلك كلّياً فمحتمل، ويحتاج ثبوت ذلك إلى تأمّل تامّ، وعرفت في الفوائد اعتبار الفهم العرفي وكونه حجّة، فلاحظ وتأمّل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على أصل القاعدة بما دلّ على بدلية فعل مكان فعل آخر كأدلّة التيمّم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لهم في ثبوت أصل القاعدة، وإنَّما الكلام في عمومها، بمعنى أنَّ جميع أحكام وشروط وأجزاء المبدل منه هل تثبت للبدل بمجرّد ذلك أم لا؟ فقد وقع الخلاف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 إلّا أنْ يثبت خلاف ذلك كما تقدّم، وكلامه يرجع إلى الفهم العرفي والارتكاز، فمنشأ التعميم هو ما ارتكز في الأذهان من أنَّ البدل يقوم مقام المبدل منه، وأنَّ له كلّ ما للمبدل منه،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الارتكاز العرفي في أذهان السامعين يمكن دفع إشكال عدم العموم والإطلاق من جهة عدم كون المتكلّم في مقام البيان من جهة الكيفية والشروط والأجزاء للبدل، وإنَّما هو في مقام البيان من جهة أصل مشروعية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فأدلّة البدلية بقطع النظر عن ذلك الارتكاز المدّعى لا يظهر منها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ثبوت هذا الارتكاز من عدمه بحاجة إلى جمع المؤيّدات والشواهد، وهذا ما حاول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تحصيله، وذكر لذلك هنا 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تيمّم عمّار بدلاً عن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الحادثة ذُكرت في أكثر من رواية وبأسانيد تامّة، نذكر منها ما رواه أبو أيوب الخزّاز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التيمّم؟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عمّاراً أصابته جنابة فتمعّك كما تتمعّك الدابّة،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تمعّكت كما تتمعّك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التيمّم؟ فوضع يده على المسح، ثمَّ رفعها فمسح وجهه، ثمَّ مسح فوق الكف قليلاً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الاستدلال على اشتراط الترتيب في التيمّم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عليه أيضاً عموم المنزلة، وتوقيفية العبادة، وقاعدة البدلية؛ لأنَّ أهل العرف إذا علموا بهيئة وكيفية في المائية ثُمَّ سمعوا أنَّه إذا لم يوجد الماء فالتراب، أو بدله التراب عند العذر، وأمثال هذه العبارات لا يفهمون منها إلّا أنَّ الترابية بهيئة المائية، إلّا أنْ تثبت المخالفة من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ترى عمّاراً مع كونه مدنيّاً مطيعاً من أهل الفهم جزماً فعل في مقام إطاعة الواجب من الله تعالى ما فعل، وليس ذلك إلّا من الجهة التي ذكر، ولذا لم يُشنّع عليه بأنَّ هذا الخيال من أين؟ وبأي جهة؟ بل مازح معه بما مازح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اتفق أفهام الكلّ في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 التراب فالغبار، وإنْ لم يوجد فالطين، إلى غير ذلك، وكذا في ما ورد في الأخبار، بل في بعضها فتيمّم بالطين، أو تيمّم بالغبار، أو ما يؤدّي ما ذكرت من العبارة، وإن كان بتفاوت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تجدوا ماءً فبالتراب، وإنْ لم تجدوا تراباً فبالغبار، وأمثال ذلك، كما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الغبار والطين يفهم اتحاد الهيئة على اليقين من دون شكّ، وليس ذلك من الاطلاع عن الخارج، إذ لو عرض هذه العبارة على أهل العرف يفهمون كذلك البتة، حتّى لو وجدوا من الفقهاء مخالفة في ذلك كُلّا ً أو بعضاً لحكموا بثبوت مانع، أي دليل شرعي يمنع من الإطلاق أو العموم، أو يمنع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الحال في الماء كذلك،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ماءً مجمّداً وثلجاً، يفهم أنَّ الوضوء أو الغسل من الجمد والثلج مثل الماء، فتأمّل جيداً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يحمل فعل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احتياطه في ذلك مع جهله بكيفية التيمّم، فلا يكشف ذلك حينئذٍ عن الارتكاز عند الفهم النوعي للعرف، وعلى كلّ حال فاستكشاف الفهم العرفي والارتكاز قائم على عدم إنكار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الارتكاز المدّعى في ذهن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والإنكار ليس ببعيد بعد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لفعل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كتمعّك الحمار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في مقام الاستدلال على الموالاة في التيمّم بعموم المنزلة والبدلية،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قد يشهد له في الجملة تمرّغ عمّار وهو من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يدفعه عدم </w:t>
      </w:r>
    </w:p>
    <w:p>
      <w:pPr>
        <w:pStyle w:val="BookText"/>
        <w:rPr/>
      </w:pPr>
      <w:r>
        <w:rPr>
          <w:rFonts w:ascii="Amiri" w:hAnsi="Amiri" w:eastAsia="Amiri" w:cs="Amiri"/>
          <w:color w:val="111111"/>
          <w:sz w:val="28"/>
          <w:sz w:val="28"/>
          <w:szCs w:val="28"/>
          <w:rtl w:val="true"/>
          <w:lang w:bidi="ar-SA"/>
        </w:rPr>
        <w:t>مساواتها للكيفية في الانصراف، على أنَّه قد رُدّ ذلك على عمّار، فعُلم أنَّ المراد بالمنزلة البدلية في الإباحة لا الكيفية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الاستشهاد ببدلية التيمّم بالغبار أو الطين عن التيمّم بالتراب، فالظاهر أنَّه ليس في محلّه بعد أنْ بُيّنت كيفية التيمّم بالتراب، فالبدلية هي في متعلّق التيمّم بعد معرفة كيفية التيمّم، وهذا بخلاف بدلية التيمّم عن الوضوء، فإنَّ المفروض أنَّ أصل الكيفية غير معلومة لولا البيان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بدلية التيمّم بالغبار عن التيمّم بالتراب كحال بدلية الوضوء بالتراب عن الوضوء بالماء، فإنَّ الذي يفهمه العرف المطّلع على كيفية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من دون بيان لكيفية التيمم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إيصال التراب بنفس كيفية إيصال الماء إلى كلّ أجزاء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التذكرة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مبحث التيمّم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تقديم اليمنى على اليسرى بإجماعنا؛ لأنَّه بدل ممّا يجب فيه التقديم؛ إذ يظهر منه أنَّ جميع المجمعين استندوا إلى قاعدة البدلية في الحكم المجمع عليه، واستندوا أيضاً في وجوب البدأة بالأعلى في الوجه والكفّين بهذه القاعدة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هذا الوجه بحاجة إلى إثبات عدم المخالف المضرّ بالإجماع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كون مستندهم هو قاعدة البدلية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ثبوت الإجماع فكثير من عبارات المتقدّمين ظاهرة في وجوب الترتيب في التيمّم كما في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عبارة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والهداية ظاهرهما عدم الترتيب</w:t>
      </w:r>
      <w:r>
        <w:rPr>
          <w:rFonts w:eastAsia="Amiri" w:cs="Amiri" w:ascii="Amiri" w:hAnsi="Amiri"/>
          <w:color w:val="111111"/>
          <w:sz w:val="28"/>
          <w:szCs w:val="28"/>
          <w:rtl w:val="true"/>
          <w:lang w:bidi="ar-SA"/>
        </w:rPr>
        <w:t xml:space="preserve">. </w:t>
      </w:r>
      <w:bookmarkStart w:id="118" w:name="pg9111_107947"/>
    </w:p>
    <w:p>
      <w:pPr>
        <w:pStyle w:val="BookText"/>
        <w:rPr/>
      </w:pPr>
      <w:bookmarkEnd w:id="11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تدلك إحدى يديك بالأُخرى فوق الكفّ قليلاً</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ويمسح على ظهر كفّيه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 مستند المجمعين هو قاعدة البدلية فهو أوَّل الكلام بعد أنْ كانت هناك مستندات أُخرى استندوا إليها في الموارد المختلفة، كالأخبار البيانية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عبارة التذكرة التي أشار إليها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ظاهرة في أنَّ المستند هو قاعدة البدلية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الترتيب واجب في التيمّم يبدأ بمسح الوجه، ثُمَّ بالكف اليمنى، ثُمَّ اليسرى، فلو غيّره وجب أنْ يعيد على ما يحصل به الترتيب، ذهب إليه علماء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فَامْسَحُوا بِوجُوهِكُم والواو للترتيب عند الفرّاء، ولأنَّ التقديم لفظاً يستدعي سبباً الترجيح من غير مرجّح ولا سبب إلّا التقديم وجوباً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عموم البدلية عند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الفهم العرفي الناشئ من الوضوح والارتكاز</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853299_2870459653"/>
      <w:bookmarkStart w:id="120" w:name="_Toc44"/>
      <w:bookmarkEnd w:id="119"/>
      <w:r>
        <w:rPr>
          <w:rtl w:val="true"/>
        </w:rPr>
        <w:t>النحو الرابع</w:t>
      </w:r>
      <w:r>
        <w:rPr>
          <w:rtl w:val="true"/>
        </w:rPr>
        <w:t xml:space="preserve">: </w:t>
      </w:r>
      <w:r>
        <w:rPr>
          <w:rtl w:val="true"/>
        </w:rPr>
        <w:t>عموم المنزلة</w:t>
      </w:r>
      <w:bookmarkEnd w:id="120"/>
    </w:p>
    <w:p>
      <w:pPr>
        <w:pStyle w:val="Heading5"/>
        <w:numPr>
          <w:ilvl w:val="4"/>
          <w:numId w:val="1"/>
        </w:numPr>
        <w:rPr/>
      </w:pPr>
      <w:bookmarkStart w:id="121" w:name="__RefHeading___Toc2853301_2870459653"/>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لمقدّمة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عموم المنزلة،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بمنزلة الطهارة المائية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ذكره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من الفوائد الرجالية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المنزلة أو التنزيل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شيء مكان شيءٍ آخر بلحاظ الآثار، من دون اعتبار كونه مصداقاً له، فلا يعتبر فيه ولم يلحظ عدم التمكّن من المنزَّل عليه، أو </w:t>
      </w:r>
    </w:p>
    <w:p>
      <w:pPr>
        <w:pStyle w:val="BookText"/>
        <w:rPr/>
      </w:pPr>
      <w:r>
        <w:rPr>
          <w:rFonts w:ascii="Amiri" w:hAnsi="Amiri" w:eastAsia="Amiri" w:cs="Amiri"/>
          <w:color w:val="111111"/>
          <w:sz w:val="28"/>
          <w:sz w:val="28"/>
          <w:szCs w:val="28"/>
          <w:rtl w:val="true"/>
          <w:lang w:bidi="ar-SA"/>
        </w:rPr>
        <w:t>عند عدم الإتيان بالمنزَّل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يختلف عن البدل، فهو وإنْ كان جعل شيء مكان شيء آخر بلحاظ الآثار أيضاً، لكن الملحوظ فيه هو إمَّا عدم التمكّن من المنزَّل عليه أو عدم الإتيان بالمنزَّل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معجم مقاييس اللغة</w:t>
      </w:r>
      <w:r>
        <w:rPr>
          <w:rStyle w:val="FootnoteAnchor"/>
          <w:rtl w:val="true"/>
        </w:rPr>
        <w:footnoteReference w:id="66"/>
      </w:r>
      <w:r>
        <w:rPr>
          <w:rFonts w:ascii="Amiri" w:hAnsi="Amiri" w:eastAsia="Amiri" w:cs="Amiri"/>
          <w:color w:val="111111"/>
          <w:sz w:val="28"/>
          <w:sz w:val="28"/>
          <w:szCs w:val="28"/>
          <w:rtl w:val="true"/>
          <w:lang w:bidi="ar-SA"/>
        </w:rPr>
        <w:t>في تعريف البدل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والدالّ واللام أصل واحد وهو قيام الشيء مقام الشيء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تعريف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الشيء ووضعه منزله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فجهة الاشتراك بين التنزيل والبدلية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المغايرة بينهما وبين الأصل باقية حتّى اعتباراً ومجازاً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الاختلاف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لم يلحظ فيه عدم الإتيان بالمنزَّل عليه، بخلاف البدل فإنَّه لوحظ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جهة الاشتراك تلك نجد في جملة من عبارات الوحيد وغيره عطف إحداهما على الأُخرى ما ظاهره عطف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نجد ما يعبّر عنه الآخرون بالتنزيل يعبّر عنه بالبدليّة أو العكس، بل في عباراته المختلفة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في بعض عباراته يظهر أقوائية التنزيل من البدليّة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مراد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التراب مبيحاً مكان الوضوء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ومراده من البدليّة ما يستفاد من المشابهة، مثل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التراب طهوراً، كما جعل الماء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الماء هو ربُّ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مقام التعليل لكفاية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الطهورين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وأقوى من الكلّ عموم المنزلة الواردة في بعض الصحاح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بمنزلة </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دلالة عرفية مسلّم عندنا؛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هذا، يفسّرون ذلك بأنَّ كلّ منزلة من منازله يكون موجوداً فيه أيضاً، فيظهر منه أيضاً أنَّه يبيح كلّ ما يبيحه المائية، بل يظهر منه استحبابه أيضاً لسائر ما يستحبّ له المائية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ذلك ناشئ من أنَّ الإطلاق في التنزيل يكون أوضح باعتبار أوضحيّة نظر المتكلّم في مقام بيانه إلى ترتيب الآثار؛ ومن هنا احتجنا إلى التكلّف لإثبات إطلاق وعموم البدليّة إلى إثبات ذلك الارتكاز والفهم العرفي،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المسألة أيضاً يوجد خلاف في عموم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البعض إلى أنَّ التنزيل إنَّما يتمّ بلحاظ أبرز الآثار، جاء في تقريرات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ورد في الصحيحة 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بقي شهراً في مكّة فهو بمنزلة أهلها، فربَّما يدّعى أنَّ مقتضى عموم التنزيل جريان أحكام الأهل بتمامها التي منها اعتبار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التنزيل أنْ يكون بلحاظ أظهر الآثار، وهو في المقام إتمام الصلاة، فلا يشمل غيره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ذهب البعض إلى عموم التنزيل، بل جعله الوحيد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عندنا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إطلاق عموم التنزيل من عدمه متوقّف على تماميّة مقدّمات الحكمة، وبالخصوص المقدّمة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من هذه الجهة، فللقائل بالعموم ادّعاء أنَّ الجهة الملحوظة هي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ملحوظ المتكلّم هو أبرز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هو القول بالعموم، فمثلاً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المتكلّم الطواف منزلة الصلاة، أي جعله هو بلحاظ الآثار لا أنَّه مصداق له اعتباراً ومجازاً، فالملحوظ للمتكلّم المنُزِّل هو ترتيب آثار المنُزَّل عليه </w:t>
      </w:r>
    </w:p>
    <w:p>
      <w:pPr>
        <w:pStyle w:val="BookText"/>
        <w:rPr/>
      </w:pPr>
      <w:r>
        <w:rPr>
          <w:rFonts w:ascii="Amiri" w:hAnsi="Amiri" w:eastAsia="Amiri" w:cs="Amiri"/>
          <w:color w:val="111111"/>
          <w:sz w:val="28"/>
          <w:sz w:val="28"/>
          <w:szCs w:val="28"/>
          <w:rtl w:val="true"/>
          <w:lang w:bidi="ar-SA"/>
        </w:rPr>
        <w:t>على المنُزَّل، ولا معنى لاختصاص ذلك بأثرٍ دون أثر، إلّا مع وجود المرجّح، أي ما يكون مقيّداً أو موجباً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الأثر الأوَّل أوضح وأبرز من الأثر الثاني لا يوجب ذلك الانصراف ما لم ينطبق عليه أحد مناشئ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إشكال في التمسّك بإطلاق التنزيل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جوابه وحاصله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إشكال عامّ في التمسّك بإطلاقات أدلّة التنزيل في حالة وجود القدر المتيقّن من ناحية نفس المتكلّم،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إنْ كان ناشئاً من مقدّمات الحكمة المعروفة فلا يضرّ به وجود القدر المتيقّن، وأمَّا إذا كان ناشئاً من نكتة خاصّة مبنيّة على عدم وجود القدر المتيقّن من ناحية الكلام فينثلم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في دليل التنزيل ليس من قبيل الأوَّل؛ لوضوح أنَّ مقدّمات الحكمة إنَّما تجري دائماً في طرف الموضوع للقضية الحملية، لا في طرف محمولها،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بمقدّمات الحكمة أنَّ كلّ فقيه عالم، لا أنَّ الفقيه عالم بكلّ علم، بل يكفي أنْ يكون عالماً بعلمٍ واحدٍ؛ لأنَّ المحمول يلحظ بنحو صرف الوجود، وفي دليل التنزيل قد وقع التنزيل محمولاً فقيل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كلحم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صِرف التنزيل ولو بلحاظ أثر لإشباع حاجة القضية إلى محمول، فيثبت بالإطلاق أنَّ كلّ طوافٍ صلاة، لا أنَّ الطواف بمنزلة الصلاة في كل منازلها وشؤونها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ينعقد الإطلاق في دليل التنزيل بدلالة الاقتضاء العرفية في حالة عدم وجود قدر متيقّن في البين؛ لأنَّ ظهور الكلام في إفادة أمر عملي مع عدم التعيين، وعدم التعيين يوجب فهم الإطلاق، وأمَّا مع وجود المتيقّن بقرينةٍ خاصّة، أو بالانسياق الارتكازي لأثرٍ مخصوص لأظهريته ووضوحه فلا موجب للتمسّك بإطلاق دليل التنزيل لإثبات سائر الآثار</w:t>
      </w:r>
      <w:r>
        <w:rPr>
          <w:rFonts w:eastAsia="Amiri" w:cs="Amiri" w:ascii="Amiri" w:hAnsi="Amiri"/>
          <w:color w:val="111111"/>
          <w:sz w:val="28"/>
          <w:szCs w:val="28"/>
          <w:rtl w:val="true"/>
          <w:lang w:bidi="ar-SA"/>
        </w:rPr>
        <w:t xml:space="preserve">. </w:t>
      </w:r>
      <w:bookmarkStart w:id="123" w:name="pg9111_107951"/>
    </w:p>
    <w:p>
      <w:pPr>
        <w:pStyle w:val="BookText"/>
        <w:rPr/>
      </w:pPr>
      <w:bookmarkEnd w:id="123"/>
      <w:r>
        <w:rPr>
          <w:rFonts w:ascii="Amiri" w:hAnsi="Amiri" w:eastAsia="Amiri" w:cs="Amiri"/>
          <w:color w:val="111111"/>
          <w:sz w:val="28"/>
          <w:sz w:val="28"/>
          <w:szCs w:val="28"/>
          <w:rtl w:val="true"/>
          <w:lang w:bidi="ar-SA"/>
        </w:rPr>
        <w:t>والجواب على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العناية التي تصحّح جعل الطواف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مراتب، وكلّما كان الطواف واجداً لمرتبة أكبر من خصوصيات الصلاة كانت العناية المذكورة أخفّ، وبهذه النكتة يثبت الإطلاق في أدلّة التنزيل، أو على الأقلّ في ما كان بلسان حمل المنُزَّل عليه على المنزَّل، فتدبّر جيّداً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ثلاثة أمور لها دخل في إثبات الإطلاق من عدمه في المقام</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853303_2870459653"/>
      <w:bookmarkStart w:id="125" w:name="_Toc46"/>
      <w:bookmarkEnd w:id="124"/>
      <w:r>
        <w:rPr>
          <w:rtl w:val="true"/>
        </w:rPr>
        <w:t>الأمر الأوَّل</w:t>
      </w:r>
      <w:bookmarkEnd w:id="125"/>
    </w:p>
    <w:p>
      <w:pPr>
        <w:pStyle w:val="BookText"/>
        <w:rPr/>
      </w:pPr>
      <w:r>
        <w:rPr>
          <w:rFonts w:ascii="Amiri" w:hAnsi="Amiri" w:eastAsia="Amiri" w:cs="Amiri"/>
          <w:color w:val="111111"/>
          <w:sz w:val="28"/>
          <w:sz w:val="28"/>
          <w:szCs w:val="28"/>
          <w:rtl w:val="true"/>
          <w:lang w:bidi="ar-SA"/>
        </w:rPr>
        <w:t>الإطلاق الناشئ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جارٍ في المقام كما بُيّن في أصل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هناك جملة من الأعلام قد ذهبوا إلى جريان الإطلاق المحمولي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لا يمنع من جريان الإطلاق بطريق آخر</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853305_2870459653"/>
      <w:bookmarkStart w:id="127" w:name="_Toc47"/>
      <w:bookmarkEnd w:id="126"/>
      <w:r>
        <w:rPr>
          <w:rtl w:val="true"/>
        </w:rPr>
        <w:t>الأمر الثاني</w:t>
      </w:r>
      <w:bookmarkEnd w:id="127"/>
    </w:p>
    <w:p>
      <w:pPr>
        <w:pStyle w:val="BookText"/>
        <w:rPr/>
      </w:pPr>
      <w:r>
        <w:rPr>
          <w:rFonts w:ascii="Amiri" w:hAnsi="Amiri" w:eastAsia="Amiri" w:cs="Amiri"/>
          <w:color w:val="111111"/>
          <w:sz w:val="28"/>
          <w:sz w:val="28"/>
          <w:szCs w:val="28"/>
          <w:rtl w:val="true"/>
          <w:lang w:bidi="ar-SA"/>
        </w:rPr>
        <w:t>دلالة الاقتضاء العرفية لدليل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تقتضي الإطلاق أيضاً لدليل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الاقتضاء تعني أنَّ الكلام نفسه لا يدلّ على ذلك الظهور المعيَّن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يدل عليه بتوسط المناسبات العقلية أو العرفية أو الشرعية المكتنفة بذلك الكلام ممّا يوجب تقدير أمر ما بحسب تلك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فدلالة الاقتضاء لدليل التنزيل تقتضي تقدير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المقدَّر هو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التقدير يتقدَّر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حاجة لتقدير ما هو أكثر ممّا تتم به الدلالة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العرفية هنا تتم بالقدر المتيقّن 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بالأثر الأظهر والأبرز المرتكز في الذهن والموجب للانصراف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مع دلالة الاقتضاء لإطلاق التنزيل لجميع الآثار</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853307_2870459653"/>
      <w:bookmarkStart w:id="129" w:name="_Toc48"/>
      <w:bookmarkEnd w:id="128"/>
      <w:r>
        <w:rPr>
          <w:rtl w:val="true"/>
        </w:rPr>
        <w:t>الأمر الثالث</w:t>
      </w:r>
      <w:bookmarkEnd w:id="1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عملية التنزيل بما هي هي وبقطع النظر عن دخالة أي أمر </w:t>
      </w:r>
    </w:p>
    <w:p>
      <w:pPr>
        <w:pStyle w:val="BookText"/>
        <w:rPr/>
      </w:pPr>
      <w:r>
        <w:rPr>
          <w:rFonts w:ascii="Amiri" w:hAnsi="Amiri" w:eastAsia="Amiri" w:cs="Amiri"/>
          <w:color w:val="111111"/>
          <w:sz w:val="28"/>
          <w:sz w:val="28"/>
          <w:szCs w:val="28"/>
          <w:rtl w:val="true"/>
          <w:lang w:bidi="ar-SA"/>
        </w:rPr>
        <w:t>خارج عنها بما في ذلك 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يقتضي الإطلاق لدليل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التنزيل أمر اعتباري عنائي فلا بُدَّ له من عناية ومصحّح لحالة الاستعمالات المجازية وبقية الأمور الجعلية والاعتبارية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والعناية أو المصحّح لعملية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آثار وخصوصيات المنزَّل عليه على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العناية يدور أمرها بين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ترتيب خصوص الآثار التي تمثّل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ترتيب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بحاجة لمؤونة التقييد بالقدر المتيقّن بعد ملاحظة أنَّ نفس عملية التنزيل ومن دون ملاحظة أمر آخر كدلالة الاقتضاء لا تقتضي التقييد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 الاحتمال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الاحتمال الآخر؛ لأنَّه الأقلّ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نفس عملية التنزيل بما فيها من مصحّح وعناية تقتضي التنزيل بلحاظ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المحَكَّم في المقام هو الأمر الثالث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كونها خارجة عن نفس عملية التنزيل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يصار إليها بعد تمام عملية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الاقتضاء تعني أنَّ صدق الكلام متوقف على تقدير أمر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نفس الكلام صادقاً من دون حاجة لذلك التقدير فلا موجب لجريان 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من هذا القبيل كما بُيّن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فدليل التنزيل يقتضي الإطلاق بلحاظ الآثار إطلاقاً غير ناشئ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للنكتة الخاصّة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الإشكال مع جوابه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الشباهة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ظهور أدلتها في الإطلاق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أنَّ مرجع هذا النحو من إلغاء الخصوصية إلى الإطلاق</w:t>
      </w:r>
      <w:r>
        <w:rPr>
          <w:rFonts w:eastAsia="Amiri" w:cs="Amiri" w:ascii="Amiri" w:hAnsi="Amiri"/>
          <w:color w:val="111111"/>
          <w:sz w:val="28"/>
          <w:szCs w:val="28"/>
          <w:rtl w:val="true"/>
          <w:lang w:bidi="ar-SA"/>
        </w:rPr>
        <w:t xml:space="preserve">. </w:t>
      </w:r>
      <w:bookmarkStart w:id="130" w:name="pg9111_107953"/>
    </w:p>
    <w:p>
      <w:pPr>
        <w:pStyle w:val="Heading4"/>
        <w:numPr>
          <w:ilvl w:val="3"/>
          <w:numId w:val="1"/>
        </w:numPr>
        <w:rPr/>
      </w:pPr>
      <w:bookmarkStart w:id="131" w:name="__RefHeading___Toc2853309_2870459653"/>
      <w:bookmarkStart w:id="132" w:name="_Toc49"/>
      <w:bookmarkEnd w:id="130"/>
      <w:bookmarkEnd w:id="131"/>
      <w:r>
        <w:rPr>
          <w:rtl w:val="true"/>
        </w:rPr>
        <w:t>النحو الخامس</w:t>
      </w:r>
      <w:r>
        <w:rPr>
          <w:rtl w:val="true"/>
        </w:rPr>
        <w:t xml:space="preserve">: </w:t>
      </w:r>
      <w:r>
        <w:rPr>
          <w:rtl w:val="true"/>
        </w:rPr>
        <w:t>عموم الشباهة</w:t>
      </w:r>
      <w:bookmarkEnd w:id="1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لمقدّمة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عموم الشباهة كما في تشبيهات الشارع واستعاراته في مقام يظهر منه أنَّ الشباهة في الحكم الشرعي، وأنَّ الغرض أنْ يفهم الراوي لذلك، هذا إذا كان جميع وجه الشبه على سواء في الظهور وانصراف الذهن، أو القدر الذي يكون 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الخمر على النبيذ، وغير ذلك، وهذا أيضاً منشؤه الفهم العرفي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فرقها عن عموم المنزلة هو لسان الدليل، فعموم المنزلة ما كان بلسان التنزيل، وعموم الشباهة ما كان بلسان التشبيه والاستعارة ونحوها، ولأجل التساهل في الفرق من هذه الجهة تجد أنَّ الأمثلة التي ذكرها البعض للتنزيل 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فارق أهمّ ستأتي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 الأُمور التي يلزم توفّرها حتّى يتمّ عموم التشبيه،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التشبيه في الحكم الشرعي، وشرطه واضح، فإنَّ ذلك هو ما يحقّق تسرية الحكم إلى الشبيه؛ فإنَّ تشبيه الشارع له في الحكم يعني سراية ذلك الحكم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التشبيه بغير حكم المشبّه به من صفات وآثار فلا يقتضي سراية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تشبيه الطواف بالصلاة من جهة أنَّها معراج المؤمن، لا يقتضي ذلك ثبوت أحكام الصلاة من طهارة ونحوها للطواف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لا بُدَّ من توفّره أيضاً في البدلية والتنزيل، كما هو واضح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لإحراز هذا الشرط عدم وجود قرينة على الخلاف، فإنَّ مقتضى الأصل </w:t>
      </w:r>
      <w:bookmarkStart w:id="133" w:name="pg9111_107954"/>
    </w:p>
    <w:p>
      <w:pPr>
        <w:pStyle w:val="BookText"/>
        <w:rPr/>
      </w:pPr>
      <w:bookmarkEnd w:id="133"/>
      <w:r>
        <w:rPr>
          <w:rFonts w:ascii="Amiri" w:hAnsi="Amiri" w:eastAsia="Amiri" w:cs="Amiri"/>
          <w:color w:val="111111"/>
          <w:sz w:val="28"/>
          <w:sz w:val="28"/>
          <w:szCs w:val="28"/>
          <w:rtl w:val="true"/>
          <w:lang w:bidi="ar-SA"/>
        </w:rPr>
        <w:t>في تشبيهات وتنزيلات الشارع بما هو شارع هو التشبيه والتنزيل في الحكم، لأنَّ مقتضى الظهور الحالي للشارع بما هو شارع هو تشريع وبيان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جميع وجوه الشبه على سواء في الظهور وانصراف الذهن، أو القدر الذي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أنَّه إذا كان بعض الوجوه والأحكام أظهر ينصرف إليها التشبيه، ويسري سراية الحكم إليه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الخمر هي أظهر من نجاسته، فيكون حينئذٍ الحكم الذي يسري للفقّاع نتيجة التشبيه هو خصوص الحرمة دون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إنْ تمّ في التشبيه فلا يتمّ في التنزيل عنده لما ذكره في النصّ المتقدّم من أقوائية التنزيل من البدلية والتشبيه، فإنَّ الذي يظهر منه أنَّ أقوائية التنزيل هو من جهة أنَّ عمومه مسلّم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الفارق المهمّ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التنزيل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تمامية العموم في التشبيه وكذلك التنزيل والبدلية متوقّفٌ على تماميّة الإطلاق من عدمه المتوقّف على الإشكال المتقدّم للسيد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مرجع هذا النحو من إلغاء خصوصية المورد عند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الإطلاق</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853311_2870459653"/>
      <w:bookmarkStart w:id="135" w:name="_Toc50"/>
      <w:bookmarkEnd w:id="134"/>
      <w:r>
        <w:rPr>
          <w:rtl w:val="true"/>
        </w:rPr>
        <w:t>النحو السادس</w:t>
      </w:r>
      <w:r>
        <w:rPr>
          <w:rtl w:val="true"/>
        </w:rPr>
        <w:t xml:space="preserve">: </w:t>
      </w:r>
      <w:r>
        <w:rPr>
          <w:rtl w:val="true"/>
        </w:rPr>
        <w:t>قاعدة اتّحاد طريق المسألتين</w:t>
      </w:r>
      <w:bookmarkEnd w:id="13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لمقدّمة المفاتيح في مقام تعداد طرق التعدّي على نحو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اتّحاد طريق المسألتين،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بتحريم ذات البعل بالزنا بها بسبب تحريم المعتدّة بالعدّة الرجعية بالزنا بها، للنصّ على أنَّها بحكم الزوجة، فالزوجة بطريقٍ أولى، فإنَّ الظاهر من الفقهاء أنَّه ليس بقياس أصلاً، وأنَّ المنشأ الفهم العرفي، وهو كذلك بعد وجود ذاك النصّ وملاحظته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تعليق الحكم على الوصف المشعر بالعلّية، سيّما </w:t>
      </w:r>
    </w:p>
    <w:p>
      <w:pPr>
        <w:pStyle w:val="BookText"/>
        <w:rPr/>
      </w:pPr>
      <w:r>
        <w:rPr>
          <w:rFonts w:ascii="Amiri" w:hAnsi="Amiri" w:eastAsia="Amiri" w:cs="Amiri"/>
          <w:color w:val="111111"/>
          <w:sz w:val="28"/>
          <w:sz w:val="28"/>
          <w:szCs w:val="28"/>
          <w:rtl w:val="true"/>
          <w:lang w:bidi="ar-SA"/>
        </w:rPr>
        <w:t>وهذا الوصف شرط في التحريم بلا ريبة، مضافاً إلى الاستقراء في كون حكمها حكم ذات البعل في كثير من الأحكام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 الحائرية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يوجب التعدّي أيضاً اتّحاد طريق المسألتين،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بتحريم ذات البعل بالزنا بها بسبب تحريم المعتدّة بالعدّة الرجعية بالزنا بها، للنصّ على أنَّها بحكم الزوجة، فالزوجة أولى، فإنَّ الظاهر من الفقهاء أنَّه ليس بقياس أصلاً، وأنَّ المنشأ الفهم العرفي، وهو كذلك بعد وجود ذلك النصّ وملاحظته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تعليق الحكم على الوصف المشعر بالعلّية؛ سيّما وهذا الوصف شرط في التحريم بلا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الاستقراء في كون حكمها حكم ذات البعل في كثير من الأحكام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ولاستيضاح المراد من هذه القاعدة نذكر جملة من كلمات الأعلام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التنقيح الرائع ذكرها في ضمن تعداد أدلّة الدليل العقلي،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طريق المسألتين، وهو تعليق الحكم على وصف هو سبب التحريم، فيتعدّى إلى كلّ محل يوجد فيه ذلك الوصف، كالحكم بتحريم ذات البعل المزني بها لتحريم المعتدّة الرجعية مع الزنا بها، للنصّ على أنَّها بحكم الزوجة، فالمزوجة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مفهوم الموافقة، ومنصوص العلّة، واتّحاد طريق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القياس بل هي في حكم المنصوصة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للنصّ على علّية الحكم ويسمّى اتّحاد طريق المسألتين، كقوله وقد سُئل عن بيع الرطب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أينقص إذا جف؟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p>
    <w:p>
      <w:pPr>
        <w:pStyle w:val="BookText"/>
        <w:rPr/>
      </w:pP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في إرجاع القاعدة إلى 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رسائل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التخريج وهو تعدّية الحكم من منطوق إلى مسكوت عنه ضرب من القياس الجليّ،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الوالدين حرام؛ لأنَّ أُفّهما حرام، وقد يسمّى بالتنبيه بالأدنى على الأعلى، وكذا اتّحاد طريق المسألتين قياس جليّ أيضاً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ومرادهم من القياس الجليّ هو قياس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تعدّية الحكم من منطوق به إلى مسكوت عنه، إمَّا لكون المسكوت عنه أولى بالحكم وهو التنبيه بالأدنى على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للنصّ على علّية الحكم ويسمّى اتّحاد طريق المسألتين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نصّ في إدراج القاعدة تحت 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فالذي يظهر من كلمات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مسألتنا هذه غير مسألة العلّة المنصوصة أو قياس الأولوية وغيرها من الطرق المذكورة بعد جعله في عرضها، وأيضاً جعله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بالعلّية لا أنَّه علّة حقيقية، يؤكّد تفريقه لهذه المسألة عن مسألة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أقرب إلى التنزيل والاعتبار، فإنَّه جعل المدار في تحريم ذات البعل هو النصّ الدال على أنَّ المعتدّة بالعدّة الرجعية بحكم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أنَّها زوجة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فيشتركان في الأحكام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فرقه عن عموم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أحد الطرق المذكورة في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في </w:t>
      </w:r>
      <w:bookmarkStart w:id="136" w:name="pg9111_107957"/>
    </w:p>
    <w:p>
      <w:pPr>
        <w:pStyle w:val="BookText"/>
        <w:rPr/>
      </w:pPr>
      <w:bookmarkEnd w:id="136"/>
      <w:r>
        <w:rPr>
          <w:rFonts w:ascii="Amiri" w:hAnsi="Amiri" w:eastAsia="Amiri" w:cs="Amiri"/>
          <w:color w:val="111111"/>
          <w:sz w:val="28"/>
          <w:sz w:val="28"/>
          <w:szCs w:val="28"/>
          <w:rtl w:val="true"/>
          <w:lang w:bidi="ar-SA"/>
        </w:rPr>
        <w:t>عموم المنزلة يراد إسراء الحكم من المُنزَّل عليه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مسألتنا فبالعكس، أي يراد إسراء الحكم من المنزَّل إلى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مرجع الفهم العرفي الذي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الإطلاق</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853313_2870459653"/>
      <w:bookmarkStart w:id="138" w:name="_Toc51"/>
      <w:bookmarkEnd w:id="137"/>
      <w:r>
        <w:rPr>
          <w:rtl w:val="true"/>
        </w:rPr>
        <w:t>النحو السابع</w:t>
      </w:r>
      <w:r>
        <w:rPr>
          <w:rtl w:val="true"/>
        </w:rPr>
        <w:t xml:space="preserve">: </w:t>
      </w:r>
      <w:r>
        <w:rPr>
          <w:rtl w:val="true"/>
        </w:rPr>
        <w:t>القاعدة الثابتة المسلّمة أو الواردة في خبر واحد</w:t>
      </w:r>
      <w:bookmarkEnd w:id="1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لمقدّمة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القاعدة الثابتة المسلّمة،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النكول موجب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القاعدة الواردة في خبر واحد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الفوائد الحائرية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يخرج بسببه القاعدة الثابتة عن نصّ،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كسابقه، وإنْ كان ممّا يخرج عن النصّ بملاحظة النصّ، إلّا أنَّهما بعنوان القاعدة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والقاعدة سواء كانت مسلّمة متّفقاً عليها أي كانت يقينية أو مطمأناً لها، أم كانت ظنّية ثابتة بخبر الواحد الحجّة، فكلتاهما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الطريق إلى تطبيق الكبرى الكلّية على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ليس من موارد التعدّي وإلغاء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التعدّي وإلغاء خصوصية المورد هو إسراء حكم موضوع ومورد إلى موضوع ومورد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تعدّد الموضوع حتى تتحقّق صغرى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القاعدة والكبرى الكلية هناك موضوع واحد كلي يسري الحكم من خلاله إلى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الحكم يسري إلى موضوع آخر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الفوائد من طريق التعدّي ما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التلازم بين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التعدّي ربَّما يكون بعد ملاحظة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التلازم بين الحكمين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فكلّما ثبتت المفطرية ثبت التقصير،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مرجعه أيضاً إلى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وسعنا بحثه في بيان أهمّ طرق إلغاء خصوصية المورد عند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رسوله وآله الغرّ الميامين</w:t>
      </w:r>
      <w:r>
        <w:rPr>
          <w:rFonts w:eastAsia="Amiri" w:cs="Amiri" w:ascii="Amiri" w:hAnsi="Amiri"/>
          <w:color w:val="111111"/>
          <w:sz w:val="28"/>
          <w:szCs w:val="28"/>
          <w:rtl w:val="true"/>
          <w:lang w:bidi="ar-SA"/>
        </w:rPr>
        <w:t>.</w:t>
      </w:r>
      <w:bookmarkStart w:id="139" w:name="pg9111_107959"/>
    </w:p>
    <w:p>
      <w:pPr>
        <w:pStyle w:val="Heading3"/>
        <w:numPr>
          <w:ilvl w:val="2"/>
          <w:numId w:val="1"/>
        </w:numPr>
        <w:rPr/>
      </w:pPr>
      <w:bookmarkStart w:id="140" w:name="__RefHeading___Toc2853315_2870459653"/>
      <w:bookmarkStart w:id="141" w:name="_Toc52"/>
      <w:bookmarkEnd w:id="139"/>
      <w:bookmarkEnd w:id="140"/>
      <w:r>
        <w:rPr>
          <w:rtl w:val="true"/>
        </w:rPr>
        <w:t>خلاصة ونتائج البحث</w:t>
      </w:r>
      <w:bookmarkEnd w:id="141"/>
    </w:p>
    <w:p>
      <w:pPr>
        <w:pStyle w:val="BookText"/>
        <w:rPr/>
      </w:pPr>
      <w:r>
        <w:rPr>
          <w:rFonts w:ascii="Amiri" w:hAnsi="Amiri" w:eastAsia="Amiri" w:cs="Amiri"/>
          <w:color w:val="111111"/>
          <w:sz w:val="28"/>
          <w:sz w:val="28"/>
          <w:szCs w:val="28"/>
          <w:rtl w:val="true"/>
          <w:lang w:bidi="ar-SA"/>
        </w:rPr>
        <w:t xml:space="preserve">ظهر ممّا تقدَّم أنَّ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التعدّي عن مورد النصّ في قسمين رئيسيين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تحت كل قسم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كان التعدّي فيه على سبيل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في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منشأ اليقين بالتعدّي هو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أنَّ مرجع التعدّي فيه إلى الارتكاز والوضوح والذي يمثّل قرينة لبّية متصلة يتصرف على ضوئها ذهن السامع والمتلقي في ظهورات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يوجّه التعدّي في الموارد التي ذكرها لهذا النحو بما فيها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منشأ اليقين بالتعدّي 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بعد عدم وجود نصّ قطعي السند والدلالة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 الإجماع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الموجب لحصول العلم، والحاصل عند القدماء أيضاً، وحصوله كذلك يعني أنَّه وصل إليهم يداً بيد من عصر النصّ، ممّا يعني أنَّ الحكم كان من الأُمور الواضحة في أذهان الفقهاء والرواة من قبلهم، وعليه فيكون مرجع هذا النحو من التعدّي إلى ذلك الاتفاق والوضوح والارتكاز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الآخر فهو ما كان التعدّي فيه على سبيل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البحث فيه في عدّة أمور مرجعها إلى أمرين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مرجع دلالة قياس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فسّرنا ذلك بأنّ الأولوية تُحصّل بواسطة تبادر المعنى إلى الذهن من اللفظ من دون </w:t>
      </w:r>
    </w:p>
    <w:p>
      <w:pPr>
        <w:pStyle w:val="BookText"/>
        <w:rPr/>
      </w:pPr>
      <w:r>
        <w:rPr>
          <w:rFonts w:ascii="Amiri" w:hAnsi="Amiri" w:eastAsia="Amiri" w:cs="Amiri"/>
          <w:color w:val="111111"/>
          <w:sz w:val="28"/>
          <w:sz w:val="28"/>
          <w:szCs w:val="28"/>
          <w:rtl w:val="true"/>
          <w:lang w:bidi="ar-SA"/>
        </w:rPr>
        <w:t>ملاحظة الأصل والفرع والعلّة المشتركة بينهما وأنَّ تلك العلّة هي الملاك التامّ والمستقلّ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هو الذي يحقّق شرط الدلالة الالتزامية، أي يكون بيِّن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القياس بطريق الأولى من دلالة اللفظ على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مناقشات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 أنَّها من باب دلالة المدلول على المدلول؛ وذلك لما تقدّم من أنَّ الملازمة إنَّما تثبت بعد تنقيح المناط وتحديد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مدلولاً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عنده بين مفهوم الموافقة والأولوية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قرّبنا ذلك الفرق بكون النسبة بينهما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فنقطة الالتقاء هي الأولوية العرفية أو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ونقطة افتراق مفهوم الموافقة هي ما يسمى بقياس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نقطة افتراق الأولوية فهي الأولوية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تقدَّم أيضاً أنَّ مرجع إلغاء الخصوصية هنا هو الارتكاز أو تنقيح المناط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وأنَّ مرجع الحجية فيه الدلالة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حاولنا تفسير تلك الدلالة العرفية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أنَّ طريقة الشارع في البيان يُراعى فيه الفهم العرفي وما هو المرتكز في أذهانهم، وما هو المرتكز في أذهان العرف هو أنَّ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مدار علّته، أي أنَّ العلّة هي المرادة حقيقةً، وهي التي تمثّل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إثبات أنَّ الشارع في مقام البيان من جهة العلّة ومدخليتها في ثبوت الحكم الشرعي، والتي هي من أهمّ مقدّمات الحكمة المثبتة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إذا احتملنا مدخلية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كخصوصية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الحكم، فيمكن إلغاؤه بإطلاق كلام الشارع في التعليل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تمَّ التعرض بعد ذلك للأمور الثلاثة والتي ذكر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w:t>
      </w:r>
    </w:p>
    <w:p>
      <w:pPr>
        <w:pStyle w:val="BookText"/>
        <w:rPr/>
      </w:pPr>
      <w:r>
        <w:rPr>
          <w:rFonts w:ascii="Amiri" w:hAnsi="Amiri" w:eastAsia="Amiri" w:cs="Amiri"/>
          <w:color w:val="111111"/>
          <w:sz w:val="28"/>
          <w:sz w:val="28"/>
          <w:szCs w:val="28"/>
          <w:rtl w:val="true"/>
          <w:lang w:bidi="ar-SA"/>
        </w:rPr>
        <w:t>توفرها حتى تكون العلّة المنصوصة عامّة ومطلقة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من العناوين العرفية التي تكون معرفتها بيد العرف ليصلح أنْ يخاطب بها المكلف، وتلقى عهدتها عليه فعلاً أو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للحكم المعلّل إضافة إلى المورد، بحيث نحتمل فيه أنْ تكون العلّة المذكورة علّة لحكم خصوص ذلك المورد دون غيره ممّا وجدت فيه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للعلّة المذكورة إضافة إلى خصوص المورد بحيث يحتمل أنْ تكون العلّة في ذلك الحكم هو خصوص المضاف منها إلى ذلك المورد دون غيرها ممّا يضاف إلى الموارد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تماميَّة الأمر الأوَّل والثالث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إلغاء الخصوصية هنا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عموم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الفهم العرفي الناشئ من الوضوح والارتكاز، فمنشأ التعميم هو ما ارتكز في الأذهان من أنَّ البدل يقوم مقام المبدل منه، وأنَّ له كلّ ما للمبدل منه،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ثبوت هكذا ارتكاز من عدمه بحاجة إلى جمع المؤيّدات والشواهد، وهذا ما حاول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تحصيله، وقد ذكر لذلك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تيمّم عمّار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التذكرة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مناقشة الشاهدين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أنَّ مرجع هذا النحو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أنَّ هناك اختلافاً بين الأعلام في عموم التنزيل من عدمه وأنَّ القول الفصل هو اختيار </w:t>
      </w:r>
    </w:p>
    <w:p>
      <w:pPr>
        <w:pStyle w:val="BookText"/>
        <w:rPr/>
      </w:pPr>
      <w:r>
        <w:rPr>
          <w:rFonts w:ascii="Amiri" w:hAnsi="Amiri" w:eastAsia="Amiri" w:cs="Amiri"/>
          <w:color w:val="111111"/>
          <w:sz w:val="28"/>
          <w:sz w:val="28"/>
          <w:szCs w:val="28"/>
          <w:rtl w:val="true"/>
          <w:lang w:bidi="ar-SA"/>
        </w:rPr>
        <w:t xml:space="preserve">الإشكال الذي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واتضح أيضاً وجه الفرق بينه وبين عموم البدلية وعموم الشباهة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الوجه في أقوائيته منهما لعلّه ناشئ من أنَّ الإطلاق في التنزيل يكون أوضح باعتبار أوضحية نظر المتكلم في مقام بيانه إلى ترتيب الآثار؛ ومن هنا احتجنا إلى التكلّف لإثبات إطلاق وعموم البدلية إلى إثبات ذلك الارتكاز والفهم العرفي، وكذا في عموم الشباهة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الشباهة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مستنده إلى الفهم العرفي أيضاً والذي فسرناه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أنَّ تمامية هذا النحو من عدمه متوقفةً على الإشكال المتقدِّم للسيد الشهيد في النحو المتقدِّم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أيضاً وجه الفرق بينه وبين 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اتّحاد طريق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الفهم العرفي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فسرناه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جعله في عرض الأنحاء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جملة من المحقّقين أنَّه من 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استقربنا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 إلى عموم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فارق وهو أنَّ في عموم المنزلة يراد إسراء الحكم من المُنزَّل عليه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مسألتنا فبالعكس، أي يراد إسراء الحكم من المُنزَّل إلى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الثابتة المسلّمة أو الواردة في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مرجعه إلى القاعدة الكلية وانطباقها على مواردها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ضابطة إلغاء الخصوصية مرجعها كما تقدَّم إلى الارتكاز، أو تنقيح المناط، أو الإطلاق</w:t>
      </w:r>
      <w:r>
        <w:rPr>
          <w:rFonts w:eastAsia="Amiri" w:cs="Amiri" w:ascii="Amiri" w:hAnsi="Amiri"/>
          <w:color w:val="111111"/>
          <w:sz w:val="28"/>
          <w:szCs w:val="28"/>
          <w:rtl w:val="true"/>
          <w:lang w:bidi="ar-SA"/>
        </w:rPr>
        <w:t>.</w:t>
      </w:r>
      <w:bookmarkStart w:id="142" w:name="pg9111_107963"/>
    </w:p>
    <w:p>
      <w:pPr>
        <w:pStyle w:val="Heading3"/>
        <w:numPr>
          <w:ilvl w:val="2"/>
          <w:numId w:val="1"/>
        </w:numPr>
        <w:rPr/>
      </w:pPr>
      <w:bookmarkStart w:id="143" w:name="__RefHeading___Toc2853317_2870459653"/>
      <w:bookmarkStart w:id="144" w:name="_Toc53"/>
      <w:bookmarkEnd w:id="142"/>
      <w:bookmarkEnd w:id="143"/>
      <w:r>
        <w:rPr>
          <w:rtl w:val="true"/>
        </w:rPr>
        <w:t>المصادر</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أجود التقريرات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أبحاث الميرزا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دائرة معارف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القوجاني وعلي الآخوندي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الحاشية على 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الوحيد البهباني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الخراساني والسيد جواد الشهرستاني ومهدي طه نجف ومجتبى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الهاشمي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ﻫ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أصول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كرجي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دانشكاه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مختاري وحسين شفيعي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الأكبر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حسن 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الحسيني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الظلام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 في أوليات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فارس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المراسم العلوية والأحكام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نقله عن كتابي تهذيب الأصول ونهاية الأصول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في ذلك على كتاب 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bookmarkStart w:id="145" w:name="pg9111_107967"/>
    </w:p>
    <w:p>
      <w:pPr>
        <w:pStyle w:val="Heading2"/>
        <w:numPr>
          <w:ilvl w:val="1"/>
          <w:numId w:val="1"/>
        </w:numPr>
        <w:rPr/>
      </w:pPr>
      <w:bookmarkStart w:id="146" w:name="__RefHeading___Toc2853319_2870459653"/>
      <w:bookmarkStart w:id="147" w:name="_Toc54"/>
      <w:bookmarkEnd w:id="145"/>
      <w:bookmarkEnd w:id="146"/>
      <w:r>
        <w:rPr>
          <w:rtl w:val="true"/>
        </w:rPr>
        <w:t xml:space="preserve">نجاسة الخمر </w:t>
      </w:r>
      <w:r>
        <w:rPr>
          <w:rtl w:val="true"/>
        </w:rPr>
        <w:t>(</w:t>
      </w:r>
      <w:r>
        <w:rPr>
          <w:rtl w:val="true"/>
        </w:rPr>
        <w:t>القسم الثاني</w:t>
      </w:r>
      <w:r>
        <w:rPr>
          <w:rtl w:val="true"/>
        </w:rPr>
        <w:t xml:space="preserve">) - </w:t>
      </w:r>
      <w:r>
        <w:rPr>
          <w:rtl w:val="true"/>
        </w:rPr>
        <w:t xml:space="preserve">الشيخ علي العقيلي </w:t>
      </w:r>
      <w:r>
        <w:rPr>
          <w:rtl w:val="true"/>
        </w:rPr>
        <w:t>(</w:t>
      </w:r>
      <w:r>
        <w:rPr>
          <w:rtl w:val="true"/>
        </w:rPr>
        <w:t>دام عزه</w:t>
      </w:r>
      <w:r>
        <w:rPr>
          <w:rtl w:val="true"/>
        </w:rPr>
        <w:t>)</w:t>
      </w:r>
      <w:bookmarkEnd w:id="147"/>
    </w:p>
    <w:p>
      <w:pPr>
        <w:pStyle w:val="Heading3"/>
        <w:numPr>
          <w:ilvl w:val="2"/>
          <w:numId w:val="1"/>
        </w:numPr>
        <w:rPr/>
      </w:pPr>
      <w:bookmarkStart w:id="148" w:name="__RefHeading___Toc2853321_2870459653"/>
      <w:bookmarkStart w:id="149" w:name="_Toc55"/>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من الموارد التي وقعت محلّ خلاف بين الفقهاء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الخمر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دراسة مستوعبة للمسألة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القسم الأَول منها ما يُمكن الاستدلال به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القسم الثاني في بيان ما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العلاج</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9111_107969"/>
      <w:bookmarkStart w:id="151" w:name="pg9111_107969"/>
      <w:bookmarkEnd w:id="151"/>
    </w:p>
    <w:p>
      <w:pPr>
        <w:pStyle w:val="BookText"/>
        <w:rPr/>
      </w:pPr>
      <w:bookmarkStart w:id="152" w:name="pg9111_107969"/>
      <w:bookmarkEnd w:id="152"/>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تقدَّم في القسم الأوَّل عرض ما استدل به على نجاسة الخمر من الكتاب والسُنَّة والإجماع وبيان النقض والإبرام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استدل به على الطهارة، وكيفية علاج التعارض</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853323_2870459653"/>
      <w:bookmarkStart w:id="154" w:name="_Toc56"/>
      <w:bookmarkEnd w:id="153"/>
      <w:r>
        <w:rPr>
          <w:rtl w:val="true"/>
        </w:rPr>
        <w:t>الروايات التي استدل بها على الطهارة</w:t>
      </w:r>
      <w:bookmarkEnd w:id="154"/>
    </w:p>
    <w:p>
      <w:pPr>
        <w:pStyle w:val="BookText"/>
        <w:rPr/>
      </w:pPr>
      <w:r>
        <w:rPr>
          <w:rFonts w:ascii="IRNazanin" w:hAnsi="IRNazanin" w:eastAsia="IRNazanin"/>
          <w:color w:val="111111"/>
          <w:sz w:val="28"/>
          <w:sz w:val="28"/>
          <w:szCs w:val="28"/>
          <w:rtl w:val="true"/>
          <w:lang w:bidi="fa-IR"/>
        </w:rPr>
        <w:t xml:space="preserve">والروايات التي يمكن الاستدلال بها على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أيضاً، بل دعوى العلم بصدور جملة منها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غير بعيدة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المعتبر وما هو تامّ الدلالة على الطهارة كمعتبرة الحسن بن أبي سارة الدالة على طهارة الخمر بعنوانه الخاصّ، وكمعتبرة الحسين بن موسى الحناط، وكذلك معتبرة عبد الله بن بكير ومعتبرة علي بن جعفر وهما تدلان على طهارة الخمر بالإطلاق، إلى غير ذلك</w:t>
      </w:r>
      <w:r>
        <w:rPr>
          <w:rStyle w:val="FootnoteAnchor"/>
          <w:rtl w:val="true"/>
        </w:rPr>
        <w:footnoteReference w:id="81"/>
      </w:r>
      <w:r>
        <w:rPr>
          <w:rFonts w:ascii="Amiri" w:hAnsi="Amiri" w:eastAsia="Amiri" w:cs="Amiri"/>
          <w:color w:val="111111"/>
          <w:sz w:val="28"/>
          <w:sz w:val="28"/>
          <w:szCs w:val="28"/>
          <w:rtl w:val="true"/>
          <w:lang w:bidi="ar-SA"/>
        </w:rPr>
        <w:t>كما سيتضح عند استعراضها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معتبرة الحسن بن أبي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ثوبي شيء من الخمر أصلّي فيه قبل أن أغسله؟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الثوب لا يسكر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وقال صاحب المدارك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القول بالطهارة الأصل وما رواه الحسن بن أبي سارة في الصحيح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الترخيص في الصلاة في الثوب يدل على الطهارة، فإنَّ ظاهر الرواية أنَّ السائل يسأل عن مانعية الصلاة في الثوب الذي أصابه الخمر، والمانعية المتصوّرة هي من جهة النجاسة،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بعدم البأس، وهذا معناه 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تعليل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الثوب لا يسكر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عرفاً بأنّ المشكلة في الخمر هي في الإسكار، وهو يتحقّق إذا كان في الآنية لا في الثوب، فإنّه لا يُستعمل فيما يُسكر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المعلّل هو المنع من الصلاة، ومقتضاه أنَّ المنع من الخمر لمّا كان بسبب الإسكار فهو ليس بنجس فلا تتعدى النجاسة للثوب، وإلّا فلو كان الخمر نجساً لتعدت النجاسة إلى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يدل على عدم نجاسة الخمر وجواز الصلاة بالثوب المصاب به، وأنّ المشكلة في الخمر إنَّما هي في الإسكار وحرمة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لها ظهور قوي أو هي كالصريحة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سنداً فالرواية معتبرة، إذْ إنَّ راويها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موجود في التهذيب والاستبصار، وهو مذكور في كتب الرجال وقد وثّقه النجاشي</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سندها في الوسائل فلا ذكر له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تمامية ما في الوسائل فسند الرواية تامّ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 لاتحاده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عند النجاشي باعتبار أنَّه لم يذكر الحسين بن أبي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الرجال، وإمّا لرواية ابن أبي عمير عنه في المقام، وأنّه يوجد راوٍ من الطبقة الخامسة باسم الحسين بن أبي سارة يروي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اختلاف الاسم عن المصدر الأصلي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كالتهذيب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وثاقته على أحد النقلين فهذا يضر بالأخذ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الاسم في المصدر الأصلي هو موثّق بخلاف نقل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هذا يكشف عن أنَّ نسخ المصدر الأصلي مختلفة جزماً أو احتمالاً، فلا يمكن الاستناد إلى نسخة المصدر الموجود؛ فإنَّ هذه نسخةٌ، وما وقع عند الحرّ نسخةٌ أخرى، ولعلّها هي الصحيحة، فإذاً يكون الوارد مردداً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رواه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w:t>
      </w:r>
      <w:r>
        <w:rPr>
          <w:rStyle w:val="FootnoteAnchor"/>
          <w:rtl w:val="true"/>
        </w:rPr>
        <w:footnoteReference w:id="84"/>
      </w:r>
      <w:r>
        <w:rPr>
          <w:rFonts w:ascii="IRNazanin" w:hAnsi="IRNazanin" w:eastAsia="IRNazanin"/>
          <w:color w:val="111111"/>
          <w:sz w:val="28"/>
          <w:sz w:val="28"/>
          <w:szCs w:val="28"/>
          <w:rtl w:val="true"/>
          <w:lang w:bidi="fa-IR"/>
        </w:rPr>
        <w:t xml:space="preserve">باب ثواب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جماعة مشايخي، عن محمد بن يحيى العطار</w:t>
      </w:r>
      <w:r>
        <w:rPr>
          <w:rStyle w:val="FootnoteAnchor"/>
          <w:rtl w:val="true"/>
        </w:rPr>
        <w:footnoteReference w:id="85"/>
      </w:r>
      <w:r>
        <w:rPr>
          <w:rFonts w:ascii="IRNazanin" w:hAnsi="IRNazanin" w:eastAsia="IRNazanin"/>
          <w:color w:val="111111"/>
          <w:sz w:val="28"/>
          <w:sz w:val="28"/>
          <w:szCs w:val="28"/>
          <w:rtl w:val="true"/>
          <w:lang w:bidi="fa-IR"/>
        </w:rPr>
        <w:t>، عن الحسين بن أبي سارة المدائني، عن يعقوب بن يزيد، عن ابن أبي عمير، عن عبد الرحمن بن الحجاج أو غيره واسمه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من ثلاث غفر الله له ما تقدَّم من ذنبه وما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الليالي</w:t>
      </w:r>
    </w:p>
    <w:p>
      <w:pPr>
        <w:pStyle w:val="BookText"/>
        <w:rPr/>
      </w:pPr>
      <w:r>
        <w:rPr>
          <w:rFonts w:ascii="Amiri" w:hAnsi="Amiri" w:eastAsia="Amiri" w:cs="Amiri"/>
          <w:color w:val="111111"/>
          <w:sz w:val="28"/>
          <w:sz w:val="28"/>
          <w:szCs w:val="28"/>
          <w:rtl w:val="true"/>
          <w:lang w:bidi="ar-SA"/>
        </w:rPr>
        <w:t>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أو ليلة الأضحى أو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86"/>
      </w:r>
      <w:r>
        <w:rPr>
          <w:rFonts w:ascii="Amiri" w:hAnsi="Amiri" w:eastAsia="Amiri" w:cs="Amiri"/>
          <w:color w:val="111111"/>
          <w:sz w:val="28"/>
          <w:sz w:val="28"/>
          <w:szCs w:val="28"/>
          <w:rtl w:val="true"/>
          <w:lang w:bidi="ar-SA"/>
        </w:rPr>
        <w:t xml:space="preserve">عن ابن قولويه بنفس السند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المراد به راوٍ آخر من الطبقة الثامنة أو السابعة بقرينة الراوي والمروي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العطار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روى عن يعقوب بن يزيد، ومحمد بن يحيى العطار من الطبقة الثامنة وهي طبقة مشايخ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يعقوب بن يزيد ثقة وهو من الطبقة السابعة</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وجلّهم من أصحاب الجواد والهادي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ابن أبي عمير فهو من الطبقة السادسة، قال النجاشي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لقي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أدرك من الأئمة ثلاثة أبا إبراهيم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يتضح وجود شخص آخر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أبي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الطبقة الثامنة أو السابعة، ويتضح أنَّ ابن أبي عمير لا يروي عن هذا الحسين بن أبي سارة لاختلاف الطبقة، كما أنّ الحسين بن أبي سارة هذا لا يروي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الحسين بن أبي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نخالط اليهود والنصارى والمجوس وندخل عليهم وهم يأكلون ويشربون فيمرّ ساقيهم فيصبّ على ثيابي 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إلّا أنْ تشتهي أنْ تغسله لأثره</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سنداً بابن سيابة فهو لم يوثّق سواء كان صالح بن سيابة أو فرض التصحيف وأنّه صباح بن سيابة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عبدالله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المسكر والنبيذ يصيب الثوب؟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المسكر لو كان نجساً ففي ذلك بأس كما هو واضح، فهي تدل على طهارة مطلق المسكر ومنه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لهذه الرواية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الشيخ هذه الأخبار على التقية من سلاطين ذلك الوقت وجمع من علماء العامة، وحمل ما لا تصريح فيه بالصلاة على اللبس في غير الصلاة، ويمكن الحمل على تعذّر الإزالة، وبعضه يمكن حمله على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الأخبار 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إمكان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اللبس في غير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الحمل على التقية سيأتي الكلام فيه إنْ شاء الله تعالى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الحمل على اللبس في غير الصلاة فهو وإنْ كان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عرفاً إنَّما يسأل السائل لا لمجرد سقوط الخمر من حيث هو هو وإنَّما عادة يسأل عن ذلك لمعرفة أنَّه هل </w:t>
      </w:r>
    </w:p>
    <w:p>
      <w:pPr>
        <w:pStyle w:val="BookText"/>
        <w:rPr/>
      </w:pPr>
      <w:r>
        <w:rPr>
          <w:rFonts w:ascii="Amiri" w:hAnsi="Amiri" w:eastAsia="Amiri" w:cs="Amiri"/>
          <w:color w:val="111111"/>
          <w:sz w:val="28"/>
          <w:sz w:val="28"/>
          <w:szCs w:val="28"/>
          <w:rtl w:val="true"/>
          <w:lang w:bidi="ar-SA"/>
        </w:rPr>
        <w:t>يضرّ بما سيقوم به من عمل كالصلاة؟</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هذه الرواية وما سبقها من معتبرة الحسن على العفو عن الخمر في الصلاة وإنْ كانت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ما ذكر هو خلاف الظاهر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الحمل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حمله أيضاً على أنَّ الأمر هو لمنع الخمر من جهة الصلاة كالحرير وليس لنجاسة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الخمر والنبيذ والمسكر يصيب ثوبي، أغسله أو أصلي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 إلَّا أنْ تقذّره فتغسل منه موضع الأثر إنَّ الله تعالى إنَّما حرَّم شربها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وأمّا إذا نوقش في ذلك من جهة كون طرق صاحب الوسائل ليست إلى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أنّ طرق الفهرست هي ليست إلى النسخ فالرواية لا تكون تامّة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عنوان عبد الله بن جعفر الحميري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عن الرواية بالصحيحة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والمحقّق الخوانساري في مشارق الشموس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والفاضل الهندي في كشف اللثام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وصاحب الحدائق، وصاحب الجواهر، والمحقّق الهمداني، والسيد الحكيم في المستمسك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ذكرها الخمر بعنوانه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دلالتها على جواز الصلاة في ثوب أصابه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ذلك الطهارة، بل إنَّ الحصر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إنَّما حرَّم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ظهور قويّ في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المشكلة تكمن في الشرب والتناول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الحسين بن موسى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يشرب الخمر ثم يمجّه فيصيب ثوبي؟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الخمر نجساً ففي ذلك بأس كما هو واضح، فيتضح أنَّ له أنْ يتعامل معه معاملة الطاهر، وأمَّا سنداً سواء كان الراوي الحسين بن موسى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والوسائل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أخاه الحسن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كما في هامش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بضعفها حيث لم يوثّقا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بناءً على تمامية كبرى وثاقة مشايخ ابن أبي عمير وصفوان والبزنطي تكون معتبرة، فقد روى ابن أبي عمير عن الحسن بن موسى الحنّاط كما في 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w:t>
      </w:r>
      <w:r>
        <w:rPr>
          <w:rStyle w:val="FootnoteAnchor"/>
          <w:rtl w:val="true"/>
        </w:rPr>
        <w:footnoteReference w:id="94"/>
      </w:r>
      <w:r>
        <w:rPr>
          <w:rFonts w:ascii="Amiri" w:hAnsi="Amiri" w:eastAsia="Amiri" w:cs="Amiri"/>
          <w:color w:val="111111"/>
          <w:sz w:val="28"/>
          <w:sz w:val="28"/>
          <w:szCs w:val="28"/>
          <w:rtl w:val="true"/>
          <w:lang w:bidi="ar-SA"/>
        </w:rPr>
        <w:t>، وكذا روى البزنطي عنه كما في الوسائل</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 أيضاً، وإذا شُكّك في الطريق الأول من ناحية طرق الفهرست فالطريق الثاني تامّ لا إشكال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موسى كما في الوسائل بطريق معتبر</w:t>
      </w:r>
      <w:r>
        <w:rPr>
          <w:rStyle w:val="FootnoteAnchor"/>
          <w:rtl w:val="true"/>
        </w:rPr>
        <w:footnoteReference w:id="96"/>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w:t>
      </w:r>
      <w:r>
        <w:rPr>
          <w:rStyle w:val="FootnoteAnchor"/>
          <w:rtl w:val="true"/>
        </w:rPr>
        <w:footnoteReference w:id="97"/>
      </w:r>
      <w:r>
        <w:rPr>
          <w:rFonts w:ascii="Amiri" w:hAnsi="Amiri" w:eastAsia="Amiri" w:cs="Amiri"/>
          <w:color w:val="111111"/>
          <w:sz w:val="28"/>
          <w:sz w:val="28"/>
          <w:szCs w:val="28"/>
          <w:rtl w:val="true"/>
          <w:lang w:bidi="ar-SA"/>
        </w:rPr>
        <w:t>، وكذلك في 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معتبر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 ابن أبي عمير أيضاً في طريق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السند ابن بطة وهو ضعيف</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والحسين الغضائري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مشايخ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من كونه كثير الرواية، وأنه شيخ إجازة، وتوثيق ابن طاووس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يكفي أحد الطرق الثلاثة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رواه عبد الحميد بن أبي الديلم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يشرب الخمر فبزق فأصاب ثوبي من بزاقه؟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فمورده السؤال عن بصاق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والبصاق ليس بنجس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النجس الخمر، مضافاً إلى أنَّها ضعيفة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ابن أبي بكر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ثوبي نبيذ أصلي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قطرة من نبيذ قطر في حبّ أشرب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النبيذ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أصل الخمر حرام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الدلالة كما عن الذخيرة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عدم القائل بالفصل، ولكن قال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ظاهر الخبر أنَّ الذي أصابه من النبيذ هو المسكر المحرّم دون أنْ يكون النبيذ الذي ليس بمسكر، وإذا احتمل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حملناه على النبيذ الذي لا يسكر وهو ما قدمنا ذكره ممّا قد نبذ فيه التُميرات لتكسر طعم الماء</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يلاحظ على ذلك بعدم وضوح 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السؤال عن النبيذ المسكر حيث يتوقع من السائل أنْ يسأل عن نجاسته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حلالاً فيبعد السؤال عن نجاسته، أيّ أنَّ السؤال منصرِف إلى خصوص المسكر؛ لوضوح عدم نجاسة النبيذ بمجرد النبذ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الرواية فالكلام من ناحية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ممَّن روى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لم يرد في حقّه توثيق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يستفاد من بعض الروايات مدحه</w:t>
      </w:r>
      <w:r>
        <w:rPr>
          <w:rStyle w:val="FootnoteAnchor"/>
          <w:rtl w:val="true"/>
        </w:rPr>
        <w:footnoteReference w:id="104"/>
      </w:r>
      <w:r>
        <w:rPr>
          <w:rFonts w:ascii="Amiri" w:hAnsi="Amiri" w:eastAsia="Amiri" w:cs="Amiri"/>
          <w:color w:val="111111"/>
          <w:sz w:val="28"/>
          <w:sz w:val="28"/>
          <w:szCs w:val="28"/>
          <w:rtl w:val="true"/>
          <w:lang w:bidi="ar-SA"/>
        </w:rPr>
        <w:t>، مضافاً إلى رواية ابن أبي عمير عنه</w:t>
      </w:r>
      <w:r>
        <w:rPr>
          <w:rStyle w:val="FootnoteAnchor"/>
          <w:rtl w:val="true"/>
        </w:rPr>
        <w:footnoteReference w:id="105"/>
      </w:r>
      <w:r>
        <w:rPr>
          <w:rFonts w:ascii="Amiri" w:hAnsi="Amiri" w:eastAsia="Amiri" w:cs="Amiri"/>
          <w:color w:val="111111"/>
          <w:sz w:val="28"/>
          <w:sz w:val="28"/>
          <w:szCs w:val="28"/>
          <w:rtl w:val="true"/>
          <w:lang w:bidi="ar-SA"/>
        </w:rPr>
        <w:t>، وكذلك رواية صفوان بن يحيى البجلي عنه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حفص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 يكون فيه الخمر </w:t>
      </w:r>
    </w:p>
    <w:p>
      <w:pPr>
        <w:pStyle w:val="BookText"/>
        <w:rPr/>
      </w:pPr>
      <w:r>
        <w:rPr>
          <w:rFonts w:ascii="Amiri" w:hAnsi="Amiri" w:eastAsia="Amiri" w:cs="Amiri"/>
          <w:color w:val="111111"/>
          <w:sz w:val="28"/>
          <w:sz w:val="28"/>
          <w:szCs w:val="28"/>
          <w:rtl w:val="true"/>
          <w:lang w:bidi="ar-SA"/>
        </w:rPr>
        <w:t>ثمَّ يجفّف، يجعل فيه الخل؟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بحفص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نشتري ثياباً يصيبها الخمر وودك الخنزير عند حاكتها أنصلي فيها قبل أنْ نغسلها؟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 أكله وشربه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يحرّم لبسه ومسّه والصلاة فيه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الرخصة في الصلاة في ثوب أصابه خمر وودك الخنزير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الحسين وعلي بن إسماعيل ويعقوب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الصباح وأبو سعيد والحسن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لهما إنّا نشتري ثياباً يصيبها الخمر وودك الخنزير عند حاكتها أنصلي فيها قبل أنْ نغسلها؟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 أكله وشربه ولم يحرّم لبسه ومسّه والصلاة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دسم اللحم والشحم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 مادة 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دسم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ودك الخنزير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جهة السند تامّة بلحاظ سندها في العلل، وأما بلحاظ روايتها في الفقيه فهي مرسلة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دلالةً فقد أُشكل في دلالتها على الطهارة بأنَّ ما يضعّف أمرها هو ما تدلّ عليه ضمناً من جواز الصلاة في جزء من الخنزير، وهذا يجعل الرواية معارضة لا مع روايات نجاسة الخمر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روايات نجاسة الخنزير أيضاً، ومع روايات منع ما لا يؤكل </w:t>
      </w:r>
    </w:p>
    <w:p>
      <w:pPr>
        <w:pStyle w:val="BookText"/>
        <w:rPr/>
      </w:pPr>
      <w:r>
        <w:rPr>
          <w:rFonts w:ascii="Amiri" w:hAnsi="Amiri" w:eastAsia="Amiri" w:cs="Amiri"/>
          <w:color w:val="111111"/>
          <w:sz w:val="28"/>
          <w:sz w:val="28"/>
          <w:szCs w:val="28"/>
          <w:rtl w:val="true"/>
          <w:lang w:bidi="ar-SA"/>
        </w:rPr>
        <w:t>لحمه الثابتة في الخنزير بقطع النظر عن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القول بأنَّ مورد الرواية ليس نصّاً في بقاء ودك الخنزير في الثوب إلى حين الصلاة، بل ولا في وجود الرطوبة السارية عند الملاقاة معه؛ لأنَّ التعليل واضح في جواز الصلاة فيه فتكون الرواية بلحاظ جزء من مدلولها ساقطة وجداناً، أو بالمعارضة للدليل القطعي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ما يوهن الرواية، إذ إنَّها لا تتكفّل ببيان طهارة الخمر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تتكفّل أيضاً بطهارة ودك الخنزير وعدم مانعيته من الصلاة فتعارض ما هو مقطوع به فقهاً من عدم صحة الصلاة في شيء من جسم الخنزير لا للنجاسة فقط، بل لأنَّ الخنزير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تعارض مجموع طوائف ثلاث،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الخمر مع ضمّ العلم من الخارج بأنَّ كلّ ما كان نجساً فهو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نجاسة الخنزير مع ضمّ العلم المذكور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الصلاة فيما يؤكل لحمه باطلة مع ضمّ العلم بأنَّ الخنزير مما لا يؤكل لحمه بالضرورة من الدين، ومن أجل أنَّه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بصدور بعض هذه الطوائف الثلاث تكون هذه الرواية مخالفة للقطعي من السُنّة لا محالة، فتسقط عن الحجيّة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كما هو واضح على الخنزير والخمر بتأويل </w:t>
      </w:r>
    </w:p>
    <w:p>
      <w:pPr>
        <w:pStyle w:val="BookText"/>
        <w:rPr/>
      </w:pPr>
      <w:r>
        <w:rPr>
          <w:rFonts w:ascii="Amiri" w:hAnsi="Amiri" w:eastAsia="Amiri" w:cs="Amiri"/>
          <w:color w:val="111111"/>
          <w:sz w:val="28"/>
          <w:sz w:val="28"/>
          <w:szCs w:val="28"/>
          <w:rtl w:val="true"/>
          <w:lang w:bidi="ar-SA"/>
        </w:rPr>
        <w:t>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تناول المذكورات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ولبسه ومسّه والصلاة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يعود إلى الثوب المذكور في ضمن الثياب وأنَّه لا إشكال في الثوب؛ إذْ لا يُعلم بمماسته لودك الخنزير برطوبة مسرية ولا يُعلم بوجود أجزاء منه، كما أنَّه لا تصريح في الرواية بأنَّ ودك الخنزير كان باقياً في الثوب إلى حين الصلاة فغاية ما هنالك شمولها لهذه الحالة بالإطلاق فلا تكون معارضة لجميع ما دلّت عليه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الرواية على أنَّ ملاقاة الثوب لودك الخنزير كانت مع وجود الرطوبة المسرية فلعلّها حصلت من دون 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لا يتم إلاّ بالنسبة إلى ملاقاة الثوب مع ودك الخنزير، وأمَّا ملاقاته مع الخمر فإنَّها لا تتصور إلاّ برطوبة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 على نفي المنع والنجاسة إنَّما هي بالإطلاق فيُقيّد بخصوص ما إذا كانت الملاقاة بدون رطوبة أو مع زوال عين النجاسة، اللهمّ إلاّ أنْ يدّعى الانصراف الناشئ من غالبية الرطوبة في لحم الخنزير عند ذبحه وأكله في قبال أنَّه مسّه عند تجفيفه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فرض نادر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التفكيك في الحجيّة بين فقرات الحديث الواحد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الرواية في بعض مدلولها لمانع مختصّ به من قيام دليل قطعي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لوجود المعارض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لوهنه بمخالفة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الهجران ممّا لا يلزم منه سقوطها في البعض الآخر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للرواية دلالتين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مانعية الخمر،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مانعية الخنزير وهما ليستا صادقتين معاً، بل لنا علم إجماليّ بكذب إحداهما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منحل بالعلم التفصيلي بكذب الأخرى بخصوصها وهي الدلالة الثانية؛ للعلم بعدم جواز الصلاة في الخنزير ولو مع قطع النظر عن نجاسته فتسقط حجيّة الرواية من هذه الجهة، وأمَّا الدلالة الأولى حيث أنَّها ليست متعلّقة للعلم التفصيلي بالكذب والبطلان ولا للعلم الإجمالي به بعد فرض الانحلال فلا محالة تكون حجّة في إثبات مدلولها وهو عدم مانعيّة الخمر، فإنَّ دليل حجيّة الخبر ناظر إلى دلالات الخبر وهو يتناسب مع التفصيل والتبعيض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بطلان أحد مدلولي هذه الرواية يشكّل أمارة توجب سلب الوثوق بها من رأس فلا تكون مشمولة لأدلة حجيّة خبر الواحد في نفسها بناءً على أنَّ دليل الحجيّة لا يشمل خبر الثقة مطلقاً؛ إذ هو لا يشمل ما كان من أخبار الثقات فيه أمارة توجب سلب الوثوق بصدوره بنحوٍ مكافئ لوثاقة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التفكيك في الحجيّة في أمثال المقام؛ لأنَّ الدليل المهمّ على حجيّة الخبر هو السيرة وهو دليل لبيّ، ولا جزم بالأخذ به في أمثال المقام، فيقتصر على القدر المتيقّن وهو حال عدم اشتمال الخبر على معنى لا يمكن الالتزام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 الدلالة فبها، وإلاّ فالرواية لا تعدّ من روايات الطهارة التامّة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البيت يبال على ظهره ويغتسل من الجنابة ثم يصيبه المطر أيؤخذ من مائه فيتوضأ به للصلاة؟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جرى فلا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يمرّ في ماء المطر وقد صبّ فيه خمر فأصاب ثوبه هل يصلي فيه قبل أن يغسله؟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ثوبه ولا رجله ويصلي فيه ولا بأس به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أنَّ الذي أصاب ثوبه هو الماء الذي صبّ فيه الخمر لا نفس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أنْ يراد بماء المطر الماء الناشئ من التقاطر لا ما هو مطر بالفعل حال النزول، وبالتالي يشمل بإطلاقه صورة الانقطاع والقلّة فيدلّ على عدم انفعال الماء القليل بملاقاة الخمر وهو كاشف عن طهارته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تدلّ على طهارة الخمر بالإطلاق فلم يُفصِّل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حالة نزول المطر بالفعل وبين الانقطاع، ومقتضى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ترك الاستفصال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عمومية هذا الحكم حتى لحالة الانقطاع، وبذلك تثبت طهارة الخمر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سندها فهو تامّ حيث رواها الشيخ الصدوق في الفقيه، وطريق الصدوق إلى علي بن جعفر تامّ،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فيه عن علي بن جعفر فقد رويته عن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يحيى العطار، عن العمركي بن علي البوفكي، عن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ورويته عن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علي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تحت عيسى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صالحة،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أتطيب لزوجي فيجعل في المشطة التي امتشط بها الخمر وأجعله في رأسي؟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 لو كان نجساً ففي ذلك بأس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إنَّما هو عن نفس العمل، لاحتمال حرمة استعمال الخمر بأي نحو، فلا يدل نفي البأس إلّا على عدم حرمة ذلك تكليفاً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أجيب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عدم انسباق حيثيّة النجاسة من السؤال، فلا أقل من التمسك بإطلاق نفي البأس؛ لأنَّ التنجيس بنفسه بأس، ولو سلّم أنَّ البأس المنفي هو البأس في العمل، بمعنى حرمته خاصّة، لا البأس من ناحيته بنحو يشمل سراية النجاسة فلا أقل من كون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محذور السراية مع أهميته ودخوله في محل الابتلاء ظاهراً عرفاً في عدم وجود محذور من هذا القبيل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تامّة سنداً، لثبوت وثاقة سعدان بن مسلم لرواية الأزدي عنه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علي الواسطي فهو ثقة لتوثيق علي بن الحسن بن فضّال إيّاه، وقد نقله الكشي بسندٍ صحيحٍ، وقال النجاشي في ترجمة علي بن الحسن الواسطي إنه لا بأس به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الحسن بن علي بن فضال عن علي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أيهما سألت أما الواسطي فهو ثقة، وأما الذي عندنا فيشير إلى علي ابن حسان الهاشمي فإنَّه يروي عن عمه عن عبد الرحمن بن كثير فهو كذاب واقفي أيضاً لم يدرك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13/262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علي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البرقي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الواسطي، هو غير علي بن الحسن الواسطي، ويكفي التشكيك في ذلك لعدم اعتبار الرواية، ولعلّ هذا هو الذي دعا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بأنَّ الرواية ساقطة سنداً بعلي الواسطي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تصلي في ثوب أصابته خمر؛ لأنَّ الله عزّ وجلّ حرّم شربها، ولم يحرّم الصلاة في ثوب أصابته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جميلة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ثوب المجوسي ألبسه وأصلي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يشربون الخمر،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نشتري الثياب السابرية فنلبسها ولا نغسلها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الثياب السابرية يعملها المجوس وهم أخباث، وهم يشربون الخمر ونساؤهم على تلك الحال، ألبسها ولا أغسلها وأصلي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تامّة سنداً، وطريق الشيخ إلى أحمد بن محمد الذي ابتدأ به السند تامّ في المشيخة</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وذكر الشيخ في المشيخة عدة طرق إلى أحمد بن محمد بن عيسى،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ذكرته عن أحمد بن محمد بن عيسى ما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الطوسي بعد ذكر أسناده إلى محمد بن علي بن محبوب وفيه أحمد بن محمد بن يحيى وتوثيقه يختلف باختلاف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الطوسي كطريقين إلى ما أخذه من نوادر أحمد بن محمد بن عيسى، والثالث معتبر، والرابع فيه أحمد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وتمييز روايات النوادر عن غيرها من كتب أحمد في التهذيبين عند عدم التصريح من الشيخ به غير ميسور والمهم أنَّه لا ثمرة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في الفهرست طرق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أحمد بن محمد بن يحيى،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أحمد بن محمد ابن الحسن بن الوليد،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المبوبة الذي ذكر أنَّه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طريق الصدوق إليه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جعفر 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 بمكان قد رُشّ فيه خمر قد شربته الأرض وبقي نداوته أيصلي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أصاب </w:t>
      </w:r>
    </w:p>
    <w:p>
      <w:pPr>
        <w:pStyle w:val="BookText"/>
        <w:rPr/>
      </w:pPr>
      <w:r>
        <w:rPr>
          <w:rFonts w:ascii="Amiri" w:hAnsi="Amiri" w:eastAsia="Amiri" w:cs="Amiri"/>
          <w:color w:val="111111"/>
          <w:sz w:val="28"/>
          <w:sz w:val="28"/>
          <w:szCs w:val="28"/>
          <w:rtl w:val="true"/>
          <w:lang w:bidi="ar-SA"/>
        </w:rPr>
        <w:t>مكاناً غيره فليصلِّ فيه، وإنْ لم يصب فليصلِّ ولا بأس</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 من 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يصب فليصلِّ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مقتضى إطلاق صحّة الصلاة بمجرد عدم إصابة مكان آخر جاف، سواء كان الوقت وسيعاً بنحو يجفّ قبل خروجه أو لا، وسواء كان بالإمكان تجفيفه بالعناية أو وضع شيء يمنع عن السراية أو لا، بل لعلّ الغالب إمكان التحفظ بنحو من الأنحاء، فلو كان المكان نجساً ومنجساً للزم التحفّظ، ولما ارتفع المحذور بمجرد عدم إصابة مكان آخر في حال إرادة الصلاة، كما هو ظاهر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فلم يقيّد باشتراط التجفيف، أو وضع مانع دونه يصلي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 في نفي البأس الملحوظ للسائل في مقام الاستعلام لو تمَّ استظهار أنَّ البأس المحتمل للسائل هو النجاسة لا منع نداوة الخمر عن الصلاة بالأصالة، فإذاً ليس البأس المقصود للسائل إلّا نجاسة البدن والثوب بالخمر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الإطلاق المقامي وعدم التنبيه على ما يترتب على الصلاة في ذلك المكان عند الانحصار من النجاسة ولزوم غسل الأعضاء بعد ذلك، إلّا أنَّ افتراض هذا الإطلاق بلا موجب؛ لأنَّه لم يحرز 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البيان عن سائر الجهات، فلعلّه اعتمد في توضيح ذلك على ما تقتضيه القاعدة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سنداً فهذه الرواية يرويها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الإسناد للثقة عبد الله بن جعفر الحميري</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الطبقة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قرب الإسناد الجزء الثاني منه يحتوي على مسائل علي بن جعفر رواه الحميري بواسطة عبد الله بن الحسن عن جده علي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الذي تضمّن في جزئه الثاني كتاب مسائل الثقة علي بن جعفر في الحلال والحرام عن أخيه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تلك المسائل عبد الله بن الحسن عن جده علي بن جعفر، ولكن عبد الله بن الحسن راوي هذه النسخة من المسائل لم يوثّق في كتب الرجال، وعن المحقّق صاحب المنتقى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ذلك، ومن هنا لم يعتمد معظم الفقهاء على مسائل علي بن جعفر المروية بطريقه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هذه الرواية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قرب الإسناد من الأصول المعتبرة المشهورة فلا يضر ضعف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شهرة الكتاب إنَّما تقتضي عدم الحاجة إلى سند صحيح إليه، لا اعتبار كل ما فيه، مضافاً إلى أنَّه ينبغي إحراز الشهرة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كليب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بصير وأصحابه يشربون النبيذ يكسرونه بالماء فحدّثتُ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صار الماء يحلّ المسكر؟ مرهم لا يشربون منه قليلاً ولا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فأمسكوا عن شربه، فاجتمعنا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جاءنا عنك بكذا وكذا؟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الماء لا يحلّ المسكر فلا تشربوا منه قليلاً ولا كثيراً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المرتكز في ذهنهم النجاسة لكان من البعيد أنْ يتوهموا </w:t>
      </w:r>
    </w:p>
    <w:p>
      <w:pPr>
        <w:pStyle w:val="BookText"/>
        <w:rPr/>
      </w:pPr>
      <w:r>
        <w:rPr>
          <w:rFonts w:ascii="Amiri" w:hAnsi="Amiri" w:eastAsia="Amiri" w:cs="Amiri"/>
          <w:color w:val="111111"/>
          <w:sz w:val="28"/>
          <w:sz w:val="28"/>
          <w:szCs w:val="28"/>
          <w:rtl w:val="true"/>
          <w:lang w:bidi="ar-SA"/>
        </w:rPr>
        <w:t>كسر محذور النجاسة بالماء؛ لأنَّ من الواضح أنَّ النجس إذا زِيد ماءً تنجس ما يلقى فيه ولا يطهر، وإنَّما ينشأ هذا التوهم عند قصر النظر على محذور الحرمة، فيكشف عن عدم ارتكاز النجاسة في ذهن ثلّة من فقهاء أصحاب الأئمة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المعتبرة ارتكاز الطهارة عند أبي بصير ولم يردع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الارتكاز فبالإمضاء السكوتي يدلّ على الطهارة، والرواية معتبرة سنداً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وروى الكليني بسند تامّ 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رجلاً يقال له كليب فلا يجيء عنكم شيء إلّا قال أنا أُسَلّمِ فسميناه كليب تسليم،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التسليم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فسكتنا،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والله الإخبات قول الله عزّ وجلّ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الَّذِينَ آمَنُوا وَعَمِلُوا الصَّالِحَاتِ وَأَخْبَتُوا إِلَى رَبِّهِمْ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الكافي باب التسليم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ولاحظ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والتسليم والانقياد والاطمئنان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الرواية أنَّ كليباً من مصاديق الآية الكريمة فيمكن أنْ يدل على وثاقته،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دلالة واضحة على جلالة كليب لا تقل عن التوثيق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 أنْ تقول أنَّه مدح يدل على التوثيق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 الله بن سنان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الجعفريات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طعام أهل </w:t>
      </w:r>
    </w:p>
    <w:p>
      <w:pPr>
        <w:pStyle w:val="BookText"/>
        <w:rPr/>
      </w:pPr>
      <w:r>
        <w:rPr>
          <w:rFonts w:ascii="Amiri" w:hAnsi="Amiri" w:eastAsia="Amiri" w:cs="Amiri"/>
          <w:color w:val="111111"/>
          <w:sz w:val="28"/>
          <w:sz w:val="28"/>
          <w:szCs w:val="28"/>
          <w:rtl w:val="true"/>
          <w:lang w:bidi="ar-SA"/>
        </w:rPr>
        <w:t>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 إنَّه حرام، ولكن تتركه تتنزه عنه، إنَّ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ظاهرة في الطهارة، وأما سندها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إسماعيل بن جابر، وإسماعيل بن جابر الجعفي الخثعمي وثّقه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ممن روى عنه ابن أبي عمير وصفوان بسند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w:t>
      </w:r>
    </w:p>
    <w:p>
      <w:pPr>
        <w:pStyle w:val="BookText"/>
        <w:rPr/>
      </w:pPr>
      <w:r>
        <w:rPr>
          <w:rFonts w:ascii="Amiri" w:hAnsi="Amiri" w:eastAsia="Amiri" w:cs="Amiri"/>
          <w:color w:val="111111"/>
          <w:sz w:val="28"/>
          <w:sz w:val="28"/>
          <w:szCs w:val="28"/>
          <w:rtl w:val="true"/>
          <w:lang w:bidi="ar-SA"/>
        </w:rPr>
        <w:t>في ذمه ضعيف</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حمزة الغنوي</w:t>
      </w:r>
      <w:r>
        <w:rPr>
          <w:rStyle w:val="FootnoteAnchor"/>
          <w:rtl w:val="true"/>
        </w:rPr>
        <w:footnoteReference w:id="133"/>
      </w:r>
      <w:r>
        <w:rPr>
          <w:rFonts w:ascii="Amiri" w:hAnsi="Amiri" w:eastAsia="Amiri" w:cs="Amiri"/>
          <w:color w:val="111111"/>
          <w:sz w:val="28"/>
          <w:sz w:val="28"/>
          <w:szCs w:val="28"/>
          <w:rtl w:val="true"/>
          <w:lang w:bidi="ar-SA"/>
        </w:rPr>
        <w:t>، وهي ضعيفة سنداً من جهة يزيد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زكريا بن إبراهيم</w:t>
      </w:r>
      <w:r>
        <w:rPr>
          <w:rStyle w:val="FootnoteAnchor"/>
          <w:rtl w:val="true"/>
        </w:rPr>
        <w:footnoteReference w:id="134"/>
      </w:r>
      <w:r>
        <w:rPr>
          <w:rFonts w:ascii="Amiri" w:hAnsi="Amiri" w:eastAsia="Amiri" w:cs="Amiri"/>
          <w:color w:val="111111"/>
          <w:sz w:val="28"/>
          <w:sz w:val="28"/>
          <w:szCs w:val="28"/>
          <w:rtl w:val="true"/>
          <w:lang w:bidi="ar-SA"/>
        </w:rPr>
        <w:t>، وهي ضعيفة سنداً لعدم ثبوت وثاقة عبد الرحمن بن حمزة، وزكريا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الأعور</w:t>
      </w:r>
      <w:r>
        <w:rPr>
          <w:rStyle w:val="FootnoteAnchor"/>
          <w:rtl w:val="true"/>
        </w:rPr>
        <w:footnoteReference w:id="135"/>
      </w:r>
      <w:r>
        <w:rPr>
          <w:rFonts w:ascii="Amiri" w:hAnsi="Amiri" w:eastAsia="Amiri" w:cs="Amiri"/>
          <w:color w:val="111111"/>
          <w:sz w:val="28"/>
          <w:sz w:val="28"/>
          <w:szCs w:val="28"/>
          <w:rtl w:val="true"/>
          <w:lang w:bidi="ar-SA"/>
        </w:rPr>
        <w:t>، وهي ضعيفة سنداً بحفص</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يمكن الخدشة في بعض الروايات، ولكن لا يمكن إنكار أنَّها بمجموعها تدلّ على الطهارة، وكثرتها تؤدي إلى الاطمئنان بصدور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ستعارض روايات النجاسة التي لو خُليت وطبعها لكان يظهر من مجموعها النجاسة، وإنْ كان في كلّ منها ما يمكن مناقشته</w:t>
      </w:r>
      <w:r>
        <w:rPr>
          <w:rFonts w:eastAsia="Amiri" w:cs="Amiri" w:ascii="Amiri" w:hAnsi="Amiri"/>
          <w:color w:val="111111"/>
          <w:sz w:val="28"/>
          <w:szCs w:val="28"/>
          <w:rtl w:val="true"/>
          <w:lang w:bidi="ar-SA"/>
        </w:rPr>
        <w:t xml:space="preserve">. </w:t>
      </w:r>
      <w:bookmarkStart w:id="155" w:name="pg9111_107990"/>
    </w:p>
    <w:p>
      <w:pPr>
        <w:pStyle w:val="BookText"/>
        <w:rPr/>
      </w:pPr>
      <w:bookmarkEnd w:id="155"/>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لنلاحظ ما هو مقتضى الصناعة في باب الأخبار للخروج من مأزق هاتين الطائفتين من الروايات</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853325_2870459653"/>
      <w:bookmarkStart w:id="157" w:name="_Toc57"/>
      <w:bookmarkEnd w:id="156"/>
      <w:r>
        <w:rPr>
          <w:rtl w:val="true"/>
        </w:rPr>
        <w:t>هل يمكن طرح روايات الطهارة؟</w:t>
      </w:r>
      <w:bookmarkEnd w:id="157"/>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الطهارة ساقطة عن الحجيّة في حدّ نفسها وذاتها فلا تزاحم أخبار النجاسة، ويتعيّن الأخذ بها ولا تصل النوبة إلى باب التعارض أساساً؛ فإنَّ اللاحجّة لا تعارض الحجّة؛ وذلك إمَّا استناداً إلى أنَّ أخبار الطهارة معرَضٌ عنها وإنْ لم تكن مهجورة كلياً، أو لأنَّها مخالفة لكتاب الله تعالى، أو لأنَّ أخبار النجاسة في نفسها قطعية إجمالاً لاستفاضتها فتكون روايات الطهارة مخالفة للسُنّة القطعية وهي كالمخالفة للكتاب الكريم توجب الخروج عن إطلاق دليل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للإعراض فبناءً على أنَّه كاسر وموهن فهو إنَّما يكون كذلك إذا كان كاشفاً عن وجود خلل في الرواية سنداً أو غيره بحيث لو اطلّعنا عليه لأعرضنا عنها كما أعرض المشهور وبالتالي تسقط عن الاعتبار، أو عن وجود ارتكاز واضح بينهم على النجاسة تلقّوه يداً بيد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أجله لم يولوا اهتماماً لروايات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يظهر في المقام أنَّ ترك المشهور العمل بروايات الطهارة مبنيٌّ على إعمال النظر والاجتهاد والرأي في فَهْم النصوص فتُركت روايات الطهارة على أساس الحدس والصناعة والمباني؛ لكونها مخالفة لكتاب الله، أو للاحتياط في الدين، أو لكونها موافقة للعامّة فتحمل على التقيّة كما يظهر ذلك من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الذي يقدّم فيه أخبار النجاسة لمخالفة أخبار الطهارة للكتاب أو لموافقتها للعامّة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ابن إدريس الحلي حينما تعرّض لأخبار الطهارة رماها بأنَّها آحاد، ولم يُشِر في </w:t>
      </w:r>
    </w:p>
    <w:p>
      <w:pPr>
        <w:pStyle w:val="BookText"/>
        <w:rPr/>
      </w:pPr>
      <w:r>
        <w:rPr>
          <w:rFonts w:ascii="Amiri" w:hAnsi="Amiri" w:eastAsia="Amiri" w:cs="Amiri"/>
          <w:color w:val="111111"/>
          <w:sz w:val="28"/>
          <w:sz w:val="28"/>
          <w:szCs w:val="28"/>
          <w:rtl w:val="true"/>
          <w:lang w:bidi="ar-SA"/>
        </w:rPr>
        <w:t>كلمات المتقدّمين إلى وجود خلل خاص بها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فكون مقتضى الصناعة هو ما منع المشهور من العمل بأخبار الطهارة أمرٌ محتمل ومعتدّ به إنْ لم يكن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فإنَّه قد يُشكّك صغروياً في حصول إحراز إعراض الأصحاب عن أخبار الطهارة فلا يثبت مع وجود القول بها من القدماء ومن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سُلمت كبرى أنَّ الإعراض موهنٌ، لكن لم تثبت صغرى الإعراض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اتفقت الطبقة المتقدّمة الذين هم أصحاب الخبرة بالحديث كالكليني والصدوق والطوسي على الإعراض عن الحديث فإنَّه يسقط عن الحجيّة؛ إذْ إنَّ اتفاقهم إنْ حصل سوف يكون موجباً للاطمئنان بوجود خلل في الرواية أو السقوط عن الحجيّة، باعتبار أنَّ الدليل العمدة لحجيّة الخبر هو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اللفظية هي إرشاد إلى ذلك ولا تريد أنْ تؤسس مطلباً جديداً فهي إمضائية لا تأسيسية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دليل لبيّ فيقتصر على القدر المتيقّن منها، وهو حالة عدم اتفاق إعراض طبقة أهل الخبرة بالحديث من المتقدمين، فإذاً دليل حجية الرواية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الشمول لمثل هذه الحالة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 مقدّمة كتاب الفقيه أنَّه لا يذكر إلّا ما يفتي به ويراه حجّة بينه وبين ربه اقتصر في الفقيه على النصّ الدالّ على طهارة الخمر من دون أنْ يذكر شيئاً من نصوص النجاسة بنحو يظهر منه العمل بالأولى دون الثانية، إذْ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بالصلاة في ثوب أصابه خمر؛ لأنَّ الله عزّ وجلّ حرّم </w:t>
      </w:r>
    </w:p>
    <w:p>
      <w:pPr>
        <w:pStyle w:val="BookText"/>
        <w:rPr/>
      </w:pPr>
      <w:r>
        <w:rPr>
          <w:rFonts w:ascii="Amiri" w:hAnsi="Amiri" w:eastAsia="Amiri" w:cs="Amiri"/>
          <w:color w:val="111111"/>
          <w:sz w:val="28"/>
          <w:sz w:val="28"/>
          <w:szCs w:val="28"/>
          <w:rtl w:val="true"/>
          <w:lang w:bidi="ar-SA"/>
        </w:rPr>
        <w:t>شربها ولم يحرّم الصلاة في ثوب أصابته، فأمَّا في بيت فيه خمر فلا يجوز الصلاة فيه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معتبرة بكير</w:t>
      </w:r>
      <w:r>
        <w:rPr>
          <w:rStyle w:val="FootnoteAnchor"/>
          <w:rtl w:val="true"/>
        </w:rPr>
        <w:footnoteReference w:id="138"/>
      </w:r>
      <w:r>
        <w:rPr>
          <w:rFonts w:ascii="Amiri" w:hAnsi="Amiri" w:eastAsia="Amiri" w:cs="Amiri"/>
          <w:color w:val="111111"/>
          <w:sz w:val="28"/>
          <w:sz w:val="28"/>
          <w:szCs w:val="28"/>
          <w:rtl w:val="true"/>
          <w:lang w:bidi="ar-SA"/>
        </w:rPr>
        <w:t>، وذكر في موضع ثالث رواية أبي جميلة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يصعب إحراز الإعراض من الطبقة المتقدمة عن نصوص الطهارة مع وضوح الدلالة وكثرة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إعراضهم عنها ليس على وجه يسقطها عن الحجيّة، فهي أخبار مستفيضة مشهورة عمل بها بعض الأصحاب لا يكون طرفها إلّا تعارض مكافئ، وما يصلح لمعارضتها ليس إلّا بعض أخبار النجاسة الذي لا يقبل الحمل على الاستحباب، وهذا البعض من حيث هو لا يكافئ أخبار الطهارة إلّا أنْ يدّعى انجباره بعمل الأصحاب ونقل إجماعهم واعتضاده بظواهر غيره من الأخبار الكثيرة، وفيه تأمل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لمخالفة كتاب الله تعالى فقد تقدّم أنَّ الآية لا تدلّ على النجاسة، وبالتالي أخبار الطهارة ليست مخالفة للكتاب الكريم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كبروياً في أنّ ما يخالف كتاب الله تعالى هو ساقط عن الحجيّة، ولكن صغروياً لم تتمّ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النجاسة، ومعه فلا يصدق على أخبار الطهارة أنَّها معارضة للكتاب حتى تسقط بذلك عن الحجية</w:t>
      </w:r>
      <w:r>
        <w:rPr>
          <w:rFonts w:eastAsia="Amiri" w:cs="Amiri" w:ascii="Amiri" w:hAnsi="Amiri"/>
          <w:color w:val="111111"/>
          <w:sz w:val="28"/>
          <w:szCs w:val="28"/>
          <w:rtl w:val="true"/>
          <w:lang w:bidi="ar-SA"/>
        </w:rPr>
        <w:t xml:space="preserve">. </w:t>
      </w:r>
      <w:bookmarkStart w:id="158" w:name="pg9111_107993"/>
    </w:p>
    <w:p>
      <w:pPr>
        <w:pStyle w:val="BookText"/>
        <w:rPr/>
      </w:pPr>
      <w:bookmarkEnd w:id="158"/>
      <w:r>
        <w:rPr>
          <w:rFonts w:ascii="Amiri" w:hAnsi="Amiri" w:eastAsia="Amiri" w:cs="Amiri"/>
          <w:color w:val="111111"/>
          <w:sz w:val="28"/>
          <w:sz w:val="28"/>
          <w:szCs w:val="28"/>
          <w:rtl w:val="true"/>
          <w:lang w:bidi="ar-SA"/>
        </w:rPr>
        <w:t>هذا، مضافاً إلى أنَّه لو سلمت الدلالة على النجاسة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الطهارة مستفيضة مقطوعة الصدور إجمالاً، ومع كونها كذلك فلا يتمّ هذا الوجه، أي لا توجب الآية سقوط أخبار الطهارة عن الحجيّة، وإنَّما توجب السقوط إذا لم تكن هذه الأخبار قطعيّة الصدور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مخالفة السُنّة القطعية فقد أجيب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روايات النجاسة قابلة للحمل على التنزّه بالجمع العرفي أو قابلة للتقييد، إذْ تستفاد النجاسة من إطلاقها، فإنْ أريد بالاستفاضة بضم هذه الجملة لم يفد لإثبات عنوان المخالفة الموجبة للسقوط عن الحجيّة، وإنْ أريد ادعاء الاستفاضة من دونها فهو واضح البطلان</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853327_2870459653"/>
      <w:bookmarkStart w:id="160" w:name="_Toc58"/>
      <w:bookmarkEnd w:id="159"/>
      <w:r>
        <w:rPr>
          <w:rtl w:val="true"/>
        </w:rPr>
        <w:t>الوجوه الصناعية لرفع التعارض</w:t>
      </w:r>
      <w:bookmarkEnd w:id="160"/>
    </w:p>
    <w:p>
      <w:pPr>
        <w:pStyle w:val="Heading4"/>
        <w:numPr>
          <w:ilvl w:val="3"/>
          <w:numId w:val="1"/>
        </w:numPr>
        <w:rPr/>
      </w:pPr>
      <w:bookmarkStart w:id="161" w:name="__RefHeading___Toc2853329_2870459653"/>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يتعامل مع هاتين الطائفتين المتعارضتين للوصول إلى الحكم الشرعي بعد اتضاح عدم سقوط إحدى الطائفتين عن الحجيّة في حدّ نفسها؟ فكلّ منهما له حجيّة شأنية، أو قل له حجّة لولائية، أي هو حجّة في حدّ نفسه لولا وجود المعارض له، لا أنَّ حجيّته بالفعل، فهذا يتوقف على أنْ يثبت الدليل إلى الأخير بأنْ ندفع المعارض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يوجد نصّ شرعي يرفع التعارض؟ أو هل يوجد جمع عرفي، أم إنَّ التعارض مستقّر ونحتاج إلى إعمال المرجّحات العامّة الواردة في الأخبار العلاجيّة؟ وإنْ لم يتمّ وجود مرجّح نرجع إلى العموم الفوقاني إنْ وجد، وإلّا كان المرجع هو الأصل العملي حيث الأصل الأولي ومقتضى القاعدة الأوّلية</w:t>
      </w:r>
      <w:r>
        <w:rPr>
          <w:rStyle w:val="FootnoteAnchor"/>
          <w:rtl w:val="true"/>
        </w:rPr>
        <w:footnoteReference w:id="141"/>
      </w:r>
      <w:r>
        <w:rPr>
          <w:rFonts w:ascii="Amiri" w:hAnsi="Amiri" w:eastAsia="Amiri" w:cs="Amiri"/>
          <w:color w:val="111111"/>
          <w:sz w:val="28"/>
          <w:sz w:val="28"/>
          <w:szCs w:val="28"/>
          <w:rtl w:val="true"/>
          <w:lang w:bidi="ar-SA"/>
        </w:rPr>
        <w:t xml:space="preserve">هو تساقط الدليلين المتعارضين عن </w:t>
      </w:r>
      <w:bookmarkStart w:id="163" w:name="pg9111_107994"/>
    </w:p>
    <w:p>
      <w:pPr>
        <w:pStyle w:val="BookText"/>
        <w:rPr/>
      </w:pPr>
      <w:bookmarkEnd w:id="163"/>
      <w:r>
        <w:rPr>
          <w:rFonts w:ascii="Amiri" w:hAnsi="Amiri" w:eastAsia="Amiri" w:cs="Amiri"/>
          <w:color w:val="111111"/>
          <w:sz w:val="28"/>
          <w:sz w:val="28"/>
          <w:szCs w:val="28"/>
          <w:rtl w:val="true"/>
          <w:lang w:bidi="ar-SA"/>
        </w:rPr>
        <w:t>الحجيّة بمعنى عدم شموله لهما رأساً</w:t>
      </w:r>
      <w:r>
        <w:rPr>
          <w:rStyle w:val="FootnoteAnchor"/>
          <w:rtl w:val="true"/>
        </w:rPr>
        <w:footnoteReference w:id="142"/>
      </w:r>
      <w:r>
        <w:rPr>
          <w:rFonts w:ascii="Amiri" w:hAnsi="Amiri" w:eastAsia="Amiri" w:cs="Amiri"/>
          <w:color w:val="111111"/>
          <w:sz w:val="28"/>
          <w:sz w:val="28"/>
          <w:szCs w:val="28"/>
          <w:rtl w:val="true"/>
          <w:lang w:bidi="ar-SA"/>
        </w:rPr>
        <w:t>لأنَّه إنْ كان السيرة فالمتيقّن منها غير المتعارضين، وهذا واضح، وإنْ كان دليل الحجيّة دليلاً لفظياً،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حجيّة الخبر لكليهما لازمه تنجيز وحجيّة المتعارضين معاً، وشموله لأحدهما المعيّن ترجيح بلا مرجّح، ولأحدهما المخيّر بعنوان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معقول ثبوتاً، لكنْ إثباتاً باطل؛ لأنَّ ظاهر دليل حجيّة الخبر هو حجيّة الفرد لا حجيّة أحدهما والجامع، فالقاعدة تقتضي التساقط حيث الاحتمالات الأساسية والقريبة من الذهن ثلاثة كما تقدّم، والأولان فيهما محذور ثبوتي، والثالث فيه محذور 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مدرك حجيّة الخبر دليل لفظي، وأما بناءً على أنَّ المدرك الأساسي هو السيرة فالأمر واضح؛ لأنَّ السيرة دليل لُبّي والقدر المتيقّن منها عدم وجود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عدَّة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بوجود النصّ الحاكم،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الثانوي، أي المرجّحات العامّة حيث يستقر التعارض، فإذاً توجد وجوه عديدة يمكن تصوير مقتضى الصناعة فيها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853331_2870459653"/>
      <w:bookmarkStart w:id="165" w:name="_Toc60"/>
      <w:bookmarkEnd w:id="164"/>
      <w:r>
        <w:rPr>
          <w:rtl w:val="true"/>
        </w:rPr>
        <w:t>الوجه الأول</w:t>
      </w:r>
      <w:bookmarkEnd w:id="165"/>
    </w:p>
    <w:p>
      <w:pPr>
        <w:pStyle w:val="BookText"/>
        <w:rPr/>
      </w:pPr>
      <w:r>
        <w:rPr>
          <w:rFonts w:ascii="IRNazanin" w:hAnsi="IRNazanin" w:eastAsia="IRNazanin"/>
          <w:color w:val="111111"/>
          <w:sz w:val="28"/>
          <w:sz w:val="28"/>
          <w:szCs w:val="28"/>
          <w:rtl w:val="true"/>
          <w:lang w:bidi="fa-IR"/>
        </w:rPr>
        <w:t>أنّ الشارع تصدّى بنفسه في خصوص المقام ورفع التعارض والاختلاف من خلال بيانه بلزوم تقديم أخبار النجاسة، وذلك من خلال معتبرة علي ابن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كتاب عبد الله بن محمد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روى زرارة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يصيب ثوب الرجل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تصلي فيه إنَّما حُرّم شربها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غير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أصاب ثوبك خمرٌ أو 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فاغسله إنْ عرفت موضعه، وإنْ لم تعرف موضعه فاغسله كله، وإنْ </w:t>
      </w:r>
    </w:p>
    <w:p>
      <w:pPr>
        <w:pStyle w:val="BookText"/>
        <w:rPr/>
      </w:pPr>
      <w:r>
        <w:rPr>
          <w:rFonts w:ascii="IRNazanin" w:hAnsi="IRNazanin" w:eastAsia="IRNazanin"/>
          <w:color w:val="111111"/>
          <w:sz w:val="28"/>
          <w:sz w:val="28"/>
          <w:szCs w:val="28"/>
          <w:rtl w:val="true"/>
          <w:lang w:bidi="fa-IR"/>
        </w:rPr>
        <w:t>صليت فأعد 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فأعلمني ما آخذ به؟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وقرأته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خيران الخادم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المعتبرة ناظرة إلى كلتا الطائفتين المتعارضتين ودلّت على لزوم ترجيح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الطائفة الدالة على النجاسة، فهي التي تمثّل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فإنَّ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عرفاً لإرادة القول المختصّ، وليس المراد هو القول الآخر، فإنَّه قول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ولو كان مراده قولهما معاً لكان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قرينة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جمع شرعي وبيان شرعي لما يجب الأخذ به</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اليد عن الأصل الأولي المتقدم إلّا بقرينة، كما إذا كانت الرواية معارضة برواية أخرى تخالف العامة فتحمل الموافقة على التقيّة، وأمَّا مع عدم المعارضة بشيء فلا موجب للحمل على التقيّة لأنَّه بلا موجب ومقتضٍ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الأولي لا يقبل التعدد فإذا كان الخطابان واردين لبيان الحكم الواقعي الأولي فاحتمال مخالفة أحدهما للواقع موجود، ومن هنا كان اختلافها في الموضوع الواحد موجباً لتعارضها في أنفسها ومورداً للمرجحات الإثباتية الواردة في الأخبار العلاجية والترجيح بينها بلحاظ طريقتيهما إلى الواقع وقوة الكاشفية، فالأخبار العلاجية راجعة إلى تعارض الحجتين إثباتاً في الحكم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 للأحكام الأولية الواقعية بعد تشخيصها كما هو مقتضى الوضع الطبيعي المناسب للأمر بالأخذ بخلاف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ﻫ الوظيفة الفعلية العملية للمكلف قد تكون طبق الحكم الأولي وقد تكون وظيفة ثانوية طبق الحكم الثانوي، وتشخيص الوظيفة الثانوية في حقّ كل شخص من حيث التقيّة، أو الحرج، أو الضرر هو أمرٌ موكول إلى الشخص نفسه لاختلافها باختلاف الأشخاص والظروف غير المنضبطة عادة، وإنمَّا صدر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الوظيفة الثانوية في مناسبات في حقّ بعض الأشخاص كقصة علي بن يقطين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يؤخذ بما دلّ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باعتبار أنَّ المعتبرة حاكمة؛ لأنَّها ناظرة للطرفين، أو باعتبار أنَّها مرجّح علاجي للتعارض، غاية الأمر هو خاصّ بالمقام وليس من المرجّحات العامّة، والخاصّ أو المقيّد يُعمل به ويقدّم على المرجّحات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مبيّنة حال مرحلة الحجيّة والحكم الظاهري ومرحلة معرفة الوظيفة الظاهرة، والتي دلّت عليها الأخبار العلاجية العامّة، والتي لا يذكر فيها للخبرين مفادّ ومدلول معيّن للتعارض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بالمعتبرة من باب العمل بالأخبار العلاجية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المعتبرة إمَّا من باب الحكومة والنظر للمحكوم مع الاعتراف بأصل وجوده ولو في مرحلة الكشف عن المراد الجدي، وإمَّا من باب كونها مرجّحاً علاجياً خاصّاً بالمقام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باب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أنَّها صادرة للتقيّة ونحوها وليست لبيان الحكم الواقعي، أو لاحتمال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بيان أنَّ الرواية غير صادرة من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وأنَّها مكذوبة عليهما فالنظر تكذيبي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بهذا الوجه الأوَّل كثيرٌ من علمائنا، 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العلاجي في خصوص اختلاف الأخبار في المقام وارد وهي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المراد قوله منفرداً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من الواضح إرادة قوله المنفرد عن قول أبيه وإلّا فكلا القولين قوله والأخذ بهما جميعاً ممتنع، والتخيير غير مقصود، على أنَّه لو كان المراد </w:t>
      </w:r>
    </w:p>
    <w:p>
      <w:pPr>
        <w:pStyle w:val="BookText"/>
        <w:rPr/>
      </w:pPr>
      <w:r>
        <w:rPr>
          <w:rFonts w:ascii="IRNazanin" w:hAnsi="IRNazanin" w:eastAsia="IRNazanin"/>
          <w:color w:val="111111"/>
          <w:sz w:val="28"/>
          <w:sz w:val="28"/>
          <w:szCs w:val="28"/>
          <w:rtl w:val="true"/>
          <w:lang w:bidi="fa-IR"/>
        </w:rPr>
        <w:t xml:space="preserve">قوله مع أبيه لكان ينبغي إسناده إليهما معاً أو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 على العارف بأساليب الكلام، وهي مع اشتمالها على الإعراض عن تلك الأخبار دالّة على النجاسة أكمل دلالة وأبلغها في علو سندها وتعدّد طرقها، ومروية عن الإمام اللاحق حاكمة على الأخبار المروية عمن قبله وليس في تلك الأخبار ما يعادلها نفسه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 الحكومة بين أخبار الطرفين رواية علي بن مهزيار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مع ذلك كله الأظهر النجاسة لصحيحة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ظاهرها تعيّن الأخذ بقول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المنفرد عن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مضمونه التنجيس فهو المتبع، ولا يعارضها أخبار الطهارة لحكومتها عليها؛ فإنَّها بمنزلة الأخبار العلاجية الواردة في حكم المتعارضين الآمرة بالأخذ بما وافق الكتاب، أو ما خالف العامّة، أو غير ذلك فإنَّها لا تعدّ في عرض المتعارضين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لكنك خبير بأنَّ العمومات والقواعد لا تزاحم النصّ الخاصّ الصحيح، فالصحيحة سليمة عن المعارض يجب الأخذ بظاهرها، فما في المدارك من حملها على الاستحباب جمعاً بينها وبين أخبار الطهارة في غير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ونظيرها في الحكومة على ساير الأخبار خبر خيران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أنَّ اختلاف أصحابنا فيه لم يكن إلّا لاختلاف أخبارهم، وكان هذا منشأ لتحيّر السائل ورجوعه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حكم ذلك الموضوع الذي اختلفت الروايات فيه لرفع تحيّره لا يُعدّ في عرض تلك الأخبار الموجبة لتحيّره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ريب في دلالة الروايتين المذكورتين على أنّ التعارض بين روايتي الطهارة والنجاسة مستحكم على نحوٍ لا مجال للجمع العرفي بينهما، وأنَّ الترجيح لرواية النجاسة، فلو اقتضت عمومات الترجيح رواية الطهارة كانت الروايتان المذكورتان إمَّا مخصّصتين لها أو حاكمتين عليها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بقي في الباب إلّا صحيحة ابن رئاب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الخمر والنبيذ والمسكر يصيب ثوبي فأغسله أو أصلي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إلّا أنْ تقذّره فتغسل منه موضع الأثر إنَّ الله تعالى إنَّما حرّم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سليمة سنداً ودلالة عن الخدشة، بل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تقذّره فتغسل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نحو تفسير للأوامر الواردة في غسل الثوب منها، بل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ونجس، بدعوى أنَّ القذارة فيها بالمعنى العرفي، فتكون شاهدة للرجس والنجس في غيرها، 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إنَّما حرّم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حاكم على ما تقدّم لولا صحيحة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خيران الخادم أو صحيحته المتقدّمة فإنَّهما حاكمتان عليها وعلى جميع الروايات في الباب على فرض تسليم دلالتها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مناصّ من الحكم بنجاسة الخمر؛ وذلك لأنَّ الصحيحة ناظرة إلى الطائفتين ومبيّنة لما يجب الأخذ به منهما، فهي في الحقيقة من أدلة الترجيح وراجعة إلى باب التعادل والتراجيح، وغاية الأمر أنَّها مرجحة في خصوص هاتين المتعارضتين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دلتنا على وجوب الأخذ بروايات النجاسة وتقديمها على أخبار الطهارة لما عرفت من حكومتها على كلتا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إنَّما حكمنا بنجاسة الخمر بصحيحة علي بن مهزيار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يلاحظ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مثبت أنَّ الرواية من الأخبار العلاجيّة المبيّنة لحال الحجيّة الظاهرية؛ لأنَّ المناسب لذلك هو أنْ لا تكون ناظرة لمورد معين للتعارض، فعدم تشخيص مورد معيّن للتعارض يكشف عن أنَّ السائل يريد استعلام حال الحجيّة للخبرين المتعارضين اللذين لا يمكن أنْ يشملهما معاً دليل الحجيّة، وأمَّا في المقام فمورد التعارض قد شخّصه السائل، ومن ثَمَّ يحتمل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إنْ لم يكن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يريد معرفة واستعلام العلم بالحكم الواقعي الأولي للمسألة وبيان حال المسألة واقعاً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مضافاً إلى أنَّه لو كانت الرواية من المرجّحات العلاجيّة في خصوص المقام وأنَّها بصدد بيان أنَّ الرواية الدالّة على الطهارة مكذوبة مثلاً وغير صادرة من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إنَّها صادرة لتقيّة ونحوها لكان من المناسب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يُكذِّب وينفي أصل الصدور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إلى أنَّه يحتمل أنَّها بصدد الترجيح في مقام العمل للمكلّف الذي ظاهره أنَّه يريد الحكم ليعمل به، وأمَّا احتمال صدور أخبار الطهارة تقيّة فهو ضعيف كما سيتضح</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الرواية واردة مورد التقيّة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اتقى السائل عبد الله بن محمد بأنْ جاء بالجواب مجملاً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بالجواب بنحو يُفهم منه النجاسة من دون أنْ يصرح بها، واحتمال التقيّة منشؤه أنّ السائل الذي كتب تقتضي مناسبات الحكم والموضوع أنْ يكون هو عبد الله بن محمد ابن حصين الحضيني الأهوازي الذي يروي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أهوازي وكذلك علي بن مهزيار، والحضيني لم يكن شيعياً، وصرّح الكشي أنّ الذي هداه للتشيع الحسن بن سعيد الأهوازي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هو السائل وأنَّ المسؤول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هو المنصرف من لفظ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السؤال منه قبل تشيعه؛ إذْ كان من غير المعاندين من العامّة ممَّن يرجع في أمور دينه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باعتبارهم علماء وفقهاء أجلاء، وما أكثر أمثاله في الخارج حتى تثبت له الإمامة بطول العشرة والصحبة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فيكون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اتقاه بأنْ جاء بالجواب مجملاً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مثبت لكون الرواية حاكمة وناظرة للمتعارضين وأنَّها مقدِّمة لروايات النجاسة، وممّا يبّعده أنَّ احتمال صدور نصوص الطهارة تقيّة ضعيف، كما أنَّه لا نظر </w:t>
      </w:r>
    </w:p>
    <w:p>
      <w:pPr>
        <w:pStyle w:val="BookText"/>
        <w:rPr/>
      </w:pPr>
      <w:r>
        <w:rPr>
          <w:rFonts w:ascii="Amiri" w:hAnsi="Amiri" w:eastAsia="Amiri" w:cs="Amiri"/>
          <w:color w:val="111111"/>
          <w:sz w:val="28"/>
          <w:sz w:val="28"/>
          <w:szCs w:val="28"/>
          <w:rtl w:val="true"/>
          <w:lang w:bidi="ar-SA"/>
        </w:rPr>
        <w:t>تفسيري؛ إذْ لا ذكر لوجه صدور كل منها، وعلى أي حال الاستدلال بها على الحكم يحتاج إلى إثبات أنَّها ناظرة إلى كلا طرفي الأخبار من الروايات فالحكومة هي فرع وجود دليلين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من جهة السند ومن جهة صدور النصّ من الإمامين وعن الحجيّة، فحتى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المشترك هو حجّة فيتعيّن أنْ يكون الترجيح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بحسب الحكم الواقعي</w:t>
      </w:r>
      <w:r>
        <w:rPr>
          <w:rStyle w:val="FootnoteAnchor"/>
          <w:rtl w:val="true"/>
        </w:rPr>
        <w:footnoteReference w:id="155"/>
      </w:r>
      <w:r>
        <w:rPr>
          <w:rFonts w:ascii="Amiri" w:hAnsi="Amiri" w:eastAsia="Amiri" w:cs="Amiri"/>
          <w:color w:val="111111"/>
          <w:sz w:val="28"/>
          <w:sz w:val="28"/>
          <w:szCs w:val="28"/>
          <w:rtl w:val="true"/>
          <w:lang w:bidi="ar-SA"/>
        </w:rPr>
        <w:t>لا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الرواية هي من طائفة روايات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معارضته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هذه الصحيحة متعرّضة لترجيح أحد الخبرين على الآخر، بل لترجيح أحد القولين بعد الفراغ عن أنَّهما مقولا الإمامين، ولا ينافي هذا حجيتّهما فهذا نظير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طريقة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وطريقة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كذا، أي الطريقين أتبع؟ فيقال اتبع طريقة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وقال المحقق الأردبيلي في مجمع الفائدة والبرهان في شرح إرشاد الأذهان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في الأخبار ما يصلح حجة إلّا المكاتبة ودلالتها غير صريحة؛ لأنَّ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 بأنّه قوله فقط لكن ليس بصريح، ففيها إجمال ما ولا تصلح للاحتجاج في مثل هذه المسألة بانفرادها لما ستقف عليه وإنْ صلحت للاحتجاج للظهور في الجملة لكنها مكاتبة، والمشافهة خير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دليل طهارته فالأصل، والاستصحاب، ودليل كل شيء لك طاهر حتى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الكثيرة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9111_108002"/>
    </w:p>
    <w:p>
      <w:pPr>
        <w:pStyle w:val="BookText"/>
        <w:rPr/>
      </w:pPr>
      <w:bookmarkEnd w:id="1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 الرواية ناظرة إلى كلتا الطائفتين وتريد ترجيح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طائفة أخبار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يمكن أنْ يقال إنَّها لا تدل على النجاسة، فهذا أول الكلام فلعَلّ المقصود هو التنّزه بقرينة الطائفة الأولى المروية عنهما المجوّزة للصلاة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تصلي فيه إنّما حرّم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 المراد ترجيح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الظاهر في النجاسة فإنَّه لا ينافي ولا يمنع من الأخذ بما روي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بقول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مفهوم 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المعتبرة ليست واضحة في لزوم تقديم أو ترجيح ما دلّ على النجاسة ولو لبعض الملاحظات المتقدمة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853333_2870459653"/>
      <w:bookmarkStart w:id="168" w:name="_Toc61"/>
      <w:bookmarkEnd w:id="167"/>
      <w:r>
        <w:rPr>
          <w:rtl w:val="true"/>
        </w:rPr>
        <w:t>الوجه الثاني</w:t>
      </w:r>
      <w:bookmarkEnd w:id="16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العرفي من خلال حمل روايات النجاسة على رجحان التنّزه واستحباب الغسل أو كراهة الاستعمال بدونه</w:t>
      </w:r>
      <w:r>
        <w:rPr>
          <w:rStyle w:val="FootnoteAnchor"/>
          <w:rtl w:val="true"/>
        </w:rPr>
        <w:footnoteReference w:id="158"/>
      </w:r>
      <w:r>
        <w:rPr>
          <w:rFonts w:ascii="Amiri" w:hAnsi="Amiri" w:eastAsia="Amiri" w:cs="Amiri"/>
          <w:color w:val="111111"/>
          <w:sz w:val="28"/>
          <w:sz w:val="28"/>
          <w:szCs w:val="28"/>
          <w:rtl w:val="true"/>
          <w:lang w:bidi="ar-SA"/>
        </w:rPr>
        <w:t xml:space="preserve">إذْ إنَّ ما يستدل به على النجاسة ظاهرٌ في ذلك فيُحمل على التنّزه بصراحة الأخرى في الطهارة، ككلّ مورد اجتمع فيه الصريح والظاهر، فمع اجتماع الصريح والظاهر يؤّول العرف الظاهر بقرينة الصريح، فلاحظ </w:t>
      </w:r>
    </w:p>
    <w:p>
      <w:pPr>
        <w:pStyle w:val="BookText"/>
        <w:rPr/>
      </w:pPr>
      <w:r>
        <w:rPr>
          <w:rFonts w:ascii="Amiri" w:hAnsi="Amiri" w:eastAsia="Amiri" w:cs="Amiri"/>
          <w:color w:val="111111"/>
          <w:sz w:val="28"/>
          <w:sz w:val="28"/>
          <w:szCs w:val="28"/>
          <w:rtl w:val="true"/>
          <w:lang w:bidi="ar-SA"/>
        </w:rPr>
        <w:t>أخبار الطهارة كمعتبرة بكير، ورواية أو معتبرة علي بن رئاب، ومعتبرة الحسن بن أبي سارة، ومعتبرة الحنّاط</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فتحمل أخبار النجاسة والأوامر الواردة في غسل ما يصيبه الخمر على التنّزه واستحباب الاجتناب والتحرز، فهو أمر وضعيّ إرشادي لذلك</w:t>
      </w:r>
      <w:r>
        <w:rPr>
          <w:rStyle w:val="FootnoteAnchor"/>
          <w:rtl w:val="true"/>
        </w:rPr>
        <w:footnoteReference w:id="160"/>
      </w:r>
      <w:r>
        <w:rPr>
          <w:rFonts w:ascii="IRNazanin" w:hAnsi="IRNazanin" w:eastAsia="IRNazanin"/>
          <w:color w:val="111111"/>
          <w:sz w:val="28"/>
          <w:sz w:val="28"/>
          <w:szCs w:val="28"/>
          <w:rtl w:val="true"/>
          <w:lang w:bidi="fa-IR"/>
        </w:rPr>
        <w:t xml:space="preserve">، أو على الكراهة والحزازة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فيه مبغوضية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بيان حكم شرعي مولوي تكليفي وليس بصدد الإرشاد إلى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وأجاب الأولون عن هذه الأخبار بالحمل على التقيّة جمعاً بينها وبين ما تضمن الأمر بغسل الثوب منه وهو مشكل؛ لأنَّ أكثر العامّة قائلون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الجمع بينهما بحمل ما تضمّن الأمر بالغسل على الاستحباب؛ لأنَّ استعمال الأمر في الندب مجاز شائع</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لا مجال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التوفيق عرفاً لحمل الأمر بالغسل فيها على الاستحباب لمرتبة من قذارته كما يشهد به خبر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خبثه وأنَّه لا يليق أنْ يُصلّى معه، بل لا يليق أنْ يُصلّى في بيت كان فيه، كما يشهد به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لوضوح أنَّ حمل الظاهر على النصّ لا محيص عنه عرفاً، وقد عرفت أنَّ الرجوع إلى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ما لا يمكن الجمع عرفاً لاسيّما إذا كان هناك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المشهور مع وضوح هذا </w:t>
      </w:r>
    </w:p>
    <w:p>
      <w:pPr>
        <w:pStyle w:val="BookText"/>
        <w:rPr/>
      </w:pPr>
      <w:r>
        <w:rPr>
          <w:rFonts w:ascii="Amiri" w:hAnsi="Amiri" w:eastAsia="Amiri" w:cs="Amiri"/>
          <w:color w:val="111111"/>
          <w:sz w:val="28"/>
          <w:sz w:val="28"/>
          <w:szCs w:val="28"/>
          <w:rtl w:val="true"/>
          <w:lang w:bidi="ar-SA"/>
        </w:rPr>
        <w:t>الجمع والاتفاق على تقدّمه على الترجيح على المرجّحات السنديّة فضلاً عن الجهتيّة يكشف عن إعراضهم عن هذه الأخبار، وإنَّما حملها الشيخ على التقيّة تبرعاً بعد كونها محكومة بالطرح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بالطهارة تمسك بأخبار لا تعارض القطعي،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على المشهور ولو لأجل الاحتياط</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وكيفما كان فالتعارض غير مستقّر، حيث يمكن الجمع العرفي الذي مقتضاه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تقديم روايات الطهارة على أخبار النجاسة لصراحتها في طهارة الخمر ونفي البأس عن الصلاة في ثوب أصابته خمر بحمل أخبار النجاسة على الاستحباب؛ لكونها ظاهرة في نجاستها كما في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الثوب الذي أصابته خمر أو إهراق المائع الذي قطرت فيه قطرة، فنرفع اليد عن ظهورها في الإرشاد إلى نجاسة الخمر بصراحة أخبار الطهارة في طهارتها فتحمل على الاستحباب لا محالة فلا مناصّ من الحكم بطهارة الخمر</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الجمع العرفي يحافظ على وجود روايات النجاسة، غاية الأمر يصرفها عن ظهورها، ولا مانع منه بعد وجود القرينة على ذلك، وأمَّا إذا قدّمنا روايات النجاسة فهذا يستلزم إلغاء وطرح كل روايات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الميزان والضابط العامّ لموارد الجمع العرفي؟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هو أنْ يُجعل الكلامان متصلاً أحدهما بالآخر فإنَّ لم يُرَّ تنافياً بينهما بل كان أحدهما مفسِّراً للآخر أو مقدماً على الآخر فعندئذ يتم الجمع العرفي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الفقير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جمعا وجعلا في كلام واحد، فإنّه لا تنافي بينهما ولا يتحيّر العرف، بل يمكن الجمع العرفي بينهما بالتخصيص فيلزم إعمال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هذا الوجه كبروياً وصغروياً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كبروياً فمن خلال منع هكذا جمع بين الأخبار لا في مقامنا فحسب، بل في غيره أيضاً باعتبار أنَّه لا دليل عليه من كتاب أو سُنّة، وعليه فلا يجمع عرفاً بحمل الظاهر على النصّ أو الأظهر، بل يلزم إعمال المرجّحات حتى في موارد إمكان الجمع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وإنْ اشتهر ذلك بينهم في جميع أبواب الفقه إلّا أنَّه لا مستند له من سُنّة ولا كتاب، وقد استفاضت الأخبار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الجمع بين الأخبار والترجيح في مقام اختلاف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بطلان حمل أخبار النجاسة على الاستحباب ويتعيّن العمل بها في هذا الباب فتبقى أخبار القول بالطهارة ويتعيّن حملها على التقيّة التي هي في اختلاف الأحكام الشرعية أصل كل بلية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مسألة نجاسة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فعدولهم عمّا مهّده أئمّتهم إلى ما أحدثوه بعقولهم واتخذوه قاعدة كلية في جميع أبواب الفقه بآرائهم من غير دليل عليه من سُنّة ولا كتاب جرأة واضحة لذوي الألباب</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وفي بحوث في شرح 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صناعة الجمع العرفي وكونه متقدماً على سائر أنحاء التصرفات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بدرجة من الوضوح في فقه جملةٍ من فقهائنا المتقدمين على النحو الذي لا يصح مع افتراض تطبيقهم للصناعة على وجه آخر وفي كلماتهم شواهد عديدة على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بقاعدة الجمع العرفي المتقدّمة التي ما أنزل الله بها من سلطان لا في كتاب ولا سُنّة، وإنَّما يلزم إعمال المرجّحات حتى في موارد إمكان الجمع العرفي والتعارض غير المستقر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أساساً لا نحتاج إلى دليل من كتاب أو سُنّة في جمع مثل هذا بعد فرض عرفية المتكلم والخطاب؛ إذْ إنَّ المتكلم 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وحينما يتكلّم فهو يتكلّم بما هو إنسان عرفي ولا يتجاوز الحدود العرفية، والمخاطب أيضاً عرفي فلابدَّ وأنْ يكون مقصود المتكلّم ما يفهمه العرف وما يراه العرف وما يطبّقه العرف، وما دام العرف يرى الجمع بالحمل على الاستحباب فيثبت أنَّ هذا هو المقصود كما في كل مورد يشتمل على قرينة، فإنَّ القرينة تقدّم على ذي القرينة عرفاً ويُفَسَر الكلام الأول على أساس الكلام الثاني المشتمل على القرينة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عرفية المتكلم والخطاب لا نحتاج إلى دليل على الجمع المذكور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إعمال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المرجّح الصدوري أو الجهتي أو المضموني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يكون في موارد عدم إمكان الجمع العرفي وكون التعارض مستقراً ومستحكماً، فإنَّ إجراء المرجّحات هو فرع التعارض المستقر، ولا يجري في موارد الجمع العرفي، وقد بيِّن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إلى هنا أنَّ 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الجمع بين الأمر أو النهي مع الرخصة بالحمل على الاستحباب، أو الكراهة بدعوى خلو أخبار العلاج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حلّاً بما تقدم في أوّلاً وثانياً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ينكر الجمع المذكور، ولا ينكر كل أنحاء الجمع العرفي وإلّا يُنقض عليه بما حكي عنه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مقتضى الجمع العرفي بوجوهه المختلفة كحمل العامّ على الخاصّ، والمطلق على المقيّد وغيرهما، بل قد جرى في كثير من الموارد على استفادة الكراهة والاستحباب من الجمع بين النصوص ككراهة الأكل أو الشرب والخضاب للجنب، واستحباب المضمضة والاستنشاق قبل الغسل، والاغتسال بصاع وغيرها، فكأنَّ مراده ممّا تقدّم ما إذا لم يمكن الجمع بما تقدّم عرفياً لخصوصيّة في المورد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المعروف في الأصول، والسيرة الجارية في الفقه هي متابعة الجمع العرفي وخروج المورد به عن التعارض المستقر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التقيّة فهو غير تام لعدة أمور ستأتي إن شاء الله تعالى في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الصغروية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موارد وصغريات الجمع العرفي فإنَّ بعض أخبار النجاسة تأبى الحمل على التنّزه والاستحباب؛ وذلك لأمور متعدّدة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ضابطة إجراء الجمع الدلالي المقبول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العرفي بحمل الظاهر من المتقابلين على نصّهما إنَّما هو ما إذا كان المتعارضان على نحو إذا ألقيناهما على أهل العرف لم يميّزوا بينهما بل رأوا أحدهما قرينة على التصرف في الآخر، وليس الأمر كذلك في المقام، لأنَّ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بالإراقة والإهراق إذا انضمّ إليه 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البأس عن الصلاة في ثوب أصابته خمر وألقيا على أهل العرف لتحيّروا بينهما لا محالة ولا يرون أحدهما قرينة على التصرف في الآخر بوجه، فأيضاً لابدَّ من الحكم بطهارة الخمر لأنَّ الطائفتين متعارضتان ولا مرجح لإحداهما على الأخرى، ومقتضى القاعدة هو التساقط والرجوع إلى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كله بمقتضى الصناعة العلمية مع قطع النظر عن صحيحة علي بن مهزيار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لا يرى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نصوص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كبروياً هو شيء مسلّم وبديهي فالعرف إذا كان يرى التنافي أو يتحيّر فلا جمع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الجمع وجيهاً فيما لو فرض أنّ الكلامين المنفصلين جُمعا بحيث لو وضع أحدهما إلى جنب الآخر لم يرَ العرف تنافياً بينهما، فإنّه آنذاك يصلح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التعارض مستقراً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إذا جمعا في كلام واحد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الليل ولا بأس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العرف تنافياً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الأولى الظاهرة في الوجوب على الاستحباب بقرينة الثانية الصريحة في جواز الترك، 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بخلاف ما لو كان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صلاة الليل</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كما أنَّه ينبغي ملاحظة الصياغة اللفظية فإنَّ لها مدخلية، وأيضاً ملاحظة الضمائم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الروايات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أثراً في الظهور، وأيضاً ملاحظة المساحة التي يدور عنها الكلام فهل هي واحدة، وأيضاً كون كلاهما بالمنطوق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ليستا من قبيل المتناقضين عرفاً؛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الجواز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في عدم الجواز إذ يوجد احتمال الكراهة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التناقض فقد يرتفع بملاحظة الضمائم فلو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بتقديم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تقديم الطواف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ورد في روايات أخرى إضافة إلى التعبير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قدّمت أو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التعبير بضمّه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أظهريّة قويّة في الجواز فيؤول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لحساب الأقوى ظهوراً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صغروياً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لا يتحيّر بعد التنبيه وملاحظة القرائن في النصوص، ولا يشترط الالتفات المباشر من العرف في صحّة الجمع العرفي، فإنَّ التدقيق في فهم الأدلة تطوّر تدريجياً إلى أنْ وصل إلى ما نحن عليه اليوم فلا يجب في الجمع العرفي أنْ يفهمه كلّ أحد، لأنَّه بملاحظة ألسنة الروايات والقرائن فيها لا يمتنع الجمع العرفي فيها ولا يحصل التحيّر، ففي معتبرة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أكله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معتبرة الحسن بن أبي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الثوب لا يسكر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معتبرة ابن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فيه إنّما حرّم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معتبرة إسماعيل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تتركه تتنزّه عنه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وفي رواية أو معتبرة 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 إلّا أنْ تقذّره فتغسل منه موضع الأثر؛ إنَّ الله تعالى إنَّما حرَّم 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الحسين بن أبي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إلّا أنْ تشتهي أنْ تغسله لأثره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لا ينحصر برواية واحدة حتى يقال إنَّه شاهد ضعيف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الشواهد </w:t>
      </w:r>
    </w:p>
    <w:p>
      <w:pPr>
        <w:pStyle w:val="BookText"/>
        <w:rPr/>
      </w:pPr>
      <w:r>
        <w:rPr>
          <w:rFonts w:ascii="IRNazanin" w:hAnsi="IRNazanin" w:eastAsia="IRNazanin"/>
          <w:color w:val="111111"/>
          <w:sz w:val="28"/>
          <w:sz w:val="28"/>
          <w:szCs w:val="28"/>
          <w:rtl w:val="true"/>
          <w:lang w:bidi="fa-IR"/>
        </w:rPr>
        <w:t xml:space="preserve">متعدّدة وفيها المعتبر فراجع، وإنْ تنزّلنا فإنَّ التعدّد بنفسه يورث الاطمئنان بصدور هذا المضمون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يمكن التوفيق عرفاً لصالح أخبار الطهارة لوضوح دلالتها وبعد التأويل فيها فيُحمل الأمر بالغسل ونحوه في أخبار النجاسة على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كراهة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مرتبة من القذارة كما يشهد لذلك بعض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لأجل الخبث وعدم لياقة الصلاة معه، بل لا يليق أنْ يصلّي في بيت كان فيه كما يشهد به موثّق عمّار، فإذا أمكن الجمع عرفاً فيلزم الأخذ به ويحمل الظاهر على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 النوبة إلى باب المرجّحات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استفاضة أحد المضمونين ووروده بكثرة قد لا يساعد عرفاً على حمل كل ذلك على مجرد التنزّه والاستحباب</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وهنا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نفس إشكال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هذه العبارة والاستبعاد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يلاحَظ عليه أنّه لا استبعاد من حمل كثرة روايات النجاسة على التنزّه من الخمر وإراقتها واستحباب غسل ما أصابها فهذا موجود في الشريعة المقدسة في موارد أخرى ففي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الحرّ رحمه الله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مع عدم ملاحظة ما أشار إليه في موارد وأماكن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شدّدت الشريعة الإسلامية في أمره وما يتعلّق به كما هو واضح لمن لاحظ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يمنع العرف بعد ملاحظة ذلك من الحمل على التنزّه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ولكن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في جواب الأمر الأوّل من أنّه لا يقدح في قبول الجمع العرفي عدم الالتفات المباشر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الأدلة نما تدريجياً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عصرهم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يعملون بالتطبيق المباشر للروايات، وأنّ رجوع الراوي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بالضرورة عجزه عن الجمع العرفي بل لعله لمعرفة الوجه في صدور الروايتين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حاول أحد الجمع بينهما بحمل الطائفة الأولى على الاستحباب أو حمل الرجس والنجس على غير ما هو المعهود لساغ له الجمع بين جميع الروايات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من مورد إلّا ويمكن حمل الروايات على ما يخرجها عن التعارض فبقيت أخبار العلاج بلا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اللازم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الجمع لا يكون كيفما اتفق ولو تبرّعاً وبلا شاهد حتى يلزم اللازم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يختار الجمع العرفي في المقام له شواهده وقرائنه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العرفي بالحمل على التنزّه في المقام إنمّا يتم في الأحكام المولوية التكليفية كما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الأوَّل على الاستحباب وجيه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الأحكام الإرشادية كما في مقامنا فلا يتمّ، فإنَّ أخبار النجاسة ترشد إلى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حملها على 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لاستحباب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الحمل على الاستحباب أو الكراهة وجيه في الأحكام المولوية دون الأحكام الإرشادية؛ فإنها لا 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رفع اليد عن ظهور أحد </w:t>
      </w:r>
    </w:p>
    <w:p>
      <w:pPr>
        <w:pStyle w:val="BookText"/>
        <w:rPr/>
      </w:pPr>
      <w:r>
        <w:rPr>
          <w:rFonts w:ascii="Amiri" w:hAnsi="Amiri" w:eastAsia="Amiri" w:cs="Amiri"/>
          <w:color w:val="111111"/>
          <w:sz w:val="28"/>
          <w:sz w:val="28"/>
          <w:szCs w:val="28"/>
          <w:rtl w:val="true"/>
          <w:lang w:bidi="ar-SA"/>
        </w:rPr>
        <w:t>الدليلين المتعارضين بصراحة الآخر إنَّما هو في الدليلين المتكفّلين للتكليف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دلّ أحدهما على وجوب الدعاء حيث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الآخر على النهي عن الدعاء في ذلك الوقت فبصراحة كل منهما يُرفع اليد عن ظاهر الآخر، وأما في الدليلين الإرشادين فلا وجه لهذا الجمع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متعارضان لإرشاد أحدهما إلى فساد الصلاة عند نسيان النجاسة ولإرشاد الآخر إلى صحتها، فحالهما حال الجملتين الخبريتين إذا أخبرت إحداهما عن فساد شيء والأخرى عن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أنَّهما متعارضان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الدليلين الإرشاديين حال الجملتين الخبريتين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النجس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النجس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لحمل الأولى على الكراهة أو الاستحباب؛ إذ لا معنى لقولك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الحال في الدليلين الإرشاديين فهما بمثابة الجملتين الخبريتين، والحاصل أنَّ بعض الفقهاء يبني على عدم قبول الأحكام الإرشادية للحمل على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الوجيه أنْ تكون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مجرد اعتبار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مراتب مشككة يقتضي بعضها لزوم الاجتناب بخلاف بعضها الآخر، فمن الوجيه تعدد مراتب الفساد شرعاً لمعقولية مثل ذلك في الأمر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الإعادة في بعضها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استهجان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استهجاناً على مستوى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أبدلنا الفساد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ذلك، وأمَّا القياس على الجملتين الخبريتين فليس في محله؛ إذ لا طلب فيهما ليقبل الحمل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الأوامر والنواهي الإرشادية </w:t>
      </w:r>
    </w:p>
    <w:p>
      <w:pPr>
        <w:pStyle w:val="BookText"/>
        <w:rPr/>
      </w:pPr>
      <w:r>
        <w:rPr>
          <w:rFonts w:ascii="Amiri" w:hAnsi="Amiri" w:eastAsia="Amiri" w:cs="Amiri"/>
          <w:color w:val="111111"/>
          <w:sz w:val="28"/>
          <w:sz w:val="28"/>
          <w:szCs w:val="28"/>
          <w:rtl w:val="true"/>
          <w:lang w:bidi="ar-SA"/>
        </w:rPr>
        <w:t>فإنَّ فيهما ذلك</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الوضعي إذا كان له مراتب ووجد دليل معارض فلا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وجد ظهور واحد ولا معارض له فعند ذلك نحمله على البطلان ما دام لا يوجد له معارض، فإذاً عند التعارض تأتي فكرة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المصحّحة للحمل على ذلك في التكليفية مفقودة في الأحكام الإرشادية، فإنَّ الوجه في حمل الأمر التكليفي على الاستحباب بعد مجيء الرخصة أحد أمور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مسلك حكم العقل في استفادة الوجوب والتحريم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يدلّ على الطلب الجامع فقط، فإذا جاء الترخيص حكمَ العقل بالاستحباب وذلك هو مقتضى الجمع بين الدلالة على الطلب الجامع وبين الترخيص في المخالفة، وهذه نكتة مختصّة بحالة وجود دلالة على الطلب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الأحكام الإرشادية لا طلب رأساً</w:t>
      </w:r>
      <w:r>
        <w:rPr>
          <w:rFonts w:eastAsia="Amiri" w:cs="Amiri" w:ascii="Amiri" w:hAnsi="Amiri"/>
          <w:color w:val="111111"/>
          <w:sz w:val="28"/>
          <w:szCs w:val="28"/>
          <w:rtl w:val="true"/>
          <w:lang w:bidi="ar-SA"/>
        </w:rPr>
        <w:t xml:space="preserve">. </w:t>
      </w:r>
      <w:bookmarkStart w:id="169" w:name="pg9111_108015"/>
    </w:p>
    <w:p>
      <w:pPr>
        <w:pStyle w:val="BookText"/>
        <w:rPr/>
      </w:pPr>
      <w:bookmarkEnd w:id="169"/>
      <w:r>
        <w:rPr>
          <w:rFonts w:ascii="Amiri" w:hAnsi="Amiri" w:eastAsia="Amiri" w:cs="Amiri"/>
          <w:color w:val="111111"/>
          <w:sz w:val="28"/>
          <w:sz w:val="28"/>
          <w:szCs w:val="28"/>
          <w:rtl w:val="true"/>
          <w:lang w:bidi="ar-SA"/>
        </w:rPr>
        <w:t>وأمَّا على مسلك الإطلاق ومقدمات الحكمة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يدّعى أنَّ الأمر يدلّ في نفسه وضعاً على الطلب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إطلاقه يقتضي كون الطلب وجوبياً، فإنَّ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محضٌ فلا يحتاج في بيانه إلى دالّ آخر غير ما يدلّ على أصل الطلب، بخلاف الاستحباب فإنَّه طلب مشوب بغيره فيحتاج إلى دالّ آخر يدلّ على ذلك الغير، ومع وجود الدالّ على التقييد المنضمّ إلى الدالّ على أصل الطلب تثبت إرادة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خاصّة بالأحكام المولوية لنفس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الوضع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ظاهر الأمر الطلبُ الوجوبي بسبب الوضع له إلاّ مع قيام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ظهور ثانويّ في إرادة الطلب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خاصة بالأحكام المولوية أيضاً لنفس ما سبق</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 في المقصود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الاستحباب طلب غايته بدرجة ضعيفة، وحيث إنَّ الأحكام الوضعية لا طلب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كانت تكليفيّة ولم يبقَ فارقٌ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الوضعية إرشاد إلى المرتبة الضعيفة من الفساد أو الشرطية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لازمها الطلب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تحمل على الاستحباب مباشرة ليقال هي لا تشتمل على الطلب فكيف تحمل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الدالّ على الاستحباب إثباتاً، فإنَّ حمل الأوامر التكليفية على الاستحباب ممكن؛ لأنَّها تدلّ على الطلب الذي إذا انضمّ إلى الترخيص تحقق الدالّ على الاستحباب، وهذا بخلافه في الأحكام الوضعية؛ فإنَّه لا طلب فيها لينضمّ إلى الترخيص ويثبت الدالّ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نحتاج إلى دالّ آخر يغاير الدالّ على تلك المرتبة الضعيفة من الفساد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 تلك المرتبة الضعيفة ثبوت الطلب الاستحبابي كما في الزوجية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حاجة لدالّ على الزوجيّة يغاير الدالّ على الأربعة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2853335_2870459653"/>
      <w:bookmarkStart w:id="171" w:name="_Toc62"/>
      <w:bookmarkEnd w:id="170"/>
      <w:r>
        <w:rPr>
          <w:rtl w:val="true"/>
        </w:rPr>
        <w:t>الوجه الثالث</w:t>
      </w:r>
      <w:bookmarkEnd w:id="1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أخبار النجاسة للمرجح العلاجيّ وهو الموافقة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الرجس في الآية هو النجس لغة كما هو قول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 قول الشيخ الطوسي في التهذيب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هو النجس بلا خلاف</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وعليه بعد عدم تمام كل ما تقدّم تصل النوبة إلى باب المرجّحات والأخبار العلاجية بين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المرجّحات هو فرع التعارض المستقر، فإذا أمكن الجمع عرفاً فلا تصل النوبة إلى المرجّحات، وأما بناءً على عدم إمكانه فيتم إعمال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الرجس وإن فُسّر وأطلق لغةً على النجس إلاّ أنّه كما تقدّم بيانه لا يراد به النجس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معنى شرعي حادث، بل المراد مطلق القذر وإنَّ كان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يوصف به الأفعال والصفات والعذاب ونحوها كما تقدّم في ذكر الآيات القرآنية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ومما يناسبه في المقام عطف الميسر والأنصاب على الخمر في الآية، وهذه لا معنى لأنْ تكون نجسة، وأيضاً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يتناسب مع القبيح دون النجاسة الخبثية الشرعية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الرجس في الآية على النجس ولا ينافي ذلك وقوعه خبراً عن الأنصاب والأزلام؛ لإمكان أن يراد به بالنسبة إليهما المستقذر من باب عموم المجاز، على أنَّه يمكن بل هو الظاهر دعوى كونه خبراً عن الخمر خاصّة فيُقَدَّر حينئذ لهما خبر، ولا تجب مطابقة المحذوف والموجود وإنْ كان دالاً عليه، كما في عطف المندوب على </w:t>
      </w:r>
      <w:bookmarkStart w:id="172" w:name="pg9111_108017"/>
    </w:p>
    <w:p>
      <w:pPr>
        <w:pStyle w:val="BookText"/>
        <w:rPr/>
      </w:pPr>
      <w:bookmarkEnd w:id="172"/>
      <w:r>
        <w:rPr>
          <w:rFonts w:ascii="Amiri" w:hAnsi="Amiri" w:eastAsia="Amiri" w:cs="Amiri"/>
          <w:color w:val="111111"/>
          <w:sz w:val="28"/>
          <w:sz w:val="28"/>
          <w:szCs w:val="28"/>
          <w:rtl w:val="true"/>
          <w:lang w:bidi="ar-SA"/>
        </w:rPr>
        <w:t>الواجب بصيغة واحدة، فيتعيّن حينئذ كون الرجس بمعنى النجس</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التقريب فيه تكلف ويحتاج إلى شاهد فهو خلاف الظاهر، بل 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يكون في الكلام حذف والمعنى شرب الخمر وتناوله أو التصرف فيه، وعبادة الأصنام، والاستقسام بالأزلام، رجس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من عمل الشيطان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الاستدلال بالآية فيه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لا وضوح في دلالة الآية على النجاسة حتى تصلح لترجيح النصوص</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2853337_2870459653"/>
      <w:bookmarkStart w:id="174" w:name="_Toc63"/>
      <w:bookmarkEnd w:id="173"/>
      <w:r>
        <w:rPr>
          <w:rtl w:val="true"/>
        </w:rPr>
        <w:t>الوجه الرابع</w:t>
      </w:r>
      <w:bookmarkEnd w:id="174"/>
    </w:p>
    <w:p>
      <w:pPr>
        <w:pStyle w:val="BookText"/>
        <w:rPr/>
      </w:pPr>
      <w:r>
        <w:rPr>
          <w:rFonts w:ascii="Amiri" w:hAnsi="Amiri" w:eastAsia="Amiri" w:cs="Amiri"/>
          <w:color w:val="111111"/>
          <w:sz w:val="28"/>
          <w:sz w:val="28"/>
          <w:szCs w:val="28"/>
          <w:rtl w:val="true"/>
          <w:lang w:bidi="ar-SA"/>
        </w:rPr>
        <w:t>أنَّه يوجد ما يوهن ويضعّف تقديم أخبار الطهارة مع كونها حجّة، حيث إنَّ أخبار الطهارة موافقة للعامة فتحمل على التقية وبه يتمّ المطلوب، ويكون العمل بأخبار النجاسة فهي المخالفة للعامة وفيها الرشاد فتُقدّم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تبنى هذا الوجه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المتأخرين بعد أنْ رفض الجمع العرفي بحمل أخبار النجاسة على الاستحباب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يدلّ على أنَّ هذه الأخبار محمولة على التقية ما </w:t>
      </w:r>
    </w:p>
    <w:p>
      <w:pPr>
        <w:pStyle w:val="BookText"/>
        <w:rPr/>
      </w:pPr>
      <w:r>
        <w:rPr>
          <w:rFonts w:ascii="IRNazanin" w:hAnsi="IRNazanin" w:eastAsia="IRNazanin"/>
          <w:color w:val="111111"/>
          <w:sz w:val="28"/>
          <w:sz w:val="28"/>
          <w:szCs w:val="28"/>
          <w:rtl w:val="true"/>
          <w:lang w:bidi="fa-IR"/>
        </w:rPr>
        <w:t>تقدّم ذكره من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تعالى أطلق اسم الرجاسة على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أنْ يرد من جهتهم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يُضادّ القرآن وينافيه، وأيضاً قد أوردنا من الأخبار ما يعارض هذه ولا يمكن الجمع بينهما إلاّ بأنْ نحمل هذه على التقية؛ لأنّا لو عملنا بهذه الأخبار كنا دافعين لأحكام تلك جملةً ولم نكن آخذين بها على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عملنا على تلك الأخبار كنا عاملين بما يلائم ظاهر القرآن، فحملنا هذه على التقية؛ لأنَّ التقية أحد الوجوه التي يصحّ ورود الأخبار لأجلها من 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فنكون عاملين بجميعها على وجه لا تناقض فيه</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يخفى أنَّ الأصل الأوليّ هو صدور الرواية بداعي بيان الحكم الواقعي، ولا يرفع اليد عن ذلك إلاّ بقرينة كما إذا كانت الرواية معارضة برواية أخرى تخالف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الموافقة على التقية، وأمَّا مع عدم المعارضة بشيء فلا موجب للحمل على التقية فإنَّه بلا مقتضٍ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الحمل على التقية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الطهارة موافقة لمذهب بعض العامّة، إذْ يفتي بالطهارة ربيعةٌ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في الفقه السُني بمختلف مذاهبه هو الحكم بالنجاسة،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نجسة في قول عامّة أهل العلم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 ومن هنا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خلاف بين المسلمين في نجاسة الخمر</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بالطهارة إلى بعض فقهائهم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أحد القولين للشافعيّ أو قول بعض الشافعيّة</w:t>
      </w:r>
      <w:r>
        <w:rPr>
          <w:rStyle w:val="FootnoteAnchor"/>
          <w:rtl w:val="true"/>
        </w:rPr>
        <w:footnoteReference w:id="189"/>
      </w:r>
      <w:r>
        <w:rPr>
          <w:rFonts w:ascii="Amiri" w:hAnsi="Amiri" w:eastAsia="Amiri" w:cs="Amiri"/>
          <w:color w:val="111111"/>
          <w:sz w:val="28"/>
          <w:sz w:val="28"/>
          <w:szCs w:val="28"/>
          <w:rtl w:val="true"/>
          <w:lang w:bidi="ar-SA"/>
        </w:rPr>
        <w:t>، وكذا نسب القول بالطهارة إلى ليث بن سعد</w:t>
      </w:r>
      <w:r>
        <w:rPr>
          <w:rStyle w:val="FootnoteAnchor"/>
          <w:rtl w:val="true"/>
        </w:rPr>
        <w:footnoteReference w:id="190"/>
      </w:r>
      <w:r>
        <w:rPr>
          <w:rFonts w:ascii="Amiri" w:hAnsi="Amiri" w:eastAsia="Amiri" w:cs="Amiri"/>
          <w:color w:val="111111"/>
          <w:sz w:val="28"/>
          <w:sz w:val="28"/>
          <w:szCs w:val="28"/>
          <w:rtl w:val="true"/>
          <w:lang w:bidi="ar-SA"/>
        </w:rPr>
        <w:t>، وإلى ابن داود، وإلى ربيعة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من الواضح أنَّ ولادة الشافعيّ هي بعد وفاة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معنى لاتقائه منه، وليث بن سعد وإنْ كان معاصراً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كان يسكن مصر ولا يحتمل عادة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الحجاز أو العراق يتقي من فقيه في مصر ولا يعتني بما ذهب إليه فقهاء الحجاز والعراق، وابن داود ولد سنة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ﻫ فهو متأخر ولادة عن وفاة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يفرض الاتقاء منه، وربيعة وإنْ كان معاصراً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كان فقيهاً منعزلاً ولم يتحقق له في حياته من المقام الرسمي أو الاجتماعي ما يناسب الاتقاء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قبلنا صدور بعض النصوص السابقة في الطهارة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ربيعة شاباً عند وفاته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على الفتوى التي تمثّل الشيء المعروف والطابع العام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معنى لأنْ يتقي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ذلك كاتقائه من فتوى شخص في زاوية، كما أنَّه </w:t>
      </w:r>
    </w:p>
    <w:p>
      <w:pPr>
        <w:pStyle w:val="BookText"/>
        <w:rPr/>
      </w:pPr>
      <w:r>
        <w:rPr>
          <w:rFonts w:ascii="IRNazanin" w:hAnsi="IRNazanin" w:eastAsia="IRNazanin"/>
          <w:color w:val="111111"/>
          <w:sz w:val="28"/>
          <w:sz w:val="28"/>
          <w:szCs w:val="28"/>
          <w:rtl w:val="true"/>
          <w:lang w:bidi="fa-IR"/>
        </w:rPr>
        <w:t xml:space="preserve">لا بدّ أنْ تكون الفتوى التي يتقي منها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معاصرة لزمانه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كانت ثابتة في زمان سابق ولا مفعول لها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فتوى ستأتي مستقبلاً فلا معنى للاتقاء من مثل ذلك، وفي هذه الموارد ونحوها يحتاج المستنبط إلى معرفة بالتاريخ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يحتمل افتراض التقية عادة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تقدّم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بالنجاسة هو المشهور بين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احتمال وجود موضوع للتقية فإنَّه لا يصدق عليه عنوان موافقة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وضوح ثبوت عنوان الموافقة للعامّة لا يصحّ إعمال هذا المرجّح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من بعض ألسنة روايات الطهارة أنَّها لا تناسب الحمل على التقية؛ إذْ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بزيادة في الكلام من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الحكم بالطهارة تقيّةً لكان المناسب عدم البيان بهذه الصورة التي تعطي أنَّ الجواب هو لبيان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صادراً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مثلاً معتبرة الحسن بن أبي 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الثوب لا يسكر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أو معتبرة علي 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إنَّما حرّم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مما لسانه التفصيل لا الإجمال والاضطراب الذي هو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روايات الطهارة مما يبعّد الصدور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الحمل على التقية؛ فإنَّ احتمال التقية يأتي في الرواية أو الروايتين أو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عشر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فصدورها تقية أمرٌ بعيدٌ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 يصحّ إجراء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إمكان الجمع العرفي والدلالي؛ فإنَّه لا مجال لإعمال المرجّحات الخارجية بين الطائفتين إلاّ إذا فُرض استحكام التعارض واستقراره ولم يمكن الجمع العرفي الدلالي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غيرنا وإنْ كانت في النجاسة كما هو المشهور بينهم ولكن مع ذلك تبقى أخبار الطهارة موافقة للتقية؛ وذلك باعتبار موافقتها لعمل الحكّام والسلاطين الذين كانوا يشربون الخمر ولا يتجنبون مساورتها، فأخبار الطهارة بهذا اللحاظ موافقة للتقية فتُقدّم أخبار النجاسة إعمالاً للمرجّح العلاجي في مقام التعارض</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ترجيح المخالف للعامّة على الموافق ناظر إلى الموافقة والمخالفة بلحاظ ما عليه تدّين العامّة وشرعهم لا ما عليه فسّاقهم وفجّارهم،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 للنصوص عند التعارض هو مخالفة الفتوى دون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النجاسة أيضاً ستكون موافقة للتقية؛ وذلك باعتبار موافقتها لفتوى فقهاء العامّة، وحينئذٍ لا يمكن إعمال الترجيح بها</w:t>
      </w:r>
      <w:r>
        <w:rPr>
          <w:rStyle w:val="FootnoteAnchor"/>
          <w:rtl w:val="true"/>
        </w:rPr>
        <w:footnoteReference w:id="194"/>
      </w:r>
      <w:r>
        <w:rPr>
          <w:rFonts w:ascii="Amiri" w:hAnsi="Amiri" w:eastAsia="Amiri" w:cs="Amiri"/>
          <w:color w:val="111111"/>
          <w:sz w:val="28"/>
          <w:sz w:val="28"/>
          <w:szCs w:val="28"/>
          <w:rtl w:val="true"/>
          <w:lang w:bidi="ar-SA"/>
        </w:rPr>
        <w:t>فيُتوقف لتعارض الطائفتين وتكافئهما، فإنَّ كل واحدة منهما مخالفة للعامّة من جهة وموافقة لهم من جهة، فأخبار الطهارة موافقة لهم عملاً ومخالفة لهم بحسب الحكم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روايات النجاسة موافقة معهم بحسب الحكم ومخالفة لهم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ترجيح في البَين فيتساقطان، ولا بدّ من التوقف حينئذ</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هذه الملاحظة لا ترد؛ فتعميم التقية بلحاظ عمل الأمراء </w:t>
      </w:r>
    </w:p>
    <w:p>
      <w:pPr>
        <w:pStyle w:val="BookText"/>
        <w:rPr/>
      </w:pPr>
      <w:r>
        <w:rPr>
          <w:rFonts w:ascii="Amiri" w:hAnsi="Amiri" w:eastAsia="Amiri" w:cs="Amiri"/>
          <w:color w:val="111111"/>
          <w:sz w:val="28"/>
          <w:sz w:val="28"/>
          <w:szCs w:val="28"/>
          <w:rtl w:val="true"/>
          <w:lang w:bidi="ar-SA"/>
        </w:rPr>
        <w:t>والسلاطين ليس بتامّ بعدما كان وعّاظ السلاطين فتواهم على خلاف عمل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كان الحكم بالطهارة لا يبرّر عمل السلاطين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معنى لاتقاء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السلاطين وإفتائه بالطهارة بعدما كان فقهاء السلاطين يحكمون بالنجاسة، فلا يُشكِّل ذلك خطراً عليه، فالاتقاء لا مجال له من الأساس، وبكلمة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مقتضي للتقية ولا موضوع لها بعدما كان علماؤهم يفتون بالنجاسة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بالطهارة لا ينفع السلاطين والحكام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ينفعهم الإفتاء بالحلية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يكون بعد اتفاق الفقهاء على حرمة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فائدة لشاربي الخمر في تطهيره مع التأكيد على حرمته؟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وفي معتبرة حنان بن سدير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إنَّه لشيء ما اتقيت فيه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أسكر كثيره فقليله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يمكن أنْ نحتمل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ينزلون إلى مستوى الإفتاء بغير الواقع تبريراً لفسق الحكام؛ فإنَّ مثل هذا لم يكن يصدر من المتعفّفين من فقهاء السنة أنفسهم فكيف يصدر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الأئمة يمارسونه من تقية مع الحكام إنَّما يرجع إلى التعامل معهم كحكّام وعدم </w:t>
      </w:r>
    </w:p>
    <w:p>
      <w:pPr>
        <w:pStyle w:val="BookText"/>
        <w:rPr/>
      </w:pPr>
      <w:r>
        <w:rPr>
          <w:rFonts w:ascii="Amiri" w:hAnsi="Amiri" w:eastAsia="Amiri" w:cs="Amiri"/>
          <w:color w:val="111111"/>
          <w:sz w:val="28"/>
          <w:sz w:val="28"/>
          <w:szCs w:val="28"/>
          <w:rtl w:val="true"/>
          <w:lang w:bidi="ar-SA"/>
        </w:rPr>
        <w:t>التجاهر بعدم صلاحيتهم للحاكميّة لا تبرير فسقهم وفجورهم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ماذكره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الخلفاء المعاصرين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ينقل في التاريخ أنَّهم شربوا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ينقل ذلك إلاّ عن شواذّ من الخلفاء وأشباه الخلفاء في عصور أخرى، ولم يتفق في زمان في تلك الأزمنة أنَّ يكون قد بلغ استهتار الخليفة إلى درجة التجاهر بمساورة الخمر وشربه، والتصدي للتنكيل بمن يفتي بنجاسته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أنَّه يبعد حمل أخبار الطهارة على التقية؛ كون لسان بعضها مشتملاً على زيادة في الجواب وتبرّع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بالتفصيل أو التعليل أو التأكيد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نفس كثرتها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ما تقدّم من أن النوبة لا تصل إلى إعمال المرجّح العلاجي بين المتعارضين مع إمكان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المشهور عند العامّة العفو عن قليل الخمر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نصوص الطهارة موافقة 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الترجيح لنصوص النجاسة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الطهارة مطلقة لا تختص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التعليل فيها بأنَّ الله تعالى إنَّما حرّم شربها، وبأنَّ الثوب لا يسكر، فهي ظاهرة في الطهارة التي هي مخالفة للمشهور بين العامّة كما تقدَّم</w:t>
      </w:r>
      <w:r>
        <w:rPr>
          <w:rFonts w:eastAsia="Amiri" w:cs="Amiri" w:ascii="Amiri" w:hAnsi="Amiri"/>
          <w:color w:val="111111"/>
          <w:sz w:val="28"/>
          <w:szCs w:val="28"/>
          <w:rtl w:val="true"/>
          <w:lang w:bidi="ar-SA"/>
        </w:rPr>
        <w:t xml:space="preserve">. </w:t>
      </w:r>
      <w:bookmarkStart w:id="175" w:name="pg9111_108024"/>
    </w:p>
    <w:p>
      <w:pPr>
        <w:pStyle w:val="Heading4"/>
        <w:numPr>
          <w:ilvl w:val="3"/>
          <w:numId w:val="1"/>
        </w:numPr>
        <w:rPr/>
      </w:pPr>
      <w:bookmarkStart w:id="176" w:name="__RefHeading___Toc2853339_2870459653"/>
      <w:bookmarkStart w:id="177" w:name="_Toc64"/>
      <w:bookmarkEnd w:id="175"/>
      <w:bookmarkEnd w:id="176"/>
      <w:r>
        <w:rPr>
          <w:rtl w:val="true"/>
        </w:rPr>
        <w:t>الوجه الخامس</w:t>
      </w:r>
      <w:bookmarkEnd w:id="177"/>
    </w:p>
    <w:p>
      <w:pPr>
        <w:pStyle w:val="BookText"/>
        <w:rPr/>
      </w:pPr>
      <w:r>
        <w:rPr>
          <w:rFonts w:ascii="Amiri" w:hAnsi="Amiri" w:eastAsia="Amiri" w:cs="Amiri"/>
          <w:color w:val="111111"/>
          <w:sz w:val="28"/>
          <w:sz w:val="28"/>
          <w:szCs w:val="28"/>
          <w:rtl w:val="true"/>
          <w:lang w:bidi="ar-SA"/>
        </w:rPr>
        <w:t>إنَّ التقديم هو لأخبار النجاسة؛ لشهرة الفتوى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الفتوائية من المرجّحات</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قيل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حُقّق في محلّه أنَّ ميزان الجمع هو الجمع العرفي لا العقلي وهو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التي اُمرنا في مقبولة عمر بن حنظلة في باب التعارض بالأخذ بها وترك الشاذ النادر المقابل لها هي الشهرة في الفتوى لا في النقل، وتلك الشهرة ومقابلها معيار تشخيص الحجّة عن اللاحجّة، والمشهور بين الأصحاب بَيّنٌ رشده، ومقابله بَيّنٌ غيّه والمقام من هذا القبيل</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يلاحظ بعد التسليم بسند المقبولة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وإنْ ذكرت في المقبولة ولكن يحتمل أنَّها ذكرت لتمييز وتعيين الحجّة من غير الحجّة أي موجبة لسقوط الرواية غير المشهورة عن الحجيّة ذاتاً ورأساً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أنَّها كمرجّح لإحدى الحجّتين على الحجّة الأخرى، ومحل كلامنا هو في المرجّح لا في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من المرجّحات بين الحجّتين، والوجه في هذا الاحتمال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المقبولة أنَّ المراد من الشهرة هي شهرة الرواية والنقل يعني تداول الرواية وتسجيلها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شهرة الفتوى والعمل على طبقها أيْ ليست 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للمقبولة في الشهرة الروائية باعتبار إضافة الإجماع والشهرة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الحكم الذي تضمنته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المقبولة أنَّ المراد بالشهرة ما يساوق الإجماع ومع فرضها في كلا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في الروايتين بأن يكون كل منهما مُجمعاً على روايته معروفاً عند الأصحاب مشهوراً بينهم، ولكن هذا ممتنع في الفتويين المتعارضتين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ومعلوم أنَّ الرواية إذا كانت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ينقلها كثير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تورث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القطع بصدور الرواية وبالتالي يسقط مقابلها وهي الرواية غير المشهورة حيث تكون مخالفة للسنة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 للدليل القطعي يكون ساقطاً عن الحجّية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الروائية لا توجب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الثاني مخالفاً للدليل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أنَّ ابن حنظلة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الخبران عنكم مشهورين رواهما الثقات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الشهرة في كلا الحديثين أمر غير ممكن إذا كانت الشهرة توجب القطع إذ يلزم آنذاك القطع بمتنافيين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الروائية توجب القطع بالصدور لا القطع بالحقانيّة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كلا الجزئين يُقطع بصدوره لكنْ لا يكون أحدهما مراداً بالإرادة الجدية وإنَّما يكون مراداً لأجل التقية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في المقبولة ليست من مرجّحات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نحتمل أنَّها موجبة لسقوط الرواية الشاذة غير المشهورة عن الحجّية رأساً، وحينئذٍ يكون المورد من موارد تمييز الحجّة عن اللاحجّة الخارج عن محلّ الكلام من الترجيح بين الحجّتين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فالإرجاع إلى الشهرة هنا ليس إرجاعاً إليها للترجيح بين الحجّتين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شهرة الرواية توجب العلم بصدورها فيكون المعارض لها مخالفة للسنة القطعية ويسقط من موضوع الحجّية، والمراد بمخالفة السُّنة سُنة المعصوم لا خصوص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الكتاب يُسقط الرواية المخالفة له قبل الوصول إلى تعارض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مقامنا لا شهرة روائية مميِّزة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وسلّمنا كون الشهرة في المقبولة من المرجّحات فهي ليست الفتوائية</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وفي فقه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سُلّم التعارض فعلى ما هو الحق من الترتيب بين المرجحات وأنَّ المراد بالشهرة هي الشهرة الفتوائية لا بدّ من تقديم الصحيح لأنَّه أشهر، والشهرة مقدّمة على موافقة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24/297</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إنْ لم يكن ذلك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الرواية فهي تتحدث عن اختلاف في الحديث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الروائية فحمل الشهرة على الشهرة الفتوائية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تتحدَّث عن الاختلاف في الحديث الذي كان عليه الإفتاء والمدار في كلام الأصحاب مع بعضهم، وقضية العمل به من المكلّف أو عدم العمل به قضية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p>
    <w:p>
      <w:pPr>
        <w:pStyle w:val="BookText"/>
        <w:rPr/>
      </w:pPr>
      <w:r>
        <w:rPr>
          <w:rFonts w:ascii="Amiri" w:hAnsi="Amiri" w:eastAsia="Amiri" w:cs="Amiri"/>
          <w:color w:val="111111"/>
          <w:sz w:val="28"/>
          <w:sz w:val="28"/>
          <w:szCs w:val="28"/>
          <w:rtl w:val="true"/>
          <w:lang w:bidi="ar-SA"/>
        </w:rPr>
        <w:t>اختلفا في حديثكم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ما حكم به أعدلهما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أصحابك فيؤخذ به من حكمنا ويترك الشاذ الذي 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لاريب فيه، 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إنَّ المراد مرجّحية الشهرة الفتوائية فلا يثبت أنَّ الشهرة تكون مرجّحة لجانب روايات النجاسة في المقام حيث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الشهرة التي يمكن أنْ تجعل مرجّحة هي ما كان بين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مقامنا لا يعلم أنَّ الحكم بالنجاسة مشهور فيما بينهم؛ إذ يظهر من معتبرة ابن مهزيار ورواية خيران أنَّ المسألة كانت موقع اختلاف بين الأصحاب، فلا يُعلم أنَّ النجاسة هي المشهورة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الشهرة حصلت بعدهم باعتبار استنباطهم النجاسة من ظاهر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مناقشة التمسك بالآية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الشهرة مرجّحاً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يرجّح جانب</w:t>
      </w:r>
    </w:p>
    <w:p>
      <w:pPr>
        <w:pStyle w:val="BookText"/>
        <w:rPr/>
      </w:pPr>
      <w:r>
        <w:rPr>
          <w:rFonts w:ascii="Amiri" w:hAnsi="Amiri" w:eastAsia="Amiri" w:cs="Amiri"/>
          <w:color w:val="111111"/>
          <w:sz w:val="28"/>
          <w:sz w:val="28"/>
          <w:szCs w:val="28"/>
          <w:rtl w:val="true"/>
          <w:lang w:bidi="ar-SA"/>
        </w:rPr>
        <w:t>روايات النجاسة في مقامنا؛ وذلك لوجود خبرين كالصريحين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لهما ظهور قوي، في جانب الطهارة وهما معتبرة الحسن بن أبي سارة ومعتبرة علي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 الشهرة تقاوم كلّ ما تقدّم من الإشكالات فإنَّه مع ذلك لا تكون مرجّحيتها تامةً لتقديم روايات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تُقدّم أخبار الطهارة فيُرجع لأصالتي الطهارة والبراءة بلا معارض لهما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المقبولة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على أنَّها مرجّحة في باب التعارض لأحد الخبرين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أنَّها مسقطة أي مميِّزة ومعيّنة للخبر الحجّة عن </w:t>
      </w:r>
    </w:p>
    <w:p>
      <w:pPr>
        <w:pStyle w:val="BookText"/>
        <w:rPr/>
      </w:pPr>
      <w:r>
        <w:rPr>
          <w:rFonts w:ascii="Amiri" w:hAnsi="Amiri" w:eastAsia="Amiri" w:cs="Amiri"/>
          <w:color w:val="111111"/>
          <w:sz w:val="28"/>
          <w:sz w:val="28"/>
          <w:szCs w:val="28"/>
          <w:rtl w:val="true"/>
          <w:lang w:bidi="ar-SA"/>
        </w:rPr>
        <w:t>غير الحجّة</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بل ولو قلنا بأنَّها من المرجّحات أيضاً يقدّم الترجيح بها على سايرها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ذلك ففي مقامنا أيضاً لا شهرة في جانب روايات النجاسة لما تقدّم من اختلاف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نرجّح روايات النجاسة بالإجماع المنقول الذي نقله الشيخ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مناقشة أصل دعوى الإجماع في المسألة، مضافاً إلى أنَّه لا دليل على الترجيح لأحد الخبرين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عن الاحتجاج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اختلفت أحاديثنا عليكم فخذوا بما اجتمعت عليه شيعتنا فإنّه لاريب فيه</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هو خبرٌ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الخبر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الاجتماع على العمل بالخبر والتعويل عليه الذي يصاحبه الإجماع في الفتوى دون الذي يصاحبه الهجران والمفارقة له، ولعلّه لذلك لم يُشرْ في الرواية لاحتمال الاجتماع على الخبرين معاً الذي هو ممكن في الإجماع على الرواية، وبما أنَّ الإجماع على الفتوى يوجب العلم بمطابقة مضمون الخبر للواقع دون الآخر فيخرج الآخر عن موضوع الحجّية ذاتاً مع قطع النظر عن المعارضة، فهو خارج عمّا نحن فيه من الترجيح بين </w:t>
      </w:r>
      <w:bookmarkStart w:id="178" w:name="pg9111_108029"/>
    </w:p>
    <w:p>
      <w:pPr>
        <w:pStyle w:val="BookText"/>
        <w:rPr/>
      </w:pPr>
      <w:bookmarkEnd w:id="178"/>
      <w:r>
        <w:rPr>
          <w:rFonts w:ascii="Amiri" w:hAnsi="Amiri" w:eastAsia="Amiri" w:cs="Amiri"/>
          <w:color w:val="111111"/>
          <w:sz w:val="28"/>
          <w:sz w:val="28"/>
          <w:szCs w:val="28"/>
          <w:rtl w:val="true"/>
          <w:lang w:bidi="ar-SA"/>
        </w:rPr>
        <w:t>الحجّتين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الأحاديث في جانب النجاسة عدداً تكون مرجّحة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الكثرة وحدها لا تنفع في الترجيح ما لم تشكّل عنوان السُّنة القطعية، مضافاً إلى أنَّه في جانب الطهارة أيضاً الأحاديث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ناقصة بقليل فهذا لا يضر،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دلّت على طهارة الخمر بصراحتها وهي من حيث العدد أكثر من الأخبار الواردة في نجاستها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المراد من الكثرة هو الشهرة الروائية فهي لو بني على كونها من المرجّحات لا يراد بها كثرة عدد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يراد اشتهار نقل رواية في كتب الأصحاب</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853341_2870459653"/>
      <w:bookmarkStart w:id="180" w:name="_Toc65"/>
      <w:bookmarkEnd w:id="179"/>
      <w:r>
        <w:rPr>
          <w:rtl w:val="true"/>
        </w:rPr>
        <w:t>الوجه السادس</w:t>
      </w:r>
      <w:r>
        <w:rPr>
          <w:rtl w:val="true"/>
        </w:rPr>
        <w:t xml:space="preserve">: </w:t>
      </w:r>
      <w:r>
        <w:rPr>
          <w:rtl w:val="true"/>
        </w:rPr>
        <w:t>العمل بالاحتياط</w:t>
      </w:r>
      <w:bookmarkEnd w:id="180"/>
    </w:p>
    <w:p>
      <w:pPr>
        <w:pStyle w:val="BookText"/>
        <w:rPr/>
      </w:pP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السابع على بطلان الجمع العرفي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ذلك الاحتياط في الدين الذي هو أحد المرجّحات الشرعية في مقام اختلاف الأخبار كما دلّت عليه رواية زرارة في طرق الترجيح</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الأخبار المشار إليها من الطرفين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فعن عمّار بن موسى الساباطي وهو فطحي، والثاني عن محمد بن عيسى عن يونس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طعن فيه ابنُ الوليد، وابن أبي سارة لا يقوى بانفراده حجّة، والخبر الرابع ليس بصريح في موضع النزاع، وما عدا هذه الأخبار مثلها في الضعف وما </w:t>
      </w:r>
    </w:p>
    <w:p>
      <w:pPr>
        <w:pStyle w:val="BookText"/>
        <w:rPr/>
      </w:pPr>
      <w:r>
        <w:rPr>
          <w:rFonts w:ascii="Amiri" w:hAnsi="Amiri" w:eastAsia="Amiri" w:cs="Amiri"/>
          <w:color w:val="111111"/>
          <w:sz w:val="28"/>
          <w:sz w:val="28"/>
          <w:szCs w:val="28"/>
          <w:rtl w:val="true"/>
          <w:lang w:bidi="ar-SA"/>
        </w:rPr>
        <w:t>صحّ منها غير دالّ على موضع النزاع؛ لأنَّ الخبر الدالّ على المنع ممّا يقع فيه الخمر من طبيخ أو عجين يحتمل أنْ يكون المنع منه لا لنجاسته بل لتحريمه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مازج المحلّل حرّمه، كما لو وقع في القدر دهن من حيوان محرّم، فإنَّا نمنع منه لتحريمه لا لنجاسته، والاستدلال بالآية عليه فيه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اختلاف الأصحاب والأحاديث يؤخذ بالأحوط في الدين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من الطرفين كثيرة ومستفيضة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جملة منها معتبرٌ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وسلّمنا بضعفها فإنَّ المرجع حينئذ يكون الأصل العملي وهو يقتضي الطهارة بعد فرض قصور الدليل الاجتهادي عن إثبات النجاسة، ولايوجد أصل يقول إنَّ الحظر مقدّم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الدليل من النقل والعقل على أصالة الطهارة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مقصود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ضعف الأخبار لا موضوع للترجيح أساساً، مضافاً إلى أنَّ</w:t>
      </w:r>
    </w:p>
    <w:p>
      <w:pPr>
        <w:pStyle w:val="BookText"/>
        <w:rPr/>
      </w:pPr>
      <w:r>
        <w:rPr>
          <w:rFonts w:ascii="Amiri" w:hAnsi="Amiri" w:eastAsia="Amiri" w:cs="Amiri"/>
          <w:color w:val="111111"/>
          <w:sz w:val="28"/>
          <w:sz w:val="28"/>
          <w:szCs w:val="28"/>
          <w:rtl w:val="true"/>
          <w:lang w:bidi="ar-SA"/>
        </w:rPr>
        <w:t>الاحتياط ليس من المرجّحات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بالموافق للاحتياط في الدين هو أحد المرجّحات الشرعية في مقام اختلاف الأخبار، كما دلّت عليه رواية زرارة الواردة في طرق الترجيح</w:t>
      </w:r>
      <w:r>
        <w:rPr>
          <w:rStyle w:val="FootnoteAnchor"/>
          <w:rtl w:val="true"/>
        </w:rPr>
        <w:footnoteReference w:id="210"/>
      </w:r>
      <w:r>
        <w:rPr>
          <w:rFonts w:ascii="Amiri" w:hAnsi="Amiri" w:eastAsia="Amiri" w:cs="Amiri"/>
          <w:color w:val="111111"/>
          <w:sz w:val="28"/>
          <w:sz w:val="28"/>
          <w:szCs w:val="28"/>
          <w:rtl w:val="true"/>
          <w:lang w:bidi="ar-SA"/>
        </w:rPr>
        <w:t xml:space="preserve">، حيث </w:t>
      </w:r>
      <w:bookmarkStart w:id="181" w:name="pg9111_108031"/>
    </w:p>
    <w:p>
      <w:pPr>
        <w:pStyle w:val="BookText"/>
        <w:rPr/>
      </w:pPr>
      <w:bookmarkEnd w:id="181"/>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فيه الحائطة لدينك وأترك الآخر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سنداً باعتبار أنَّ طريق ابن أبي جمهور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بشكل وآخر تحصيل طريق من هذه الناحية يبقى طريق العلاّمة إلى زرارة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ذكر ابن أبي جمهور للرواية من دون أنْ يذكرها العلاّمة في كتبه وهكذا غيره من أعلام الدين هو أمرٌ مُوهن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قيل أيضاً إنَّ الترجيح بذلك هو مما انفردت به مرفوعة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عن رواية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لم نقف عليها في غير كتاب عوالي اللئالي مع ما هي عليه من الرفع والإرسال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الكتاب المذكور من نسبة صاحبه إلى التساهل في نقل الأخبار 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وخلط غثّها بسمينها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وصحيحها بسقيمها كما لا يخفى على من وقف على الكتاب المذكور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853343_2870459653"/>
      <w:bookmarkStart w:id="183" w:name="_Toc66"/>
      <w:bookmarkEnd w:id="182"/>
      <w:r>
        <w:rPr>
          <w:rtl w:val="true"/>
        </w:rPr>
        <w:t>الوجه السابع</w:t>
      </w:r>
      <w:bookmarkEnd w:id="18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خلال استدلاله على نجاسة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المرجّحات المنصوصة التي عمل بها الأصحاب الأخذ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صحيحة ابن مهزيار وخبر خيران قد تضمّنا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بحمد الله واضحة غاية </w:t>
      </w:r>
    </w:p>
    <w:p>
      <w:pPr>
        <w:pStyle w:val="BookText"/>
        <w:rPr/>
      </w:pPr>
      <w:r>
        <w:rPr>
          <w:rFonts w:ascii="IRNazanin" w:hAnsi="IRNazanin" w:eastAsia="IRNazanin"/>
          <w:color w:val="111111"/>
          <w:sz w:val="28"/>
          <w:sz w:val="28"/>
          <w:szCs w:val="28"/>
          <w:rtl w:val="true"/>
          <w:lang w:bidi="fa-IR"/>
        </w:rPr>
        <w:t>الوضوح</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الوجه السادس في كلامه عن الجمع العرفي وإبطال الحمل على الاستحباب في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أنَّه إذا جاء خبر عن أوَّلهم وخبر عن آخرهم فإنَّه يجب الأخذ بالأخير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القاعدة صرَّح بها الصدوق في الفقيه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يوصي إلى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الخبران لكان الواجب الأخذ بقول الأخير كما أمر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ولاريب أنَّ صحيحة علي بن مهزيار ورواية خيران قد تضمّنتا ذلك فالواجب بمقتضى هذه القاعدة الرجوع إلى قول الإمام الأخير وهو الحكم بالنجاسة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بالتأخّر زماناً والأحدثية وإنْ ورد في جملة من النصوص الأمر بالأخذ به كرواية الحسين بن المختار ورواية هشام بن سالم عن أبي عمرو الكناني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وضوح أنَّ النصوص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بصدد بيان الحكم الواقعي الشرعي الأوَّلي الثابت في أصل التشريع غير القابل للتغيير في فرض عدم النسخ، دون بيان الأحكام الفعلية الثابتة لأجل التقية ونحوها القابلة للتغيير، ومن ثمّ كان اختلافها في الموضوع الواحد موجباً لتعارضها في أنفسها ومورداً للمرجّحات </w:t>
      </w:r>
    </w:p>
    <w:p>
      <w:pPr>
        <w:pStyle w:val="BookText"/>
        <w:rPr/>
      </w:pPr>
      <w:r>
        <w:rPr>
          <w:rFonts w:ascii="Amiri" w:hAnsi="Amiri" w:eastAsia="Amiri" w:cs="Amiri"/>
          <w:color w:val="111111"/>
          <w:sz w:val="28"/>
          <w:sz w:val="28"/>
          <w:szCs w:val="28"/>
          <w:rtl w:val="true"/>
          <w:lang w:bidi="ar-SA"/>
        </w:rPr>
        <w:t xml:space="preserve">الإثباتية الواردة في الأخبار العلاجية فالأخبار العلاجية راجعة إلى تعارض الحجتين إثباتاً في الحكم الواحد والترجيح بينهما بلحاظ طريقتهما إلى الواقع وقوة كاشفيته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الزمان لا دخل له في أقربية الدليل المتأخّر للواقع وقوة كاشفيته فالأحدثية لا تتضمّن أيّة مناسبة عقلائية للترجيح في باب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هو ليس ناظراً إلى الترجيح إثباتاً بين الحجّتين الذي هو محل كلامنا وتجري فيه المرجّحات العلاجية، وإنّما الترجيح بالأحدثية ناظر وراجع إلى الترجيح بين الحكمين ثبوتاً</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قصور في حجّية الحكمين المحكيين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جريان الأحدث على طبق الوظيفة الفعلية التي يدركها إمام الوقت سواء كانت هي الحكم الواقعي الثانوي لحدوث سبب التقية الرافع للحكم الأولي المبيَّن بالدليل الأسبق أو لتبدّل مقتضى التقية أم كانت هي الحكم الأوَّلي لارتفاع سبب التقية التي هي الحكم الأسبق جارياً على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تحمل رواية الحسين بن المختار ورواية أبي عمرو الكناني على أنَّ الأخذ بالمتأخّر هو من أجل نكتة التقية حيث يريد الإمام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توافق أعمالهم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يكون الأخذ بالمتأخّر وجيهاً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الأحدثية لا تتضمّن أيّة مناسبة عقلائية للترجيح في باب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عمرو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أبى الله إلّا أنْ يعبد سرّاً، </w:t>
      </w:r>
    </w:p>
    <w:p>
      <w:pPr>
        <w:pStyle w:val="BookText"/>
        <w:rPr/>
      </w:pPr>
      <w:r>
        <w:rPr>
          <w:rFonts w:ascii="Amiri" w:hAnsi="Amiri" w:eastAsia="Amiri" w:cs="Amiri"/>
          <w:color w:val="111111"/>
          <w:sz w:val="28"/>
          <w:sz w:val="28"/>
          <w:szCs w:val="28"/>
          <w:rtl w:val="true"/>
          <w:lang w:bidi="ar-SA"/>
        </w:rPr>
        <w:t>أما والله لئن فعلتم ذلك إنّه لخير لي ولكم، أبى الله عزّ وجلّ لنا في دينه إلّا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هو مقتضى قوله في رواية المعلّى بن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والله لا ندخلكم إلّا فيما يسعكم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لما يصلح إلى ذلك ابتداء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أرأيتك لو حدّثتك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رواية الحسين ورواية أبي عمرو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السائل سأل الإمام والإمام أجابه، وبعد إجابة الراوي أقرّه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يكون ما دلّ على الأخذ بالمتأخّر مختصّاً بظرف التقية وهو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ولا يشمل زماننا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كان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لزوم الأخذ بالمتأخّر في كل زمان يكون وجيهاً لو فرض تعيّن أنَّ الأوَّل صدر للتقية والثاني صدر لبيان الواقع، ولكن لا جزم بذلك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يصدر الأوَّل لبيان الواقع والثاني يكون تقية تحفظاً على أصحابه ويترحم عليهم حيث عملوا بالتقية، فإذاً لا يمكن أنْ نقول بأنَّ الصدور دائماً هو بنحو كذا، فإذاً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دائماً الأخذ بالمتأخّر من باب أنَّه أحياناً يكون المتأخّر لبيان الواقع وأحياناً يكون المتأخّر صادراً للتقية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ويناسب ذلك أيضاً ما تضمّنته رواية الكناني والحسين بن المختار من معرفة الراوي للأخذ بالأخير من دون تنبيه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إذْ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فالراوي لأجل الجهة الارتكازية ومعرفته بأنَّ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ظرف التقية عليه أنْ يعمل بالوظيفة الفعلية وإنْ كانت ثانوية، دون ما إذا كان الخطابان واردين لبيان الحكم الأوَّلي غير القابل للتعدّد لعدم الفرق بين الأحدث وغيره في احتمال مخالفة الواقع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فأقصى ما تدلّ عليه رواية الكناني والحسين ظرف التقية، ويتعيّن حمل نصوص الترجيح بالأحدثية على ما إذا احتفّ الكلام بما يناسب حمله على الوظيفة </w:t>
      </w:r>
    </w:p>
    <w:p>
      <w:pPr>
        <w:pStyle w:val="BookText"/>
        <w:rPr/>
      </w:pPr>
      <w:r>
        <w:rPr>
          <w:rFonts w:ascii="IRNazanin" w:hAnsi="IRNazanin" w:eastAsia="IRNazanin"/>
          <w:color w:val="111111"/>
          <w:sz w:val="28"/>
          <w:sz w:val="28"/>
          <w:szCs w:val="28"/>
          <w:rtl w:val="true"/>
          <w:lang w:bidi="fa-IR"/>
        </w:rPr>
        <w:t xml:space="preserve">الفعلية ولو كانت ثانوية كالقطع بعدم كون مضمونه هو الحكم الأولي مع ظهور الخطاب به في الجدية المستتبعة للعمل، وحالها حال ما حدد في أمر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يقطين بأنْ يتوضأ بوضوء العامّة حيث أدرك علي أنّ الأمر المذكور ثانوي لما عليه إجماع العصابة في كيفية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ورواية نصر الخثعمي تشير إلى ظرف التقية المعاش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والفتوى التي تدفع عن المكلَّف هي الفتوى بالحكم الثانوي القابل للتبدّل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فيها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أنّا لا نقول إلا حقاً فليكتفِ بما يعلم منّا، فإنْ سمع منّا خلاف ما يعلم فليعلم أنّ ذلك دفاعٌ منّا عنه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 الأخذ بالأحدث محمول على ظروف خاصّة ونكتة خاصّة وليس قاعدة عامّة يعمل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بالمتأخّر لا يدلّ على التعبّد الشرعي وإنّه حكم شرعي عام لا بدّ من الأخذ به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رواية الحسين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الصدوق أنّه حمله على زمان الإمام خاصّة فإنّه قال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إمامٍ أعلم بأحكام زمانه من غيره من الناس</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علّق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موافق لظاهر الحديث وعلى هذا يضعف الترجيح به في زمان الغيبة وفي تطاول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ذلك والله أعلم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إذاً من الصدوق والحرّ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قد فهما المعنى المتقدّم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التعرّض للترجيح بالأحدثية مع تعرّضه لنصوصه، </w:t>
      </w:r>
    </w:p>
    <w:p>
      <w:pPr>
        <w:pStyle w:val="BookText"/>
        <w:rPr/>
      </w:pPr>
      <w:r>
        <w:rPr>
          <w:rFonts w:ascii="Amiri" w:hAnsi="Amiri" w:eastAsia="Amiri" w:cs="Amiri"/>
          <w:color w:val="111111"/>
          <w:sz w:val="28"/>
          <w:sz w:val="28"/>
          <w:szCs w:val="28"/>
          <w:rtl w:val="true"/>
          <w:lang w:bidi="ar-SA"/>
        </w:rPr>
        <w:t>وكذا عن من جاء بعده من العلماء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تبيّن ممّا سبق القصور في الدلالة على الترجيح بالأحدثية والأخذ بالمتأخّر زماناً، هذا مضافاً إلى أنّ رواية الحسين بن المختار ضعيفة بالإرسال إذْ رواها عن بعض أصحابنا، وكذا رواية الكناني فإنّها ضعيفة به، حيث لم يُذكر له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اتضاح ما تقدَّم من الوجوه فإنَّ فرض عدم تمامية الوجه الأوَّل وكذا الوجوه الخمسة الأخيرة من المرجّحات العلاجية الخبرية الخارجية للمتعارضين وغيرها مما ذكر بين طيّات الوجوه، فإنْ تمَّ الوجه الثاني فبها، وإلّا فما هو الموقف؟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إمكان الجمع العرفي ولم يمكن أيضاً إعمال المرجّحات هو الحكم بالتساقط وعدم شمول أدلة الحجيّة لكلٍّ من الطرفين، وعندئذ إنْ وجد أصل لفظي وعموم فوقاني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أو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المرجع</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فُقد فيكون الأصل العملي هو المرجع، وفي المسألة لا يوجد عموم فوقاني فيُرجَع إلى الأصل</w:t>
      </w:r>
      <w:r>
        <w:rPr>
          <w:rFonts w:eastAsia="Amiri" w:cs="Amiri" w:ascii="Amiri" w:hAnsi="Amiri"/>
          <w:color w:val="111111"/>
          <w:sz w:val="28"/>
          <w:szCs w:val="28"/>
          <w:rtl w:val="true"/>
          <w:lang w:bidi="ar-SA"/>
        </w:rPr>
        <w:t xml:space="preserve">. </w:t>
      </w:r>
      <w:bookmarkStart w:id="184" w:name="pg9111_108037"/>
    </w:p>
    <w:p>
      <w:pPr>
        <w:pStyle w:val="Heading3"/>
        <w:numPr>
          <w:ilvl w:val="2"/>
          <w:numId w:val="1"/>
        </w:numPr>
        <w:rPr/>
      </w:pPr>
      <w:bookmarkStart w:id="185" w:name="__RefHeading___Toc2853345_2870459653"/>
      <w:bookmarkStart w:id="186" w:name="_Toc67"/>
      <w:bookmarkEnd w:id="184"/>
      <w:bookmarkEnd w:id="185"/>
      <w:r>
        <w:rPr>
          <w:rtl w:val="true"/>
        </w:rPr>
        <w:t>فكرة التصنيف إلى الرتب</w:t>
      </w:r>
      <w:bookmarkEnd w:id="186"/>
    </w:p>
    <w:p>
      <w:pPr>
        <w:pStyle w:val="Heading4"/>
        <w:numPr>
          <w:ilvl w:val="3"/>
          <w:numId w:val="1"/>
        </w:numPr>
        <w:rPr/>
      </w:pPr>
      <w:bookmarkStart w:id="187" w:name="__RefHeading___Toc2853347_2870459653"/>
      <w:bookmarkStart w:id="188" w:name="_Toc68"/>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هذا، ولكنّ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المقام</w:t>
      </w:r>
      <w:r>
        <w:rPr>
          <w:rStyle w:val="FootnoteAnchor"/>
          <w:rtl w:val="true"/>
        </w:rPr>
        <w:footnoteReference w:id="222"/>
      </w:r>
      <w:r>
        <w:rPr>
          <w:rFonts w:ascii="Amiri" w:hAnsi="Amiri" w:eastAsia="Amiri" w:cs="Amiri"/>
          <w:color w:val="111111"/>
          <w:sz w:val="28"/>
          <w:sz w:val="28"/>
          <w:szCs w:val="28"/>
          <w:rtl w:val="true"/>
          <w:lang w:bidi="ar-SA"/>
        </w:rPr>
        <w:t xml:space="preserve">أنَّ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توجد طائفتان متعارضتان في مسألة بدون جمع أو مرجّح على إيقاع التعارض والتساقط بينها جميعاً دون تصنيف لروايات كلٍّ من الطائفتين من ناحية درجة دلالتها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ملاحظة أنحاء الدلالة في كل من الطائفتين فنُسقط الصريح مع الصريح من الطرف الآخر، وهكذا الحال بالنسبة إلى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تساوت الروايات والدلالات فيصحّ كلام المشهور من الفقهاء، ويُرجَع ويُنتقَل إلى العموم الفوقاني إنْ وجد، وإلا فالأصل العملي، ولكن عند الاختلاف فالمناسب جعل ما يبقى من رتبة في الدلالة في إحدى الطائفتين هو المرجع، وإنْ لم يكن عموماً فوقانياً فلا يُشترَط في المرجع أنْ يكون عموماً فوقانياً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على روايات الطائفتين، فصنّف روايات النجاسة إلى مراتب أربع، وأخبار الطهارة إلى مرتبتين أو ثلاث</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853349_2870459653"/>
      <w:bookmarkStart w:id="190" w:name="_Toc69"/>
      <w:bookmarkEnd w:id="189"/>
      <w:r>
        <w:rPr>
          <w:rtl w:val="true"/>
        </w:rPr>
        <w:t>فالمرتبة الأولى</w:t>
      </w:r>
      <w:bookmarkEnd w:id="190"/>
    </w:p>
    <w:p>
      <w:pPr>
        <w:pStyle w:val="BookText"/>
        <w:rPr/>
      </w:pPr>
      <w:r>
        <w:rPr>
          <w:rFonts w:ascii="Amiri" w:hAnsi="Amiri" w:eastAsia="Amiri" w:cs="Amiri"/>
          <w:color w:val="111111"/>
          <w:sz w:val="28"/>
          <w:sz w:val="28"/>
          <w:szCs w:val="28"/>
          <w:rtl w:val="true"/>
          <w:lang w:bidi="ar-SA"/>
        </w:rPr>
        <w:t xml:space="preserve">ما يكون كالصريح في النجاسة، ومَثَّل له برواية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يجزيه حتى يدلكه بيده ويغسله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ويقابلها ويماثلها ما يدل بالصراحة العرفية على الطهارة كرواية ابن رئاب وابن أبي سارة، فتسقط هذه المرتبة الأولى في كلا الطرفين</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853351_2870459653"/>
      <w:bookmarkStart w:id="192" w:name="_Toc70"/>
      <w:bookmarkEnd w:id="191"/>
      <w:r>
        <w:rPr>
          <w:rtl w:val="true"/>
        </w:rPr>
        <w:t>والمرتبة الثانية</w:t>
      </w:r>
      <w:bookmarkEnd w:id="19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ظاهراً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الحمل على التنزّه عرفاً في مقام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كالروايات المشتملة على مجرد الأمر بالغسل، ويماثلها رواية علي بن جعفر الواردة في الصلاة في مكان رشّ بالخمر إذا لم يوجد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دلالتها من خلال ظهور نفي البأس في نفي النجاسة فإنها عندئذ ستكون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w:t>
      </w:r>
      <w:r>
        <w:rPr>
          <w:rFonts w:eastAsia="Amiri" w:cs="Amiri" w:ascii="Amiri" w:hAnsi="Amiri"/>
          <w:color w:val="111111"/>
          <w:sz w:val="28"/>
          <w:szCs w:val="28"/>
          <w:rtl w:val="true"/>
          <w:lang w:bidi="ar-SA"/>
        </w:rPr>
        <w:t xml:space="preserve">. </w:t>
      </w:r>
      <w:bookmarkStart w:id="193" w:name="pg9111_108038"/>
    </w:p>
    <w:p>
      <w:pPr>
        <w:pStyle w:val="Heading4"/>
        <w:numPr>
          <w:ilvl w:val="3"/>
          <w:numId w:val="1"/>
        </w:numPr>
        <w:rPr/>
      </w:pPr>
      <w:bookmarkStart w:id="194" w:name="__RefHeading___Toc2853353_2870459653"/>
      <w:bookmarkStart w:id="195" w:name="_Toc71"/>
      <w:bookmarkEnd w:id="193"/>
      <w:bookmarkEnd w:id="194"/>
      <w:r>
        <w:rPr>
          <w:rtl w:val="true"/>
        </w:rPr>
        <w:t>والمرتبة الثالثة</w:t>
      </w:r>
      <w:bookmarkEnd w:id="195"/>
    </w:p>
    <w:p>
      <w:pPr>
        <w:pStyle w:val="BookText"/>
        <w:rPr/>
      </w:pPr>
      <w:r>
        <w:rPr>
          <w:rFonts w:ascii="Amiri" w:hAnsi="Amiri" w:eastAsia="Amiri" w:cs="Amiri"/>
          <w:color w:val="111111"/>
          <w:sz w:val="28"/>
          <w:sz w:val="28"/>
          <w:szCs w:val="28"/>
          <w:rtl w:val="true"/>
          <w:lang w:bidi="ar-SA"/>
        </w:rPr>
        <w:t>ما يدلّ على النجاسة بالإطلاق</w:t>
      </w:r>
      <w:r>
        <w:rPr>
          <w:rStyle w:val="FootnoteAnchor"/>
          <w:rtl w:val="true"/>
        </w:rPr>
        <w:footnoteReference w:id="223"/>
      </w:r>
      <w:r>
        <w:rPr>
          <w:rFonts w:ascii="Amiri" w:hAnsi="Amiri" w:eastAsia="Amiri" w:cs="Amiri"/>
          <w:color w:val="111111"/>
          <w:sz w:val="28"/>
          <w:sz w:val="28"/>
          <w:szCs w:val="28"/>
          <w:rtl w:val="true"/>
          <w:lang w:bidi="ar-SA"/>
        </w:rPr>
        <w:t xml:space="preserve">ومقدّمات الحكمة، وهو أضعف من سابقيه، وذلك من قبيل ما اشتمل على التنزيل الذي يشمل إطلاقه النجاسة، ويماثلها ما دلّ على طهارة الخمر بالإطلاق كرواية علي بن جعفر الواردة في ماء المطر الذي أصابه الخمر، ورواية ابن بكير الواردة في مطلق المسكر، ورواية علي بن جعفر الواردة في الصلاة في مكان رُشّ بالخمر إذا لم يوجد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دلالتها على الطهارة بلحاظ إطلاق الترخيص فيها لفرض سعة الوقت أو إمكان التجفيف كان حالها حال روايته في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853355_2870459653"/>
      <w:bookmarkStart w:id="197" w:name="_Toc72"/>
      <w:bookmarkEnd w:id="196"/>
      <w:r>
        <w:rPr>
          <w:rtl w:val="true"/>
        </w:rPr>
        <w:t>والمرتبة الرابعة</w:t>
      </w:r>
      <w:bookmarkEnd w:id="197"/>
    </w:p>
    <w:p>
      <w:pPr>
        <w:pStyle w:val="BookText"/>
        <w:rPr/>
      </w:pPr>
      <w:r>
        <w:rPr>
          <w:rFonts w:ascii="Amiri" w:hAnsi="Amiri" w:eastAsia="Amiri" w:cs="Amiri"/>
          <w:color w:val="111111"/>
          <w:sz w:val="28"/>
          <w:sz w:val="28"/>
          <w:szCs w:val="28"/>
          <w:rtl w:val="true"/>
          <w:lang w:bidi="ar-SA"/>
        </w:rPr>
        <w:t>ما كان دالاً على النجاسة بالإمضاء السكوتي</w:t>
      </w:r>
      <w:r>
        <w:rPr>
          <w:rStyle w:val="FootnoteAnchor"/>
          <w:rtl w:val="true"/>
        </w:rPr>
        <w:footnoteReference w:id="224"/>
      </w:r>
      <w:r>
        <w:rPr>
          <w:rFonts w:ascii="Amiri" w:hAnsi="Amiri" w:eastAsia="Amiri" w:cs="Amiri"/>
          <w:color w:val="111111"/>
          <w:sz w:val="28"/>
          <w:sz w:val="28"/>
          <w:szCs w:val="28"/>
          <w:rtl w:val="true"/>
          <w:lang w:bidi="ar-SA"/>
        </w:rPr>
        <w:t>عمّا كشف عنه سؤال السائل من ارتكاز نجاسة الخمر في ذهنه، وهذه المرتبة ينتهي الأمر إليها فتكون بمثابة العموم الفوقاني، لعدم سقوطها بالمعارضة مع أخبار الطهارة بسبب عدم صلاحيتها لمعارضة أخبار الطهارة، وبذلك تثبت نجاسة الخمر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بإعمال هذه الفكرة توصَّل إلى الحكم بالنجاسة بمقتضى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صناعية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وبتطبيقه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الفكرة التي ذكرها انتهى إلى نجاسة الخمر على وفق الصناعة، ولم تصل النوبة إلى الأصل العملي والحكم بالطهارة عند عدم وجود المرجّح كما هو المعروف بين الفقهاء الذين لا يقولون بتصنيف دلالات الروايات إلى رتب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والنكتة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في مثل الدليلين الخاصّين المتعارضين يحكمون بالتساقط </w:t>
      </w:r>
    </w:p>
    <w:p>
      <w:pPr>
        <w:pStyle w:val="BookText"/>
        <w:rPr/>
      </w:pPr>
      <w:r>
        <w:rPr>
          <w:rFonts w:ascii="Amiri" w:hAnsi="Amiri" w:eastAsia="Amiri" w:cs="Amiri"/>
          <w:color w:val="111111"/>
          <w:sz w:val="28"/>
          <w:sz w:val="28"/>
          <w:szCs w:val="28"/>
          <w:rtl w:val="true"/>
          <w:lang w:bidi="ar-SA"/>
        </w:rPr>
        <w:t xml:space="preserve">ويرجعون إلى العامّ الفوقاني، فالعامّ لا يدخل في المعارضة بنكتة أنَّ العامّ لا يصلح لمعارضة الخاصّ، وعدم دخول العامّ في المعارضة تجري أيضاً عندما تكون الدلالات مختلفة في الطائفتين، فبعد تساقط كل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كالصراحة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يماثلها ويبقى نحوٌ من الدلالة لا معارض ولا مماثل له فلا يسقط فيرجع إليه، وإنْ كان ليس بعامّ وكان ضعيف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صريح ولا ظاهر ولا عام ولا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على أي حال يكون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Style w:val="FootnoteAnchor"/>
          <w:rtl w:val="true"/>
        </w:rPr>
        <w:footnoteReference w:id="226"/>
      </w:r>
      <w:r>
        <w:rPr>
          <w:rFonts w:ascii="Amiri" w:hAnsi="Amiri" w:eastAsia="Amiri" w:cs="Amiri"/>
          <w:color w:val="111111"/>
          <w:sz w:val="28"/>
          <w:sz w:val="28"/>
          <w:szCs w:val="28"/>
          <w:rtl w:val="true"/>
          <w:lang w:bidi="ar-SA"/>
        </w:rPr>
        <w:t>لتطّلع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لاحظ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انفعال الماء الراكد القليل، وممّا قاله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وسوف يظهر لذلك آثار عديدة في مسائل مستقبلة من قبيل مسألة نجاسة الخمر والمسكر على ما سوف نحققّه في موضعه إنْ شاء الله تعالى،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أنَّ الخمر طاهر، وورد أنَّ الخمر نجس، وورد الأمر بغسل الثوب الذي أصابه الخمر، فلا يقع التعارض في رتبة واحدة بين الأوَّل والأخيرين، بل بين الأوَّلين خاصّة، ويكون الثالث مرجعاً بعد تساقطهما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نكتة الحكم بالتساقط في الدليلين الخاصّين المتعارضين، ثمَّ </w:t>
      </w:r>
    </w:p>
    <w:p>
      <w:pPr>
        <w:pStyle w:val="BookText"/>
        <w:rPr/>
      </w:pPr>
      <w:r>
        <w:rPr>
          <w:rFonts w:ascii="Amiri" w:hAnsi="Amiri" w:eastAsia="Amiri" w:cs="Amiri"/>
          <w:color w:val="111111"/>
          <w:sz w:val="28"/>
          <w:sz w:val="28"/>
          <w:szCs w:val="28"/>
          <w:rtl w:val="true"/>
          <w:lang w:bidi="ar-SA"/>
        </w:rPr>
        <w:t xml:space="preserve">الرجوع إلى العام الفوقاني هي أنَّ الخاصّ المخالف في الحكم للعام بمثابة القرينة، والعام بمثابة ذي القرينة، فالعامّ لا يدخل في المعارضة، وهذه النكتة تجري عند وجود دلالات ورتب مختلفة، فما يبقى بعد تساقط كلّ دلالة مع ما يماثلها من الطرف الآخر المعارض يكون بمثابة ذي القرينة وإنْ كان ضعيف الدلالة ومتأخراً، ويكون الأقوى دلالة المخالف في الحكم بمثابة القرينة، وذو القرينة لا يعارض القرينة بل يكون مرجعاً بعد تساقط الأقوى من كلّ طرف مع الأقوى من الطرف الآخر،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تعميم فكرة الرجوع إلى العامّ الفوقاني عند تعارض الخاصّين إلى كلّ ظاهر وإنّ كان هو الأضعف دلالة وإنْ لم يكن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المشهور فالمعروف عندهم أنَّ المرجع يكون عاماً فوقانياً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يلاحظ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فكرة التصنيف إلى الرتب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التساقط هو أسلوب تدقيقي في التعامل مع الألفاظ والروايات والمحاورات وليس أسلوباً عرفياً استظهارياً مراعى عند أهل العرف يتعاملون به، والرواية ذات الدلالة الضعيفة لا تكون عرفاً مرجعاً بعد أنْ سقطت الرواية الأقوى دلالة التي كانت معها في نفس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الأقوى في الطائفة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الجزم بأنَّ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العمدة لحجيّة الظهور والصدور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فقط الظهورين القوييّن المتعارضين وتعزل الظهور الضعيف المتبقي لوحده وتأخذ به وتعمل به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نكتة المشهور في الرجوع إلى العامّ وعدم إدخاله في تعارض </w:t>
      </w:r>
    </w:p>
    <w:p>
      <w:pPr>
        <w:pStyle w:val="BookText"/>
        <w:rPr/>
      </w:pPr>
      <w:r>
        <w:rPr>
          <w:rFonts w:ascii="Amiri" w:hAnsi="Amiri" w:eastAsia="Amiri" w:cs="Amiri"/>
          <w:color w:val="111111"/>
          <w:sz w:val="28"/>
          <w:sz w:val="28"/>
          <w:szCs w:val="28"/>
          <w:rtl w:val="true"/>
          <w:lang w:bidi="ar-SA"/>
        </w:rPr>
        <w:t>الخاصّين هي أنَّ العامّ يمثّل ذا القرينة بينما الخاصّان يمثّلان القرينة، وذو القرينة لا يعارض القرينة، وهذه النكتة بنى عليها في الفكرة المذكورة، ولكن يمكن أنْ يقال لعلَّ نكتة المشهور في عدم إدخاله العامّ في المعارضة بين الخاصّين هي ليست ما ذكر وإنَّما هي ملاحظة الموضوع، وبما أنَّ موضوع العامّ أوسع فلا يدخل في المعارضة، وأمّا الخاصّان فبما أنَّ موضوعهما واحد ولا يختلف سعة وضيقاً فجميع الدلالات تدخل في المعارضة بلا استثناء ويحكم بالتساقط والرجوع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لعلَّ النكتة هي سعة موضوع العامّ فلا يدخل في المعارضة، وبالتالي لا تتمّ فكرة التصنيف إلى الرتب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اتضح عدم تماميّة ما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عدم تماميّة الوجه الأوَّل ولا الوجوه الخمسة الأخيرة، فإنْ تمَّ الوجه الثاني فهو، وإلّا فبعد عدم وجود عموم فوقاني يصلح كمرجع تصل النوبة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لا يترك الاحتياط بالعمل بما هو المشهور شهرة عظيمة بين الفقهاء من الحكم بنجاسة الخمر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خاتم النبيين محمد وآله الطيبين الطاهرين</w:t>
      </w:r>
      <w:r>
        <w:rPr>
          <w:rFonts w:eastAsia="Amiri" w:cs="Amiri" w:ascii="Amiri" w:hAnsi="Amiri"/>
          <w:color w:val="111111"/>
          <w:sz w:val="28"/>
          <w:szCs w:val="28"/>
          <w:rtl w:val="true"/>
          <w:lang w:bidi="ar-SA"/>
        </w:rPr>
        <w:t>.</w:t>
      </w:r>
      <w:bookmarkStart w:id="198" w:name="pg9111_108042"/>
    </w:p>
    <w:p>
      <w:pPr>
        <w:pStyle w:val="Heading3"/>
        <w:numPr>
          <w:ilvl w:val="2"/>
          <w:numId w:val="1"/>
        </w:numPr>
        <w:rPr/>
      </w:pPr>
      <w:bookmarkStart w:id="199" w:name="__RefHeading___Toc2853357_2870459653"/>
      <w:bookmarkStart w:id="200" w:name="_Toc73"/>
      <w:bookmarkEnd w:id="198"/>
      <w:bookmarkEnd w:id="199"/>
      <w:r>
        <w:rPr>
          <w:rtl w:val="true"/>
        </w:rPr>
        <w:t>أبرز المصادر</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شرح العروة الوثقى،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الجوهري، دار العلم للملايين، الطبعة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نشر الفقاهة،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الاستدلالي، الشيخ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الأميرة للطباعة والنشر والتوزيع، الطبعة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النشر الإسلامي،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الوثقى،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المولى أحمد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مدارك الأحكام، السيد محمد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إحياء آثار الإمام الخوئي،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للراغب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لابن منظور، نشر 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9111_108045"/>
      <w:bookmarkStart w:id="202" w:name="pg9111_108045"/>
      <w:bookmarkEnd w:id="202"/>
    </w:p>
    <w:p>
      <w:pPr>
        <w:pStyle w:val="Heading2"/>
        <w:numPr>
          <w:ilvl w:val="1"/>
          <w:numId w:val="1"/>
        </w:numPr>
        <w:rPr/>
      </w:pPr>
      <w:bookmarkStart w:id="203" w:name="pg9111_108045"/>
      <w:bookmarkStart w:id="204" w:name="__RefHeading___Toc2853359_2870459653"/>
      <w:bookmarkStart w:id="205" w:name="_Toc74"/>
      <w:bookmarkEnd w:id="203"/>
      <w:bookmarkEnd w:id="204"/>
      <w:r>
        <w:rPr>
          <w:rtl w:val="true"/>
        </w:rPr>
        <w:t xml:space="preserve">حجيَّة الاطمئنان </w:t>
      </w:r>
      <w:r>
        <w:rPr>
          <w:rtl w:val="true"/>
        </w:rPr>
        <w:t>(</w:t>
      </w:r>
      <w:r>
        <w:rPr>
          <w:rtl w:val="true"/>
        </w:rPr>
        <w:t>القسم الثاني</w:t>
      </w:r>
      <w:r>
        <w:rPr>
          <w:rtl w:val="true"/>
        </w:rPr>
        <w:t xml:space="preserve">) - </w:t>
      </w:r>
      <w:r>
        <w:rPr>
          <w:rtl w:val="true"/>
        </w:rPr>
        <w:t xml:space="preserve">الشيخ أمجد رياض </w:t>
      </w:r>
      <w:r>
        <w:rPr>
          <w:rtl w:val="true"/>
        </w:rPr>
        <w:t>(</w:t>
      </w:r>
      <w:r>
        <w:rPr>
          <w:rtl w:val="true"/>
        </w:rPr>
        <w:t>دام عزه</w:t>
      </w:r>
      <w:r>
        <w:rPr>
          <w:rtl w:val="true"/>
        </w:rPr>
        <w:t>)</w:t>
      </w:r>
      <w:bookmarkEnd w:id="205"/>
    </w:p>
    <w:p>
      <w:pPr>
        <w:pStyle w:val="Heading3"/>
        <w:numPr>
          <w:ilvl w:val="2"/>
          <w:numId w:val="1"/>
        </w:numPr>
        <w:rPr/>
      </w:pPr>
      <w:bookmarkStart w:id="206" w:name="__RefHeading___Toc2853361_2870459653"/>
      <w:bookmarkStart w:id="207" w:name="_Toc75"/>
      <w:bookmarkEnd w:id="206"/>
      <w:r>
        <w:rPr>
          <w:rtl w:val="true"/>
        </w:rPr>
        <w:t>اشارة</w:t>
      </w:r>
      <w:bookmarkEnd w:id="20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الاطمئنان لغةً واصطلاحاً، وعلاقته مع الوثوق والعلم العادي، والكلام في حجيَّته، وأقسامه، وأنواع متعلّقه، ومستوياته، وعلاقته مع بقيَّة الحجج والأمارات والأصول، وغير ذلك من المباحث هي المواضيع التي تناولها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بحوث أخرى كان لا بدَّ من التطرّق لها ممّا لم يستوعبها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الخطة التي سلكها الباحث هي استيفاء جميع الوجوه والكلمات التي تتناول الموضوع من أجل أنْ يسهل على الباحثين الوصول إلى النتيجة، فهو مصدر غني بجميع الأدوات المساعدة على الاختيار الصحيح في حجيَّة الاطمئنان وآثاره</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سيد المرسلين خير الخلق أجمعين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الكلام في القسم الأوَّل من البحث إلى ما ذُكر من الروادع الواردة على نحو العموم، ونبتدأ في هذا القسم الثاني بإذنه تعالى بما ورد من الروايات ممّا يستفاد منه الردع عن العمل بالاطمئنان في بعض الموارد الخاصَّة، ومن ثمَّ يتمّ الكلام في بقيَّة الأدلَّة التي سيقت على حجيَّة الاطمئنان مذيَّلاً بخاتمة تشتمل على عدَّة تنبيهات نذكر فيها أقسام الاطمئنان ومستوياته والموارد التي استثناها الأعلام من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في بعض الموارد الخاصَّة فهو جملة من الروايات يستفاد منها الردع في موارد محددة بعينها، ولكن لمّا لم يكن لهذه الموارد ما يقتضي الخصوصيَّة لها أمكن استفادة الردع عن أصل السيرة المدّعاة سواء في الموارد المحددة أو غيرها،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الخاصَّة الظاهرة في عدم حجيَّة الاطمئنان بخصوصه كالنصوص المتضمّنة للبناء على الطهارة بالتنبيه لاحتمالات 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 عمّار في مَن وجد في إنائه فأرة وقد استعمل ماءه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إنَّما رآها بعدما فرغ من ذلك وفعله فلا يمسّ من ذلك الماء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عليه شيء؛ لأنَّه لا يعلم متى سقطت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أنْ يكون إنّما سقطت فيه تلك الساعة التي رآها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زرارة في مَن رأى في ثوبه دماً أو منيّاً في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تنقض الصلاة وتعيد إذا شككت في موضع منه ثم رأيته، وإنْ لم تشك ثم رأيته رطباً </w:t>
      </w:r>
    </w:p>
    <w:p>
      <w:pPr>
        <w:pStyle w:val="BookText"/>
        <w:rPr/>
      </w:pPr>
      <w:r>
        <w:rPr>
          <w:rFonts w:ascii="Amiri" w:hAnsi="Amiri" w:eastAsia="Amiri" w:cs="Amiri"/>
          <w:color w:val="111111"/>
          <w:sz w:val="28"/>
          <w:sz w:val="28"/>
          <w:szCs w:val="28"/>
          <w:rtl w:val="true"/>
          <w:lang w:bidi="ar-SA"/>
        </w:rPr>
        <w:t>قطعت وغسلته ثم بنيت على الصلاة، لأنّك لا تدري لعلّه شيء أوقع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الاقتصار على التنبيه للاحتمال الضعيف مشعر أو ظاهر في المفروغية عن الاكتفاء به في الرجوع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عبد الرحمن بن الحجاج 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يبول بالليل فيحسب أنَّ البول أصابه فلا يستيقن فهل يجزيه أنْ يصبَّ على ذكره الماء ولا يستنشف؟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ما استبان أنَّه قد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وينضح ما يشكّ فيه من جسده وثيابه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ويتنشف قبل أنْ يتوضأ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الاطمئنان داخل في الحسبان في مورد الحديث إنْ لم يكن متيقناً منه، فالحكم بعدم وجوب الغسل في غير مورد الاستبانة ظاهر في عدم حجيَّة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ومثلها ما يظهر منه التأكيد على اليقين كصحيح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يذكر أنه لم يكبّر في أول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أنَّه لم يكبّر فليعد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كيف يستيقن؟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 زرارة وبكير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أنَّه قد زاد في الصلاة المكتوبة ركعة لم يعتد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 الصلاة استقبالاً إذا كان قد استيقن يقيناً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وصحيح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استيقن بعد ما صلى الظهر أنَّه صلى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استيقن؟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ملاحظة النصوص الواردة في الجري على أصالة الطهارة وأصالة الحل قد توجب القطع بالعموم لصورة الاطمئنان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المدعى الخروج بالاطمئنان عن الأمارات كيَد المسلم التي هي أمارة على التذكية ومطلق اليد التي هي أمارة على الملكية فالنصوص الواردة فيها والسيرة قد تأبى ذلك، كما يظهر بملاحظة كثرة الابتلاء بخطئها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يُستأنس لما ذكرنا بما دلّ على لزوم الاحتياط في الشهادة مثل 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bookmarkStart w:id="208" w:name="pg9111_108049"/>
    </w:p>
    <w:p>
      <w:pPr>
        <w:pStyle w:val="BookText"/>
        <w:rPr/>
      </w:pPr>
      <w:bookmarkEnd w:id="20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ترى الشمس، على مثلها فاشهد أو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 بشهادة حتى تعرفها كما تعرف كفك</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تصدى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للجواب عما ذكر بأنَّه قد يلاحظ على هذا الاستئناس الفارق بين باب الشهادة وباب الحجية، إذ المطلوب في الشهادة الاطلاع عن حسّ أو ما هو بمنزلته كما فصّل في محلّه وليس الأمر كذلك في 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عدا هذا الاستئناس فقد 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الالتزام بخصوصية الموارد المذكورة من قبيل الشك في الفراغ والتجاوز، فإنّه يكتفى بالاحتمال الضعيف في البناء على الصحة، ولو كان ذلك لحكمة دفع الوسوسة، وكذلك في باب النجاسات حيث يبنى على الطهارة حتى من الاطمئنان بالنجاسة، ومثله البناء على الحلية فإن احتمالها يكفي في البناء عليها حتى مع الاطمئنان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في ذلك بعد ما دلت عليه النصوص في هذه الأبواب الثلاثة دون 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دلالة هذه الأخبار على عدم حجيَّة الاطمئنان تأمل</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صنّف لأجل ذلك هذه الروايات إلى طائفتين وأجاب عنها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853363_2870459653"/>
      <w:bookmarkStart w:id="210" w:name="_Toc76"/>
      <w:bookmarkEnd w:id="209"/>
      <w:r>
        <w:rPr>
          <w:rtl w:val="true"/>
        </w:rPr>
        <w:t>الطائفة الأولى</w:t>
      </w:r>
      <w:r>
        <w:rPr>
          <w:rtl w:val="true"/>
        </w:rPr>
        <w:t xml:space="preserve">: </w:t>
      </w:r>
      <w:r>
        <w:rPr>
          <w:rtl w:val="true"/>
        </w:rPr>
        <w:t>ما يظهر منه التأكيد على اليقين</w:t>
      </w:r>
      <w:bookmarkEnd w:id="210"/>
    </w:p>
    <w:p>
      <w:pPr>
        <w:pStyle w:val="Heading4"/>
        <w:numPr>
          <w:ilvl w:val="3"/>
          <w:numId w:val="1"/>
        </w:numPr>
        <w:rPr/>
      </w:pPr>
      <w:bookmarkStart w:id="211" w:name="__RefHeading___Toc2853365_2870459653"/>
      <w:bookmarkStart w:id="212" w:name="_Toc77"/>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وهي على أقسام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853367_2870459653"/>
      <w:bookmarkStart w:id="214" w:name="_Toc78"/>
      <w:bookmarkEnd w:id="213"/>
      <w:r>
        <w:rPr>
          <w:rtl w:val="true"/>
        </w:rPr>
        <w:t>القسم الأوَّل</w:t>
      </w:r>
      <w:bookmarkEnd w:id="21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الشك في الفراغ والتجاوز كصحيح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يذكر أنّه لم يكبّر في أوَّل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أنّه لم يكبّر فليعد، ولكن كيف يستيقن؟</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وصحيح زرارة وبكير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 أنَّه زاد في صلاته المكتوبة ركعة لم يعتد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 صلاته استقبالاً إذا كان قد استيقن يقيناً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استيقن بعد ما صلى الظهر أنَّه صلى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استيقن؟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الروايات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في تمامية هذا الكلام تأمل، فإنّه قد يكون التركيز على اليقين في المورد بلحاظ أنّه إنْ لم يحصل اليقين فيه فالمفروض أنْ لا يحصل الاطمئنان بذلك، بل المتوقع حصول الظن بالإتيان به، لأنَّ الإنسان معتاد على الصلاة، ومن ثم يكون الذهن مبرمجاً على إصدار أوامر معينة بحسب تلك العادة، فإذا لم يستيقن بعدم الإتيان بشيء فمقتضى العادة الإتيان به والمفروض حينئذٍ أنْ يحتمل أو يظن بذلك، وهذا يظهر بملاحظة الأحاديث الواردة في الشك بعد التجاوز والفراغ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معتبرة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 فلا أدري ركعت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قد ركعت فامضِ في صلاتك وإنّما ذلك من الشيطان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معتبرة عبيد الله بن علي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يكبّر حتى دخل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كان من نيّته أنْ يكبّر؟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فليمضِ في صلاته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الفضل بن عبد الملك أو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فلم يفتتح بالتكبير هل تجزئه تكبيرة الركوع؟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يعيد صلاته إذا حفظ أنّه لم يكبّر</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الباعث إلى ذلك إبعاد المكلَّفين عن حصول الوسوسة في هذا الشأن، ففي معتبرة زرارة وأبي بصير جميعاً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ولا ما بقي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أعاد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فتطمعوه، فإنَّ الشيطان خبيث يعتاد لما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أحدكم في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يكثرنّ نقض الصلاة،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بن أعين يشك في الصلاة فيعيدها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يشك في الزكاة فيعطيها مرتين</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يظهر من تأمل مجموع الروايات التي أشرنا إليها أنَّ التركيز على اليقين في المورد إنّما كان بالنظر إلى أنّه في حال عدم حصول اليقين في مثل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عدم حصول الاطمئنان أيضاً، بل وجود الأمارة الغالبة وهي العادة تقتضي البناء أو احتمال لا أقل صدور العمل من الإنسان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15" w:name="pg9111_108052"/>
    </w:p>
    <w:p>
      <w:pPr>
        <w:pStyle w:val="Heading4"/>
        <w:numPr>
          <w:ilvl w:val="3"/>
          <w:numId w:val="1"/>
        </w:numPr>
        <w:rPr/>
      </w:pPr>
      <w:bookmarkStart w:id="216" w:name="__RefHeading___Toc2853369_2870459653"/>
      <w:bookmarkStart w:id="217" w:name="_Toc79"/>
      <w:bookmarkEnd w:id="215"/>
      <w:bookmarkEnd w:id="216"/>
      <w:r>
        <w:rPr>
          <w:rtl w:val="true"/>
        </w:rPr>
        <w:t>القسم الثاني</w:t>
      </w:r>
      <w:r>
        <w:rPr>
          <w:rtl w:val="true"/>
        </w:rPr>
        <w:t xml:space="preserve">: </w:t>
      </w:r>
      <w:r>
        <w:rPr>
          <w:rtl w:val="true"/>
        </w:rPr>
        <w:t>ما ورد في موارد اليقين بالوقت</w:t>
      </w:r>
      <w:r>
        <w:rPr>
          <w:rtl w:val="true"/>
        </w:rPr>
        <w:t>...</w:t>
      </w:r>
      <w:bookmarkEnd w:id="217"/>
    </w:p>
    <w:p>
      <w:pPr>
        <w:pStyle w:val="BookText"/>
        <w:rPr/>
      </w:pPr>
      <w:r>
        <w:rPr>
          <w:rFonts w:ascii="IRNazanin" w:hAnsi="IRNazanin" w:eastAsia="IRNazanin"/>
          <w:color w:val="111111"/>
          <w:sz w:val="28"/>
          <w:sz w:val="28"/>
          <w:szCs w:val="28"/>
          <w:rtl w:val="true"/>
          <w:lang w:bidi="fa-IR"/>
        </w:rPr>
        <w:t>فقد روي عن عبد الله بن عجلان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شاكاً في</w:t>
      </w:r>
    </w:p>
    <w:p>
      <w:pPr>
        <w:pStyle w:val="BookText"/>
        <w:rPr/>
      </w:pPr>
      <w:r>
        <w:rPr>
          <w:rFonts w:ascii="Amiri" w:hAnsi="Amiri" w:eastAsia="Amiri" w:cs="Amiri"/>
          <w:color w:val="111111"/>
          <w:sz w:val="28"/>
          <w:sz w:val="28"/>
          <w:szCs w:val="28"/>
          <w:rtl w:val="true"/>
          <w:lang w:bidi="ar-SA"/>
        </w:rPr>
        <w:t>الزوال فصلِّ ركعتين، فإذا استيقنت فابدأ بالفريضة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أجاب عنها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هذا القسم من الروايات ناظر إلى ما كان قد يتفق من بعض الناس من الاستعجال في الصلاة والإتيان بها بمجرد الظن الذي لم يكن منشؤه إلّا العجلة دون الاطمئنان، فإنَّ مَن لم يحصل له اليقين بالوقت لا موجب لحصول الاطمئنان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رواية إسماعيل بن عبد الخالق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وإياك أنْ تصلي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 فوالله ما أبالي بعد العصر صليتها أو قبل الزوال</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تصلي قبل أنْ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تصلي في وقت العصر خير لك أنْ تصلي قبل أنْ تزول</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أنّه في هذا الموضوع يجوز الاعتماد على الاطمئنان الحاصل من بعض الأمارات كما استظهره بعض الفقهاء، فعن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بالليل والنهار إذا لم ترَ الشمس ولا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هذه الطيور التي عندكم بالعراق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ارتفعت أصواتها وتجاوبت فقد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عدَّة روايات الترغيب في الاعتماد على الأذان كما في رواية محمَّد بن خالد </w:t>
      </w:r>
      <w:bookmarkStart w:id="218" w:name="pg9111_108053"/>
    </w:p>
    <w:p>
      <w:pPr>
        <w:pStyle w:val="BookText"/>
        <w:rPr/>
      </w:pPr>
      <w:bookmarkEnd w:id="218"/>
      <w:r>
        <w:rPr>
          <w:rFonts w:ascii="IRNazanin" w:hAnsi="IRNazanin" w:eastAsia="IRNazanin"/>
          <w:color w:val="111111"/>
          <w:sz w:val="28"/>
          <w:sz w:val="28"/>
          <w:szCs w:val="28"/>
          <w:rtl w:val="true"/>
          <w:lang w:bidi="fa-IR"/>
        </w:rPr>
        <w:t>القسري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نصلي يوم الجمعة قبل أنْ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ذاك على المؤذنين</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حيث حمله غير واحد من الفقهاء على أنَّ أذان المؤذنين يستوجب الوثوق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ينقدح من ذلك أنَّ التركيز على اليقين في هذا القسم وسابقه إنّما كان في مقابل الظنون التي تحصل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فيميل إلى البناء عليها من جهة الاحتياط والاهتمام أو الاستعجال أو مبادئ الوسوسة والشرود الذهني أو نحو ذلك، ومن ثمّ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إناطة الأمر باليقين أنْ ينهى عن الاعتماد على هذه الظنون دون الاطمئنان الناشئ من المبادئ العقلائية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2853371_2870459653"/>
      <w:bookmarkStart w:id="220" w:name="_Toc80"/>
      <w:bookmarkEnd w:id="219"/>
      <w:r>
        <w:rPr>
          <w:rtl w:val="true"/>
        </w:rPr>
        <w:t>القسم الثالث</w:t>
      </w:r>
      <w:r>
        <w:rPr>
          <w:rtl w:val="true"/>
        </w:rPr>
        <w:t xml:space="preserve">: </w:t>
      </w:r>
      <w:r>
        <w:rPr>
          <w:rtl w:val="true"/>
        </w:rPr>
        <w:t>ما ورد في الشك في الطهارة الحدثية</w:t>
      </w:r>
      <w:r>
        <w:rPr>
          <w:rtl w:val="true"/>
        </w:rPr>
        <w:t>..</w:t>
      </w:r>
      <w:bookmarkEnd w:id="220"/>
    </w:p>
    <w:p>
      <w:pPr>
        <w:pStyle w:val="BookText"/>
        <w:rPr/>
      </w:pPr>
      <w:r>
        <w:rPr>
          <w:rFonts w:ascii="IRNazanin" w:hAnsi="IRNazanin" w:eastAsia="IRNazanin"/>
          <w:color w:val="111111"/>
          <w:sz w:val="28"/>
          <w:sz w:val="28"/>
          <w:szCs w:val="28"/>
          <w:rtl w:val="true"/>
          <w:lang w:bidi="fa-IR"/>
        </w:rPr>
        <w:t>كما في رواية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استيقنت أنَّك قد أحدثت فتوضأ، وإياك أنْ تحدث وضوءاً أبداً حتى تستيقن أنَّك قد أحدثت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الروايات ناظرة إلى الردع عن الاعتناء بمجرد الاحتمال أو الظن أو الاطمئنان الناشئ عن الرغبة في الاحتياط أو الوسوسة كما ورد في جملة من الروايات عند الشك في خروج الريح، فالمراد بمثل هذه الروايات ترشيد إدراكات الناس وصيانتهم عن الابتلاء بالوساوس الموجبة في حال تناميها إلى حدوث أحاسيس كاذبة، توجساً ممّا يؤدي إلى حصول القطع فضلاً عن الاطمئنان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21" w:name="pg9111_108054"/>
    </w:p>
    <w:p>
      <w:pPr>
        <w:pStyle w:val="Heading4"/>
        <w:numPr>
          <w:ilvl w:val="3"/>
          <w:numId w:val="1"/>
        </w:numPr>
        <w:rPr/>
      </w:pPr>
      <w:bookmarkStart w:id="222" w:name="__RefHeading___Toc2853373_2870459653"/>
      <w:bookmarkStart w:id="223" w:name="_Toc81"/>
      <w:bookmarkEnd w:id="221"/>
      <w:bookmarkEnd w:id="222"/>
      <w:r>
        <w:rPr>
          <w:rtl w:val="true"/>
        </w:rPr>
        <w:t>القسم الرابع</w:t>
      </w:r>
      <w:r>
        <w:rPr>
          <w:rtl w:val="true"/>
        </w:rPr>
        <w:t xml:space="preserve">: </w:t>
      </w:r>
      <w:r>
        <w:rPr>
          <w:rtl w:val="true"/>
        </w:rPr>
        <w:t>ما ورد في الطهارة الخبثية</w:t>
      </w:r>
      <w:r>
        <w:rPr>
          <w:rtl w:val="true"/>
        </w:rPr>
        <w:t>..</w:t>
      </w:r>
      <w:bookmarkEnd w:id="223"/>
    </w:p>
    <w:p>
      <w:pPr>
        <w:pStyle w:val="BookText"/>
        <w:rPr/>
      </w:pPr>
      <w:r>
        <w:rPr>
          <w:rFonts w:ascii="IRNazanin" w:hAnsi="IRNazanin" w:eastAsia="IRNazanin"/>
          <w:color w:val="111111"/>
          <w:sz w:val="28"/>
          <w:sz w:val="28"/>
          <w:szCs w:val="28"/>
          <w:rtl w:val="true"/>
          <w:lang w:bidi="fa-IR"/>
        </w:rPr>
        <w:t>فقد ورد في رواية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أعير الذميّ ثوبي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أعلم أنّه يشرب الخمر ويأكل لحم الخنزير فيرد عليّ، فأغسله قبل أنْ أصلي فيه؟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 ولا تغسله من أجل ذلك، فإنّك أعرته إياه وهو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تستيقن أنّه نجّسه، فلا بأس أنْ تصلّي فيه حتى تستيقن أنّه نجّسه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المورد مظنّة لحصول الوثوق بالنجاسة من ناحية أمارة عقلائية من خلال استعمال الذمي لهذا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عدم اجتنابه للنجاسات مثل الخمر ولحم الخنزير فلا غرو أنْ حصل الاطمئنان بطرو النجاسة عليه، ولكن مع ذلك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الغاية اليقين دون الوثوق والاطمئنان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معتبرة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المعدودة في روايات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أيضاً على اليقين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غيره أو شيء 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ولم أتيقن ذلك، فنظرت فلم أرَ شيئاً ثمّ صليت 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إنّما تريد أنْ تذهب الشك الذي وقع في نفسك</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الاطمئنان، إذْ المراد به ما عدا اليقين، ومورد السؤال مظنّة لحصول الاطمئنان كثيراً لوجود الأمارة الموجبة للاطمئنان </w:t>
      </w:r>
    </w:p>
    <w:p>
      <w:pPr>
        <w:pStyle w:val="BookText"/>
        <w:rPr/>
      </w:pPr>
      <w:r>
        <w:rPr>
          <w:rFonts w:ascii="Amiri" w:hAnsi="Amiri" w:eastAsia="Amiri" w:cs="Amiri"/>
          <w:color w:val="111111"/>
          <w:sz w:val="28"/>
          <w:sz w:val="28"/>
          <w:szCs w:val="28"/>
          <w:rtl w:val="true"/>
          <w:lang w:bidi="ar-SA"/>
        </w:rPr>
        <w:t>عقلاءً، من جهة شدَّة تفرّق دم الرعاف مثلاً أو رقة الثوب الملاصق الذي أجنب الرجل فيه فيسري إلى الثوب الثاني، فإنّ هذه الأمارات الموجبة للظن بنفسها قد توجب الاطمئنان بحسب اختلاف الأحوال، ومع ذلك فإنّ مقتضى الجواب في الرواية أنّ المكلَّف ما لم يحصل له اليقين كان له أنْ يبني على عدم الإصابة، ومن ثمّ لا تجب الإعادة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معتبرة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يبول بالليل فيحسب أنَّ البول أصابه فلا يستيقن، فهل يجزيه أنْ يصبّ على ذكره إذا بال ولا يستنشف؟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يغسل ما استبان أنّه قد أصابه وينضح ما يشك فيه من جسده أو ثيابه ويتنشف قبل أنْ يتوضأ</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قوله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مفاده أنّه يظن إصابة البول إياه ولكن لا يبلغ درجة اليقين، فالحسبان فيه ظاهرٌ ظهوراً قوياً في شمول الاطمئنان، وقد اقتصر الإمام على أمره بغسل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استبان أنّه قد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يقتضي عدم حجيَّة الاطمئنان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معتبرة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سليمان بن رشيد يخبره أنّه بال في ظلمة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أصاب كفه برد نقطة من البول لم يشك أنّه أصابه ولم يره، وأنّه مسحه بخرقة ثمَّ نسي أنْ يغسله، وتمسّح بدهن فمسح به كفيه ووجهه ورأسه، ثم توضّأ وضوء الصلاة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بجواب قرأته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توهمت ممّا أصاب يدك فليس بشيء إلّا ما تحقق، فإنْ حققت ذلك كنت حقيقاً أنْ تعيد الصلاة التي كنت صليتهن بذلك الوضوء بعينه ما كان منهن في وقتها، وما فات وقتها فلا إعادة عليك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الرجل إذا كان ثوبه نجساً لم يعد الصلاة إلّا ما كان في وقت، وإذا كان جنباً أو صلّى على غير وضوء فعليه إعادة الصلوات المكتوبات التي فاتته؛ لأنّ الثوب خلاف الجسد، </w:t>
      </w:r>
    </w:p>
    <w:p>
      <w:pPr>
        <w:pStyle w:val="BookText"/>
        <w:rPr/>
      </w:pPr>
      <w:r>
        <w:rPr>
          <w:rFonts w:ascii="Amiri" w:hAnsi="Amiri" w:eastAsia="Amiri" w:cs="Amiri"/>
          <w:color w:val="111111"/>
          <w:sz w:val="28"/>
          <w:sz w:val="28"/>
          <w:szCs w:val="28"/>
          <w:rtl w:val="true"/>
          <w:lang w:bidi="ar-SA"/>
        </w:rPr>
        <w:t>فاعمل على ذلك إنْ شاء الله تعالى</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في مورد هذه الرواية أنَّ المورد مظنّة للاطمئنان عادة، لإحساسه بنقطة من البول، لا سيما أنّه لم يشك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وفي ما بعده أيضاً بحسب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 عن هذا القسم من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يمكن القول في ذلك بمثل ما سبق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مثل ذلك في صدد التركيز على اليقين في مقام الإرشاد إلى عدم الاعتماد على الاعتقاد الحاصل على أساس غير محكم ممّا يكون من قبيل مجرد التظنّي الذي يقوى وقعه في النفس من جهة الاحتياط، ذلك أنَّ الإنسان عندما يريد أنْ يتطهّر في ظلمة الليل يحدث منه إيعاز مركز للقوة اللامسة لكي ترصد ما عسى أنْ يصيب البدن من النجاسة، وهذا الإيعاز المؤكد يوجب أحياناً دخول الإنسان في الوهم فيحس بإصابة قطرات من البول، ومثل هذا يحصل كثيراً في الاستهلال عندما يكون الهلال ضعيفاً فيعطي الإنسان إيعازاً مؤكداً للبصر لرصد الهلال وغالباً نتيجة لهذه الإيعازات المؤكدة يتوهم الإنسان رؤيته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بالرواية تنبيهه على وجود مثل هذا الاحتمال لإيجاد الشك في نفسه ورفع العناء عنه، ومن المعلوم أنَّ هذا الاحتمال لو كان موجوداً فلا يحصل الاطمئنان عادة، 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الالتفات إلى هذا الاحتمال لا سبيل إلى حصول العلم في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أقصاه الاطمئنان، ومعه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تحقق الاطمئنان مثلاً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مجموع ذلك يظهر أنَّ هذه الروايات لا تفيد إلغاء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يستفاد منها التركيز على اليقين في مقابل التظني الذي ينشأ من أسس غير محكمة وغير عقلائية ممّا إذا نبَّه عليها الإنسان تنبّه، وسيأتي ما ينبّه على هذا المعنى</w:t>
      </w:r>
      <w:r>
        <w:rPr>
          <w:rFonts w:eastAsia="Amiri" w:cs="Amiri" w:ascii="Amiri" w:hAnsi="Amiri"/>
          <w:color w:val="111111"/>
          <w:sz w:val="28"/>
          <w:szCs w:val="28"/>
          <w:rtl w:val="true"/>
          <w:lang w:bidi="ar-SA"/>
        </w:rPr>
        <w:t xml:space="preserve">. </w:t>
      </w:r>
      <w:bookmarkStart w:id="224" w:name="pg9111_108057"/>
    </w:p>
    <w:p>
      <w:pPr>
        <w:pStyle w:val="BookText"/>
        <w:rPr/>
      </w:pPr>
      <w:bookmarkEnd w:id="224"/>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المستظهر من الطائفة الواردة في التركيز على اليقين أنَّه إنّما كان بعناية التركيز على أساس محكم يستوجب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أساس ضميمة العوامل النفسية من قبيل المسامحة التي تؤدي إلى البناء على دخول الوقت أو من الاحتياط أو من إعطاء الإيعاز المؤكد إلى الحاسة المعيّنة الذي قد يُحدِث الإحساس الكاذب، وعليه فلو تأملنا مع الالتفات إلى الجمع بين هذه الروايات وبين الروايات السابقة التي تقدّمت في الكلام عن حجيَّة الوثوق لم يكن المستفاد من هذه الروايات إلغاء حجيَّة الاطمئنان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853375_2870459653"/>
      <w:bookmarkStart w:id="226" w:name="_Toc82"/>
      <w:bookmarkEnd w:id="225"/>
      <w:r>
        <w:rPr>
          <w:rtl w:val="true"/>
        </w:rPr>
        <w:t>الطائفة الثانية</w:t>
      </w:r>
      <w:r>
        <w:rPr>
          <w:rtl w:val="true"/>
        </w:rPr>
        <w:t xml:space="preserve">: </w:t>
      </w:r>
      <w:r>
        <w:rPr>
          <w:rtl w:val="true"/>
        </w:rPr>
        <w:t>ما دل على الاعتناء بالاحتمالات البعيدة التي يحصل الاطمئنان عادة بخلافها</w:t>
      </w:r>
      <w:bookmarkEnd w:id="226"/>
    </w:p>
    <w:p>
      <w:pPr>
        <w:pStyle w:val="BookText"/>
        <w:rPr/>
      </w:pPr>
      <w:r>
        <w:rPr>
          <w:rFonts w:ascii="Amiri" w:hAnsi="Amiri" w:eastAsia="Amiri" w:cs="Amiri"/>
          <w:color w:val="111111"/>
          <w:sz w:val="28"/>
          <w:sz w:val="28"/>
          <w:szCs w:val="28"/>
          <w:rtl w:val="true"/>
          <w:lang w:bidi="ar-SA"/>
        </w:rPr>
        <w:t>وهو عدّة روايات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معتبرة عمار الساباطي في حديث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يجد في إنائه فأرة وقد توضأ من ذلك الإناء مراراً أو اغتسل منه أو غسل ثيابه، وقد كانت الفأرة متسلخة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رآها في الإناء قبل أنْ يغتسل أو يتوضأ أو يغسل ثيابه ثمَّ يفعل ذلك بعد ما رآها في الإناء فعليه أنْ يغسل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ويغسل كل ما أصابه ذلك الماء ويعيد الوضوء والصلاة، وإنْ كان إنَّما رآها بعد ما فرغ من ذلك وفعله فلا يمس من ذلك الماء شيئاً، وليس عليه شيء؛ لأنَّه لا يعلم متى سقطت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أنْ يكون إنَّما سقطت فيه تلك الساعة التي رآها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يخفى أنَّ هذه الرواية إذا تُلقيت على ما يتراءى في بادئ النظر فالظاهر حصول اليقين في المورد؛ لأنَّ التسلخ إذا كان بموجب طول البقاء في الماء فتكون له آثار مشهودة في الماء كالرائحة الكريهة، فالظاهر وجود احتمال معتدّ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الفأرة المتسلخة في الماء قريباً بفعل طفل مثلاً، لعدم وضوح أثر </w:t>
      </w:r>
    </w:p>
    <w:p>
      <w:pPr>
        <w:pStyle w:val="BookText"/>
        <w:rPr/>
      </w:pPr>
      <w:r>
        <w:rPr>
          <w:rFonts w:ascii="Amiri" w:hAnsi="Amiri" w:eastAsia="Amiri" w:cs="Amiri"/>
          <w:color w:val="111111"/>
          <w:sz w:val="28"/>
          <w:sz w:val="28"/>
          <w:szCs w:val="28"/>
          <w:rtl w:val="true"/>
          <w:lang w:bidi="ar-SA"/>
        </w:rPr>
        <w:t>التسلخ في الماء، على أنه كان يكرّ على هذا الإناء ذهاباً وإياباً وقد توضأ منه مراراً واغتسل منه وغسل ثيابه ثم رأى الفأرة، فعدم الرؤية السابقة يكون موجباً لتقوية هذا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مثل هذا الفرع</w:t>
      </w:r>
      <w:r>
        <w:rPr>
          <w:rStyle w:val="FootnoteAnchor"/>
          <w:rtl w:val="true"/>
        </w:rPr>
        <w:footnoteReference w:id="254"/>
      </w:r>
      <w:r>
        <w:rPr>
          <w:rFonts w:ascii="Amiri" w:hAnsi="Amiri" w:eastAsia="Amiri" w:cs="Amiri"/>
          <w:color w:val="111111"/>
          <w:sz w:val="28"/>
          <w:sz w:val="28"/>
          <w:szCs w:val="28"/>
          <w:rtl w:val="true"/>
          <w:lang w:bidi="ar-SA"/>
        </w:rPr>
        <w:t>فيما لو توضأ رجل من بئر ثم وجد فيها فأرة ولا يدري متى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منتفخة أعاد صلاة ثلاثة أيام ولياليها في قول أبي حنيفة احتياطاً، وإن كانت غير منتفخة يعيد صلاة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يوسف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 شيئاً من صلاته ما لم يعلم أنه توضأ منها وهو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ما قالا؛ لأنَّه على يقين من طهارة البئر في ما مضى وفي شك من نجاسته واليقين لا يزال بالشك، كمن رأى في ثوبه نجاسة لا يدري متى أصابته لا يلزمه إعادة شيء من الصلوات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يوسف يقول أوَّلاً بقول أبي حنيفة حتى رأى طائراً في منقاره فأرة ميتة وألقاها في بئر فرجع إلى هذا القول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شيئاً من الصلاة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سرّ عرض الراوي الموضوع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جريان العقلاء على العمل بالوثوق هو أنَّه أراد أنْ يعرف أنَّه إذا بنى على احتمال سقوط الفأرة في تلك الساعة فهل هذا الاحتمال يكون من قبيل مغالطة النفس ومعلولاً للهوى أم أنَّه ممّا يعتدّ به عقلاءً، فإنَّ الإنسان قد يقوّي الاحتمال للتسهيل على نفسه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 أو شيء 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 ثمَّ رأيته، وإنْ لم تشك ثم رأيته رطباً قطعت وغسلته ثم بنيت على الصلاة؛ لأنَّك لا تدري لعلَّه شيء أوقع عليك، فليس ينبغي أنْ تنقض اليقين بالشك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الاستدلال بهذه الرواية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احتمالية سقوط دم من السماء على المكلَّف بعيد، خصوصاً أنَّه مسبوق بحالة من الرعاف، بل يحصل الاطمئنان في مثل هذه الحالة عادة بأنَّ الدم الذي على الإنسان إنَّما هو من الرعاف، والاستدلال بهذه الرواية قد يكون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علّق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مع ذلك ينبغي أنْ يلاحظ المحيط الذي كان يعيش فيه الراوي فربما يكون هذا الاحتمال معتدّاً به في الزمان السابق حيث كانت الفضاءات مفتوحة بخلاف الحال في زماننا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يلفت النظر إلى أنَّه ليس هناك مأخذ موضوعي لمثل هذا الوثوق؛ لأنَّه في تلك الظروف قد لا يتنبّه الإنسان لبعض الاحتمالات فإذا نُبِّه عليها ربما زال وثوقه، كما مرّ في حال أبي يوسف</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 أنَّ بعض من ينكر حجيَّة الاطمئنان يرى أنَّ مثل هذا من قبيل الوسوسة وليس وارداً فيرد الإشكال عليه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مسعدة بن صدقة المعروفة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أنَّه حرام بعينه فتدعه من قبل نفسك، وذلك مثل الثوب يكون عليك قد اشتريته وهو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والمملوك عندك لعلَّه حر قد باع نفسه، أو خدع فبيع قهراً، أو امرأة تحتك وهي أختك أو رضيعتك، والأشياء كلّها على هذا حتى يستبين لك غير ذلك، أو تقوم به البيّنة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الاحتمالات التي أبداها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وتمسَّك على أساسها بأمارات الحلية أو بأصالة الحل ضعيف جداً بحيث يحصل الاطمئنان غالباً بخلافه</w:t>
      </w:r>
      <w:r>
        <w:rPr>
          <w:rFonts w:eastAsia="IRNazanin" w:cs="IRNazanin"/>
          <w:color w:val="111111"/>
          <w:sz w:val="28"/>
          <w:szCs w:val="28"/>
          <w:rtl w:val="true"/>
          <w:lang w:bidi="fa-IR"/>
        </w:rPr>
        <w:t xml:space="preserve">. </w:t>
      </w:r>
      <w:bookmarkStart w:id="227" w:name="pg9111_108060"/>
    </w:p>
    <w:p>
      <w:pPr>
        <w:pStyle w:val="BookText"/>
        <w:rPr/>
      </w:pPr>
      <w:bookmarkEnd w:id="227"/>
      <w:r>
        <w:rPr>
          <w:rFonts w:ascii="IRNazanin" w:hAnsi="IRNazanin" w:eastAsia="IRNazanin"/>
          <w:color w:val="111111"/>
          <w:sz w:val="28"/>
          <w:sz w:val="28"/>
          <w:szCs w:val="28"/>
          <w:rtl w:val="true"/>
          <w:lang w:bidi="fa-IR"/>
        </w:rPr>
        <w:t xml:space="preserve">والجواب عن هذا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يريد أنْ ينبّه على أنَّ الوثوق لا يحصل في جميع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بصدد بيان أنَّ كلَّ شخص يحتمل في امرأته ذلك، ولكن المقصود التنبيه على وجود مثل هذا الاحتمال في جملة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عن تلك الروايات هو أنَّ جميع الموارد الخاصَّة التي استشهد بها على حصول الردع عن السيرة العقلائية المدَّعاة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وبالاستعانة ببقيَّة الروايات في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في مقام معالجة بعض الجوانب النفسيَّة وأنَّه ينبغي أنْ يكون مستند الإدراكات أموراً عقلائية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الإنصاف أنَّ بعض المعالجات المذكورة لا يصمد أمام الظهور الذي يستفاد من نفس الرواية كما في رواية الفأرة المتسلخة، لا سيما مع استعمال عبارات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البعيد جداً التركيز في هذه الروايات على مثل هذه التعابير من غير أنْ تكون مرادة حقيقة، وما ذكر من تفسير لليقين وما يقابله في ما تقدَّم لا ينفع في المقام، إذ بعض ما ورد كان في فروع فقهيَّة لا يأتي فيها التوجيه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الروايات لا يستفاد منه إلّا الردع عن العمل بغير العلم واليقين في بعض هذه الموارد بالخصوص دون غيره، وقد تقدَّم أنَّ بعضهم قد بنى على عدم حجيَّة الاطمئنان في باب النجاسات</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853377_2870459653"/>
      <w:bookmarkStart w:id="229" w:name="_Toc83"/>
      <w:bookmarkEnd w:id="228"/>
      <w:r>
        <w:rPr>
          <w:rtl w:val="true"/>
        </w:rPr>
        <w:t>الوجه الخامس</w:t>
      </w:r>
      <w:r>
        <w:rPr>
          <w:rtl w:val="true"/>
        </w:rPr>
        <w:t xml:space="preserve">: </w:t>
      </w:r>
      <w:r>
        <w:rPr>
          <w:rtl w:val="true"/>
        </w:rPr>
        <w:t>سيرة المتشرعة</w:t>
      </w:r>
      <w:bookmarkEnd w:id="229"/>
    </w:p>
    <w:p>
      <w:pPr>
        <w:pStyle w:val="BookText"/>
        <w:rPr/>
      </w:pPr>
      <w:r>
        <w:rPr>
          <w:rFonts w:ascii="IRNazanin" w:hAnsi="IRNazanin" w:eastAsia="IRNazanin"/>
          <w:color w:val="111111"/>
          <w:sz w:val="28"/>
          <w:sz w:val="28"/>
          <w:szCs w:val="28"/>
          <w:rtl w:val="true"/>
          <w:lang w:bidi="fa-IR"/>
        </w:rPr>
        <w:t>فإنَّه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سيرة المسلمين على العمل في أمورهم بما يطمئنون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يتوقف عملهم على بلوغهم مرتبة اليقين، وهذه السيرة لا تختص بزمان دون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هكذا الحال حتى في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قد تنتفي الحاجة إلى مؤونة عدم الردع، إذ سيرة المتشرعة تكون بنفسها كاشفة </w:t>
      </w:r>
      <w:bookmarkStart w:id="230" w:name="pg9111_108061"/>
    </w:p>
    <w:p>
      <w:pPr>
        <w:pStyle w:val="BookText"/>
        <w:rPr/>
      </w:pPr>
      <w:bookmarkEnd w:id="230"/>
      <w:r>
        <w:rPr>
          <w:rFonts w:ascii="IRNazanin" w:hAnsi="IRNazanin" w:eastAsia="IRNazanin"/>
          <w:color w:val="111111"/>
          <w:sz w:val="28"/>
          <w:sz w:val="28"/>
          <w:szCs w:val="28"/>
          <w:rtl w:val="true"/>
          <w:lang w:bidi="fa-IR"/>
        </w:rPr>
        <w:t xml:space="preserve">عن موقف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من الصعوبة بمكان دعوى وجود سيرة للمتشرعة بما هم متشرعة على البناء على حجيَّة الاطمئنان، فإنَّه لا توجد شواهد كافية على ذلك، أقصى ما يمكن أنْ توجَّه به الأدلة الشرعية أنَّها إمضاء للسيرة العقلائية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مراد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كلامه عن طرق ثبوت العدالة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لحصول العلم العادي بها أو الظن المتاخم له المعتبر شرعاً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أرجع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إلى سيرة العقلاء منكراً وجود سيرة لهم بما هم متشرعة،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يدعى من السيرة المستمرة على ترتيب آثار الواقع على ما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 على المعاملة مع الوثوق والاطمئنان معاملة العلم الحقيقي، والأوَّل راجع في الحقيقة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تعلم سيرة من المتشرعة بما 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هم عقلاء</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853379_2870459653"/>
      <w:bookmarkStart w:id="232" w:name="_Toc84"/>
      <w:bookmarkEnd w:id="231"/>
      <w:r>
        <w:rPr>
          <w:rtl w:val="true"/>
        </w:rPr>
        <w:t>الوجه السادس</w:t>
      </w:r>
      <w:bookmarkEnd w:id="232"/>
    </w:p>
    <w:p>
      <w:pPr>
        <w:pStyle w:val="BookText"/>
        <w:rPr/>
      </w:pPr>
      <w:r>
        <w:rPr>
          <w:rFonts w:ascii="IRNazanin" w:hAnsi="IRNazanin" w:eastAsia="IRNazanin"/>
          <w:color w:val="111111"/>
          <w:sz w:val="28"/>
          <w:sz w:val="28"/>
          <w:szCs w:val="28"/>
          <w:rtl w:val="true"/>
          <w:lang w:bidi="fa-IR"/>
        </w:rPr>
        <w:t xml:space="preserve">ما ذهب إليه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توجد أسباب متفق على اعتبارها وهي لا تفضي إلّا إلى الاطمئنان دون العلم لأنَّها مبنية على تجميع القرائن، وحصول العلم في مورد تجميع القرائن ليس مبنياً على قضية منطقية قبلية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امتناع الصدفة كما يتراءى من المنطق الأرسطي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يبتني على قانون حساب الاحتمالات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القضايا اليقينية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بديهيّة لا تحتاج إلى قياس ومحاسبة أو قياساتها معها، كالقضايا الأوّليّة والفطريّة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الكل أعظم من الجزء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مبنيّة على حساب الاحتمالات،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فابتناؤهما على حساب الاحتمالات واضح، وأما الحدسيات فالحال فيها كذلك، فإنَّها في الحقيقة تستند إلى استبعاد بعض الاحتمالات ولكن على أسس ذكيَّة لا يلتفت إليها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الحسيّات كالحس الخارجي مثل النظر واللمس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بعض الأعلام في بحوثه الاستقرائية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الحس يقبل الخطأ، كما يرى البصر انكسار القلم الموضوع في إناء في نصفه ماء، ويرى الشيء البعيد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بد من استبعاد الخطأ منطقياً في موارد القضايا المحسوسة على أساس حساب الاحتمالات بمقدار الخطأ الذي يتفق وينكشف، ومن ثمَّ البناء على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يعدّ من هذا القبيل قسم من قضايا الحس الباطني، فإنَّ بعضها لا يحتاج إلى حساب الاحتمالات لعدم قبول الخطأ مثل الألم واللذة ونحوها، ولكن بعضها الآخر قد يتوقف على ذلك لطرو الخطأ فيه، كما قد يعتقد الإنسان أنَّه يحب زيداً حباً جماً فإذا اختبر في حادثة معينة تبين له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فالحاصل في جميع هذه الموارد هو الاطمئنان دون العلم، ومن المعلوم أنه لا سبيل إلى رفع اليد عن حجيَّة الأخبار المتواترة والأمور المجربة والحدسية المبنية على تجميع القرائن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وصحة هذا الوجه تبتني على مرحلتين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الناتج من الأمور التي هي من قبيل المتواترات، فإنْ بني على أنَّ الناتج هو خصوص العلم لم ينفع هذا الوجه في الاستدلال على حجيَّة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بني على أنَّ الناتج في بعضها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بني على أنَّ الناتج منها هو الاطمئنان فلا بد أنْ لا تكون لهذه الأمور خصوصية أوجبت البناء على حجيّتها، فإنَّه مع البناء على كونها حجة بدليل قام عليها بالخصوص لا ينفع ما ذكر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يورد على المرحلة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نبَّه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ذكره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بنى على أنَّ الحاصل من هذه الأمور إنَّما هو العلم لا الاطمئنان،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تراكم القيم الاحتمالية في محور واحد يؤدي إلى تحوّل القيمة الاحتمالية الكبيرة الناتجة عن ذلك التراكم إلى يقين، وفناء القيمة الاحتمالية الصغيرة 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نعرف أنَّ محوراً معيناً قد يمتص الجزء الأكبر من قيمة علم عن طريق تجمّع القيم الاحتمالية التي تمثّل ذلك الجزء فيه، وهذا يعني حصوله على قيمة احتمالية كبيرة وتتحول هذه القيمة إلى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القيمة الاحتمالية الصغيرة المضادة التي لم يمتصها فتفنى لضآلتها أمام تلك القيمة الاحتمالية الكبيرة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بعدَّة أمور تقدَّم ذكرها في الأمر الرابع من المقدّمة ولا حاجة إلى الإعادة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يمكن أنْ يقال في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لا خصوصية لهذه الأمور التي هي من قبيل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ذهب إليه جملة من الأعلام بأنَّه لا مانع من البناء على حجيَّة الاطمئنان المستند إلى بعض الأمور الحسية التي قام عليها الدليل كالوثوق بالخبر أو الشهرة ونحو ذلك</w:t>
      </w:r>
      <w:r>
        <w:rPr>
          <w:rFonts w:eastAsia="Amiri" w:cs="Amiri" w:ascii="Amiri" w:hAnsi="Amiri"/>
          <w:color w:val="111111"/>
          <w:sz w:val="28"/>
          <w:szCs w:val="28"/>
          <w:rtl w:val="true"/>
          <w:lang w:bidi="ar-SA"/>
        </w:rPr>
        <w:t xml:space="preserve">. </w:t>
      </w:r>
      <w:bookmarkStart w:id="233" w:name="pg9111_108064"/>
    </w:p>
    <w:p>
      <w:pPr>
        <w:pStyle w:val="BookText"/>
        <w:rPr/>
      </w:pPr>
      <w:bookmarkEnd w:id="233"/>
      <w:r>
        <w:rPr>
          <w:rFonts w:ascii="Amiri" w:hAnsi="Amiri" w:eastAsia="Amiri" w:cs="Amiri"/>
          <w:color w:val="111111"/>
          <w:sz w:val="28"/>
          <w:sz w:val="28"/>
          <w:szCs w:val="28"/>
          <w:rtl w:val="true"/>
          <w:lang w:bidi="ar-SA"/>
        </w:rPr>
        <w:t>ولعلَّه سيأتي في الوجه اللاحق ما قد يصلح جواباً عن هذا الوجه</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853381_2870459653"/>
      <w:bookmarkStart w:id="235" w:name="_Toc85"/>
      <w:bookmarkEnd w:id="234"/>
      <w:r>
        <w:rPr>
          <w:rtl w:val="true"/>
        </w:rPr>
        <w:t>الوجه السابع</w:t>
      </w:r>
      <w:bookmarkEnd w:id="235"/>
    </w:p>
    <w:p>
      <w:pPr>
        <w:pStyle w:val="BookText"/>
        <w:rPr/>
      </w:pPr>
      <w:r>
        <w:rPr>
          <w:rFonts w:ascii="IRNazanin" w:hAnsi="IRNazanin" w:eastAsia="IRNazanin"/>
          <w:color w:val="111111"/>
          <w:sz w:val="28"/>
          <w:sz w:val="28"/>
          <w:szCs w:val="28"/>
          <w:rtl w:val="true"/>
          <w:lang w:bidi="fa-IR"/>
        </w:rPr>
        <w:t xml:space="preserve">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هناك عدة أمارات يعترف باعتبارها غالب الأصوليين تعويلاً على بناء العقلاء، وحجيتها لدى العقلاء إنَّما هو من باب الوثوق لا لخصوصية فيها، إذ ليس لدى العقلاء تعبد حتى يتعبدون بهذا السبب دون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الأمر عندهم تابع لمبدأ وحداني عام، وهو الاطمئنان المبني على أسس عقلائية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ساق أمثلة لهذه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قول أهل الخبرة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يستبعد استفادة موقف موحد لهذه الموارد بأنْ يكون الوجه في حجيتها هو الاطمئنان، فهناك من ذهب إلى حجيَّة بعضها بقيام الدليل عليها لا بلحاظ الاطمئنان كما نشهده في حجيَّة خبر الواحد والاستصحاب بوضوح، بل لم نطّلع على من قال بحجيَّة هذه المجموعة من الحجج اعتماداً على الاطمئنان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من لم يبنِ على حجيَّة الاطمئنان بنى على حجيته مع وجود سبب ما كخبر الواحد الثقة، بل بنى على حجيَّة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بافتراقه عن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هذا السبب كما صرَّح بذلك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w:t>
      </w:r>
    </w:p>
    <w:p>
      <w:pPr>
        <w:pStyle w:val="Heading3"/>
        <w:numPr>
          <w:ilvl w:val="2"/>
          <w:numId w:val="1"/>
        </w:numPr>
        <w:rPr/>
      </w:pPr>
      <w:bookmarkStart w:id="236" w:name="__RefHeading___Toc2853383_2870459653"/>
      <w:bookmarkStart w:id="237" w:name="_Toc86"/>
      <w:bookmarkEnd w:id="236"/>
      <w:r>
        <w:rPr>
          <w:rtl w:val="true"/>
        </w:rPr>
        <w:t>الوجه الثامن</w:t>
      </w:r>
      <w:bookmarkEnd w:id="23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استقراء النصوص، فإنَّها في غير مورد ركزت على الوثوق والثقة، مع ظهورها في كون الحكم بحسب المناسبات منوطاً بالواقع واستبعاد خصوصية المورد، علماً أنَّ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نعني الاطمئنان بالمعنى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ما يعبر عنه في النصوص بالوثوق، وكذا الائتمان والأمن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الاطمئنان فلم يتعارف استعماله في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وساق على ذلك عدَّة شواهد لا بأس بذكر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باب جواز بيع جلد غير مأكول اللحم، ففي معتبرة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الفراء أشتريه من الرجل الذي لعلي لا أثق به، فيبيعني على أنَّها ذكية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أبيعها على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لا تثق به فلا تبعها على أنَّها ذكية إلّا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ذكية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الراوي قد انطلق من أنَّ الوثوق بالبائع كافٍ وإنَّما وقع سؤاله في حالة عدم الوثوق، وقد أقرَّه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تنزيل الوثوق منزلة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باب الائتمام بإمام الجماعة إنْ وثق بدينه، وهو ربّما وقع في السؤال كما في رواية إبراهيم بن علي المرافقي وعمر بن ربيع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سأل عن الإمام إنْ لم أكن أثق به أصلي خلفه وأقرأ؟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مفروغية كون الوثوق كالعلم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وقع في الجواب كما في رواية يزيد بن حماد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أصلي خلف من لا أعرف؟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بدينه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في السؤال أنَّه لا يعرف بينما في الرواية السابقة عمَّن لا يثق به، وكأنَّه يشير إلى وحدة المعنى فيهما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باب دفع الزكاة إلى الآخرين لتقسيمها، وربما وقع الوثوق في السؤال كما في معتبرة شهاب بن عبد ربه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وجبت زكاتي أخرجتها فأدفع منها إلى من أثق به يقسّمها؟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 بأس بذلك، </w:t>
      </w:r>
    </w:p>
    <w:p>
      <w:pPr>
        <w:pStyle w:val="BookText"/>
        <w:rPr/>
      </w:pPr>
      <w:r>
        <w:rPr>
          <w:rFonts w:ascii="Amiri" w:hAnsi="Amiri" w:eastAsia="Amiri" w:cs="Amiri"/>
          <w:color w:val="111111"/>
          <w:sz w:val="28"/>
          <w:sz w:val="28"/>
          <w:szCs w:val="28"/>
          <w:rtl w:val="true"/>
          <w:lang w:bidi="ar-SA"/>
        </w:rPr>
        <w:t>أما إنَّه أحد المعطين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السائل لم يسأل من حيث الاكتفاء بالوثوق أو اعتبار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سأل عن جواز إعطائها للغير ليوزعها، وكأنَّه فارغ عن أنَّه إذا جاز يكتفى بالوثوق فلا فرق بينها وبين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بعضها وقع ذكر الثقة في الجواب كما في معتبرة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يلي صدقة العشر على من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ثقة فمره يضعها في مواضعها، وإنْ لم يكن ثقة فخذها منه وضعها في مواضعها</w:t>
      </w:r>
      <w:r>
        <w:rPr>
          <w:rFonts w:eastAsia="IRNazanin" w:cs="IRNazanin"/>
          <w:color w:val="111111"/>
          <w:sz w:val="28"/>
          <w:szCs w:val="28"/>
          <w:rtl w:val="true"/>
          <w:lang w:bidi="fa-IR"/>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الروايات والموارد التي استقصاها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ولكن هذا الوجه يرتكز على أنَّ المراد بالوثوق في الروايات هو الاطمئنان وهو ليس بذلك الوضوح لما تقدَّم في مقدّمة هذا البحث</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ممّا تقدَّم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حجيَّة الاطمئنان يستند أساساً إلى السيرة العقلائية وسعتها وضيقها، وهي غير قابلة للإنكار في أصلها، ولعلَّ تحديد هذه الحجيَّة بخصوص ما إذا كان الاطمئنان ذا منشأ عقلائي دون غيره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البناء على وجود الرادع عنها في موارد محددة</w:t>
      </w:r>
      <w:r>
        <w:rPr>
          <w:rFonts w:eastAsia="Amiri" w:cs="Amiri" w:ascii="Amiri" w:hAnsi="Amiri"/>
          <w:color w:val="111111"/>
          <w:sz w:val="28"/>
          <w:szCs w:val="28"/>
          <w:rtl w:val="true"/>
          <w:lang w:bidi="ar-SA"/>
        </w:rPr>
        <w:t xml:space="preserve">. </w:t>
      </w:r>
      <w:bookmarkStart w:id="238" w:name="pg9111_108067"/>
    </w:p>
    <w:p>
      <w:pPr>
        <w:pStyle w:val="Heading3"/>
        <w:numPr>
          <w:ilvl w:val="2"/>
          <w:numId w:val="1"/>
        </w:numPr>
        <w:rPr/>
      </w:pPr>
      <w:bookmarkStart w:id="239" w:name="__RefHeading___Toc2853385_2870459653"/>
      <w:bookmarkStart w:id="240" w:name="_Toc87"/>
      <w:bookmarkEnd w:id="238"/>
      <w:bookmarkEnd w:id="239"/>
      <w:r>
        <w:rPr>
          <w:rtl w:val="true"/>
        </w:rPr>
        <w:t>الخاتمة</w:t>
      </w:r>
      <w:bookmarkEnd w:id="240"/>
    </w:p>
    <w:p>
      <w:pPr>
        <w:pStyle w:val="Heading4"/>
        <w:numPr>
          <w:ilvl w:val="3"/>
          <w:numId w:val="1"/>
        </w:numPr>
        <w:rPr/>
      </w:pPr>
      <w:bookmarkStart w:id="241" w:name="__RefHeading___Toc2853387_2870459653"/>
      <w:bookmarkStart w:id="242" w:name="_Toc88"/>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وفي الختام لا بأس بذكر بعض التنبيهات النافعة في المقام</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853389_2870459653"/>
      <w:bookmarkStart w:id="244" w:name="_Toc89"/>
      <w:bookmarkEnd w:id="243"/>
      <w:r>
        <w:rPr>
          <w:rtl w:val="true"/>
        </w:rPr>
        <w:t>التنبيه الأوَّل</w:t>
      </w:r>
      <w:r>
        <w:rPr>
          <w:rtl w:val="true"/>
        </w:rPr>
        <w:t xml:space="preserve">: </w:t>
      </w:r>
      <w:r>
        <w:rPr>
          <w:rtl w:val="true"/>
        </w:rPr>
        <w:t>في تقسيمات الاطمئنان</w:t>
      </w:r>
      <w:bookmarkEnd w:id="244"/>
    </w:p>
    <w:p>
      <w:pPr>
        <w:pStyle w:val="Heading5"/>
        <w:numPr>
          <w:ilvl w:val="4"/>
          <w:numId w:val="1"/>
        </w:numPr>
        <w:rPr/>
      </w:pPr>
      <w:bookmarkStart w:id="245" w:name="__RefHeading___Toc2853391_2870459653"/>
      <w:bookmarkStart w:id="246" w:name="_Toc90"/>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إنَّ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تقسيمات</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2853393_2870459653"/>
      <w:bookmarkStart w:id="248" w:name="_Toc91"/>
      <w:bookmarkEnd w:id="247"/>
      <w:r>
        <w:rPr>
          <w:rtl w:val="true"/>
        </w:rPr>
        <w:t>الأوَّل</w:t>
      </w:r>
      <w:r>
        <w:rPr>
          <w:rtl w:val="true"/>
        </w:rPr>
        <w:t xml:space="preserve">: </w:t>
      </w:r>
      <w:r>
        <w:rPr>
          <w:rtl w:val="true"/>
        </w:rPr>
        <w:t>تقسيمه إلى طريقي وموضوعي</w:t>
      </w:r>
      <w:bookmarkEnd w:id="248"/>
    </w:p>
    <w:p>
      <w:pPr>
        <w:pStyle w:val="BookText"/>
        <w:rPr/>
      </w:pPr>
      <w:r>
        <w:rPr>
          <w:rFonts w:ascii="IRNazanin" w:hAnsi="IRNazanin" w:eastAsia="IRNazanin"/>
          <w:color w:val="111111"/>
          <w:sz w:val="28"/>
          <w:sz w:val="28"/>
          <w:szCs w:val="28"/>
          <w:rtl w:val="true"/>
          <w:lang w:bidi="fa-IR"/>
        </w:rPr>
        <w:t xml:space="preserve">فإنَّ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يكون دخيلاً في الحكم بل هو طريق محض، كما أنَّه قد يكون دخيلاً فيه فيكون موضوعاً للحكم أو جزءاً منه، والأوَّل كما في وجوب صلاة القصر لمن اطمأن باجتيازه لحدّ الترخّص قاصداً للمسافة الشرعية، فإنَّ العبرة بنفس الخروج عن حدّ الترخّص ودور القطع أو الاطمئنان إنَّما هو طريق لإحراز هذا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كما في شروط إمام الجماعة من الاطمئنان بعدالته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قيل باتحاد الوثوق والاطمئنان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مواليك قد اختلفوا فأصلّي خلفهم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بدينه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الكلام في ما نحن فيه حجيَّة الاطمئنان الطريقي على حدّ القطع الطريقي كسائر الأمارات والحجج التي تقوم مقامه، وأمَّا الاطمئنان الموضوعي فترتّب الآثار التي تترتّب على القطع الموضوعي عليه مرهون بعموم دليل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أدلة حجيَّة سائر الحجج تفي بقيامها مقام القطع الموضوعي كالطريقي جرى ذلك في الاطمئنان أيضاً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الاطمئنان ينقسم إلى الأقسام المذكورة للقطع في محلّه من بحث القطع</w:t>
      </w:r>
      <w:r>
        <w:rPr>
          <w:rFonts w:eastAsia="Amiri" w:cs="Amiri" w:ascii="Amiri" w:hAnsi="Amiri"/>
          <w:color w:val="111111"/>
          <w:sz w:val="28"/>
          <w:szCs w:val="28"/>
          <w:rtl w:val="true"/>
          <w:lang w:bidi="ar-SA"/>
        </w:rPr>
        <w:t xml:space="preserve">. </w:t>
      </w:r>
      <w:bookmarkStart w:id="249" w:name="pg9111_108068"/>
    </w:p>
    <w:p>
      <w:pPr>
        <w:pStyle w:val="Heading5"/>
        <w:numPr>
          <w:ilvl w:val="4"/>
          <w:numId w:val="1"/>
        </w:numPr>
        <w:rPr/>
      </w:pPr>
      <w:bookmarkStart w:id="250" w:name="__RefHeading___Toc2853395_2870459653"/>
      <w:bookmarkStart w:id="251" w:name="_Toc92"/>
      <w:bookmarkEnd w:id="249"/>
      <w:bookmarkEnd w:id="250"/>
      <w:r>
        <w:rPr>
          <w:rtl w:val="true"/>
        </w:rPr>
        <w:t>الثاني</w:t>
      </w:r>
      <w:r>
        <w:rPr>
          <w:rtl w:val="true"/>
        </w:rPr>
        <w:t xml:space="preserve">: </w:t>
      </w:r>
      <w:r>
        <w:rPr>
          <w:rtl w:val="true"/>
        </w:rPr>
        <w:t>تقسيمه إلى شخصي ونوعي</w:t>
      </w:r>
      <w:bookmarkEnd w:id="251"/>
    </w:p>
    <w:p>
      <w:pPr>
        <w:pStyle w:val="BookText"/>
        <w:rPr/>
      </w:pPr>
      <w:r>
        <w:rPr>
          <w:rFonts w:ascii="Amiri" w:hAnsi="Amiri" w:eastAsia="Amiri" w:cs="Amiri"/>
          <w:color w:val="111111"/>
          <w:sz w:val="28"/>
          <w:sz w:val="28"/>
          <w:szCs w:val="28"/>
          <w:rtl w:val="true"/>
          <w:lang w:bidi="ar-SA"/>
        </w:rPr>
        <w:t>والمراد بالأوَّل هو الاطمئنان الحاصل للشخص نفسه في مورد معيّن بغض النظر عن حصوله لدى بقية العقلاء أو لا، وبالثاني الاطمئنان الحاصل لدى نوع العقلاء سواء حصل عند نفس المستدل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عند القائلين بحجيَّة الاطمئنان حجيَّة الشخصي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حجيَّة بعض الأمارات عدم الاطمئنان النوعي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حجيَّة البيّنة عموماً أنْ لا تكون هناك قرينة توجب الاطمئنان النوعي بكذبها، ففي الموارد التي يكون المشهود به واقعة من طبيعتها أنْ يشهد بها كثير من الناس إذا اقتصر شخصان على الشهادة بها وأنكر إدراكها الآخرون لا يعوّل على البيّنة، ومن هذا القبيل ما إذا كان الجو صاحياً وكان المستهلّون كثيرين في مختلف البلاد ومتجهين نحو الجهة الملحوظة للبيّنة ومع هذا أنكروا رؤيتهم للهلال وانفرد الشاهدان بالشهادة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يتراءى من كلام بعض الأعلام أنَّ الحجّة منه هو الاطمئنان النوعي إمَّا مطلقاً أو في مقام الامتثال، قال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القاعدة الأوَّليَّة في الامتثال بما اشتغلت الذمَّة به كالأشواط السبعة في المقام هو الإتيان بما يقطع معه البراءة أو يطمئن اطمئناناً عقلائياً دارجاً بينهم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المراد من الاطمئنان ليس هو خصوص الشخصي منه بل يكفي الاطمئنان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أمر يطمئن به العقلاء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حجّة لديهم ومن الطرق لتحصيل البراءة عن التكليف عندهم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52" w:name="pg9111_108069"/>
    </w:p>
    <w:p>
      <w:pPr>
        <w:pStyle w:val="Heading5"/>
        <w:numPr>
          <w:ilvl w:val="4"/>
          <w:numId w:val="1"/>
        </w:numPr>
        <w:rPr/>
      </w:pPr>
      <w:bookmarkStart w:id="253" w:name="__RefHeading___Toc2853397_2870459653"/>
      <w:bookmarkStart w:id="254" w:name="_Toc93"/>
      <w:bookmarkEnd w:id="252"/>
      <w:bookmarkEnd w:id="253"/>
      <w:r>
        <w:rPr>
          <w:rtl w:val="true"/>
        </w:rPr>
        <w:t>الثالث</w:t>
      </w:r>
      <w:r>
        <w:rPr>
          <w:rtl w:val="true"/>
        </w:rPr>
        <w:t xml:space="preserve">: </w:t>
      </w:r>
      <w:r>
        <w:rPr>
          <w:rtl w:val="true"/>
        </w:rPr>
        <w:t>تقسيم الاطمئنان بحسب مناشئه إلى قسمين</w:t>
      </w:r>
      <w:bookmarkEnd w:id="254"/>
    </w:p>
    <w:p>
      <w:pPr>
        <w:pStyle w:val="Heading6"/>
        <w:numPr>
          <w:ilvl w:val="5"/>
          <w:numId w:val="1"/>
        </w:numPr>
        <w:rPr/>
      </w:pPr>
      <w:bookmarkStart w:id="255" w:name="__RefHeading___Toc2853399_2870459653"/>
      <w:bookmarkStart w:id="256" w:name="_Toc94"/>
      <w:bookmarkEnd w:id="255"/>
      <w:r>
        <w:rPr>
          <w:rtl w:val="true"/>
        </w:rPr>
        <w:t>القسم الأوَّل</w:t>
      </w:r>
      <w:bookmarkEnd w:id="256"/>
    </w:p>
    <w:p>
      <w:pPr>
        <w:pStyle w:val="BookText"/>
        <w:rPr/>
      </w:pPr>
      <w:r>
        <w:rPr>
          <w:rFonts w:ascii="Amiri" w:hAnsi="Amiri" w:eastAsia="Amiri" w:cs="Amiri"/>
          <w:color w:val="111111"/>
          <w:sz w:val="28"/>
          <w:sz w:val="28"/>
          <w:szCs w:val="28"/>
          <w:rtl w:val="true"/>
          <w:lang w:bidi="ar-SA"/>
        </w:rPr>
        <w:t>الاطمئنان الناشئ من المناشئ العقلائية كالحاصل من مثل الاختبار وقول الخبير المطّلع وإخبار الرصدي ونحوه</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853401_2870459653"/>
      <w:bookmarkStart w:id="258" w:name="_Toc95"/>
      <w:bookmarkEnd w:id="257"/>
      <w:r>
        <w:rPr>
          <w:rtl w:val="true"/>
        </w:rPr>
        <w:t>القسم الثاني</w:t>
      </w:r>
      <w:bookmarkEnd w:id="258"/>
    </w:p>
    <w:p>
      <w:pPr>
        <w:pStyle w:val="BookText"/>
        <w:rPr/>
      </w:pPr>
      <w:r>
        <w:rPr>
          <w:rFonts w:ascii="Amiri" w:hAnsi="Amiri" w:eastAsia="Amiri" w:cs="Amiri"/>
          <w:color w:val="111111"/>
          <w:sz w:val="28"/>
          <w:sz w:val="28"/>
          <w:szCs w:val="28"/>
          <w:rtl w:val="true"/>
          <w:lang w:bidi="ar-SA"/>
        </w:rPr>
        <w:t>الاطمئنان الناشئ من غير ذلك كالحاصل من مثل الفأل والمنام والرمل والجفر وقول المدعي للغيب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التفصيل بينهما في حجيَّة الاطمئنان في بعض الأقوال، ولكن ظاهر سائر الأقوال عدم التفصيل فيه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2853403_2870459653"/>
      <w:bookmarkStart w:id="260" w:name="_Toc96"/>
      <w:bookmarkEnd w:id="259"/>
      <w:r>
        <w:rPr>
          <w:rtl w:val="true"/>
        </w:rPr>
        <w:t>الرابع</w:t>
      </w:r>
      <w:r>
        <w:rPr>
          <w:rtl w:val="true"/>
        </w:rPr>
        <w:t xml:space="preserve">: </w:t>
      </w:r>
      <w:r>
        <w:rPr>
          <w:rtl w:val="true"/>
        </w:rPr>
        <w:t>الاطمئنان الحاصل من الأسباب المتعارفة كخبر الثقة وقرائن الأحوال وظواهر الأقوال وغيرها</w:t>
      </w:r>
      <w:bookmarkEnd w:id="260"/>
    </w:p>
    <w:p>
      <w:pPr>
        <w:pStyle w:val="BookText"/>
        <w:rPr/>
      </w:pPr>
      <w:r>
        <w:rPr>
          <w:rFonts w:ascii="Amiri" w:hAnsi="Amiri" w:eastAsia="Amiri" w:cs="Amiri"/>
          <w:color w:val="111111"/>
          <w:sz w:val="28"/>
          <w:sz w:val="28"/>
          <w:szCs w:val="28"/>
          <w:rtl w:val="true"/>
          <w:lang w:bidi="ar-SA"/>
        </w:rPr>
        <w:t>الاطمئنان الحاصل من الأسباب المتعارفة كخبر الثقة وقرائن الأحوال وظواهر الأقوال وغيرها، وذلك في مقابل الاطمئنان الحاصل من الأسباب غير المتعارفة مثل الفأل والمنام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كلمات القائلين بحجيَّة الاطمئنان بحسب إطلاقها حجيَّة كل من القسمين كما ذكروه في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القطع الحاصل من الأسباب غير المتعارفة ليس حجة لغير القاطع لقصور دليل حجيَّة قول المجتهد عن شمول مثله، وهو يجري في الاطمئنان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أمر آخر غير حجيَّة الاطمئنان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يرى حجيَّة الاستصحاب من المناشئ غير العقلائية لا يقول بحجيَّته طبعاً إذا كان ناشئاً ممّا اندرج فيها من الأسباب غير المتعارفة</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2853405_2870459653"/>
      <w:bookmarkStart w:id="262" w:name="_Toc97"/>
      <w:bookmarkEnd w:id="261"/>
      <w:r>
        <w:rPr>
          <w:rtl w:val="true"/>
        </w:rPr>
        <w:t>الخامس</w:t>
      </w:r>
      <w:r>
        <w:rPr>
          <w:rtl w:val="true"/>
        </w:rPr>
        <w:t xml:space="preserve">: </w:t>
      </w:r>
      <w:r>
        <w:rPr>
          <w:rtl w:val="true"/>
        </w:rPr>
        <w:t>تقسيمه إلى الاطمئنان المعتاد للناس والاطمئنان لمن هو كثير الاطمئنان وهو على حدّ قطع القطّاع</w:t>
      </w:r>
      <w:bookmarkEnd w:id="2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حجيَّة الاطمئنان غير المعتاد وعدمه وجهان، ويجري احتمال عدم حجيَّته حتى في فرض حجيَّة القطع لعدم امتناع الردع عنه كما يمتنع في القطع على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يكفي الوثوق والاطمئنان للشخص من أي وجه حصل، بشرط كونه من أهل الفهم والخبرة والبصيرة والمعرفة بالمسائل لا من الجهّال ولا ممن يحصل له الاطمئنان والوثوق بأدنى شيء كغالب الناس</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في عدم كفاية الاطمئنان لمن يحصل له من أدنى شيء، وقد برر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المستند في حجيَّة الوثوق الشخصي إنَّما هي السيرة العقلائية، وهي خاصَّة بما إذا تحصّل الوثوق من السبب العادي المتعارف الذي يراه العرف موجباً لذلك دون ما لم يكن كذلك، كما لو حصل له الوثوق بعدالة زيد أو فضله من قلَّة أكله أو كبر عمامته ونحو ذلك ممّا لا يراه العقلاء منشأ للوثوق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يلام ويستهزأ من ادعاه مستنداً إلى هذه الأُمور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ذكر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ليس من باب تقييد حجيَّة الاطمئنان، وإنَّما لانصراف النص الخاص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إلّا خلف من تثق بدينه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الوثوق العقلائي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منع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من اشتراط ذلك في حجيَّة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وهناك تقسيمات أخرى للاطمئنان غير مهمة مثل تقسيمه</w:t>
      </w:r>
      <w:r>
        <w:rPr>
          <w:rStyle w:val="FootnoteAnchor"/>
          <w:rtl w:val="true"/>
        </w:rPr>
        <w:footnoteReference w:id="27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الحسّي وغير الحسّي، والمراد بالأوَّل هو الاطمئنان الحاصل </w:t>
      </w:r>
      <w:bookmarkStart w:id="263" w:name="pg9111_108071"/>
    </w:p>
    <w:p>
      <w:pPr>
        <w:pStyle w:val="BookText"/>
        <w:rPr/>
      </w:pPr>
      <w:bookmarkEnd w:id="263"/>
      <w:r>
        <w:rPr>
          <w:rFonts w:ascii="Amiri" w:hAnsi="Amiri" w:eastAsia="Amiri" w:cs="Amiri"/>
          <w:color w:val="111111"/>
          <w:sz w:val="28"/>
          <w:sz w:val="28"/>
          <w:szCs w:val="28"/>
          <w:rtl w:val="true"/>
          <w:lang w:bidi="ar-SA"/>
        </w:rPr>
        <w:t>من منشأ حسّي كالمشاهدة أو السماع من قبيل الاطمئنان بصدور الخبر عن المعصوم لوروده عن عدَّة رواة، والثاني هو الحاصل من منشأ غير حسّي كالفأل والمنام وغير ذلك وهذا ما تعارف عند العوام من الاطمئنان بكلام من يدعي الكشف عن السارق أو السحر أو غير ذلك</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853407_2870459653"/>
      <w:bookmarkStart w:id="265" w:name="_Toc98"/>
      <w:bookmarkEnd w:id="264"/>
      <w:r>
        <w:rPr>
          <w:rtl w:val="true"/>
        </w:rPr>
        <w:t>التنبيه الثاني</w:t>
      </w:r>
      <w:r>
        <w:rPr>
          <w:rtl w:val="true"/>
        </w:rPr>
        <w:t xml:space="preserve">: </w:t>
      </w:r>
      <w:r>
        <w:rPr>
          <w:rtl w:val="true"/>
        </w:rPr>
        <w:t>أنواع متعلّق الاطمئنان</w:t>
      </w:r>
      <w:bookmarkEnd w:id="265"/>
    </w:p>
    <w:p>
      <w:pPr>
        <w:pStyle w:val="BookText"/>
        <w:rPr/>
      </w:pPr>
      <w:r>
        <w:rPr>
          <w:rFonts w:ascii="Amiri" w:hAnsi="Amiri" w:eastAsia="Amiri" w:cs="Amiri"/>
          <w:color w:val="111111"/>
          <w:sz w:val="28"/>
          <w:sz w:val="28"/>
          <w:szCs w:val="28"/>
          <w:rtl w:val="true"/>
          <w:lang w:bidi="ar-SA"/>
        </w:rPr>
        <w:t>إنَّ متعلّق الاطمئنان يمكن أنْ يكون أحد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الحكم الشرعي أو إحدى مقدمات الدليل، وذلك من قبيل ما تكرر في كلماتهم من الاطمئنان بكون كلام معيّن من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 أو الاطمئنان بأن المسؤول في الرواية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 أو الاطمئنان بأنَّ الشارع قد وضع تلك الألفاظ لتلك المعاني</w:t>
      </w:r>
      <w:r>
        <w:rPr>
          <w:rStyle w:val="FootnoteAnchor"/>
          <w:rtl w:val="true"/>
        </w:rPr>
        <w:footnoteReference w:id="277"/>
      </w:r>
      <w:r>
        <w:rPr>
          <w:rFonts w:ascii="Amiri" w:hAnsi="Amiri" w:eastAsia="Amiri" w:cs="Amiri"/>
          <w:color w:val="111111"/>
          <w:sz w:val="28"/>
          <w:sz w:val="28"/>
          <w:szCs w:val="28"/>
          <w:rtl w:val="true"/>
          <w:lang w:bidi="ar-SA"/>
        </w:rPr>
        <w:t>، أو الاطمئنان من خلال تحرّي مظانّ الأدلة المعارضة بعدم وجود المعارض وكذا المخصص أو المقيّد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وذلك من قبيل ما قيل من حصول الاطمئنان بحرمة ممارسة السحر</w:t>
      </w:r>
      <w:r>
        <w:rPr>
          <w:rStyle w:val="FootnoteAnchor"/>
          <w:rtl w:val="true"/>
        </w:rPr>
        <w:footnoteReference w:id="279"/>
      </w:r>
      <w:r>
        <w:rPr>
          <w:rFonts w:ascii="Amiri" w:hAnsi="Amiri" w:eastAsia="Amiri" w:cs="Amiri"/>
          <w:color w:val="111111"/>
          <w:sz w:val="28"/>
          <w:sz w:val="28"/>
          <w:szCs w:val="28"/>
          <w:rtl w:val="true"/>
          <w:lang w:bidi="ar-SA"/>
        </w:rPr>
        <w:t>، أو الاطمئنان بمشروعيَّة التيمم مع ضيق الوقت عن استعمال الماء</w:t>
      </w:r>
      <w:r>
        <w:rPr>
          <w:rStyle w:val="FootnoteAnchor"/>
          <w:rtl w:val="true"/>
        </w:rPr>
        <w:footnoteReference w:id="280"/>
      </w:r>
      <w:r>
        <w:rPr>
          <w:rFonts w:ascii="Amiri" w:hAnsi="Amiri" w:eastAsia="Amiri" w:cs="Amiri"/>
          <w:color w:val="111111"/>
          <w:sz w:val="28"/>
          <w:sz w:val="28"/>
          <w:szCs w:val="28"/>
          <w:rtl w:val="true"/>
          <w:lang w:bidi="ar-SA"/>
        </w:rPr>
        <w:t>، أو الاطمئنان بأنَّ الحكم بستر الوجه على نحو الاستحباب لا الوجوب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الحكم الشرعي أو موضوعه أو شؤونهما، وله أمثلة كثيرة جداً، وذلك </w:t>
      </w:r>
    </w:p>
    <w:p>
      <w:pPr>
        <w:pStyle w:val="BookText"/>
        <w:rPr/>
      </w:pPr>
      <w:r>
        <w:rPr>
          <w:rFonts w:ascii="Amiri" w:hAnsi="Amiri" w:eastAsia="Amiri" w:cs="Amiri"/>
          <w:color w:val="111111"/>
          <w:sz w:val="28"/>
          <w:sz w:val="28"/>
          <w:szCs w:val="28"/>
          <w:rtl w:val="true"/>
          <w:lang w:bidi="ar-SA"/>
        </w:rPr>
        <w:t>من قبيل الاطمئنان بأنَّ ما بيد أحدهم من كتاب أو قرآن وقف</w:t>
      </w:r>
      <w:r>
        <w:rPr>
          <w:rStyle w:val="FootnoteAnchor"/>
          <w:rtl w:val="true"/>
        </w:rPr>
        <w:footnoteReference w:id="282"/>
      </w:r>
      <w:r>
        <w:rPr>
          <w:rFonts w:ascii="Amiri" w:hAnsi="Amiri" w:eastAsia="Amiri" w:cs="Amiri"/>
          <w:color w:val="111111"/>
          <w:sz w:val="28"/>
          <w:sz w:val="28"/>
          <w:szCs w:val="28"/>
          <w:rtl w:val="true"/>
          <w:lang w:bidi="ar-SA"/>
        </w:rPr>
        <w:t>فلا يجوز شراؤه، أو الاطمئنان بكون هذا الحيوان من الحيوانات المائية</w:t>
      </w:r>
      <w:r>
        <w:rPr>
          <w:rStyle w:val="FootnoteAnchor"/>
          <w:rtl w:val="true"/>
        </w:rPr>
        <w:footnoteReference w:id="283"/>
      </w:r>
      <w:r>
        <w:rPr>
          <w:rFonts w:ascii="Amiri" w:hAnsi="Amiri" w:eastAsia="Amiri" w:cs="Amiri"/>
          <w:color w:val="111111"/>
          <w:sz w:val="28"/>
          <w:sz w:val="28"/>
          <w:szCs w:val="28"/>
          <w:rtl w:val="true"/>
          <w:lang w:bidi="ar-SA"/>
        </w:rPr>
        <w:t>، أو الاطمئنان بأنَّ هذا الحكم حرجي فيكون معذوراً في تركه</w:t>
      </w:r>
      <w:r>
        <w:rPr>
          <w:rStyle w:val="FootnoteAnchor"/>
          <w:rtl w:val="true"/>
        </w:rPr>
        <w:footnoteReference w:id="284"/>
      </w:r>
      <w:r>
        <w:rPr>
          <w:rFonts w:ascii="Amiri" w:hAnsi="Amiri" w:eastAsia="Amiri" w:cs="Amiri"/>
          <w:color w:val="111111"/>
          <w:sz w:val="28"/>
          <w:sz w:val="28"/>
          <w:szCs w:val="28"/>
          <w:rtl w:val="true"/>
          <w:lang w:bidi="ar-SA"/>
        </w:rPr>
        <w:t>، أو الاطمئنان بأنَّ الشارع لا يرضى بوجود النجس مع الميت فيشترط طهارة الكافور المستعمل في تغسيله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وشؤونه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قبيل اطمئنان الوصي بأنَّ الأجير قد أدّى ما على ذمّة الميّت فلا يجب عليه استئجار من يأتي بالعمل</w:t>
      </w:r>
      <w:r>
        <w:rPr>
          <w:rStyle w:val="FootnoteAnchor"/>
          <w:rtl w:val="true"/>
        </w:rPr>
        <w:footnoteReference w:id="286"/>
      </w:r>
      <w:r>
        <w:rPr>
          <w:rFonts w:ascii="Amiri" w:hAnsi="Amiri" w:eastAsia="Amiri" w:cs="Amiri"/>
          <w:color w:val="111111"/>
          <w:sz w:val="28"/>
          <w:sz w:val="28"/>
          <w:szCs w:val="28"/>
          <w:rtl w:val="true"/>
          <w:lang w:bidi="ar-SA"/>
        </w:rPr>
        <w:t>، أو الاطمئنان بأنَّ عين النجاسة قد زالت عن الشيء المتنجس</w:t>
      </w:r>
      <w:r>
        <w:rPr>
          <w:rStyle w:val="FootnoteAnchor"/>
          <w:rtl w:val="true"/>
        </w:rPr>
        <w:footnoteReference w:id="287"/>
      </w:r>
      <w:r>
        <w:rPr>
          <w:rFonts w:ascii="Amiri" w:hAnsi="Amiri" w:eastAsia="Amiri" w:cs="Amiri"/>
          <w:color w:val="111111"/>
          <w:sz w:val="28"/>
          <w:sz w:val="28"/>
          <w:szCs w:val="28"/>
          <w:rtl w:val="true"/>
          <w:lang w:bidi="ar-SA"/>
        </w:rPr>
        <w:t>فتجوز الصلاة فيه، أو الاطمئنان بزوال الحاجب أو عدم وجوده على البشرة فيبنى على صحة الوضوء</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آقا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المدار في مقام الامتثال عند العرف والعقلاء ليس على القطع الذي لا يحتمل الخطأ، بل على الاطمئنان وسكون النفس بحيث لا يلتفت النفس إلى احتمال الخلاف</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ومن يبني على حجيَّة الاطمئنان وفق ما تقدَّم من وجوه يبني على حجيَّته في جميع هذه الموارد، نعم لو بني على وجود الرادع عنه في بعض الموارد لا يعدّ حجة في ذلك المورد</w:t>
      </w:r>
      <w:r>
        <w:rPr>
          <w:rFonts w:eastAsia="Amiri" w:cs="Amiri" w:ascii="Amiri" w:hAnsi="Amiri"/>
          <w:color w:val="111111"/>
          <w:sz w:val="28"/>
          <w:szCs w:val="28"/>
          <w:rtl w:val="true"/>
          <w:lang w:bidi="ar-SA"/>
        </w:rPr>
        <w:t xml:space="preserve">. </w:t>
      </w:r>
      <w:bookmarkStart w:id="266" w:name="pg9111_108073"/>
    </w:p>
    <w:p>
      <w:pPr>
        <w:pStyle w:val="Heading4"/>
        <w:numPr>
          <w:ilvl w:val="3"/>
          <w:numId w:val="1"/>
        </w:numPr>
        <w:rPr/>
      </w:pPr>
      <w:bookmarkStart w:id="267" w:name="__RefHeading___Toc2853409_2870459653"/>
      <w:bookmarkStart w:id="268" w:name="_Toc99"/>
      <w:bookmarkEnd w:id="266"/>
      <w:bookmarkEnd w:id="267"/>
      <w:r>
        <w:rPr>
          <w:rtl w:val="true"/>
        </w:rPr>
        <w:t>التنبيه الثالث</w:t>
      </w:r>
      <w:bookmarkEnd w:id="268"/>
    </w:p>
    <w:p>
      <w:pPr>
        <w:pStyle w:val="Heading5"/>
        <w:numPr>
          <w:ilvl w:val="4"/>
          <w:numId w:val="1"/>
        </w:numPr>
        <w:rPr/>
      </w:pPr>
      <w:bookmarkStart w:id="269" w:name="__RefHeading___Toc2853411_2870459653"/>
      <w:bookmarkStart w:id="270" w:name="_Toc100"/>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تقدَّم في أوَّل هذا البحث أنَّ للاطمئنان مستويات متعدّدة، منها عليا 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999999999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مليار مثلاً، ومنها أدنى من ذلك من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هنا تحديد أدنى درجات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يذكر أنَّ أدنى درجات الاطمئنان هو الاحتمال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دونه لا يعدّ اطمئناناً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يتأمل فيه بعدم ثبوت الخصوصية لهذه النسبة في مقابل ما يقرب منها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يدعى أنَّ العقلاء لا يتوقفون في أمورهم على المقدار العالي منه بل يعملون بما هو أدنى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المقدار المتيقن من عمل العقلاء هو ما إذا كانت نسبة الإدراك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 ذلك، وأمَّا ما هو أدنى فلا نحرز جريان سيرة العقلاء عليه فيكون مشكوك الحجيَّة، وقد حقّق في محلِّه أنَّ الأصل عند الشك في الحجيَّة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لدينا معضلتين في تحديد الاطمئنان الحجّة</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2853413_2870459653"/>
      <w:bookmarkStart w:id="272" w:name="_Toc101"/>
      <w:bookmarkEnd w:id="271"/>
      <w:r>
        <w:rPr>
          <w:rtl w:val="true"/>
        </w:rPr>
        <w:t>المعضلة الأولى</w:t>
      </w:r>
      <w:bookmarkEnd w:id="272"/>
    </w:p>
    <w:p>
      <w:pPr>
        <w:pStyle w:val="BookText"/>
        <w:rPr/>
      </w:pPr>
      <w:r>
        <w:rPr>
          <w:rFonts w:ascii="Amiri" w:hAnsi="Amiri" w:eastAsia="Amiri" w:cs="Amiri"/>
          <w:color w:val="111111"/>
          <w:sz w:val="28"/>
          <w:sz w:val="28"/>
          <w:szCs w:val="28"/>
          <w:rtl w:val="true"/>
          <w:lang w:bidi="ar-SA"/>
        </w:rPr>
        <w:t>من جهة تحديد درجة الاحتمال في موارد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تحديد درجة الاحتمال بالأرقام ليس سهلاً، لأنَّ الاحتمال إنَّما يرتفع ارتفاعاً تدريجياً ومراتبه غير محصورة بحدٍّ معين، فكل احتمال يمكن تجزئته إلى ملايين الاحتمالات ثمَّ كذلك الحال في الاحتمالات الناتجة عنه، ومن ثمَّ قد يسهل على المرء تحديد مورد الشك عن الظن، بالنظر إلى أنَّ الشك يعني تساوي الطرفين وفقدان أي مؤشر على أحدهما وأمَّا الظن فهو يقتضي ترجيح أحد الاحتمالين، على أنَّه قد يشك المرء أحياناً في أنَّ احتماله لعدد الركعات مثلاً في حدّ الشك أو الظن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 فرز مراتب الظن مع فاصل كبير مثل الظن الضعيف والمتوسط </w:t>
      </w:r>
      <w:bookmarkStart w:id="273" w:name="pg9111_108074"/>
    </w:p>
    <w:p>
      <w:pPr>
        <w:pStyle w:val="BookText"/>
        <w:rPr/>
      </w:pPr>
      <w:bookmarkEnd w:id="273"/>
      <w:r>
        <w:rPr>
          <w:rFonts w:ascii="IRNazanin" w:hAnsi="IRNazanin" w:eastAsia="IRNazanin"/>
          <w:color w:val="111111"/>
          <w:sz w:val="28"/>
          <w:sz w:val="28"/>
          <w:szCs w:val="28"/>
          <w:rtl w:val="true"/>
          <w:lang w:bidi="fa-IR"/>
        </w:rPr>
        <w:t>والقوي، ولكن لا يسهل تحديد الوحدات الاحتمالية الصغيرة مثل الواحد في المائة فضلاً عن الواحد في الألف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تحديد درجة الاحتمال بالدقة في حالات نبَّه عليها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نشأ الاحتمال عن وجود علم إجمالي للأطراف من غير ترجيح، فإنَّ قيمة العلم تنقسم على الأطراف بنحو متساوٍ، فتتحدد قيمة الاحتمال في كل طرف بحسب عدد الأطراف، فلو كان هناك مائة إناء يعلم بنجاسة أحدها كان احتمال النجاسة في كل واحد منها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المؤشر محدداً بالاستقراء في مجموعة ثمَّ أردنا تحديد الاحتمال في فرد خارج منها مماثل لها في الظروف المعرضة لوقوع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نسبة مَن يصاب بالمرض الكذائي من الناس هي واحد من كل مليون شخص من دون خصوصية لمنطقة محددة، فهنا يكون احتمال إصابة المولود الجديد بالمرض واحداً في المليون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نسبة الإصابة بهذا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احتمال إصابة كل مولود جديد كذلك، فلو كانت الإصابة بمرض سرطان الثدي في النساء اللواتي يبلغن عشرين عاماً في العراق مثلاً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نسبة إصابة كل امرأة عراقية تبلغ الآن عشرين عاماً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2853415_2870459653"/>
      <w:bookmarkStart w:id="275" w:name="_Toc102"/>
      <w:bookmarkEnd w:id="274"/>
      <w:r>
        <w:rPr>
          <w:rtl w:val="true"/>
        </w:rPr>
        <w:t>المعضلة الثانية</w:t>
      </w:r>
      <w:r>
        <w:rPr>
          <w:rtl w:val="true"/>
        </w:rPr>
        <w:t xml:space="preserve">: </w:t>
      </w:r>
      <w:r>
        <w:rPr>
          <w:rtl w:val="true"/>
        </w:rPr>
        <w:t>في تحديد درجة الاحتمال الموجبة للاستقرار النفسي</w:t>
      </w:r>
      <w:bookmarkEnd w:id="27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يمكن معالجة هذه المعضلة بعد حصر درجة الاحتمال في موارد العلم الإجمالي وما تقدَّم ممّا يلحق به، فيلاحظ أنَّ العقلاء إذا كانوا يحذرون من شيء ما فإذا اشتبه به </w:t>
      </w:r>
    </w:p>
    <w:p>
      <w:pPr>
        <w:pStyle w:val="BookText"/>
        <w:rPr/>
      </w:pPr>
      <w:r>
        <w:rPr>
          <w:rFonts w:ascii="Amiri" w:hAnsi="Amiri" w:eastAsia="Amiri" w:cs="Amiri"/>
          <w:color w:val="111111"/>
          <w:sz w:val="28"/>
          <w:sz w:val="28"/>
          <w:szCs w:val="28"/>
          <w:rtl w:val="true"/>
          <w:lang w:bidi="ar-SA"/>
        </w:rPr>
        <w:t>بين مائة شيء فهل يحذرون عن ارتكاب أحدها أو 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استبيان آراء الأطباء والمهندسين وغيرهم في تجنّب المحاذير المستقرأة بنسب احتمالية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قد يشكل الاستعانة بذلك بما نبَّه عليه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الاحتمال المدعوم بالعلم الإجمالي أقوى من الاحتمال البدوي غير المقرون به، ومن ثمَّ فإنَّ احتمال نجاسة إناء ما بنسبة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بدوياً ممّا لا يعتدّ به ولكن احتمال نجاسة الإناء المعلوم بالإجمال بنفس النسبة ممّا يعتدّ به من جهة توزّع قيمة العلم الإجمالي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تستخلص قيمة الاحتمال بالنظر إلى موارد العلم الإجمالي إذا أضيف إلى المورد المشكوك موارد مشكوكة أخرى حتى حصل الاطمئنان بتجمّع الاحتمالات في محور واحد، وحينئذٍ يقدّر نصيب المورد المشكوك من القيمة الاحتمالية للعلم وينظر في قيمته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هذا البيان ظهر أنَّ الحديث العام عن القيمة الاحتمالية التي توجب الاطمئنان بما يشمل موارد العلم الإجمالي وغيرها ليس تامّاً، لأنَّ احتمال انطباق المعلوم بالإجمال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ممّا يجوز الاعتناء به من جهة قيمة العلم ولا يكون معتداً به في غير مورد العلم الإجمالي، بل طبيعة الحال أنْ يكون كذلك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ينبغي الالتفات إلى أنَّ الحديث عن القيمة الاحتمالية للاحتمال بنحو عام ولو مقيَّداً بوجود العلم الإجمالي وعدمه إنَّما يتوجَّه على مسلك المشهور من أنَّ الاطمئنان الحجة درجة إدراكية ثابتة في جميع الأمور، وأمَّا لو قيل بأنَّه يحصل في أثر ملاحظة مجموع درجة الاحتمال ودرجة أهميّة المحتمل والمؤونة المصروفة في ذلك فلا مجال لتحديده بقيمة احتمالية على وجه الإطلاق</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76" w:name="pg9111_108076"/>
    </w:p>
    <w:p>
      <w:pPr>
        <w:pStyle w:val="Heading4"/>
        <w:numPr>
          <w:ilvl w:val="3"/>
          <w:numId w:val="1"/>
        </w:numPr>
        <w:rPr/>
      </w:pPr>
      <w:bookmarkStart w:id="277" w:name="__RefHeading___Toc2853417_2870459653"/>
      <w:bookmarkStart w:id="278" w:name="_Toc103"/>
      <w:bookmarkEnd w:id="276"/>
      <w:bookmarkEnd w:id="277"/>
      <w:r>
        <w:rPr>
          <w:rtl w:val="true"/>
        </w:rPr>
        <w:t>التنبيه الرابع</w:t>
      </w:r>
      <w:bookmarkEnd w:id="278"/>
    </w:p>
    <w:p>
      <w:pPr>
        <w:pStyle w:val="BookText"/>
        <w:rPr/>
      </w:pPr>
      <w:r>
        <w:rPr>
          <w:rFonts w:ascii="Amiri" w:hAnsi="Amiri" w:eastAsia="Amiri" w:cs="Amiri"/>
          <w:color w:val="111111"/>
          <w:sz w:val="28"/>
          <w:sz w:val="28"/>
          <w:szCs w:val="28"/>
          <w:rtl w:val="true"/>
          <w:lang w:bidi="ar-SA"/>
        </w:rPr>
        <w:t>في حكم قيام الاطمئنان في مورد سائر الأمارات والقواعد المعتبرة كخبر الواحد والظهور وقاعدة اليد وأصالة الطهارة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تارة في حال تخالف الاطمئنان معها وأخرى في حال توافقهما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الحالة الأولى فيقع الكلام في الأخذ بالاطمئنان فيها أو بما يخالفها من الأمارات والأصول، فلو كان احتمال طهارة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بنجاسته للاطمئنان بها أو بطهارته للقاعدة؟</w:t>
      </w:r>
    </w:p>
    <w:p>
      <w:pPr>
        <w:pStyle w:val="BookText"/>
        <w:rPr/>
      </w:pPr>
      <w:r>
        <w:rPr>
          <w:rFonts w:ascii="Amiri" w:hAnsi="Amiri" w:eastAsia="Amiri" w:cs="Amiri"/>
          <w:color w:val="111111"/>
          <w:sz w:val="28"/>
          <w:sz w:val="28"/>
          <w:szCs w:val="28"/>
          <w:rtl w:val="true"/>
          <w:lang w:bidi="ar-SA"/>
        </w:rPr>
        <w:t xml:space="preserve">وكذا لو كان احتمال غصبية هذا الثوب الذي تحت يد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يبنى على غصبيته لحصول الاطمئنان بها أو تجري قاعدة اليد وتكون مقدّمة على الاطمئنان؟</w:t>
      </w:r>
    </w:p>
    <w:p>
      <w:pPr>
        <w:pStyle w:val="BookText"/>
        <w:rPr/>
      </w:pPr>
      <w:r>
        <w:rPr>
          <w:rFonts w:ascii="Amiri" w:hAnsi="Amiri" w:eastAsia="Amiri" w:cs="Amiri"/>
          <w:color w:val="111111"/>
          <w:sz w:val="28"/>
          <w:sz w:val="28"/>
          <w:szCs w:val="28"/>
          <w:rtl w:val="true"/>
          <w:lang w:bidi="ar-SA"/>
        </w:rPr>
        <w:t>وفي الموضوع بدواً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الاطمئنان في هذه الحالة، وذلك لأن مستند حجيَّة الاطمئنان عند المشهور هو السيرة العقلائية وهي دليل لبي يقتصر فيه على القدر المتيقن، فتتقدّم عليه سائر القواعد والأمارات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التعارض بين حجيَّة الاطمئنان والأمارة المخالفة فيتساقطان، كما يظهر من كلامٍ للمحقق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قامت البيّنة على الفسق وحصل الاطمئنان والوثوق بالعدالة فالظاهر التعارض وسقوط كلتا 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قامت البيّنة على العدالة وحصل الاطمئنان بالفسق فقد يقال بالأخذ بالبيّنة لعدم الدليل على حجيَّة الوثوق بالفسق حتى يعارض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هو التعارض كما في الفرع السابق، إذ يكفي في حجيَّة مطلق الاطمئنان عدم الدليل على العدم ولا يحتاج إلى الدليل </w:t>
      </w:r>
    </w:p>
    <w:p>
      <w:pPr>
        <w:pStyle w:val="BookText"/>
        <w:rPr/>
      </w:pPr>
      <w:r>
        <w:rPr>
          <w:rFonts w:ascii="Amiri" w:hAnsi="Amiri" w:eastAsia="Amiri" w:cs="Amiri"/>
          <w:color w:val="111111"/>
          <w:sz w:val="28"/>
          <w:sz w:val="28"/>
          <w:szCs w:val="28"/>
          <w:rtl w:val="true"/>
          <w:lang w:bidi="ar-SA"/>
        </w:rPr>
        <w:t>على الثبوت، فإنَّه من الطرق العقلائية التي يكفي في حجّيتها عدم الردع من الشارع</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بعدم جريان هذه الأمارات والأصول مع الاطمئنان كما لا تكون حجة مع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ما يكون من قبيل الأصول العملية كقاعدة الطهارة فلما بُيّن في محلِّه من تقدّم مطلق الأمارات على الأصول العملية بلا فرق بين ما كان اعتباره منها بدليل لفظي أو لبّي، لإحراز شمول الدليل اللبّي لمورد قيام أصل عملي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كان من قبيل الأمارات كخبر الثقة فإنْ كان دليل اعتباره لبّياً أمكن أنْ يقال بعدم شموله لمورد قيام الاطمئنان على خلافه مع شمول دليل حجيَّة الاطمئنان ولو كان لبّياً لمورد قيامها، وإنْ كان دليل اعتباره لفظياً كالبيّنة أمكن أنْ يقال بانصرافه عرفاً عن مورد قيام الاطمئنان على خلافه لتنزيله بحسب ارتكاز العقلاء منزلة العلم تماماً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الحالة الثانية وهي توافق الاطمئنان مع سائر الأمارات والأصول العملية فهل يبنى على حجيتهما معاً أو لا؟</w:t>
      </w:r>
    </w:p>
    <w:p>
      <w:pPr>
        <w:pStyle w:val="BookText"/>
        <w:rPr/>
      </w:pPr>
      <w:r>
        <w:rPr>
          <w:rFonts w:ascii="Amiri" w:hAnsi="Amiri" w:eastAsia="Amiri" w:cs="Amiri"/>
          <w:color w:val="111111"/>
          <w:sz w:val="28"/>
          <w:sz w:val="28"/>
          <w:szCs w:val="28"/>
          <w:rtl w:val="true"/>
          <w:lang w:bidi="ar-SA"/>
        </w:rPr>
        <w:t>وهذا بحث سيّال عن مطلق الحجج الطولية في حال مخالفتها فهل تكون حجّة معاً في حال موافقتها أو يكون الحجّة في هذه الحالة خصوص ما يتقدَّم في حال المخالفة؟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قولان، والمشهور بين المتأخرين هو الثاني وذهب إلى الأوَّل بعض الأصوليين كما عن بعض أعاظم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279" w:name="pg9111_108078"/>
    </w:p>
    <w:p>
      <w:pPr>
        <w:pStyle w:val="BookText"/>
        <w:rPr/>
      </w:pPr>
      <w:bookmarkEnd w:id="279"/>
      <w:r>
        <w:rPr>
          <w:rFonts w:ascii="Amiri" w:hAnsi="Amiri" w:eastAsia="Amiri" w:cs="Amiri"/>
          <w:color w:val="111111"/>
          <w:sz w:val="28"/>
          <w:sz w:val="28"/>
          <w:szCs w:val="28"/>
          <w:rtl w:val="true"/>
          <w:lang w:bidi="ar-SA"/>
        </w:rPr>
        <w:t>ويفرَّع الأمر فيها على أنَّ التقدّم هل هو بمناط التخصّص أو الورود أو الحكومة، فإنْ كان التقدّم بمناط التخصّص أو الورود لم يختلف الأمر بين حال الموافقة أو المخالفة لارتفاع موضوع الأصل المتأخر مع وجود ما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التقدّم بمناط الحكومة اقتضى اختصاص التقدّم في حال المخالفة فقط فتجري الحجتان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كان احتمال نجاسة 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البناء على الطهارة من جهة الاطمئنان بها ومن جهة قاعدة الطهارة جميعاً، ولو كان احتمال غصبية ما في يد الغير بهذه النسبة الاحتمالية أمكن البناء على مالكيته إياه من جهة الاطمئنان ومن جهة قاعدة اليد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فيه موكول إلى محلِّه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853419_2870459653"/>
      <w:bookmarkStart w:id="281" w:name="_Toc104"/>
      <w:bookmarkEnd w:id="280"/>
      <w:r>
        <w:rPr>
          <w:rtl w:val="true"/>
        </w:rPr>
        <w:t>التنبيه الخامس</w:t>
      </w:r>
      <w:r>
        <w:rPr>
          <w:rtl w:val="true"/>
        </w:rPr>
        <w:t xml:space="preserve">: </w:t>
      </w:r>
      <w:r>
        <w:rPr>
          <w:rtl w:val="true"/>
        </w:rPr>
        <w:t>قد استثنى بعض الأعلام من موارد حجيَّة الاطمئنان</w:t>
      </w:r>
      <w:r>
        <w:rPr>
          <w:rtl w:val="true"/>
        </w:rPr>
        <w:t>..</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 يعلم بوجود الحاجب في مواضع الغسل أو الوضوء فلا يكفي الظن بزواله بل لا بدَّ من اليقين بذلك كما صرح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ووافقه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وخالفه في ذلك السيدان الخوانساري والخوئي والشيخ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وبعض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حيث صرّحوا جميعاً بكفاية الاطمئنان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لعدم الاكتفاء بالاطمئنان بعد البناء على حجيَّته، إذ لا خصوصية للمورد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مراد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 ما يشمل الاطمئنان، فلا يكون هذا المورد من مستثنيات البناء على حجيَّة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الخسوف والكسوف بإخبار الرصدي إذا حصل الاطمئنان بصدقه، حيث استشكل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وتبعه جمع منهم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خالفه بقية المعلِّقين على العروة</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ولا بأس بالتنبيه على أنَّ ما ورد في تعليقة العروة الوثقى في المورد المذكور من قول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الإشكال فيه مع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فإنه قد ذكر صريحاً في بقية المصادر أنه بنى على حجيته مع إفادته للاطمئنان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هداية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ووسيلة النجاة مع تعليقة السيد الكَلبايكَاني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موافق لكلام صاحب الجواهر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وكذا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الرجوع إلى أهل الخبرة مختص بالأمور الحدسيّة لا الحسيّة كالمقام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كذلك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كافٍ في جواز الرجوع إليهم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 أنَّ هذا التعليل لا يناسب المدّعى، إذْ البناء على قيام الحجة بقول الرصدي إذا أوجب الاطمئنان إنَّما هو من باب حجيَّة الاطمئنان لا من باب حجيَّة قول أهل الخبرة حتى يتوجه فيه الإشكال بما ذكر، وإنَّما كان يحسن ما ذكره إذا كانت عبارة العروة تتضمّن الإشكال مع عدم حصول الاطمئنان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ثمَّ 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التعليق على إشكال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في غير محلِّه بعد فرض حصول الاطمئنان الذي هو حجّة عقلائية كالقطع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التعويل حينئذٍ إنَّما هو على الاطمئنان الحاصل من قوله لا على قوله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حصول الاطمئنان بصدق المخبِر لا بصدق الخبر، كما لو كان الرصدي مأموناً عن الكذب فجزمنا بكونه صادقاً في إخباره ومع ذلك لم نطمئن بصدق الخبر لاحتمال خطئه وعدم إصابته للواقع فكنّا بالنسبة إلى وقوع الكسوف خارجاً في شكٍّ وترديد، وإنْ كنّا مطمئنين في صدقه عمّا يخبر بمقتضى القواعد النجومية فإنَّه يشكل الاعتماد حينئذٍ على قوله، لعدم الدليل على حجيَّة الإخبار الحدسي في الأمر الحسي، والرجوع إلى أهل الخبرة يختص بالأمور الحدسيَّة دون الحسيَّة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الاطمئنان من قول الرصدي بوقوع الكسوف خارجاً كما لو كان الشخص محبوساً في مكان لا يتيسّر له استعلام الكسوف وكان عنده رصدي أخبر بذلك، أو كان الشخص بنفسه رصدياً فلا ريب في وجوب الصلاة حينئذٍ عملاً بالاطمئنان الذي هو حجّة عقلائية كما عرفت، وإلّا فمجرد الاطمئنان بصدق المخبر مع الترديد في الوقوع الخارجي لا أثر له لعدم الاكتفاء في الموضوع الحسي بإخبار مستند إلى الحدس</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منشأ إشكال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عنده هي الاطمئنان النوعي، بمعنى ما يوجب الاطمئنان لدى العقلاء نوعاً، وإخبار الرصدي ممّا أشكل جمع في كونه موجباً للوثوق غالباً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يحتمل أنْ يكون منشأ قول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يبعد عن ذلك كأنْ تكون الحجّة هي الاطمئنان الناشئ من الأسباب المتعارفة لدى العقلاء ممّا جرت عليه السيرة </w:t>
      </w:r>
    </w:p>
    <w:p>
      <w:pPr>
        <w:pStyle w:val="BookText"/>
        <w:rPr/>
      </w:pPr>
      <w:r>
        <w:rPr>
          <w:rFonts w:ascii="Amiri" w:hAnsi="Amiri" w:eastAsia="Amiri" w:cs="Amiri"/>
          <w:color w:val="111111"/>
          <w:sz w:val="28"/>
          <w:sz w:val="28"/>
          <w:szCs w:val="28"/>
          <w:rtl w:val="true"/>
          <w:lang w:bidi="ar-SA"/>
        </w:rPr>
        <w:t>ولم يثبت ذلك في قول الرصدي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شمول النهي عن الاعتماد على التنجيم لإخبار الرصدي، وهو محل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غير واحد عدم حجيَّة الشهادة في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للشاهد أنْ يشهد حتى يكون عالماً بما يشهد به حين التحمّل وحين الأداء لقوله تعالى</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إِلا مَنْ شَهِدَ بِالْحَقِّ وَهُمْ يَعْلَمُونَ</w:t>
      </w:r>
      <w:r>
        <w:rPr>
          <w:rFonts w:eastAsia="Amiri" w:cs="Amiri" w:ascii="Amiri" w:hAnsi="Amiri"/>
          <w:color w:val="111111"/>
          <w:sz w:val="28"/>
          <w:szCs w:val="28"/>
          <w:rtl w:val="true"/>
          <w:lang w:bidi="ar-SA"/>
        </w:rPr>
        <w:t>&lt;.</w:t>
      </w:r>
    </w:p>
    <w:p>
      <w:pPr>
        <w:pStyle w:val="BookText"/>
        <w:rPr/>
      </w:pPr>
      <w:r>
        <w:rPr>
          <w:rFonts w:ascii="IRNazanin" w:hAnsi="IRNazanin" w:eastAsia="IRNazanin"/>
          <w:color w:val="111111"/>
          <w:sz w:val="28"/>
          <w:sz w:val="28"/>
          <w:szCs w:val="28"/>
          <w:rtl w:val="true"/>
          <w:lang w:bidi="fa-IR"/>
        </w:rPr>
        <w:t>وروى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الشهادة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ترى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مثلها فاشهد أو 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ثبت هذا فالكلام في ما يصير به عالماً فيشهد، يقع العلم له من وجوه ثلاثة سماعاً أو مشاهدة أو بهما</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ابن إدريس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وفرّع على ذلك بعض المتأخرين عدم كفاية الاطمئنان في الشهادة، قال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باب الشهادة لا يجوز للشاهد أن يشهد بمجرد الاطمئنان بل لا بدَّ من الجزم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ما ورد من الأخبار على التشديد في باب الشهادة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كما تعرف 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محمولة على الشهادة من جهة الظن أو الاطمئنان بلا حجّة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من كلماتهم أنَّهم إنَّما ذهبوا إلى عدم جواز الشهادة المبتنية على الاطمئنان لما استفادوه من رادعية الأدلة المتقدّمة في هذا المورد بالخصوص، وليس ذلك لبنائهم على عدم شمول دليل حجيّته في نفسه لمثل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الدعاوى،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فيها من العلم الوجداني ولا يكفي الاطمئنان، والوجه في نفي الحجيَّة فيها عدم إحراز السيرة التي هي مبنى حجيَّة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بعد إثبات حجيَّة الوثوق والاطمئنان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العلم والوثوق أنَّ الثاني لا يعتبر إلّا في موارد إحراز ثبوت السيرة فيها كما في غير موارد الدعاوى كقتل من اطمأن بأنَّه قاتل والده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 للاطمئنان لا يكون موجباً للحكم والقضاء في المرافعات وموجبات الحدود أخذاً بما دلَّ على اعتبار البيِّنة في مدرك القضاء وما ورد في ثبوت موجبات الحدّ</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الاستناد إلى الاطمئنان في القضاء، فقد وقع الكلام في جواز اعتماد القاضي على علمه، والتزم كثير من الفقهاء بجوازه على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منهم من نفى كون الاطمئنان فيه على حدِّ العلم استناداً إلى قصور السيرة فيه، مضافاً إلى قيام الدليل على اختصاص الحجّة في باب القضاء بالبيّنات والأَيمان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الشيخ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يكون الاطمئنان مدركاً للقضاء لما ورد من أنَّه يكون بالبيّنة، بل لا سيرة في اعتبار الوثوق وخبر الثقة بالإضافة إلى موارده لا أنَّها مردوعة بما ورد في ميزان القضاء ومدركه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قد تمَّ البحث في يوم الجمعة الموافق للسادس من شهر رمضان المبارك من عام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بجوار حرم الإمام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تمَّت مراجعته في الخامس من محرَّم الحرام من عام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bookmarkStart w:id="282" w:name="pg9111_108084"/>
    </w:p>
    <w:p>
      <w:pPr>
        <w:pStyle w:val="Heading3"/>
        <w:numPr>
          <w:ilvl w:val="2"/>
          <w:numId w:val="1"/>
        </w:numPr>
        <w:rPr/>
      </w:pPr>
      <w:bookmarkStart w:id="283" w:name="__RefHeading___Toc2853421_2870459653"/>
      <w:bookmarkStart w:id="284" w:name="_Toc105"/>
      <w:bookmarkEnd w:id="282"/>
      <w:bookmarkEnd w:id="283"/>
      <w:r>
        <w:rPr>
          <w:rtl w:val="true"/>
        </w:rPr>
        <w:t>المصادر والمراجع</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في مطبعة 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بقلم السيد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منشورات 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العقل السليم إلى مزايا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محمَّد ابن محمَّد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التابعة للمؤتمر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الوسائل في شرح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ابن المولى أحمد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محمَّد علي التبريزي الغروي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ونشر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الفوائد في شرح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حسن الأشتياني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الإصدار الثاني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طباعة ونشر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والشيخ علي محمَّد 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دفتر انتشارات إسلامى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لبحوث السيد محمَّد رضا السيستاني بقلم أمجد رياض ونزار يوسف، نسخة محدودة التداول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لبحوث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بقلم السيد محمود الشاهرودي،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دائرة المعارف للفقه الإسلامي طبقاً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الكبرى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نشر مؤسسة الأعلمي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أبو فيض السيد محمَّد مرتضى الحسيني الواسطي الزبيدي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للطباعة والنشر والتوزيع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تحرير الأحكام الشرعية على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أبو منصور الحسن بن يوسف الحلي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البهادري،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السبحاني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الآداب النجف الأشرف، نشر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تعاليق مبسوطة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إسحاق الفياض، معاصر،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محلاتي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استدلالية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أغا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الشريعة في شرح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الفاضل اللنكراني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مركز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الغني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الشيخ علي الغروي التبريزي،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مباني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الصديقة الشهيدة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المدارك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نشر 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تعليق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نشر دار العلم للملايين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خورشيد،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القوجاني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السيد محمود الحسيني الشاهرودي بقلم محمَّد إبراهيم الجناتي الشاهرودي،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القضاء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لبحث المحقّق السيد محمَّد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عبد الله الجوادي الطبري الآملي، 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الغدير،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الفوائد في الحاشية 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الطبع والنشر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الكتاب اللبناني،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مخطوطة موجودة في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الإصدار الثاني</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الصلاة في 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حسين الغروي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شرح الشيخ جعفر الغروي النائيني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الموسوي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 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المعاني في تفسير القرآن العظيم والسبع المثاني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الآلوسي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محمود بن عبد الله الحسيني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الموجود في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الإصدار الثاني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الحسيني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ونشر 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بن عبد الله الهروي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النعمانية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العلم للملايين،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w:t>
      </w:r>
    </w:p>
    <w:p>
      <w:pPr>
        <w:pStyle w:val="BookText"/>
        <w:rPr/>
      </w:pPr>
      <w:r>
        <w:rPr>
          <w:rFonts w:ascii="Amiri" w:hAnsi="Amiri" w:eastAsia="Amiri" w:cs="Amiri"/>
          <w:color w:val="111111"/>
          <w:sz w:val="28"/>
          <w:sz w:val="28"/>
          <w:szCs w:val="28"/>
          <w:rtl w:val="true"/>
          <w:lang w:bidi="ar-SA"/>
        </w:rPr>
        <w:t xml:space="preserve">الغفور العطار،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لجنة تحقيق تراث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إسلامي،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لبحث المحقّق السيد محمَّد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عبد الله الجوادي الطبري الآملي،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لجنة تحقيق تراث الشيخ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عبد الله محمَّد بن محمَّد النعمان التلعكبري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مع تعليقات عدة من الفقهاء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عبد الفتاح الحسيني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المحقّق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دار الهجرة،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w:t>
      </w:r>
    </w:p>
    <w:p>
      <w:pPr>
        <w:pStyle w:val="BookText"/>
        <w:rPr/>
      </w:pPr>
      <w:r>
        <w:rPr>
          <w:rFonts w:ascii="Amiri" w:hAnsi="Amiri" w:eastAsia="Amiri" w:cs="Amiri"/>
          <w:color w:val="111111"/>
          <w:sz w:val="28"/>
          <w:sz w:val="28"/>
          <w:szCs w:val="28"/>
          <w:rtl w:val="true"/>
          <w:lang w:bidi="ar-SA"/>
        </w:rPr>
        <w:t>والدكتور إبراهيم السامرائي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الجامع بين فني الرواية والدراية من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الطهراني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إسلامي إمام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الحسين القائيني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الحسيني الروحاني،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علي الكاظمي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ضياء الدين العراقي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العباس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منشورات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مكتب السيد محمَّد سعيد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بهاء الدين محمَّد بن الحسن الأصفهاني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في المصطلحات والفروق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أيوب بن موسى الحسيني الكوفي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لبنان بيروت، المقابلة والإعداد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درويش، محمَّد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السيستاني، نسخة أولية محدودة التداول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كاظم الحائري،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مركز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لبحوث السيد محمَّد باقر السيستاني يتضمن أبواباً عديدة من الأصول منها أصالة البراءة والاشتغال والتخيير، بقلم أمجد رياض،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التصرّف في ما ورد في التقرير بناءً على مذاكرة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المطبعة الحيدرية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أغا مجتبى العراقي، الشيخ علي بناه الإشتهاردي، الحاج أغا حسين اليزدي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إسحاق الفياض،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إسماعيل النحوي اللغوي الأندلسي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ومستدركاتها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تحقيق وجمع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الأولى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آية الله العظمى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المطبعة العلمية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الشموس في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حسين بن جمال الدين محمَّد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الظلام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محمَّد سرور الواعظ الحسيني البهسودي،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رضا بن محمَّد هادي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الباقري، نور علي النوري، محمَّد الميرزائي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إخراج مؤسسة المنار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في غريب الشرح الكبير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الهدى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فردوسي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ونشر مكتبة الإعلام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المكتبة التجارية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الطباطبائي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محمَّد الحسيني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بن علي أصغر الموسوي البجنوردي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في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الإصدار الثاني</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الفقه الإسلامي طبقاً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دائرة معارف الفقه الإسلامي،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في الأستانة الرضوية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الشيخ محمَّد حسين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قلى زاده المازندراني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النهاية في شرح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علي الإيرواني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وترتيب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سيدنا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شرح الشيخ محمَّد عبده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أبي جعفر أحمد بن محمَّد بن عيسى الأشعري القمي توفي في </w:t>
      </w:r>
    </w:p>
    <w:p>
      <w:pPr>
        <w:pStyle w:val="BookText"/>
        <w:rPr/>
      </w:pPr>
      <w:r>
        <w:rPr>
          <w:rFonts w:ascii="Amiri" w:hAnsi="Amiri" w:eastAsia="Amiri" w:cs="Amiri"/>
          <w:color w:val="111111"/>
          <w:sz w:val="28"/>
          <w:sz w:val="28"/>
          <w:szCs w:val="28"/>
          <w:rtl w:val="true"/>
          <w:lang w:bidi="ar-SA"/>
        </w:rPr>
        <w:t xml:space="preserve">القرن الثالث الهجري، الطبعة الأولى،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الإنجاب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السيستاني،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الموسوي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تعاليق السيد محمَّد رضا الموسوي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مهراستوار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الوصول إلى 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الميرزا حسن السيادتي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285" w:name="pg9111_108099"/>
    </w:p>
    <w:p>
      <w:pPr>
        <w:pStyle w:val="Heading2"/>
        <w:numPr>
          <w:ilvl w:val="1"/>
          <w:numId w:val="1"/>
        </w:numPr>
        <w:rPr/>
      </w:pPr>
      <w:bookmarkStart w:id="286" w:name="__RefHeading___Toc2853423_2870459653"/>
      <w:bookmarkStart w:id="287" w:name="_Toc106"/>
      <w:bookmarkEnd w:id="285"/>
      <w:bookmarkEnd w:id="286"/>
      <w:r>
        <w:rPr>
          <w:rtl w:val="true"/>
        </w:rPr>
        <w:t xml:space="preserve">رواية السراد عن ثابت بن دينار </w:t>
      </w:r>
      <w:r>
        <w:rPr>
          <w:rtl w:val="true"/>
        </w:rPr>
        <w:t xml:space="preserve">- </w:t>
      </w:r>
      <w:r>
        <w:rPr>
          <w:rtl w:val="true"/>
        </w:rPr>
        <w:t xml:space="preserve">السيد غيث شبر </w:t>
      </w:r>
      <w:r>
        <w:rPr>
          <w:rtl w:val="true"/>
        </w:rPr>
        <w:t>(</w:t>
      </w:r>
      <w:r>
        <w:rPr>
          <w:rtl w:val="true"/>
        </w:rPr>
        <w:t>دام عزه</w:t>
      </w:r>
      <w:r>
        <w:rPr>
          <w:rtl w:val="true"/>
        </w:rPr>
        <w:t>)</w:t>
      </w:r>
      <w:bookmarkEnd w:id="287"/>
    </w:p>
    <w:p>
      <w:pPr>
        <w:pStyle w:val="Heading3"/>
        <w:numPr>
          <w:ilvl w:val="2"/>
          <w:numId w:val="1"/>
        </w:numPr>
        <w:rPr/>
      </w:pPr>
      <w:bookmarkStart w:id="288" w:name="__RefHeading___Toc2853425_2870459653"/>
      <w:bookmarkStart w:id="289" w:name="_Toc107"/>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لا تخفى أهمية البحث الرجالي في مضمار التحقيق الفقهي، ولا يخفى مدى تأثيره على مجريات الفتوى في ما بعد، والبحوث الرجالية على أصناف متعددة، والصنف الذي سنقوم بمعالجة واحدة من مسائله يتعلق بالترابط الطبقي في داخل سلسلة الرواة، ومن ضمن مسائل هذا الصنف مسألة ملاقاة الحسن بن محبوب السراد لأبي حمزة الثمالي، التي توثر نتيجتها على عدد غير قليل من الروايات، ولذا ذكر فيها العديد من الحلول والمقالات فهذه المسألة العتيدة وإن كانت قد أشبعت بحثاً وتدقيقاً إلا أننا نسعى إلى لملمة شتات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الأقوال فيها، ونحاول أن نقدّم سرداً وحلاً موضوعياً لها، وعلى الله التوكل، ومنه نستمد العون</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خير الخلق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روى الحسن بن محبوب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عديدة، حتى أحصينا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في الكافي وحده، فضلاً عن الموارد الأخرى في بقية كتب أصحابنا، ولا تنحصر أهمية القضية في عدد هذه الموارد فقط، بل في مواضيعها المختلفة والمتنوعة، فترى أنه قد روي بهذا التسلسل السندي ما يخص التوحيد والإمامة، والظهور، والأخلاق والسنن والتوكل، والرضا بالقضاء، وقصص الأنبياء، وتصنيف أي القران المجيد، وتفسير بعض آيات الأحكام، وكذلك الفقه، والفتوى، حيث دخلت تلك الروايات بهذا التسلسل السندي في أبواب متعددة من العبادات كالطهارة والصلاة وصلاة المريض والطواف، وكذلك في المعاملات، في أبواب الرهن، والطلاق والعتق والكفارات والظهار، وكذلك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البحث في هذه الإشكالية وأصلها وحلّها من الأمور المهمة للعاملين في هذا المجال، ولنبدأ أولاً بمنشئها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الإشكالية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في كثير من الأخبار رواية الحسن بن محبوب السراد عن أبي حمزة الثمالي من غير واسطة، والحال أن أبا حمزة الثمالي توفي على ما هو المسطور في كتب الرجال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أبعد الأقوال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وهو مساند بلحاظ موقعه السندي، وما يُعرف من سيرة الرجل، في حين أشار الكشي إلى أن وفاة الحسن بن محبوب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خمسة وسبعين عاماً</w:t>
      </w:r>
      <w:r>
        <w:rPr>
          <w:rStyle w:val="FootnoteAnchor"/>
          <w:rtl w:val="true"/>
        </w:rPr>
        <w:footnoteReference w:id="310"/>
      </w:r>
      <w:r>
        <w:rPr>
          <w:rFonts w:ascii="Amiri" w:hAnsi="Amiri" w:eastAsia="Amiri" w:cs="Amiri"/>
          <w:color w:val="111111"/>
          <w:sz w:val="28"/>
          <w:sz w:val="28"/>
          <w:szCs w:val="28"/>
          <w:rtl w:val="true"/>
          <w:lang w:bidi="ar-SA"/>
        </w:rPr>
        <w:t xml:space="preserve">، أي أنه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مؤيَّد بلحاظ المتيقن والمعروف من موقعه السندي، فيكون على هذا قد ولد بعد وفاة أبي حمزة الثمالي أو قبلها بسنتين على أفضل تقدير، فكيف تسنّى له أن يروي عن أبي حمزة ثابت بن دينار الثمالي على هذا الجدول الزمني؟ وما الذي يمكن أن يقال، أو قد قيل في تلك المسألة القديمة؟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الإشكالية في زمن ابن محبوب وهذه الإشكالية ليست وليدة النظر والاستنتاج من مقارنة السنين فحسب، بل هي أمر تحدث عنه معاصر و الحسن بن محبوب وقد عاشها هو نفسه، ولعل اتهام الحسن ابن محبوب بتلك الرواية كان معروفاً بينهم، ويشير إلى هذا المعنى ما روي في الاختيار من أنَّ الكشي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لا يروي عن ابن </w:t>
      </w:r>
    </w:p>
    <w:p>
      <w:pPr>
        <w:pStyle w:val="BookText"/>
        <w:rPr/>
      </w:pPr>
      <w:r>
        <w:rPr>
          <w:rFonts w:ascii="Amiri" w:hAnsi="Amiri" w:eastAsia="Amiri" w:cs="Amiri"/>
          <w:color w:val="111111"/>
          <w:sz w:val="28"/>
          <w:sz w:val="28"/>
          <w:szCs w:val="28"/>
          <w:rtl w:val="true"/>
          <w:lang w:bidi="ar-SA"/>
        </w:rPr>
        <w:t>محبوب؛ من أجل أن أصحابنا يتهمون ابن محبوب في روايته عن أبي حمزة، ثم تاب أحمد ابن محمد فرجع قبل ما مات</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النجاشي عبارة الكنّي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الكشي عن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أحمد بن محمد بن عيسى يروي عن ابن محبوب، من أجل أن أصحابنا يتهمون ابن محبوب في أبي حمزة الثمالي</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الاختيار عن نصر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يتهمون ابن محبوب في روايته عن ابن أبي حمزة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 بن الصباح ممن لا يعتمد عليه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المقارنة الطبقية والزمنية تؤيد بشكل كبير كلام نصر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الأحداث في ذلك الوقت القريب نسبياً مما يستبعد فيها سهولة الكذب؛ فإنها من الوقائع الاجتماعية في مجتمع الرواة، إضافة إلى قلة دواعي الكذب في مثلها، وتطرّق نصر بن الصباح في كلامه إلى هذه الإشكالية يشير إلى كونها قديمة، إن لم تكن بقدم جيل تلامذة الحسن الذين هم من السابعة فهي لا أقل موجودة في جيل مَنْ بعدهم بلا أي ريب، لأنَّ نصراً منهم، وعلى كل حال فإنَّ نصراً روى أيضاً في عثمان بن عيسى الرؤاسي الكوفي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يروي عن أبي حمزة الثمالي ولا يتهمون عثمان بن عيسى</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للإشارة إلى اتهام الحسن بن محبوب في قباله في روايته عن أبي حمزة الثمالي، مع وضوح الخلل في الاستظهار الذي وقع فيه بعض من وثق عثمان بن عيسى بهذه </w:t>
      </w:r>
    </w:p>
    <w:p>
      <w:pPr>
        <w:pStyle w:val="BookText"/>
        <w:rPr/>
      </w:pPr>
      <w:r>
        <w:rPr>
          <w:rFonts w:ascii="Amiri" w:hAnsi="Amiri" w:eastAsia="Amiri" w:cs="Amiri"/>
          <w:color w:val="111111"/>
          <w:sz w:val="28"/>
          <w:sz w:val="28"/>
          <w:szCs w:val="28"/>
          <w:rtl w:val="true"/>
          <w:lang w:bidi="ar-SA"/>
        </w:rPr>
        <w:t>العبارة؛ فإنهم لم يربطوها بالعبارة السابقة لها، وهي روايته عن أبي حمزة الثمالي، ولم يحضر لهم نقل نصر اتهام الأصحاب للحسن لروايته عن أبي حمزة؛ فتصوّروها جملة منفردة في إفادة المدح والتوثيق من أنَّ عثمان بن عيسى ممن لا يتهمه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عثمان بن عيسى ممن يوثق به، ولكن ما نقله نصر لا يصلح مدركاً البتة، حتى بعد فرض إمكان الاعتماد على قول نصر في التوثيق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الكفّي نقل هذه التهمة عند سرده لقول نصر ناسباً إياها إلى أصحابنا، مما يعني نحواً من الإشارة إلى اجتماعية تلك القصة في السابعة، فلا يحصل القطع بانحصار تردد التهمة من طريق نصر، بل الأظهر أنها كانت مما يعرف بينهم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لنصر أقوالاً في تحديد الرجال والطبقات يظهر بعد التدقيق فيها صحتها و دقتها وإن كان يظهر منها بدواً غرابتها، منها على سبيل المثال وصفه علي بن السندي أنه هو نفسه علي بن إسماعيل، وبعد التدقيق والتمحيص تبيَّن أن قول نصر حق، وإن لم يثبت عند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أن روايات الشيخ المبتدئة به إلى حريز وحماد رواها الصدوق في الفقيه عن حريز أو عن حماد، ومن الرواة فيها عن حماد هو علي بن إسماعيل بن عيسى، مما يؤكد أن اسم الموماً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 أن فصَّلنا ذلك في محل آخر </w:t>
      </w:r>
      <w:r>
        <w:rPr>
          <w:rStyle w:val="FootnoteAnchor"/>
          <w:rtl w:val="true"/>
        </w:rPr>
        <w:footnoteReference w:id="315"/>
      </w:r>
      <w:r>
        <w:rPr>
          <w:rFonts w:ascii="Amiri" w:hAnsi="Amiri" w:eastAsia="Amiri" w:cs="Amiri"/>
          <w:color w:val="111111"/>
          <w:sz w:val="28"/>
          <w:sz w:val="28"/>
          <w:szCs w:val="28"/>
          <w:rtl w:val="true"/>
          <w:lang w:bidi="ar-SA"/>
        </w:rPr>
        <w:t>، مما يشير إلى إمكانيات وقابليات نصر في هذا المجال، ولعل هذا ما دعا الكثي وابن مسعود إلى سؤاله عن كثير من خفايا الرجال والطبقات، فليس من المناسب إهمال قول نصر في مثل هذا بتلك السهولة، بل اللازم إجراء مزيد من البحث والتدقيق في ما ينقله الكشي عنه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فإنَّ الجدول الطبقي والزمني للرجلين مما يساند قبول رواية نصر هذه، ولا يبعد الوثوق بمضمونها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مسالك ثلاثة</w:t>
      </w:r>
      <w:r>
        <w:rPr>
          <w:rFonts w:eastAsia="Amiri" w:cs="Amiri" w:ascii="Amiri" w:hAnsi="Amiri"/>
          <w:color w:val="111111"/>
          <w:sz w:val="28"/>
          <w:szCs w:val="28"/>
          <w:rtl w:val="true"/>
          <w:lang w:bidi="ar-SA"/>
        </w:rPr>
        <w:t xml:space="preserve">: </w:t>
      </w:r>
      <w:bookmarkStart w:id="290" w:name="pg9111_108105"/>
    </w:p>
    <w:p>
      <w:pPr>
        <w:pStyle w:val="Heading3"/>
        <w:numPr>
          <w:ilvl w:val="2"/>
          <w:numId w:val="1"/>
        </w:numPr>
        <w:rPr/>
      </w:pPr>
      <w:bookmarkStart w:id="291" w:name="__RefHeading___Toc2853427_2870459653"/>
      <w:bookmarkStart w:id="292" w:name="_Toc108"/>
      <w:bookmarkEnd w:id="290"/>
      <w:bookmarkEnd w:id="291"/>
      <w:r>
        <w:rPr>
          <w:rtl w:val="true"/>
        </w:rPr>
        <w:t>المسلك الأول</w:t>
      </w:r>
      <w:r>
        <w:rPr>
          <w:rtl w:val="true"/>
        </w:rPr>
        <w:t xml:space="preserve">: </w:t>
      </w:r>
      <w:r>
        <w:rPr>
          <w:rtl w:val="true"/>
        </w:rPr>
        <w:t>قبول الإشكال والتسليم بسقوط الواسطة</w:t>
      </w:r>
      <w:bookmarkEnd w:id="292"/>
    </w:p>
    <w:p>
      <w:pPr>
        <w:pStyle w:val="Heading4"/>
        <w:numPr>
          <w:ilvl w:val="3"/>
          <w:numId w:val="1"/>
        </w:numPr>
        <w:rPr/>
      </w:pPr>
      <w:bookmarkStart w:id="293" w:name="__RefHeading___Toc2853429_2870459653"/>
      <w:bookmarkStart w:id="294" w:name="_Toc109"/>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وفيه اتجاهان</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853431_2870459653"/>
      <w:bookmarkStart w:id="296" w:name="_Toc110"/>
      <w:bookmarkEnd w:id="295"/>
      <w:r>
        <w:rPr>
          <w:rtl w:val="true"/>
        </w:rPr>
        <w:t>الاتجاه الأول</w:t>
      </w:r>
      <w:r>
        <w:rPr>
          <w:rtl w:val="true"/>
        </w:rPr>
        <w:t xml:space="preserve">: </w:t>
      </w:r>
      <w:r>
        <w:rPr>
          <w:rtl w:val="true"/>
        </w:rPr>
        <w:t>التسليم بالضعف نتيجة للإرسال</w:t>
      </w:r>
      <w:bookmarkEnd w:id="296"/>
    </w:p>
    <w:p>
      <w:pPr>
        <w:pStyle w:val="BookText"/>
        <w:rPr/>
      </w:pPr>
      <w:r>
        <w:rPr>
          <w:rFonts w:ascii="IRNazanin" w:hAnsi="IRNazanin" w:eastAsia="IRNazanin"/>
          <w:color w:val="111111"/>
          <w:sz w:val="28"/>
          <w:sz w:val="28"/>
          <w:szCs w:val="28"/>
          <w:rtl w:val="true"/>
          <w:lang w:bidi="fa-IR"/>
        </w:rPr>
        <w:t xml:space="preserve">قد ينسب ذلك إلى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ممن يذهب إلى هذا، كما يظهر ذلك من قوله في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رواية ابن محبوب عن أبي حمزة مرسلة بلا ريب</w:t>
      </w:r>
      <w:r>
        <w:rPr>
          <w:rStyle w:val="FootnoteAnchor"/>
          <w:rtl w:val="true"/>
        </w:rPr>
        <w:footnoteReference w:id="316"/>
      </w:r>
      <w:r>
        <w:rPr>
          <w:rFonts w:ascii="IRNazanin" w:hAnsi="IRNazanin" w:eastAsia="IRNazanin"/>
          <w:color w:val="111111"/>
          <w:sz w:val="28"/>
          <w:sz w:val="28"/>
          <w:szCs w:val="28"/>
          <w:rtl w:val="true"/>
          <w:lang w:bidi="fa-IR"/>
        </w:rPr>
        <w:t xml:space="preserve">، بل ومع ما نقل عنه طلبته بقوله بالإرسال، يتحكم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القائلين بالإرسال، ومن ثم التسليم بضعف السند، بالنظر إلى ما يظهر مما قرر في بحث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ذهاب بعضهم إلى الضعف؛ بسبب الإرسال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تتمة كلام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أنه يقول بالإرسال لا بمجرده، بل بعدم بعد تحقق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ينفي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كلل اعتبار السند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قدراً على القائل بالإرسال أو القائل بعدم الملاقاة مطلقاً بين السراد والثمالي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مستند القول بعدم الملاقاة إنما هو قول نصر، وهو لا يُتابع في هذا، وإنَّ المقارنة الزمنية إنما تعتمد على رواية تاريخ وفاة الرجلين وأعمارهما، ورواية تواريخ الحسن بن محبوب ضعيفة السند بالقتيبي، وجعفر بن محمد بن الحسن بن محبوب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الالتزام بما التزمه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كلل في هذا، بل قد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حتى لو لم نحظ من القتيبي بتحديد عمر الحسن ووفاته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نسبة هذا إلى القتيبي وجعفر ليست بذلك </w:t>
      </w:r>
    </w:p>
    <w:p>
      <w:pPr>
        <w:pStyle w:val="BookText"/>
        <w:rPr/>
      </w:pPr>
      <w:r>
        <w:rPr>
          <w:rFonts w:ascii="Amiri" w:hAnsi="Amiri" w:eastAsia="Amiri" w:cs="Amiri"/>
          <w:color w:val="111111"/>
          <w:sz w:val="28"/>
          <w:sz w:val="28"/>
          <w:szCs w:val="28"/>
          <w:rtl w:val="true"/>
          <w:lang w:bidi="ar-SA"/>
        </w:rPr>
        <w:t xml:space="preserve">الأمر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الإشكال قائم، قال نصر أو لم يقل، ذكر القتيبي أو الكنّي عُمر الحسن أو لم يذكرا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المشتغل بتحديد أزمان الرواة والطبقات يدرك بعد تتبع أسناد الحسن بن محبوب عدم إمكان ملاقاته مع أبي حمزة الثمالي في الحالات العادية؛ إذ الحسن ابن محبوب ممن روت عنه السابعة التي هي طبقة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هؤلاء علي بن الحسن ابن فضال الذي كان 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وفاة أبيه الحسن ابن فضال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مما يعني أنه ولد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الصحيح وفق النظام الطبقي أن يروي عن أبي حمزة الثمالي الذي هو من الرابعة بواسطة واحدة وهي الحسن بن محبوب السراد، إلا أن يكون الحسن معمّراً، وإذا كان معمّراً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أن يشير إلى أنَّ المصحح للملاقاة هو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أحمد بن محمد بن عيسى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 كتبه كما في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محمد بن خالد البرقي، وهما ممن توفّي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البرقي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المنقول عن زوج ابنته شيخ الكليني، وأنَّ الأشعري كان من حضار جنازته، مما يعني أن تحديد وفاة الحسن بن محبوب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جداً لحالها، هذا إن لم تكن وفاته بعد العقد الثالث بعد المائتين، حتى يمكن أن يتلمذا لديه، وهنا فلو كان عمره طبيعياً فلا بُدَّ أن تكون ولادته بعد وفاة أبي حمزة الثمالي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التقريب، مطابقاً لوصف نصر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قيل في حق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كان لقي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نقل النجاشي ذلك عن ابن نوح وكذا فعل الشيخ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مما لا يمكن متابعته إلا إذا كان بمعنى ملاقاته له أيام صباه؛ فإنَّه يُحدس من أسناد أحمد الأشعري أنه ممن ولد قبل </w:t>
      </w:r>
    </w:p>
    <w:p>
      <w:pPr>
        <w:pStyle w:val="BookText"/>
        <w:rPr/>
      </w:pPr>
      <w:r>
        <w:rPr>
          <w:rFonts w:ascii="Amiri" w:hAnsi="Amiri" w:eastAsia="Amiri" w:cs="Amiri"/>
          <w:color w:val="111111"/>
          <w:sz w:val="28"/>
          <w:sz w:val="28"/>
          <w:szCs w:val="28"/>
          <w:rtl w:val="true"/>
          <w:lang w:bidi="ar-SA"/>
        </w:rPr>
        <w:t xml:space="preserve">بداية المائة الثانية بأقل من عقد أو نحوه، وقد توفي الإمام الرضا منه في بداية المائة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الحسن بن محبوب لم يُذكر في المعمرين، وأنه روى عن أستاذه المعروف علي ابن رئاب عن أبي حمزة الثمالي في موارد كثيرة، وكذا عن مالك بن عطية ونحوه من أهل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تلاميذ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فالرجل ممن يُعلم من أسناده أنه من السادسة، وقد روى عن الخامسة، وروت عنه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فالسراد قد روى وتلمذ بشكل متيقن ومكثر عند علي بن رئاب، ومالك بن عطية، والعلاء بن رزين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والجميلين، وهشام بن سالم، وهؤلاء كلهم من الخامسة من تلاميذ أبي حمزة الثمالي ولا يقال إنه قد يكون روى عنهم وهو بعمرهم فإضافة إلى عدم إمكان المصير إلى ذلك إلَّا بالعلم به؛ فإنَّه خلاف عادة التلمّذ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بوضوح كونه أصغر بكثير منهم، خاصة مع ما ورد من أنَّ محبوباً كان يعطي ابنه الحسن در هماً في كل حديث يتعلمه من علي بن رئاب، مما يعني أنه كان صغيراً في العمر شاباً حَدَثاً حين تلمّذ عند ابن رئاب، وإلا فمن غير المناسب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 علي بن رئاب، وأن ابن رئاب هو بعمر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زاد على الأربعين ؛ فإنَّ ابن رئاب كان شيخاً للحديث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يعطيه أبوه الدرهم تشجيعا للحفظ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بد أن يكون بعمر تلاميذ ابن رئاب، والحال أنَّ ابن رئاب بالكاد أدرك أبا حمزة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يشير إلى عدم كونه ممن أدرك أبا حمزة هو ما رواه الكشي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عن الحسن بن محبوب،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أبو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عليلاً،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رجعت إليه فاقرأه مني السلام، وأعلمه أنه يموت في شهر كذا في يوم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والله لقد كان فيه أنس، وكان لكم شيعة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ما عندنا خير لكم من شيعتكم معكم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خاف الله وراقب نبيه وتوقى الذنوب، فإذا هو فعل كان معنا في درجتنا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تلك السنة فما لبث أبو حمزة إلا يسيراً حتى توفّي</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محمد بن إسماعيل في هذه الرواية هو النيشابوري الذي وثقنا بروايته كما فصلناه في بعض ما كتبناه </w:t>
      </w:r>
      <w:r>
        <w:rPr>
          <w:rStyle w:val="FootnoteAnchor"/>
          <w:rtl w:val="true"/>
        </w:rPr>
        <w:footnoteReference w:id="321"/>
      </w:r>
      <w:r>
        <w:rPr>
          <w:rFonts w:ascii="Amiri" w:hAnsi="Amiri" w:eastAsia="Amiri" w:cs="Amiri"/>
          <w:color w:val="111111"/>
          <w:sz w:val="28"/>
          <w:sz w:val="28"/>
          <w:szCs w:val="28"/>
          <w:rtl w:val="true"/>
          <w:lang w:bidi="ar-SA"/>
        </w:rPr>
        <w:t xml:space="preserve">تبعاً لاعتماد روايته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أستاذنا السيد محمد باقر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والفضل هو ابن شاذان، وهو الثقة الجليل المتوفى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تلميذ الحسن بن محبوب، وفي هذه الرواية يروي ابن محبوب قصة موت أستاذه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فحسب، بل وينقلها غلطاً؛ فإنَّ أبا حمزة 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إذا لم يكن الحسن بن محبوب معمّراً فلا بد من سقوط الواسطة، وكونه من السادسة مما لا خلاف عليه وفق المتداول من أنظمة الطبقات، بينما الثمالي مردد بين الثالثة والرابعة، وتوفّي مع الرابعة بلا أدنى ريب، فالقول بالإرسال هو الأصل، ولا يحتاج إلى إثباته بقول القتيبي أو نصر، ومدعي المباشرة هو المطالب بالدليل</w:t>
      </w:r>
      <w:r>
        <w:rPr>
          <w:rFonts w:eastAsia="Amiri" w:cs="Amiri" w:ascii="Amiri" w:hAnsi="Amiri"/>
          <w:color w:val="111111"/>
          <w:sz w:val="28"/>
          <w:szCs w:val="28"/>
          <w:rtl w:val="true"/>
          <w:lang w:bidi="ar-SA"/>
        </w:rPr>
        <w:t xml:space="preserve">. </w:t>
      </w:r>
      <w:bookmarkStart w:id="297" w:name="pg9111_108109"/>
    </w:p>
    <w:p>
      <w:pPr>
        <w:pStyle w:val="Heading4"/>
        <w:numPr>
          <w:ilvl w:val="3"/>
          <w:numId w:val="1"/>
        </w:numPr>
        <w:rPr/>
      </w:pPr>
      <w:bookmarkStart w:id="298" w:name="__RefHeading___Toc2853433_2870459653"/>
      <w:bookmarkStart w:id="299" w:name="_Toc111"/>
      <w:bookmarkEnd w:id="297"/>
      <w:bookmarkEnd w:id="298"/>
      <w:r>
        <w:rPr>
          <w:rtl w:val="true"/>
        </w:rPr>
        <w:t>الاتجاه الآخر</w:t>
      </w:r>
      <w:r>
        <w:rPr>
          <w:rtl w:val="true"/>
        </w:rPr>
        <w:t xml:space="preserve">: </w:t>
      </w:r>
      <w:r>
        <w:rPr>
          <w:rtl w:val="true"/>
        </w:rPr>
        <w:t>تصحيح السند بالبناء على اعتبار الواسطة</w:t>
      </w:r>
      <w:bookmarkEnd w:id="299"/>
    </w:p>
    <w:p>
      <w:pPr>
        <w:pStyle w:val="Heading5"/>
        <w:numPr>
          <w:ilvl w:val="4"/>
          <w:numId w:val="1"/>
        </w:numPr>
        <w:rPr/>
      </w:pPr>
      <w:bookmarkStart w:id="300" w:name="__RefHeading___Toc2853435_2870459653"/>
      <w:bookmarkStart w:id="301" w:name="_Toc112"/>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ونتعرض هنا لأمرين</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853437_2870459653"/>
      <w:bookmarkStart w:id="303" w:name="_Toc113"/>
      <w:bookmarkEnd w:id="302"/>
      <w:r>
        <w:rPr>
          <w:rtl w:val="true"/>
        </w:rPr>
        <w:t>الأمر الأول</w:t>
      </w:r>
      <w:r>
        <w:rPr>
          <w:rtl w:val="true"/>
        </w:rPr>
        <w:t xml:space="preserve">: </w:t>
      </w:r>
      <w:r>
        <w:rPr>
          <w:rtl w:val="true"/>
        </w:rPr>
        <w:t>سبب سقوط الواسطة</w:t>
      </w:r>
      <w:bookmarkEnd w:id="303"/>
    </w:p>
    <w:p>
      <w:pPr>
        <w:pStyle w:val="Heading6"/>
        <w:numPr>
          <w:ilvl w:val="5"/>
          <w:numId w:val="1"/>
        </w:numPr>
        <w:rPr/>
      </w:pPr>
      <w:bookmarkStart w:id="304" w:name="__RefHeading___Toc2853439_2870459653"/>
      <w:bookmarkStart w:id="305" w:name="_Toc114"/>
      <w:bookmarkEnd w:id="304"/>
      <w:r>
        <w:rPr>
          <w:rtl w:val="true"/>
        </w:rPr>
        <w:t>الإجابة الأولى</w:t>
      </w:r>
      <w:bookmarkEnd w:id="305"/>
    </w:p>
    <w:p>
      <w:pPr>
        <w:pStyle w:val="BookText"/>
        <w:rPr/>
      </w:pPr>
      <w:r>
        <w:rPr>
          <w:rFonts w:ascii="Amiri" w:hAnsi="Amiri" w:eastAsia="Amiri" w:cs="Amiri"/>
          <w:color w:val="111111"/>
          <w:sz w:val="28"/>
          <w:sz w:val="28"/>
          <w:szCs w:val="28"/>
          <w:rtl w:val="true"/>
          <w:lang w:bidi="ar-SA"/>
        </w:rPr>
        <w:t>سقوط الواسطة من كتاب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الحسن بن محبوب إنَّما كانت بواسطة، وأنَّ هذه الواسطة قد سقطت عند انتزاع رواياته من كتاب المشيخة الذي كان ترتيبه أولاً وفق المشايخ، فيُفرد لكل شيخ من مشايخه كتاباً أو باباً ثم يسرد ما رواه عنه فيه، ويحدث كثيراً، بل بشكل شبه دائم أن يعلق الراوي في سرد الرواية فيهمل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من أهم مميزات الرواية واختصار السند في ذلك الزمن الذي تكون فيه تلك الاختصارات ضرورة ملحة لسرعة إنجاز الكتب وقلة تكلفتها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وحصول هذا السقط لا بُدَّ أن يكون بعد انتزاع روايات الحسن من كتاب المشيخة وإهمال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يعرفه المطالع للمخطوطات القديمة وطريقة كتابتهم الروايات، وأنَّ إهمال المنتزع للتعليق يوقع في الكبس حتى الملتفت إليه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بوبوا كتاب الحسن فيما بعد باعتبار أبواب الفقه، فأصبح كتاباً فقهياً بتبويب موضوعات الفقه، بعد أن كان كتاباً فقهياً مرتباً وفق روايات المشايخ</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التقريب لسقوط الواسطة لا ينهض بشكل قوي لحل الإشكال؛ لسبب أنَّ الإشكال إنَّما كان في زمن أحمد بن محمد بن عيسى وهو تلميذه، أو على أقل تقدير في زمن تلاميذه الذين هم من جيل نصر، فلا يحتمل أن يكون أحمد قد غفل عن هذا أو غفل تلاميذه عنه، بل يمتنع القول بحصول السقط في زمن الحسن وأحمد وكلاهما حي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السقط من تلاميذ أحمد أيضاً مستبعد جداً، فإنَّ السقط إنَّما يحدث في روايات الشيخ بعد أخذ كتبه وتدريسها وروايتها بعد مدة مديدة، حيث يخفي التعليق </w:t>
      </w:r>
      <w:bookmarkStart w:id="306" w:name="pg9111_108110"/>
    </w:p>
    <w:p>
      <w:pPr>
        <w:pStyle w:val="BookText"/>
        <w:rPr/>
      </w:pPr>
      <w:bookmarkEnd w:id="306"/>
      <w:r>
        <w:rPr>
          <w:rFonts w:ascii="Amiri" w:hAnsi="Amiri" w:eastAsia="Amiri" w:cs="Amiri"/>
          <w:color w:val="111111"/>
          <w:sz w:val="28"/>
          <w:sz w:val="28"/>
          <w:szCs w:val="28"/>
          <w:rtl w:val="true"/>
          <w:lang w:bidi="ar-SA"/>
        </w:rPr>
        <w:t>وتبعد الطبقة فيحصل الوهم، لا أنه يرويها مسقطاً للواسطة إلا أن يكون مدلساً</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2853441_2870459653"/>
      <w:bookmarkStart w:id="308" w:name="_Toc115"/>
      <w:bookmarkEnd w:id="307"/>
      <w:r>
        <w:rPr>
          <w:rtl w:val="true"/>
        </w:rPr>
        <w:t>الإجابة الأخرى</w:t>
      </w:r>
      <w:bookmarkEnd w:id="308"/>
    </w:p>
    <w:p>
      <w:pPr>
        <w:pStyle w:val="BookText"/>
        <w:rPr/>
      </w:pPr>
      <w:r>
        <w:rPr>
          <w:rFonts w:ascii="Amiri" w:hAnsi="Amiri" w:eastAsia="Amiri" w:cs="Amiri"/>
          <w:color w:val="111111"/>
          <w:sz w:val="28"/>
          <w:sz w:val="28"/>
          <w:szCs w:val="28"/>
          <w:rtl w:val="true"/>
          <w:lang w:bidi="ar-SA"/>
        </w:rPr>
        <w:t xml:space="preserve">إنَّ ابن محبوب كان يظهر منه التدليس؛ ولهذا اتهمه أحمد، وهذه التهمة مع أنها لا تنافي الوثاقة إلا أنها لا تتناسب ومقام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الأركان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لو كانت هي العلة لما تاب أحمد ورجع وروى عنه، فقبول هذه الدعوى غير متجه</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2853443_2870459653"/>
      <w:bookmarkStart w:id="310" w:name="_Toc116"/>
      <w:bookmarkEnd w:id="309"/>
      <w:r>
        <w:rPr>
          <w:rtl w:val="true"/>
        </w:rPr>
        <w:t>الأمر الآخر</w:t>
      </w:r>
      <w:r>
        <w:rPr>
          <w:rtl w:val="true"/>
        </w:rPr>
        <w:t xml:space="preserve">: </w:t>
      </w:r>
      <w:r>
        <w:rPr>
          <w:rtl w:val="true"/>
        </w:rPr>
        <w:t>معرفة الواسط</w:t>
      </w:r>
      <w:bookmarkEnd w:id="310"/>
    </w:p>
    <w:p>
      <w:pPr>
        <w:pStyle w:val="Heading6"/>
        <w:numPr>
          <w:ilvl w:val="5"/>
          <w:numId w:val="1"/>
        </w:numPr>
        <w:rPr/>
      </w:pPr>
      <w:bookmarkStart w:id="311" w:name="__RefHeading___Toc2853445_2870459653"/>
      <w:bookmarkStart w:id="312" w:name="_Toc117"/>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وعلى فرض سقوط الواسطة من كتاب المشيخة، فالأقوال في تحديد الوثوق بالواسطة الساقطة تدليساً أو لخلل ما لا نعرفه هي</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2853447_2870459653"/>
      <w:bookmarkStart w:id="314" w:name="_Toc118"/>
      <w:bookmarkEnd w:id="313"/>
      <w:r>
        <w:rPr>
          <w:rtl w:val="true"/>
        </w:rPr>
        <w:t>الأول</w:t>
      </w:r>
      <w:r>
        <w:rPr>
          <w:rtl w:val="true"/>
        </w:rPr>
        <w:t xml:space="preserve">: </w:t>
      </w:r>
      <w:r>
        <w:rPr>
          <w:rtl w:val="true"/>
        </w:rPr>
        <w:t>الواسطة هو ابن رئاب شيخه الأشهر وتلميذ الثمالي الأشهر</w:t>
      </w:r>
      <w:bookmarkEnd w:id="314"/>
    </w:p>
    <w:p>
      <w:pPr>
        <w:pStyle w:val="BookText"/>
        <w:rPr/>
      </w:pPr>
      <w:r>
        <w:rPr>
          <w:rFonts w:ascii="Amiri" w:hAnsi="Amiri" w:eastAsia="Amiri" w:cs="Amiri"/>
          <w:color w:val="111111"/>
          <w:sz w:val="28"/>
          <w:sz w:val="28"/>
          <w:szCs w:val="28"/>
          <w:rtl w:val="true"/>
          <w:lang w:bidi="ar-SA"/>
        </w:rPr>
        <w:t>وهذا الاحتمال وإن كان يعضده اشتهار كون علي بن رئاب ممن يتوسط بين السراد والثمالي، حتى أن العامة ذكروا وصف ابن رئاب في كتبهم بذا،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إكمال الإكمال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أحسبه كوفياً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حمزة الثمالي، روى عنه الحسن ابن محبوب</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قصة أنَّ محبوباً أبا الحسن كان يعطي ولده الحسن درهما عن كل حديث يحفظه عن علي بن رئاب والتي مرَّ ذكرها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لا يستقيم؛ فإنَّ هناك أسماء أخرى تتوسط بين أبي حمزة الثمالي والسراد، فكثيراً ما يروي الحسن بن محبوب عن أبي حمزة بواسطة مالك بن عطية، وهشام بن سالم، ومحمد بن الفضيل، ولعلَّ علي بن رئاب ليس أكثرهم توسطاً، ولا يغني في المقام حتى لو كان الأكثر، فإنَّ من المقطوع به أنَّ مجموع ما توسط به الثلاثة أكثر مما توسطه هو فليلاحظ</w:t>
      </w:r>
      <w:r>
        <w:rPr>
          <w:rFonts w:eastAsia="Amiri" w:cs="Amiri" w:ascii="Amiri" w:hAnsi="Amiri"/>
          <w:color w:val="111111"/>
          <w:sz w:val="28"/>
          <w:szCs w:val="28"/>
          <w:rtl w:val="true"/>
          <w:lang w:bidi="ar-SA"/>
        </w:rPr>
        <w:t xml:space="preserve">. </w:t>
      </w:r>
      <w:bookmarkStart w:id="315" w:name="pg9111_108111"/>
    </w:p>
    <w:p>
      <w:pPr>
        <w:pStyle w:val="BookText"/>
        <w:rPr/>
      </w:pPr>
      <w:bookmarkEnd w:id="315"/>
      <w:r>
        <w:rPr>
          <w:rFonts w:ascii="Amiri" w:hAnsi="Amiri" w:eastAsia="Amiri" w:cs="Amiri"/>
          <w:color w:val="111111"/>
          <w:sz w:val="28"/>
          <w:sz w:val="28"/>
          <w:szCs w:val="28"/>
          <w:rtl w:val="true"/>
          <w:lang w:bidi="ar-SA"/>
        </w:rPr>
        <w:t>وكذا الكلام لو احتمل أن يكون الواسطة هشام بن سالم، ولعله هو أكثر مَنْ توسط بين السراد والثمالي خاصة في روايات العقائد، وأيضاً هو عين الكلام الجاري في احتمال كونه مالك بن عطية، فتعين الواسطة بأحد مشايخ الحسن بن محبوب ترجيح بلا مرجّح</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2853449_2870459653"/>
      <w:bookmarkStart w:id="317" w:name="_Toc119"/>
      <w:bookmarkEnd w:id="316"/>
      <w:r>
        <w:rPr>
          <w:rtl w:val="true"/>
        </w:rPr>
        <w:t>الآخر</w:t>
      </w:r>
      <w:r>
        <w:rPr>
          <w:rtl w:val="true"/>
        </w:rPr>
        <w:t xml:space="preserve">: </w:t>
      </w:r>
      <w:r>
        <w:rPr>
          <w:rtl w:val="true"/>
        </w:rPr>
        <w:t>حسن الواسطة بحساب الاحتمال</w:t>
      </w:r>
      <w:bookmarkEnd w:id="31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أيضاً لا يصار إليه، خاصة مع توسط محمد بن الفضيل الموصوف بالضعف والغلو بقدر معتد به في الأسناد نسبة إلى توسط غيره من الثقات، فلا يمكن جريانها في المقام صغروياً</w:t>
      </w:r>
      <w:r>
        <w:rPr>
          <w:rFonts w:eastAsia="Amiri" w:cs="Amiri" w:ascii="Amiri" w:hAnsi="Amiri"/>
          <w:color w:val="111111"/>
          <w:sz w:val="28"/>
          <w:szCs w:val="28"/>
          <w:rtl w:val="true"/>
          <w:lang w:bidi="ar-SA"/>
        </w:rPr>
        <w:t xml:space="preserve">. </w:t>
      </w:r>
      <w:bookmarkStart w:id="318" w:name="pg9111_108112"/>
    </w:p>
    <w:p>
      <w:pPr>
        <w:pStyle w:val="Heading3"/>
        <w:numPr>
          <w:ilvl w:val="2"/>
          <w:numId w:val="1"/>
        </w:numPr>
        <w:rPr/>
      </w:pPr>
      <w:bookmarkStart w:id="319" w:name="__RefHeading___Toc2853451_2870459653"/>
      <w:bookmarkStart w:id="320" w:name="_Toc120"/>
      <w:bookmarkEnd w:id="318"/>
      <w:bookmarkEnd w:id="319"/>
      <w:r>
        <w:rPr>
          <w:rtl w:val="true"/>
        </w:rPr>
        <w:t>المسلك الثاني</w:t>
      </w:r>
      <w:r>
        <w:rPr>
          <w:rtl w:val="true"/>
        </w:rPr>
        <w:t xml:space="preserve">: </w:t>
      </w:r>
      <w:r>
        <w:rPr>
          <w:rtl w:val="true"/>
        </w:rPr>
        <w:t>القول بعدم الملاقاة وعدم الواسطة</w:t>
      </w:r>
      <w:bookmarkEnd w:id="320"/>
    </w:p>
    <w:p>
      <w:pPr>
        <w:pStyle w:val="Heading4"/>
        <w:numPr>
          <w:ilvl w:val="3"/>
          <w:numId w:val="1"/>
        </w:numPr>
        <w:rPr/>
      </w:pPr>
      <w:bookmarkStart w:id="321" w:name="__RefHeading___Toc2853453_2870459653"/>
      <w:bookmarkStart w:id="322" w:name="_Toc121"/>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وفيه طريقان</w:t>
      </w:r>
    </w:p>
    <w:p>
      <w:pPr>
        <w:pStyle w:val="Heading4"/>
        <w:numPr>
          <w:ilvl w:val="3"/>
          <w:numId w:val="1"/>
        </w:numPr>
        <w:rPr/>
      </w:pPr>
      <w:bookmarkStart w:id="323" w:name="__RefHeading___Toc2853455_2870459653"/>
      <w:bookmarkStart w:id="324" w:name="_Toc122"/>
      <w:bookmarkEnd w:id="323"/>
      <w:r>
        <w:rPr>
          <w:rtl w:val="true"/>
        </w:rPr>
        <w:t>الطريق الأول</w:t>
      </w:r>
      <w:r>
        <w:rPr>
          <w:rtl w:val="true"/>
        </w:rPr>
        <w:t xml:space="preserve">: </w:t>
      </w:r>
      <w:r>
        <w:rPr>
          <w:rtl w:val="true"/>
        </w:rPr>
        <w:t>أنها بالوصية</w:t>
      </w:r>
      <w:bookmarkEnd w:id="324"/>
    </w:p>
    <w:p>
      <w:pPr>
        <w:pStyle w:val="BookText"/>
        <w:rPr/>
      </w:pPr>
      <w:r>
        <w:rPr>
          <w:rFonts w:ascii="Amiri" w:hAnsi="Amiri" w:eastAsia="Amiri" w:cs="Amiri"/>
          <w:color w:val="111111"/>
          <w:sz w:val="28"/>
          <w:sz w:val="28"/>
          <w:szCs w:val="28"/>
          <w:rtl w:val="true"/>
          <w:lang w:bidi="ar-SA"/>
        </w:rPr>
        <w:t xml:space="preserve">والوصية هي الإجازة للمواليد والصبيان ولمن لم يولدوا بعد، ويظهر من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بعدم إمكان الملاقاة بين الحسن بن محبوب وأبي حمزة الثمالي، لكنه يذهب إلى أنَّ منشأ المباشرة في أسناد الحسن إلى أبي حمزة كان عن طريق الإجازة، بنحو إجازة المواليد،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يظهر مما قرّر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يبعد أن تكون رواياته عنه مرسلة؛ لكون وفاة ابن محبوب قد وقعت قريباً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أبي حمزة قد وقعت قريباً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ابن محبوب سبعين سنة على ما ذكره الكشي وعن النجاشي، فيصير ابن محبوب قد أدرك أبا حمزة في أوائل تولّده، ولا يمكن بمقتضى العادة والمتعارف روايته عنه إلا أن يكون أبوه قد استجاز من أبي حمزة لولده في رواية الحديث كما كان مرسوماً عند أ عند أصحابنا الرواة فكانوا يستجيزون الصغار أولادهم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يظهر من تقريرات طلبته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الأجل أنَّ الأصحاب كانوا يتهمونه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عن أبي حمزة الثمالي، أما وجه الاتهام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الثمالي كانت سنة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محبوب متولدا في هذه السنة، و، وعليه فكيف يعقل أن يروي هو عن الثمالي بلا واسطة ؟ فروايته عنه كذلك كانت تنافي وثاقته عندهم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رجوع أحمد ابن محمد بن عيسى عن ترك روايته عنه وتوبته عن ذلك؛ أنَّه كان نقل الحديث من أهم ما يُعتنى به عند الأصحاب، ومن شدة عنايتهم به أنهم كانوا يريدون إبقاءه في أعقابهم </w:t>
      </w:r>
    </w:p>
    <w:p>
      <w:pPr>
        <w:pStyle w:val="BookText"/>
        <w:rPr/>
      </w:pPr>
      <w:r>
        <w:rPr>
          <w:rFonts w:ascii="Amiri" w:hAnsi="Amiri" w:eastAsia="Amiri" w:cs="Amiri"/>
          <w:color w:val="111111"/>
          <w:sz w:val="28"/>
          <w:sz w:val="28"/>
          <w:szCs w:val="28"/>
          <w:rtl w:val="true"/>
          <w:lang w:bidi="ar-SA"/>
        </w:rPr>
        <w:t>فجوزوا الاستجازة من شيوخهم للأطفال حتى يرووا عن مشايخهم بلا واسطة بعد بلوغهم؛ فمن القريب أن يكون أبو حمزة كان قد أجاز لابن محبوب روايته عنه وهو ابن سنة باستجازة أبيه محبوب بن وهب؛ فتصح إذن رواية ابن محبوب عن أبي حمزة بلا واسطة، ويؤيد ذلك أن أباه كان يعطى ابنه هذا حسناً بكل حديث يكتبه عن علي بن رئاب درهماً، وهذا يكشف عن شدَّة عناية أبيه بروايته للأخبار ونشره لأحاديث الأئمة الأطهار سلام الله عليهم فصار بحمد الله كما أراد من أكابر المحدثين، بل من أركانهم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قبله في الاستقصاء ممن قد احتمل كون ذلك بالإجازة ولم يذكر كونها من إجازة المواليد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ذكر اتهام الأصحاب لا وجه له، بل هو على سبيل التحقيق، ولعل المراد بالتهمة أن روايته عنه حينئذ إنما تكون بالإجازة، وعدم التصريح بذكر الإجازة في الرواية أوجب التهمة بالكذب؛ لأن ظاهر الرواية إذا لم تُقيّد بالإجازة أنها بغيرها من طرق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رجوع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لعله لترجيح جواز إطلاق الرواية من غير ذكر الإجازة، كما هو مذهب بعض العلماء على ما قرروه في علم الدراية، على أن أحمد وإن لم يرجّح هذا، لكن إذا حصل الوجه المسوغ للرواية جاز أن يكون الحسن بن محبوب اختاره، غير أن النجاشي كان عليه بيان حقيقة الحال</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يرتض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الوجه لا يخلو من بُعد، فإنَّ الرواية بالإجازة التي كانت متداولة في ذلك العصر، إنَّما كان موردها البالغ المؤهل لتحمل الحديث كما ورد فيهما حكي عن أحمد بن محمد بن عيسى،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الكوفة في طلب الحديث فلقيت بها الحسن بن علي الوشاء فسألته أن يخرج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العلاء بن رزين القلاء، وأبان بن عثمان الأحمر، فأخرجها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تجيزهما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رحمك الله، وما عجلتك؟ اذهب فاكتبها واسمع من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الحدثان،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الحديث يكون له هذا الطلب؛ لاستكثرت</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وثبوت هذا على كل تقدير غير نافٍ لوجود حالات الإجازة للمواليد، وإن لم تكن تمثل ظاهرة في المجتمع الروائي، فإن تطوّر أساليب نقل الرواية من جيل إلى آخر إنَّما نشأ بشكل عرفي بسيط حتى تطوّر تدريجياً إلى أصول وسلوكيات خاصة تمثل آداب نقل الحديث، وقواعده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إجازة الصغير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إجازة الصغير في رواية الكتب و اعتماد الصغير بعد بلوغه على تلك الإجازة في النقل عنها فلم يعهد له مورد فيما نعلم إلا ما تقدم بشأن حفيد أبي غالب الزراري، ولكن كان ذلك حالة خاصة شرح الزراري ملابساتها في كتابه فليراجع</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المصير إليه في هذا المورد، فقد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العصر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تحمّل الصبيان وجوازه وعدمه، واختلف المجوّزون بعد ذلك في أقل سن يمكن للصبي أن يتلقى فيه،، واختلافهم في المسألة فرع معروفيتها وتحققها في الخارج،</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القاضي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أهل هذه الصنعة حدّدوا أوَّل زمن يصح فيه السماع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استقر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اعتبار التمييز، فإن فهم الخطاب ورد الجواب كان مميزاً </w:t>
      </w:r>
    </w:p>
    <w:p>
      <w:pPr>
        <w:pStyle w:val="BookText"/>
        <w:rPr/>
      </w:pPr>
      <w:r>
        <w:rPr>
          <w:rFonts w:ascii="Amiri" w:hAnsi="Amiri" w:eastAsia="Amiri" w:cs="Amiri"/>
          <w:color w:val="111111"/>
          <w:sz w:val="28"/>
          <w:sz w:val="28"/>
          <w:szCs w:val="28"/>
          <w:rtl w:val="true"/>
          <w:lang w:bidi="ar-SA"/>
        </w:rPr>
        <w:t>صحيح السماع،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فضلائهم والذي استقر عليه عمل أصحابنا المتأخرين أن يكتبوا لابن 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متحاشون من كتابة الحضور لمن حضر من الصغار، ولو كان ابن يوم أو ابن سنة أو أكثر حتى يبلغ من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كل صغير بحاله، فمتى كان فهيماً للخطاب وردّ الجواب صححنا سماعه وإن كان له دون خمس، وإن لم يكن كذلك لم يصح سماعه وإن كان ابن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المؤرخين أنَّ صبياً ابن أربع سنين حمل إلى المأمون وقد قرأ القرآن ونظر في الرأي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جاع يبكي</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يظهر من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هذه المسألة، وأنَّ هناك خلافاً قبل زمنه بأكثر من جيل فيها،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القاضي أبا الطيب طاهر بن عبد الله الطبري عن الإجازة للطفل الصغير، هل يعتبر في صحتها سنه أو تميزه كما يعتبر ذلك في صحة سماعه؟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 والقياس يقتضي على هذا صحة الإجازة لمن لم يكن مولوداً في الحال، مثل أن يقول الراوي للطالب أجزت لك ولمن يولد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الإجازة لمن لا يصح سماعه،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يصح أن يجيز للغائب عنه ولا يصح السماع منه لمن غاب عنه أو كلاماً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والإجازة إنَّما هي إباحة المجيز للمجاز له رواية ما يصح عنده أنه حديثه، والإباحة تصح للعاقل وغير العاقل، وليس تريد بقولك الإباحة الإعلام، وإنما تريد به ما يضاد الحظر والمنع، وعلى هذا رأينا كافة شيوخنا يجيزون للأطفال الغيب عنهم من غير أن يسألوا عن مبلغ أسنانهم وحال تمييزهم، ولم ترهم أجازوا لمن لم يكن مولوداً في الحال؟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أستاذ الخطيب البغدادي والذي هو من الحادية عشر بحسب الفرض يحدث </w:t>
      </w:r>
    </w:p>
    <w:p>
      <w:pPr>
        <w:pStyle w:val="BookText"/>
        <w:rPr/>
      </w:pPr>
      <w:r>
        <w:rPr>
          <w:rFonts w:ascii="Amiri" w:hAnsi="Amiri" w:eastAsia="Amiri" w:cs="Amiri"/>
          <w:color w:val="111111"/>
          <w:sz w:val="28"/>
          <w:sz w:val="28"/>
          <w:szCs w:val="28"/>
          <w:rtl w:val="true"/>
          <w:lang w:bidi="ar-SA"/>
        </w:rPr>
        <w:t>عن أشياخه أنهم كانوا يجيزون الأطفال، وأنها كانت حالة سائغة منتشرة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أيضاً في ذيل تاريخ بغداد أن علي بن يحيى بن علي بن علي بن إسماعيل، أبو المكارم الكاتب المعروف بالزينب من أولاد الكتبة وأرباب الولايات،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إجازة وهو طفل من مشايخ أصبهان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وهو قد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ووجود الخلاف في تحمّل الصبي غير البالغ في مطاوي الأصول، واستدلال أصحاب قبول إجازة الصبي إذا كان تلقيه قبل بلوغه وتحديثه بعده بالإجماع على قبول روايات غير البالغين قاضي بانتشار أو معروفيَّة الوصية للأطفال، سواء صح رأيهم أو فسد، فالمقام في وجود الظاهرة وليس في شرعيتها، وقد ذكر الزركشي في سرد أدلة المجوّزين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محمود بن الربيع حديث المجة التي مجها النبي صلى الله عليه وسلّم وهو ابن خمس سنين، واعتمد العلماء روايته ذلك بعد بلوغه وجعلوه أصلاً في سماع الصغير، والإجماع على إحضار الصبيان مجالس الروايات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وجود ظاهرة خلافية في المجتمع الروائي في الطبقة العاشرة يشير وبقوة إلى نشأة هذه الظاهرة كحالات فردية في أجيال،سابقة، وتطورت شيئاً فشيئاً حتى أصبحت ظاهرة تناقش في المجامع العلميَّة؛ فإنَّ أغلب آداب الحديث إنَّما تطورت بهذا البطء الزمني، ولك شاهد في تطور أشدّ الظواهر الحديثية المتكرّرة كالعنعنة وإفادتها الملاقاة وهي ينبغي أن تكون أسرع في انضمامها إلى الآداب الخاصة بالعلم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حتى مع القول بانتشار أو معروفيَّة الإجازة للمواليد والخلاف في قبولها وعدمه إلا أن القول بتعين هذا الاحتمال في مورد روايات الحسن بن محبوب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 ما يؤيده مما روي أنَّ أبا حسن محبوباً كان يهتم بأخذ الرواية </w:t>
      </w:r>
      <w:bookmarkStart w:id="325" w:name="pg9111_108117"/>
    </w:p>
    <w:p>
      <w:pPr>
        <w:pStyle w:val="BookText"/>
        <w:rPr/>
      </w:pPr>
      <w:bookmarkEnd w:id="325"/>
      <w:r>
        <w:rPr>
          <w:rFonts w:ascii="Amiri" w:hAnsi="Amiri" w:eastAsia="Amiri" w:cs="Amiri"/>
          <w:color w:val="111111"/>
          <w:sz w:val="28"/>
          <w:sz w:val="28"/>
          <w:szCs w:val="28"/>
          <w:rtl w:val="true"/>
          <w:lang w:bidi="ar-SA"/>
        </w:rPr>
        <w:t xml:space="preserve">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قصوراً في المقتضي بثبوت تحقق هذا، فيبقى احتمالاً صرفاً وإن كان مناسباً، إلا أنه غير واف بإثبات حلّ موثوق به للمسألة</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853457_2870459653"/>
      <w:bookmarkStart w:id="327" w:name="_Toc123"/>
      <w:bookmarkEnd w:id="326"/>
      <w:r>
        <w:rPr>
          <w:rtl w:val="true"/>
        </w:rPr>
        <w:t>الطريق الآخر</w:t>
      </w:r>
      <w:r>
        <w:rPr>
          <w:rtl w:val="true"/>
        </w:rPr>
        <w:t xml:space="preserve">: </w:t>
      </w:r>
      <w:r>
        <w:rPr>
          <w:rtl w:val="true"/>
        </w:rPr>
        <w:t>أنها بالوجادة</w:t>
      </w:r>
      <w:bookmarkEnd w:id="327"/>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محبوب كان يحدث عن كتاب أبي حمزة الذي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جمع، فبعد أن ذكر الوحيد البهبهاني أنَّ منشأ الشبهة هو من ملاحظة سني الوفاة،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أنَّ هذا ليس بفسق ولا منشأ للتهمة، بل لا يجوز الاتهام بأمثال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الحسن الثقة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في رواية الحسن بن محبوب عن أبي حمزة فالأصل فيه نصر بن الصباح، وأما أحمد بن محمد بن عيسى فإن كان قد سبقه في ذلك إلَّا أنَّه تاب ورجع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منشأ التوقف عدم درك الحسن علياً، كما يظهر من تاريخ ولادة الأول ووفاة الثاني، لكن بعد الإقرار بوثاقة الرجل وعده من الأركان الأربعة في زمانه، لا ينبغي الإسراع إلى اتهامه، بل يجب أن نحمل ذلك على أحسن محمل، وهو أخذ الحسن الرواية من كتاب علي، ومثله غير عزيز، بل هو أكثر كثير، ولا ينبغي الحمل على الإرسال، إذ لا يخلو من نوع تدليس وتغرير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درك الحسن علياً كما يظهر من تاريخ ولادة الأول ووفاة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واضح، والظاهر أنه يقصد لم يدرك،ثابتاً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الرواية من علي، ومثله غير عزيز، بل هو أكثر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سهو وهو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باب حسن الظن وإلا فإن كان يقصد البطائني فهو 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يرتض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البعيد جداً اعتماد ابن محبوب على كتب أبي حمزة في الرواية عنه من دون سماع ولا قراءة ولا مناولة ونحو ذلك، مع أنه لو كان الأمر كذلك؛ لما اختص بأبي حمزة، وكان له أن يروي كتب محمد بن مسلم وزملائه من الطبقة الرابعة بالطريقة نفسها، فتدبر</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ممن يلتزم الوجادة لحكى عن غيره ممن اشتهرت كتبهم أكثر من كتب أبي حمزة، وللسيد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الحق في استبعاد هذا الوجه، ويظهر ذلك جلياً لمن تدبّر</w:t>
      </w:r>
      <w:r>
        <w:rPr>
          <w:rFonts w:eastAsia="Amiri" w:cs="Amiri" w:ascii="Amiri" w:hAnsi="Amiri"/>
          <w:color w:val="111111"/>
          <w:sz w:val="28"/>
          <w:szCs w:val="28"/>
          <w:rtl w:val="true"/>
          <w:lang w:bidi="ar-SA"/>
        </w:rPr>
        <w:t xml:space="preserve">. </w:t>
      </w:r>
      <w:bookmarkStart w:id="328" w:name="pg9111_108119"/>
    </w:p>
    <w:p>
      <w:pPr>
        <w:pStyle w:val="Heading3"/>
        <w:numPr>
          <w:ilvl w:val="2"/>
          <w:numId w:val="1"/>
        </w:numPr>
        <w:rPr/>
      </w:pPr>
      <w:bookmarkStart w:id="329" w:name="__RefHeading___Toc2853459_2870459653"/>
      <w:bookmarkStart w:id="330" w:name="_Toc124"/>
      <w:bookmarkEnd w:id="328"/>
      <w:bookmarkEnd w:id="329"/>
      <w:r>
        <w:rPr>
          <w:rtl w:val="true"/>
        </w:rPr>
        <w:t>المسلك الثالث</w:t>
      </w:r>
      <w:r>
        <w:rPr>
          <w:rtl w:val="true"/>
        </w:rPr>
        <w:t xml:space="preserve">: </w:t>
      </w:r>
      <w:r>
        <w:rPr>
          <w:rtl w:val="true"/>
        </w:rPr>
        <w:t>حل الإشكال والقول بالمباشرة</w:t>
      </w:r>
      <w:bookmarkEnd w:id="330"/>
    </w:p>
    <w:p>
      <w:pPr>
        <w:pStyle w:val="Heading4"/>
        <w:numPr>
          <w:ilvl w:val="3"/>
          <w:numId w:val="1"/>
        </w:numPr>
        <w:rPr/>
      </w:pPr>
      <w:bookmarkStart w:id="331" w:name="__RefHeading___Toc2853461_2870459653"/>
      <w:bookmarkStart w:id="332" w:name="_Toc125"/>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ونذكر هنا عدة حلول</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2853463_2870459653"/>
      <w:bookmarkStart w:id="334" w:name="_Toc126"/>
      <w:bookmarkEnd w:id="333"/>
      <w:r>
        <w:rPr>
          <w:rtl w:val="true"/>
        </w:rPr>
        <w:t>الحل الأول</w:t>
      </w:r>
      <w:r>
        <w:rPr>
          <w:rtl w:val="true"/>
        </w:rPr>
        <w:t xml:space="preserve">: </w:t>
      </w:r>
      <w:r>
        <w:rPr>
          <w:rtl w:val="true"/>
        </w:rPr>
        <w:t>المراد به البطائني</w:t>
      </w:r>
      <w:bookmarkEnd w:id="334"/>
    </w:p>
    <w:p>
      <w:pPr>
        <w:pStyle w:val="BookText"/>
        <w:rPr/>
      </w:pPr>
      <w:r>
        <w:rPr>
          <w:rFonts w:ascii="Amiri" w:hAnsi="Amiri" w:eastAsia="Amiri" w:cs="Amiri"/>
          <w:color w:val="111111"/>
          <w:sz w:val="28"/>
          <w:sz w:val="28"/>
          <w:szCs w:val="28"/>
          <w:rtl w:val="true"/>
          <w:lang w:bidi="ar-SA"/>
        </w:rPr>
        <w:t xml:space="preserve">احتمل بعضهم أن عبارة الكنّي مصحفة، والصحيح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أبي</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 عن ابن أبي حمزة، ويكون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في الرواية، وأن الاتهام نشأ من كونه يروي عنه وهو ضعيف واقفي، وليس للكلام تعلّق بالطبقة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مما لا مصير إليه، ومن الغريب صدوره عن غير علم، أليس زملاء الحسن ممن هم في مرتبته ومن هم أعلى منه شأنا رووا عن البطائني، فلم اختص الحسن بالتهمة لروايته عنه دونهم؟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القهبائي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منه علي بن أبي حمزة البطائني، فإنَّ ابن محبوب روى عنه أي عن البطائني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في ترجمة ثابت بن دينار أبي حمزة الثمالي حيث روى ابن محبوب عن البطائني رواية في وفاة أبي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التهمة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محبوب أمتن وأجل من أن يروي عن علي بن أبي حمزة البطائني؛ فإنَّه واقفي، خبيث، ردي، معاند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وقال السيد التفرشي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نقله النجاشي عن الكثي عن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محمد بن عيسى لا يروي عن ابن محبوب؛ من أجل أن أصحابنا يتهمون ابن </w:t>
      </w:r>
    </w:p>
    <w:p>
      <w:pPr>
        <w:pStyle w:val="BookText"/>
        <w:rPr/>
      </w:pPr>
      <w:r>
        <w:rPr>
          <w:rFonts w:ascii="Amiri" w:hAnsi="Amiri" w:eastAsia="Amiri" w:cs="Amiri"/>
          <w:color w:val="111111"/>
          <w:sz w:val="28"/>
          <w:sz w:val="28"/>
          <w:szCs w:val="28"/>
          <w:rtl w:val="true"/>
          <w:lang w:bidi="ar-SA"/>
        </w:rPr>
        <w:t>محبوب في روايته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محمول على السهو، ولعل ما ذكره الكتّي هو علي بن أبي حمزة البطائني الضعيف كما لا يخفى</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المشكلة قائمة، قال نصر أم لم يقل، فالسراد ولد قرب وفاة الشمالي إن لم يكن بعدها، ولا شك ولا ريب في رواية السراد عن الثمالي في بطون الأسناد، ثم لماذا اقتصر الأصحاب على اتهام ابن محبوب لأنه روى عن البطائني وهو ضعيف، أليس أجلاء الأصحاب ممن روى عنه أيضاً؟ أليس البزنطي، وابن أبي عمير، وصفوان، ممن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نقله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إنهم لا يروون إلا عن ثقة قد رووا عنه؟ ولم يقدح ذلك فيهم، ولا أعلم كيف يخفى كل هذا على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يصرح أخيراً بقولته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الحسن روى عن ثابت بن دينار، وبعنوان أبي حمزة مقيداً بالثمالي، وبما لا يحتمل التصحيف لروايته عن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يدركها البطائني، فقد روى الحسن بن محبوب، عن عنوان أبي حمزة الثمالي عن علي بن الحسين في مواضع من الكافي </w:t>
      </w:r>
      <w:r>
        <w:rPr>
          <w:rStyle w:val="FootnoteAnchor"/>
          <w:rtl w:val="true"/>
        </w:rPr>
        <w:footnoteReference w:id="337"/>
      </w:r>
      <w:r>
        <w:rPr>
          <w:rFonts w:ascii="IRNazanin" w:hAnsi="IRNazanin" w:eastAsia="IRNazanin"/>
          <w:color w:val="111111"/>
          <w:sz w:val="28"/>
          <w:sz w:val="28"/>
          <w:szCs w:val="28"/>
          <w:rtl w:val="true"/>
          <w:lang w:bidi="fa-IR"/>
        </w:rPr>
        <w:t xml:space="preserve">وعن أبي جعفر الباقر، وأبي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أخرى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فرواية الحسن بن محبوب عن ثابت بن دينار أبي حمزة الثمالي لا ريب في وجودها في بطون الأسناد، وهناك شك قائم في تحقق الملاقاة بينهما لا ريب، وأما البطائني فليس من الرائج أن يتهم الأصحاب من يروي عنه، وقد روى عنه جلّتهم</w:t>
      </w:r>
      <w:r>
        <w:rPr>
          <w:rFonts w:eastAsia="Amiri" w:cs="Amiri" w:ascii="Amiri" w:hAnsi="Amiri"/>
          <w:color w:val="111111"/>
          <w:sz w:val="28"/>
          <w:szCs w:val="28"/>
          <w:rtl w:val="true"/>
          <w:lang w:bidi="ar-SA"/>
        </w:rPr>
        <w:t xml:space="preserve">. </w:t>
      </w:r>
      <w:bookmarkStart w:id="335" w:name="pg9111_108121"/>
    </w:p>
    <w:p>
      <w:pPr>
        <w:pStyle w:val="Heading4"/>
        <w:numPr>
          <w:ilvl w:val="3"/>
          <w:numId w:val="1"/>
        </w:numPr>
        <w:rPr/>
      </w:pPr>
      <w:bookmarkStart w:id="336" w:name="__RefHeading___Toc2853465_2870459653"/>
      <w:bookmarkStart w:id="337" w:name="_Toc127"/>
      <w:bookmarkEnd w:id="335"/>
      <w:bookmarkEnd w:id="336"/>
      <w:r>
        <w:rPr>
          <w:rtl w:val="true"/>
        </w:rPr>
        <w:t>الحل الثاني</w:t>
      </w:r>
      <w:r>
        <w:rPr>
          <w:rtl w:val="true"/>
        </w:rPr>
        <w:t xml:space="preserve">: </w:t>
      </w:r>
      <w:r>
        <w:rPr>
          <w:rtl w:val="true"/>
        </w:rPr>
        <w:t>تعمير ابن حبوب</w:t>
      </w:r>
      <w:bookmarkEnd w:id="337"/>
    </w:p>
    <w:p>
      <w:pPr>
        <w:pStyle w:val="BookText"/>
        <w:rPr/>
      </w:pPr>
      <w:r>
        <w:rPr>
          <w:rFonts w:ascii="Amiri" w:hAnsi="Amiri" w:eastAsia="Amiri" w:cs="Amiri"/>
          <w:color w:val="111111"/>
          <w:sz w:val="28"/>
          <w:sz w:val="28"/>
          <w:szCs w:val="28"/>
          <w:rtl w:val="true"/>
          <w:lang w:bidi="ar-SA"/>
        </w:rPr>
        <w:t>وذلك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الوارد في عُمر الحسن بن محبوب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ما ذكر عن الكني، في الاختيار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ومات الحسن بن محبوب في آخر سنة أربع وعشرين ومائتين، وكان من أبناء خمس وسبعين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مصحف، وأنَّ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أشارت إحدى المخطوطات، فيكون عمره حين توفي الثمالي نحو عشرين سنة، وحينذاك فلا مشكلة زمنية في البين، ولا يضر قول لأنه لا يعتد به، خصوصاً وأنه هنا خلاف المقايسة الزمنية، وهذا ما حكي عن نصر صاحب القاموس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ليس بسديد؛ فإنَّه لو كان معمّراً وعمر إلى خمسة وتسعين عاماً، لما كان صغيراً عند أخذه من ابن رئاب، ولكان ابن رئاب زميله عند أبي حمزة، ولكن الحال أنَّ الكثي أو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أصحابنا أن محبوباً أبا حسن كان يعطي الحسن بكل حديث يكتبه عن علي بن رئاب درهماً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يشير إلى كونه صبياً أو فتى شاباً عند تلمذه عند علي بن رئاب، وأنَّ أباه محبوباً كان يعطيه الدرهم لتشجيعه على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عدم كونه من المعمرين هو ما صح إليه من رواية في ذكر سنة وفاة أبي حمزة الثمالي، المارة التي رواها الكثي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عن الحسن بن محبوب،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خلفته عليلاً،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إليه فاقرأه مني السلام وأعلمه أنه يموت في شهر كذا في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تلك السنة فما لبث أبو حمزة إلا يسيراً حتى توفّي</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حيث إن محمد بن إسماعيل في هذه الرواية هو النيشابوري الذي وثقنا بروايته كما قدمناه في محله </w:t>
      </w:r>
      <w:r>
        <w:rPr>
          <w:rStyle w:val="FootnoteAnchor"/>
          <w:rtl w:val="true"/>
        </w:rPr>
        <w:footnoteReference w:id="340"/>
      </w:r>
      <w:r>
        <w:rPr>
          <w:rFonts w:ascii="Amiri" w:hAnsi="Amiri" w:eastAsia="Amiri" w:cs="Amiri"/>
          <w:color w:val="111111"/>
          <w:sz w:val="28"/>
          <w:sz w:val="28"/>
          <w:szCs w:val="28"/>
          <w:rtl w:val="true"/>
          <w:lang w:bidi="ar-SA"/>
        </w:rPr>
        <w:t>، والفضل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الثقة، تلميذ الحسن بن محبوب، وفي هذه الرواية يروي ابن محبوب عن علي بن أبي حمزة البطائني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تلك الرواية بعمر الحسن بن محبوب بحسب فرض كون الحسن معمّراً وهو يروي لزميله ابن محبوب قصة موت أستاذ الحسن بن محبوب عن طريق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البطائني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الرواية يكون أبو حمزة توفي قبل نهاية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أبا حمزة كما يظهر 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الشيخ والنجاشي والصدوق وكما في الكنّي، ويخالفها هذه الرواية وهي ضعيفة بالبطائني فيصعب أن تصمد بوجه المؤشرات الكثيرة التي أشارت إلى كونه ممن أدرك برهة من زمن الإمام موسى بن جعفر، وعليه فخطأ الرواية في تحديد سنة الوفاة يصلح أن يكون كاشفاً معتداً به في معرفة أن الحسن بن محبوب لم يكن تلميذاً لأبي حمزة وأنه لاقاه؛ إذ كيف يروي سنة وفاته خطأ وبواسطتين؟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يمكن أن يشكل من أنه لو كان معمّراً لنبه عليه أهل الرجال، فإنَّه يقال بالعكس،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معمّرا لما ذكروا عمره، وأنهم غالباً ما يوردون أعمار المعمرين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كذا، وكان له من العمر كيت، وهذا ما وصل لنا في كتاب الكني، فلو أنه لم يكن معمّراً لما ذكر الكثي عمره، غاية الأمر أن سبعين وتسعين تصحفان بشكل كبير،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الأعمار العادية كخمس وسبعين مما لا يجري ذكره عادة، بل هم يقتصرون أغلب الأحيان على ذكر المعمرين فقط، فيترجح من ذكر عمره كونه منهم، لو كنا نحن وعبارة الكثي فحسب</w:t>
      </w:r>
      <w:r>
        <w:rPr>
          <w:rFonts w:eastAsia="Amiri" w:cs="Amiri" w:ascii="Amiri" w:hAnsi="Amiri"/>
          <w:color w:val="111111"/>
          <w:sz w:val="28"/>
          <w:szCs w:val="28"/>
          <w:rtl w:val="true"/>
          <w:lang w:bidi="ar-SA"/>
        </w:rPr>
        <w:t xml:space="preserve">. </w:t>
      </w:r>
      <w:bookmarkStart w:id="338" w:name="pg9111_108123"/>
    </w:p>
    <w:p>
      <w:pPr>
        <w:pStyle w:val="BookText"/>
        <w:rPr/>
      </w:pPr>
      <w:bookmarkEnd w:id="338"/>
      <w:r>
        <w:rPr>
          <w:rFonts w:ascii="Amiri" w:hAnsi="Amiri" w:eastAsia="Amiri" w:cs="Amiri"/>
          <w:color w:val="111111"/>
          <w:sz w:val="28"/>
          <w:sz w:val="28"/>
          <w:szCs w:val="28"/>
          <w:rtl w:val="true"/>
          <w:lang w:bidi="ar-SA"/>
        </w:rPr>
        <w:t xml:space="preserve">إلا أنَّ الأقوى أنَّه لم يكن معمّراً، وقد كان ذكرهم لأعمار غير المعمرين رائجاً عند توفّر ذلك في الفهارس التي ينقلون منها، وتشتد الحاجة حين يكون هناك إشكال أو نكتة تتعلق بمدة عمر الراوي وإن لم يكن معمراً، ولعل ما قيل من أ ان عمره خمس وسبعون كان إشارة من القائل إلى عدم إمكانه إدراك أبي حمزة، خاصة أنَّ الكثي حينما 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وفاته وعمره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ألحقهما بذكر التهمة بسقوط الواسطة بينه وبين أبي حمزة، فالقول بترجيح كون الحسن بن محبوب معمّراً؛ لأنَّ الكثي ذكر وفاته، لا يقوى على أن يترجح مع تلك الخصوصيات في فائدة ذكر ذلك العمر إن كان عمراً معتاداً</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2853467_2870459653"/>
      <w:bookmarkStart w:id="340" w:name="_Toc128"/>
      <w:bookmarkEnd w:id="339"/>
      <w:r>
        <w:rPr>
          <w:rtl w:val="true"/>
        </w:rPr>
        <w:t>الحل الثالث</w:t>
      </w:r>
      <w:r>
        <w:rPr>
          <w:rtl w:val="true"/>
        </w:rPr>
        <w:t xml:space="preserve">: </w:t>
      </w:r>
      <w:r>
        <w:rPr>
          <w:rtl w:val="true"/>
        </w:rPr>
        <w:t>تغيير سنة وفاة ابن حبوب</w:t>
      </w:r>
      <w:bookmarkEnd w:id="340"/>
    </w:p>
    <w:p>
      <w:pPr>
        <w:pStyle w:val="BookText"/>
        <w:rPr/>
      </w:pPr>
      <w:r>
        <w:rPr>
          <w:rFonts w:ascii="IRNazanin" w:hAnsi="IRNazanin" w:eastAsia="IRNazanin"/>
          <w:color w:val="111111"/>
          <w:sz w:val="28"/>
          <w:sz w:val="28"/>
          <w:szCs w:val="28"/>
          <w:rtl w:val="true"/>
          <w:lang w:bidi="fa-IR"/>
        </w:rPr>
        <w:t xml:space="preserve">واستقرب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الإمكان تحقق الملاقاة، وأن ابن محبوب لم يكن معمّراً، ولكن الصحيح أنه لم يمت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سنة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ليطمئن لهذا الوجه وختمه قائلاً أنَّ في نفسه شيء منه، وعلى كل تقدير محصل هذا الوجه كما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ما ذكر في رجال الكشي في تاريخ وفاة الحسن بن محبوب من أنه مات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يمكن الالتزام به، فإنه لو كان مات في هذا التاريخ، لكان قد أدرك تمام مدة إمامة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وبعضاً من إمامة الإمام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لم يذكر في أصحابها أو فيمن أدركها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يرو عنها مع اهتمام الرجاليين بالتنبيه على ذلك</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الحسن بن محبوب إلى آخر سنة أربع وعشرين ومائتين كما ورد في كتاب الكشي مستبعد جداً، ويحتمل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حشوا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يسهل توجيه رواية ابن محبوب عن أبي حمزة الثمالي من دون اقتضاء كونه من المعمرين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ما يعارض هذا الوجه، وهناك ما يؤيده، وعلى فرض ثبوته فهناك أيضاً ما يبقي المشكلة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كحال يونس بن عبد الرحمن كما نص عليه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المشار إليه؛ لما أمكن لجمع من السابعة الرواية عنه كعلي ابن فضال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عند وفاة أبيه الحسن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ابن فضال ولد في بداية المائة الثانية فإنَّ الحسن بن محبوب يكون توفي قبل ولادة علي ابن فضال أو في مثلها، فهذا الحل في غاية البعد، وهو لا يحل مشكلة الملاقاة بين السراد والثمالي، بل يفتح باباً كبيراً من السقط بين الحسن وتلامذته كروايات علي ابن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بن عيسى المتوفى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وأحمد بن محمد بن خالد البرقي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وإبراهيم ابن هاشم الذي لم يرو عن يونس إلا بواسطة مع أنه يحسب من أتباع يونس، لكنه لم يدرك يونس مع أن يونس ممن بقي إلى هذا الوقت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فتقدير وفاته بذا بعيد جداً مع القطع برواية هؤلاء عنه، وامتناع روايتهم عنه لو كان بعمر يونس بن عبد الرحمن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الكنّي عن نصر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محبوب لم يكن يروي عن ابن فضال، بل هو أقدم من ابن فضال وأسن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بابن فضال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ابن فضال ممن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وبهذا فلا بُدَّ أن يكون ما ذكر من أن وفاة الحسن بن محبوب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يرده أمر فيما لو غضضنا النظر عن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إمكان الاعتماد عليه من غير قرينة مصاحبة الصدقه، وهو وإن كان ابن فضال ينصرف عادة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الرواية، لكن ما في الاختيار فإنَّه ينصرف إلى ولده علي ابن فضال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يستشهد به مراراً في الاختيار، ولا يبعد أيضاً أن يراد به أحمد ابن فضال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يبقى أن ذكر ذلك من الواضحات من أر ن أَنَّ علي أو أحمد إنَّما هما بمنزلة تلاميذ الحسن بن محبوب فلا ريب في أنه أسنٌ منهما، فلِمَ ذكر نصر ذلك للكشي ؟ فلا يبعد أن يكون مراد نصر بابن فضال هو أباهم الحسن، بل هو الأقرب، إن لم يكن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الكشي عن نصر بن الصباح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 بن عيسى بن عبيد، من صغار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عن ابن محبوب في السن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محمد بن عيسى بن عبيد من كبار السابعة ممن روى عن يونس بن عبد الرحمن مكرراً وإن كان هناك كلام في روايته عنه، وعلى كل تقدير فهو كافٍ في تحقق نفس الكلام في روايته عن الحسن بن محبوب بهذه العبارة التي أوضح نصر أنه أيضاً أصغر من أن يروي عن ابن محبوب أو أنَّه من صغار مَن يروي عنه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هذا أيضاً إشكال يمنعنا من اعتماد قول نصر هنا؛ فإنَّ من المتعارف أَنَّ مَن هو أصغر من اليقطيني قد أقر نصر بروايته عن الحسن بن محبوب بعد امتناعه كأحمد بن </w:t>
      </w:r>
      <w:bookmarkStart w:id="341" w:name="pg9111_108126"/>
    </w:p>
    <w:p>
      <w:pPr>
        <w:pStyle w:val="BookText"/>
        <w:rPr/>
      </w:pPr>
      <w:bookmarkEnd w:id="341"/>
      <w:r>
        <w:rPr>
          <w:rFonts w:ascii="Amiri" w:hAnsi="Amiri" w:eastAsia="Amiri" w:cs="Amiri"/>
          <w:color w:val="111111"/>
          <w:sz w:val="28"/>
          <w:sz w:val="28"/>
          <w:szCs w:val="28"/>
          <w:rtl w:val="true"/>
          <w:lang w:bidi="ar-SA"/>
        </w:rPr>
        <w:t>محمد بن عيسى وأضرابه كالبرقي صاحب المحاسن وإبراهيم فالقولان لنصر لا يمكن الاعتماد عليهما بشكل تطمئن إليه النفوس، بل لعل الشكّ فيه يطغى خصوصاً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يبقي المشكلة قائمة، بل ويفاقمها، أنه حتى مع فرض كون الحسن بن محبوب كحال يونس وأضرابه من الذين أدركوا برهة من أيام الصادق له في مقتبل أعمارهم، إلا أننا نلاحظ أن هؤلاء لم يكن ليرووا عن الرابعة، بل ورواياته عن معاصري أبي حمزة لا ريب في سقوط الواسطة فيها متأخراً عنه، وأننا لو سلمنا أنه تسنّى له روايته عن الثمالي مباشرة، فإنَّه حينئذ سيلزم وجود السقط المحقق بين المكثرين عنه من السابعة، لتنتهي معظم رواياته بالإرسال من الجهة أخرى، ولعل هذا هو الشيء الذي كان في نفس أستاذنا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القول</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853469_2870459653"/>
      <w:bookmarkStart w:id="343" w:name="_Toc129"/>
      <w:bookmarkEnd w:id="342"/>
      <w:r>
        <w:rPr>
          <w:rtl w:val="true"/>
        </w:rPr>
        <w:t>الحل الرابع</w:t>
      </w:r>
      <w:r>
        <w:rPr>
          <w:rtl w:val="true"/>
        </w:rPr>
        <w:t xml:space="preserve">: </w:t>
      </w:r>
      <w:r>
        <w:rPr>
          <w:rtl w:val="true"/>
        </w:rPr>
        <w:t>لا حجة على عدم الملاقاة</w:t>
      </w:r>
      <w:bookmarkEnd w:id="343"/>
    </w:p>
    <w:p>
      <w:pPr>
        <w:pStyle w:val="BookText"/>
        <w:rPr/>
      </w:pPr>
      <w:r>
        <w:rPr>
          <w:rFonts w:ascii="Amiri" w:hAnsi="Amiri" w:eastAsia="Amiri" w:cs="Amiri"/>
          <w:color w:val="111111"/>
          <w:sz w:val="28"/>
          <w:sz w:val="28"/>
          <w:szCs w:val="28"/>
          <w:rtl w:val="true"/>
          <w:lang w:bidi="ar-SA"/>
        </w:rPr>
        <w:t xml:space="preserve">وهو 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ابن محبوب روى عن أبي حمزة الثمالي كتابه كما ذكره النجاشي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الحسن ابن محبوب عن أبي حمزة في عدة موارد، ومع تقييده بالثمالي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الحسن بن محبوب، مات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خمساً وسبعين سنة، إذن كيف يمكن روايته عن أبي حمزة المتوفى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سند لما ذكره من أنَّ الحسن بن محبوب مات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وأن عمره كان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إلا ما ذكره الكنّي في ترجمة الحسن بن محبوب عن علي بن محمد القتيبي، حدثني جعفر بن محمد بن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الحسن بن محبوب في آخر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وكان من أبناء خمس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علي بن محمد لم </w:t>
      </w:r>
    </w:p>
    <w:p>
      <w:pPr>
        <w:pStyle w:val="BookText"/>
        <w:rPr/>
      </w:pPr>
      <w:r>
        <w:rPr>
          <w:rFonts w:ascii="Amiri" w:hAnsi="Amiri" w:eastAsia="Amiri" w:cs="Amiri"/>
          <w:color w:val="111111"/>
          <w:sz w:val="28"/>
          <w:sz w:val="28"/>
          <w:szCs w:val="28"/>
          <w:rtl w:val="true"/>
          <w:lang w:bidi="ar-SA"/>
        </w:rPr>
        <w:t>يوثق، وجعفر بن محمد مجهول، فلا يمكن أن يعارض به خبر النجاشي والشيخ، وما تقدم من الروايات</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القتيبي أن وفاته كانت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يذكر، فإنَّ وفاته هي بتلك الحدود، فهو لا ريب ولا إشكال في كونه من الطبقة السادسة؛ بدلالة رواية السابعة عنه، خاصة وأنهم رواة كتبه، أمثال أحمد بن محمد بن عيسى المتوفى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محمد البرقي المتوفى في إحدى تينك السنتين، وعلي ابن فضال المولود في العقد الأول بعد المائة الثانية والمتوفى 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ﻫ؛ فإن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بحدودها لم يكن لهؤلاء أن يدركوه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 الجواب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اتهامهم له بروايته عن أبي حمزة،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رواه الكشي، عن نصر بن الصباح في ترجمة أحمد بن محمد بن عيسى من أن أحمد بن محمد بن عيسى لا يروي عن ابن محبوب، من أجل أن أصحابنا يتهمون ابن محبوب في روايته عن أبي حمزة، ثم تاب أحمد بن محمد، فرجع قبل ما مات، وكان يروى عمَّن كان أصغر سناً منه، فإن لم يناقش فيه من جهة نصر بن الصباح فهو شاهد على جواز رواية الحسن عن أبي حمزة لا على عدمه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قبول أحمد 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أعم من المدعى وهو حصول الملاقاة بين الحسن والثمالي، فالقبول ليست علته منحصرة بالملاقاة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لو أغمضنا عن ذلك وفرضنا أنه لم يثبت أنَّ الحسن بن محبوب أدرك أبا حمزة وروى عنه فلم يثبت خلافه أيضاً، وعليه فبما أنه يحتمل روايته عنه </w:t>
      </w:r>
      <w:bookmarkStart w:id="344" w:name="pg9111_108128"/>
    </w:p>
    <w:p>
      <w:pPr>
        <w:pStyle w:val="BookText"/>
        <w:rPr/>
      </w:pPr>
      <w:bookmarkEnd w:id="344"/>
      <w:r>
        <w:rPr>
          <w:rFonts w:ascii="Amiri" w:hAnsi="Amiri" w:eastAsia="Amiri" w:cs="Amiri"/>
          <w:color w:val="111111"/>
          <w:sz w:val="28"/>
          <w:sz w:val="28"/>
          <w:szCs w:val="28"/>
          <w:rtl w:val="true"/>
          <w:lang w:bidi="ar-SA"/>
        </w:rPr>
        <w:t>بلا واسطة وعن حس، والحسن بن محبوب ثقة، فلا بُدَّ من الأخذ بروايته؛ وذلك لبناء العقلاء على الأخذ بكل خبر ثقة يحتمل أن يكون عن حس</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يمكن قبول هذا لو كنا لا نعلم شيئاً عن تواريخ الرجلين وطبقتهما، أما مع علمنا باختلاف الطبقة والقرائن الكثيرة التي تدلّ على عدم الملاقاة، فتكون عدم الملاقاة هو ما يظهر عند المقارنة،الطبقية، فلا تصل النوبة إلى إعمال تلك التأصيلات العقلية أو العقلائية في هذا المقام، وللسيد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طويل على هذه الفقرة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في محله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2853471_2870459653"/>
      <w:bookmarkStart w:id="346" w:name="_Toc130"/>
      <w:bookmarkEnd w:id="345"/>
      <w:r>
        <w:rPr>
          <w:rtl w:val="true"/>
        </w:rPr>
        <w:t>الحل الخامس</w:t>
      </w:r>
      <w:r>
        <w:rPr>
          <w:rtl w:val="true"/>
        </w:rPr>
        <w:t xml:space="preserve">: </w:t>
      </w:r>
      <w:r>
        <w:rPr>
          <w:rtl w:val="true"/>
        </w:rPr>
        <w:t>التصحيف</w:t>
      </w:r>
      <w:bookmarkEnd w:id="34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رجال الكشي وتكون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سقطت من النجاشي، أو من النسّاخ، فقد روى الكثي عن حمدويه أنَّ لأبي حمزة ثلاثة أولاد ثقات الحسين وعلي ومحمد</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غير متجه بعدما ورد في الأسناد رواية ابن محبوب عن أبي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نظير من ادعى أن المراد من أبي حمزة هو علي بن أبي حمزة البطائني، فإنَّه لا يحل الإشكال المترتب من عدم لحوق الحسن بزمن الثمالي والمتعارض مع رواية الحسن عن أبي حمزة الثمالي ثابت بن دينار قطعاً كما في الأسناد، وعليه فهو أيضاً مما لا يمكن الاعتماد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الاحتمالات الواردة بغض النظر عن تعيّن أحدها، نتيجتها على الأغلب قبول الرواية، وهذا ما يوجب في النفس نوعاً من الوثوق بما ينقله الحسن بن محبوب السراد عن أبي حمزة الثمالي وإن لم يدركه، ومن مناشئ هذا الوثوق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وثوق أحمد ابن محمد بن عيسى قبله؛ فإنَّه يصلح شاهداً لوجود مدرك معتد به وإن كنا لا نعلم أي مدرك هو؛ لقبوله روايات الحسن بن محبوب عن أبي حمزة الثمالي من غير واسطة مع تشدّده وصرامته، بل وامتناعه فترة عن الرواية عنه، ومن ثُمَّ رجوعه وتوبته كما حكي، وهو محط الركب في الوثوق بما اعتمده أحمد، خاصة وأنه لا ينافي بعض الحلول المصححة للعمل برواية الحسن بن محبوب عن أبي حمزة الثمالي، والتي أقربها إلى نفسي ما احتمله السيد البروجردي قدست نفسه الطاهرة</w:t>
      </w:r>
      <w:r>
        <w:rPr>
          <w:rFonts w:eastAsia="Amiri" w:cs="Amiri" w:ascii="Amiri" w:hAnsi="Amiri"/>
          <w:color w:val="111111"/>
          <w:sz w:val="28"/>
          <w:szCs w:val="28"/>
          <w:rtl w:val="true"/>
          <w:lang w:bidi="ar-SA"/>
        </w:rPr>
        <w:t>.</w:t>
      </w:r>
      <w:bookmarkStart w:id="347" w:name="pg9111_108130"/>
    </w:p>
    <w:p>
      <w:pPr>
        <w:pStyle w:val="Heading3"/>
        <w:numPr>
          <w:ilvl w:val="2"/>
          <w:numId w:val="1"/>
        </w:numPr>
        <w:rPr/>
      </w:pPr>
      <w:bookmarkStart w:id="348" w:name="__RefHeading___Toc2853473_2870459653"/>
      <w:bookmarkStart w:id="349" w:name="_Toc131"/>
      <w:bookmarkEnd w:id="347"/>
      <w:bookmarkEnd w:id="348"/>
      <w:r>
        <w:rPr>
          <w:rtl w:val="true"/>
        </w:rPr>
        <w:t>المصادر</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 تصحيح وتعليق ميرداماد الاسترابادي،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استقصاء الاعتبار في شرح الاستبصار، تأليف الشيخ محمد بن الحسن ابن الشهيد الثاني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ﻫ،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 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الإكمال،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 لا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ﻫ،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محمد ثامر، الطبعة 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محمد علي بيضون،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مناسك الحج،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أمجد رياض والشيخ نزار يوسف نسخة محدودة التداول،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 أسانيد الكافي،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 بخط وتحرير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النوري الهمداني،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في الآستانة الرضوية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طبع في مطابع مؤسسة الطبع والنشر للآستانة الرضوية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منهج المقال،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 باقر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بحث السيد البروجردي في القبلة والستر و مكان المصلي،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بناه الاشتهاردي،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 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تاريخ بغداد ابن النجار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يحيى، الطبعة الأولى، سنة الطبع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الطبعة الأولى سنة الطبع 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الخامسة،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المقال في خمس الرسول والآل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البروجردي للسيدعباس الحسيني القزويني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ﻫ،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الطبعة 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قبسات من علم الرجال،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 جمع ونظم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السيدمحمد البكاء، نسخة أولية محدودة التداول،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 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الخامسة،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 حيدري،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في علم الرواية،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عمر هاشم، الطبعة 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الرجال،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الدين المولى عناية الله بن علي القهبائي،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الشهير بالأصفهاني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بأصفهان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معتمد العروة الوثقى،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الخلخالي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قم،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طبقات المكثرين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المرتضى لإحياء التراث والبحوث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في أحوال الرجال، المؤلّف الشيخ محمد بن إسماعيل المازندراني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الرجال،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التفرشي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 الأولى، سنة الطبع شوال،</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السيد حسن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الغرباوي،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المشعر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في تحقيق أسناد كتاب الكافي،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شبر،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المرتضى لإحياء التراث والبحوث الإسلامية المطبعة دار الكفيل للطباعة والنشر والتوزيع، الطبعة 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9111_108135"/>
      <w:bookmarkStart w:id="351" w:name="pg9111_108135"/>
      <w:bookmarkEnd w:id="351"/>
    </w:p>
    <w:p>
      <w:pPr>
        <w:pStyle w:val="Heading2"/>
        <w:numPr>
          <w:ilvl w:val="1"/>
          <w:numId w:val="1"/>
        </w:numPr>
        <w:rPr/>
      </w:pPr>
      <w:bookmarkStart w:id="352" w:name="pg9111_108135"/>
      <w:bookmarkStart w:id="353" w:name="__RefHeading___Toc2853475_2870459653"/>
      <w:bookmarkStart w:id="354" w:name="_Toc132"/>
      <w:bookmarkEnd w:id="352"/>
      <w:bookmarkEnd w:id="353"/>
      <w:r>
        <w:rPr>
          <w:rtl w:val="true"/>
        </w:rPr>
        <w:t>تحقيق حال جابر الجعفي</w:t>
      </w:r>
      <w:r>
        <w:rPr>
          <w:rtl w:val="true"/>
        </w:rPr>
        <w:t>(</w:t>
      </w:r>
      <w:r>
        <w:rPr>
          <w:rtl w:val="true"/>
        </w:rPr>
        <w:t>الحلقة الثانية</w:t>
      </w:r>
      <w:r>
        <w:rPr>
          <w:rtl w:val="true"/>
        </w:rPr>
        <w:t xml:space="preserve">) - </w:t>
      </w:r>
      <w:r>
        <w:rPr>
          <w:rtl w:val="true"/>
        </w:rPr>
        <w:t xml:space="preserve">الشيخ محمَّد الجعفري </w:t>
      </w:r>
      <w:r>
        <w:rPr>
          <w:rtl w:val="true"/>
        </w:rPr>
        <w:t>(</w:t>
      </w:r>
      <w:r>
        <w:rPr>
          <w:rtl w:val="true"/>
        </w:rPr>
        <w:t>دام عزه</w:t>
      </w:r>
      <w:r>
        <w:rPr>
          <w:rtl w:val="true"/>
        </w:rPr>
        <w:t>)</w:t>
      </w:r>
      <w:bookmarkEnd w:id="354"/>
    </w:p>
    <w:p>
      <w:pPr>
        <w:pStyle w:val="Heading3"/>
        <w:numPr>
          <w:ilvl w:val="2"/>
          <w:numId w:val="1"/>
        </w:numPr>
        <w:rPr/>
      </w:pPr>
      <w:bookmarkStart w:id="355" w:name="__RefHeading___Toc2853477_2870459653"/>
      <w:bookmarkStart w:id="356" w:name="_Toc133"/>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 xml:space="preserve">الغلاة فرقة نشأت في أوساط المسلمين تبتني دعواها على رفع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درجة الإمامة والاصطفاء الإلهي إلى درجة النبوة أو الإلوهيَّة، ويقترن بها غالباً الغلوّ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ورفعه عن درجة النبوة إلى درجة الإلوهيَّة، وكذلك الغلوّ في عدد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والمقداد وأبي ذر والنقباء الاثني عشر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وتبني كثير من مذاهب الغلوّ على التناسخ بمعنى أنَّ الأرواح تنتقل بعد الموت من جسم إلى آخر، أو المسخ بمعنى نقلها إلى أجسام بعض الحيوانات معاقبة لها، كما أنَّها غالباً لا أحكام فقهيَّة لها، بل هي تهتم بأمر المعرفة وترى أنَّها مناط الإيمان</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9111_108137"/>
      <w:bookmarkStart w:id="358" w:name="pg9111_108137"/>
      <w:bookmarkEnd w:id="358"/>
    </w:p>
    <w:p>
      <w:pPr>
        <w:pStyle w:val="BookText"/>
        <w:rPr/>
      </w:pPr>
      <w:bookmarkStart w:id="359" w:name="pg9111_108137"/>
      <w:bookmarkEnd w:id="35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كان الكلام في الحلقة الأولى في تحقيق حال التابعي جابر بن يزيد الجعفي في المقام الأوَّل في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وكنيته، قبيلته، عقبه وقرابته، مشايخه في العلم، ولادته ووفاته وعمره، من روى عنه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طبقته، مذهبه، نشاطاته، أخذه العلم في مكة والمدينة، وعصره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ووصل الكلام إلى</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853479_2870459653"/>
      <w:bookmarkStart w:id="361" w:name="_Toc134"/>
      <w:bookmarkEnd w:id="360"/>
      <w:r>
        <w:rPr>
          <w:rtl w:val="true"/>
        </w:rPr>
        <w:t>الجهة الثالثة عشرة</w:t>
      </w:r>
      <w:r>
        <w:rPr>
          <w:rtl w:val="true"/>
        </w:rPr>
        <w:t xml:space="preserve">: </w:t>
      </w:r>
      <w:r>
        <w:rPr>
          <w:rtl w:val="true"/>
        </w:rPr>
        <w:t>شهرة جابر في الوسط الاجتماعي</w:t>
      </w:r>
      <w:r>
        <w:rPr>
          <w:rtl w:val="true"/>
        </w:rPr>
        <w:t>..</w:t>
      </w:r>
      <w:bookmarkEnd w:id="361"/>
    </w:p>
    <w:p>
      <w:pPr>
        <w:pStyle w:val="Heading4"/>
        <w:numPr>
          <w:ilvl w:val="3"/>
          <w:numId w:val="1"/>
        </w:numPr>
        <w:rPr/>
      </w:pPr>
      <w:bookmarkStart w:id="362" w:name="__RefHeading___Toc2853481_2870459653"/>
      <w:bookmarkStart w:id="363" w:name="_Toc135"/>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يظهر من مجموع ما جاء في كتب الرجال والفِرَق والتواريخ أنَّ جابراً كانت له شهرة كبيرة في عصره في حدود المائة، وتستمد تلك الشهرة</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853483_2870459653"/>
      <w:bookmarkStart w:id="365" w:name="_Toc136"/>
      <w:bookmarkEnd w:id="364"/>
      <w:r>
        <w:rPr>
          <w:rtl w:val="true"/>
        </w:rPr>
        <w:t>الأوَّل</w:t>
      </w:r>
      <w:r>
        <w:rPr>
          <w:rtl w:val="true"/>
        </w:rPr>
        <w:t xml:space="preserve">: </w:t>
      </w:r>
      <w:r>
        <w:rPr>
          <w:rtl w:val="true"/>
        </w:rPr>
        <w:t>أصالته</w:t>
      </w:r>
      <w:r>
        <w:rPr>
          <w:rtl w:val="true"/>
        </w:rPr>
        <w:t>..</w:t>
      </w:r>
      <w:bookmarkEnd w:id="365"/>
    </w:p>
    <w:p>
      <w:pPr>
        <w:pStyle w:val="BookText"/>
        <w:rPr/>
      </w:pPr>
      <w:r>
        <w:rPr>
          <w:rFonts w:ascii="Amiri" w:hAnsi="Amiri" w:eastAsia="Amiri" w:cs="Amiri"/>
          <w:color w:val="111111"/>
          <w:sz w:val="28"/>
          <w:sz w:val="28"/>
          <w:szCs w:val="28"/>
          <w:rtl w:val="true"/>
          <w:lang w:bidi="ar-SA"/>
        </w:rPr>
        <w:t>فإنَّه كان عربياً أصيلاً من سادات بيت جعفي، وهذا بطبيعة الحال يؤثّر في وجاهته وموقعه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عرفنا أنَّ قبيلة جعفي كانت إحدى القبائل اليمنيّة التي شارك بعض بطونها في حرب القادسية، حتى كانوا قسماً من الجيش، وعيّن عليهم عمر أحدَ رجالها، ثمَّ استقروا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حضور بارز فيها حتى كان لهم حيٌّ من أحيائها الأربعة المحيطة بمسجد الكوفة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من هذه القبيلة علمان مشهوران من مشاهير رجال الكوفة من أصحاب ابن مسعود قبل طبقة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بن عوسجة الجعفي من أولاد حريم بن جعفي بن سعد العشيرة</w:t>
      </w:r>
      <w:r>
        <w:rPr>
          <w:rStyle w:val="FootnoteAnchor"/>
          <w:rtl w:val="true"/>
        </w:rPr>
        <w:footnoteReference w:id="351"/>
      </w:r>
      <w:r>
        <w:rPr>
          <w:rFonts w:ascii="IRNazanin" w:hAnsi="IRNazanin" w:eastAsia="IRNazanin"/>
          <w:color w:val="111111"/>
          <w:sz w:val="28"/>
          <w:sz w:val="28"/>
          <w:szCs w:val="28"/>
          <w:rtl w:val="true"/>
          <w:lang w:bidi="fa-IR"/>
        </w:rPr>
        <w:t xml:space="preserve">، أحد فقهاء الكوفة من أصحاب ابن مسعود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عنه الإمام القدوة الفقيه، تُوفّي سنة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وعشرين سنة، وقد شهد حرب القادسية، كما شهد صفين، وقد حُكيت له فتاوى في كتب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عبد الرحمن بن أبي سبرة، من أولاد مرار بن جعفي بن سعد العشيرة، من الفقهاء العلماء العبّاد، تُوفّي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حكي أنَّ أبا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جنازته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حزناه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صاحب ابن مسعود أيضاً، وهو من بيت وجيه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معروفاً بالكوفة يسمّى ببيت أبي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يلتقون مع جابر في كونهم من فرع مران بن جعفي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قد وَفَدَ وَفْدُ جعفي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الوفود، وكان وافدهم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سبرة مع ولديه سبرة وعزيز، فسمّى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والد خيثمة، وكان الوافد من العشائر وجهاءهم وساداتهم وأهل المكانة فيهم، وقد جاءوا أيضاً إلى العراق لحرب القادسية وشاركوا فيها وتوطنوا في الكوفة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 خيثمة هذا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له أولاد عدّة يُعدّون هم وأولادهم في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خيثمة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المعدود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غير خيثمة المعدود من أصحاب ابن مسعود كما يعطيه التأمل في كلام النجاشي وتقتضيه الطبقة، فإنَّ خيثمة الأوَّل تُوفّي قبل سنة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يُعدّ من أصحاب الباقر ‚ بطبيعة الحال، وَوَهَم فيه بعض الأعلام في تهذيب المقال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66" w:name="pg9111_108139"/>
    </w:p>
    <w:p>
      <w:pPr>
        <w:pStyle w:val="BookText"/>
        <w:rPr/>
      </w:pPr>
      <w:bookmarkEnd w:id="366"/>
      <w:r>
        <w:rPr>
          <w:rFonts w:ascii="Amiri" w:hAnsi="Amiri" w:eastAsia="Amiri" w:cs="Amiri"/>
          <w:color w:val="111111"/>
          <w:sz w:val="28"/>
          <w:sz w:val="28"/>
          <w:szCs w:val="28"/>
          <w:rtl w:val="true"/>
          <w:lang w:bidi="ar-SA"/>
        </w:rPr>
        <w:t xml:space="preserve">وقد ذكر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الحصين بن عبد الرحمن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وأبوه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وعمومته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وإسماعيل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في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أوجههم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بيت بالكوفة من جعفي، يقال لهم بنو أبي سبرة، منهم خيثمة ابن عبد الرحمن صاحب عبد الله بن مسعود</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البيت عدد من المحدّثين والرواة كما اعتنى بجمعهم بعض الأعلام</w:t>
      </w:r>
      <w:r>
        <w:rPr>
          <w:rStyle w:val="FootnoteAnchor"/>
          <w:rtl w:val="true"/>
        </w:rPr>
        <w:footnoteReference w:id="3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ومقتضى عموم كلام النجاشي أنَّ خيثمة أيضاً كان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جابراً لم يدرك هذين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وخيثمة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لا نجد رواية له عنهما، وهذا يؤيد ما استظهرناه من أنَّه ولد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جابراً كان أوجه أفراد عشيرته في طبقته، حيث لا نجد ذكر أيٍّ من قومه من جملة المشاهير في تابعي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مشاهير علماء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أبرز شخصية في هذا البيت، وهو الشخصية الوحيدة التي تذكر منها في هذه الطبقة في كتب الأنساب</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853485_2870459653"/>
      <w:bookmarkStart w:id="368" w:name="_Toc137"/>
      <w:bookmarkEnd w:id="367"/>
      <w:r>
        <w:rPr>
          <w:rtl w:val="true"/>
        </w:rPr>
        <w:t>الثاني</w:t>
      </w:r>
      <w:r>
        <w:rPr>
          <w:rtl w:val="true"/>
        </w:rPr>
        <w:t xml:space="preserve">: </w:t>
      </w:r>
      <w:r>
        <w:rPr>
          <w:rtl w:val="true"/>
        </w:rPr>
        <w:t>نشاطه العلمي</w:t>
      </w:r>
      <w:r>
        <w:rPr>
          <w:rtl w:val="true"/>
        </w:rPr>
        <w:t>..</w:t>
      </w:r>
      <w:bookmarkEnd w:id="36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النشاط العلمي لجابر كان واسعاً وكان جابر بعلمه وسعة حديثه مؤهّلاً لأداء دور أكبر في الوسط الإسلامي العام، لاسيّما مع شيخوخته في الحديث تدريجاً، وسيأتي أنَّ جابراً كان قد تتلمذ على كبار التابعين في التفسير والحديث كما كان عالماً بالتاريخ معنياً به، وهذه هي العلوم الثلاثة المفروضة في عصره، ولولا أنَّه مال إلى المذهب الإمامي لعُدَّ من قبل علماء الجمهور من مشاهير التابعين في طبقته في الكوفة كما عُدّ سويدٌ وخيثمة</w:t>
      </w:r>
      <w:r>
        <w:rPr>
          <w:rFonts w:eastAsia="Amiri" w:cs="Amiri" w:ascii="Amiri" w:hAnsi="Amiri"/>
          <w:color w:val="111111"/>
          <w:sz w:val="28"/>
          <w:szCs w:val="28"/>
          <w:rtl w:val="true"/>
          <w:lang w:bidi="ar-SA"/>
        </w:rPr>
        <w:t xml:space="preserve">. </w:t>
      </w:r>
      <w:bookmarkStart w:id="369" w:name="pg9111_108140"/>
    </w:p>
    <w:p>
      <w:pPr>
        <w:pStyle w:val="Heading4"/>
        <w:numPr>
          <w:ilvl w:val="3"/>
          <w:numId w:val="1"/>
        </w:numPr>
        <w:rPr/>
      </w:pPr>
      <w:bookmarkStart w:id="370" w:name="__RefHeading___Toc2853487_2870459653"/>
      <w:bookmarkStart w:id="371" w:name="_Toc138"/>
      <w:bookmarkEnd w:id="369"/>
      <w:bookmarkEnd w:id="370"/>
      <w:r>
        <w:rPr>
          <w:rtl w:val="true"/>
        </w:rPr>
        <w:t>الثالث</w:t>
      </w:r>
      <w:r>
        <w:rPr>
          <w:rtl w:val="true"/>
        </w:rPr>
        <w:t xml:space="preserve">: </w:t>
      </w:r>
      <w:r>
        <w:rPr>
          <w:rtl w:val="true"/>
        </w:rPr>
        <w:t xml:space="preserve">التحوّل الذي صار في مذهبه إلى مذهب الباقر والصادق </w:t>
      </w:r>
      <w:r>
        <w:rPr>
          <w:rtl w:val="true"/>
        </w:rPr>
        <w:t>(</w:t>
      </w:r>
      <w:r>
        <w:rPr>
          <w:rtl w:val="true"/>
        </w:rPr>
        <w:t>علیهما السلام</w:t>
      </w:r>
      <w:r>
        <w:rPr>
          <w:rtl w:val="true"/>
        </w:rPr>
        <w:t>)..</w:t>
      </w:r>
      <w:bookmarkEnd w:id="371"/>
    </w:p>
    <w:p>
      <w:pPr>
        <w:pStyle w:val="BookText"/>
        <w:rPr/>
      </w:pPr>
      <w:r>
        <w:rPr>
          <w:rFonts w:ascii="Amiri" w:hAnsi="Amiri" w:eastAsia="Amiri" w:cs="Amiri"/>
          <w:color w:val="111111"/>
          <w:sz w:val="28"/>
          <w:sz w:val="28"/>
          <w:szCs w:val="28"/>
          <w:rtl w:val="true"/>
          <w:lang w:bidi="ar-SA"/>
        </w:rPr>
        <w:t>فإنَّه إذا كان قد سقط به من أعين جماعة، فقد أصبح ذلك من جهة أخرى سبباًَ في مزيد شهرته بهذا الأمر، لأنَّه كان تحوّلاً في مذهبه بعد أن تعلَّم وكان شيخاً فاضلاً من شيوخ الحديث، فكان لذلك صدى في أوساط أهل الحديث من بعض مشايخه الذين كانوا على قيد الحياة كالشعبي، ومن زملائه وتلامذته بطبيعة الحال، لاسيّما أنَّه كان يفصح عن هذا التحوّل بنحو أو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يتوقع أنَّ جابراً أدّى دوراً كبيراً في تحوّل قبيلة جعفي إلى التشيّع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جزءاً من التحوّل العام للكوفة إلى هذا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غريباً أنَّ بعض أتباع معاوية بن عبد الله بن جعفر بن أبي طالب بعد ممات جابر كان يروّج أنّ جابراً الجعفي وجابر بن عبد الله الأنصاري منهم ويوافقانه على ما يروّجه من الغلوّ كي يجد قبولاً في الوسط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لقبيلة جعفي قطعاً دور كبير في الفتن والحروب التي نشأت في أوساط أهل الكوفة مثل حركة المختار وابن الزبير وزيد بن علي وغيرهم</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853489_2870459653"/>
      <w:bookmarkStart w:id="373" w:name="_Toc139"/>
      <w:bookmarkEnd w:id="372"/>
      <w:r>
        <w:rPr>
          <w:rtl w:val="true"/>
        </w:rPr>
        <w:t>الجهة الرابعة عشرة</w:t>
      </w:r>
      <w:r>
        <w:rPr>
          <w:rtl w:val="true"/>
        </w:rPr>
        <w:t xml:space="preserve">: </w:t>
      </w:r>
      <w:r>
        <w:rPr>
          <w:rtl w:val="true"/>
        </w:rPr>
        <w:t>جابر والسلطة الحاكمة</w:t>
      </w:r>
      <w:r>
        <w:rPr>
          <w:rtl w:val="true"/>
        </w:rPr>
        <w:t>..</w:t>
      </w:r>
      <w:bookmarkEnd w:id="37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الخلافة الأمويّة وتولّي ولاتهم للكوفة التي كانت علويّة الهوى، وقد كان وجهاء الشيعة وعلماؤهم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رقابة السلطة الحاكمة، إذ كانوا يعتبرون مصدر تهديد لها، وهذا ممّا كان يساعد على إمكان تصدّر بعض غير أهل العلم والفقه والوجاهة للحركات الثوريّة وذهابهم إلى مذاهب في الغلوّ والاعتقاد مخالفة لبديهيّات الإسلام وإسقاطهم للتكاليف الفرعيّة رأساً تخلّصاً عن عناء استنباطها وتكفّل مرجعيّتها فيظهر بذلك جهلهم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ذكرنا كان وجهاء الشيعة مضطرين إلى التخفّي تارة، وإظهار الجنون أخرى، والتقية ثالثة، ومن أمثلة ذلك ما اتفق لمعاصري جابر من وجهاء الشيعة ورجالهم ما ذكره النجاشي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من حبس يوسف بن عمر له بعد قتل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قتله إياه، فهرب ابنه عبد الرحمن مع ولده خالد وكان صغير السن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رُوْذُ</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يقطين بن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داعية فطلبه مروان فهرب،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به وبأخيه عبيد إلى المدينة حتى ظهرت الدولة ورجعت، ومات علي بن يقطين نفسه في سجن هارون بعد أربع سنين من الحبس</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في شرح تكملة رسالة أبي غالب في حديثه عن آل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مثل حمران في طبقة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منهم كان فقيهاً يصلح أن يكون مفتي بلد، ما خلا عبد الرحمن بن أعين، فسألته عن العلّة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يتعاطى الفتوى إلى أيام الحجّاج، فلمّا قدم الحجّاج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لنا الملك، ومن آل أعين رجل تحت الحجر، فاختفوا وتواروا، فلمّا اشتدّ الطلب عليهم ظفر بعبد الرحمن هذا المفتي من بين إخوته، فأُدخل على الحجّاج، فلمّا بصر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تأتوني بآل أعين، وجئتموني بزبارها، وخلّى سبيله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النجاشي وغيره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قارئاً فقيهاً وجهاً، روى عن أبي عبد الله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 مع زيد، ولم يخرج معه من </w:t>
      </w:r>
    </w:p>
    <w:p>
      <w:pPr>
        <w:pStyle w:val="BookText"/>
        <w:rPr/>
      </w:pPr>
      <w:r>
        <w:rPr>
          <w:rFonts w:ascii="IRNazanin" w:hAnsi="IRNazanin" w:eastAsia="IRNazanin"/>
          <w:color w:val="111111"/>
          <w:sz w:val="28"/>
          <w:sz w:val="28"/>
          <w:szCs w:val="28"/>
          <w:rtl w:val="true"/>
          <w:lang w:bidi="fa-IR"/>
        </w:rPr>
        <w:t xml:space="preserve">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فقطعت يده، وكان الذي قطعها يوسف بن عمر بنفسه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الكشّي عن علي بن الحسن 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بن عمر هو الذي قتل زيداً، وكان على العراق، وقطع يد أمّ خالد وهي امرأة صالحة على التشيّع، وكانت مائلة إلى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قتل من الشيعة في زمان الحجّاج قنبرٌ 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وسعيد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ويحيى بن أمّ الطويل</w:t>
      </w:r>
      <w:r>
        <w:rPr>
          <w:rStyle w:val="FootnoteAnchor"/>
          <w:rtl w:val="true"/>
        </w:rPr>
        <w:footnoteReference w:id="3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واتفق لرجال الشيعة في زمن بني العباس مثل ذلك من قتل وحبس وتعقّب كما اتفق لعلي بن يقطين، ومعلّى بن خنيس، وابن أبي عمير، وعمر بن أذينة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عاش جابر في عصر الخلافة الأمويّة منذ ولادته حتى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وعاصر جميع خلفاء بني مروان وأوَّلهم مروان بن الحكم الذي ولي 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مروان الحمار الذي ولي 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بعض الأخبار من طرق الإمامية أنَّ جابر الجعفي تعرّض للتعقّب من قبل هشام بن عبد الملك بن مروان الذي تولّى الخلافة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ولّى خالد بن عبد الله القسري إمارة الكوفة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عزله وولّى يوسف ابن عمر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عزله يزيد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ولّى يزيد منصور ابن جمهور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اختلفت الأخبار في طريقة تخلّص جابر عن هذا التعقّب فجاء في بعض الأخبار أنَّه تخلّص عنه بإظهار الجنون، وفي بعضها الآخر أنَّه تخلّص عنه بالتخفّي والاستتار، وربّما يحتمل تعدّد الواقعة، وعلى كلّ حال فإنَّ ذلك كان بعد بلوغ جابر مستوى مرموقاً من الشخصيّة الاجتماعيّة والعلميّة في مجتمعه، إذ كان يبلغ عمره آنذاك خمسين سنة فما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جاء فيما روى الكليني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الكليني المعروف بعلّان، خال الشيخ الكليني، ثقة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عن صالح بن أبي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الأوَّل فلم يقيّده إلّا في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الكليني عن صالح ابن أبي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فبقرينة هذا المورد يكون المراد ما استظهرناه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في مورد إطلاق العنوان ينصرف إلى الأشهر الأعرف وهو في هذه الطبقة خاله الكليني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يلاحظ 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ضعّفه النجاشي وابن الغضائري وارتضاه الفضل بن شاذان، وبالنتيجة يكون الرجل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فهرست أسماء مصنفي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أورمة</w:t>
      </w:r>
      <w:r>
        <w:rPr>
          <w:rStyle w:val="FootnoteAnchor"/>
          <w:rtl w:val="true"/>
        </w:rPr>
        <w:footnoteReference w:id="363"/>
      </w:r>
      <w:r>
        <w:rPr>
          <w:rFonts w:ascii="Amiri" w:hAnsi="Amiri" w:eastAsia="Amiri" w:cs="Amiri"/>
          <w:color w:val="111111"/>
          <w:sz w:val="28"/>
          <w:sz w:val="28"/>
          <w:szCs w:val="28"/>
          <w:rtl w:val="true"/>
          <w:lang w:bidi="ar-SA"/>
        </w:rPr>
        <w:t xml:space="preserve">، عن أحمد بن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ثقة</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عن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مزاملاً لجابر بن يزيد الجعفي، فلمّا أنْ كنّا بالمدينة دخل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فودّعه وخرج من عنده وهو مسرور حتى وردنا الأخيرجة</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منزل نعدل من فَيد</w:t>
      </w:r>
      <w:r>
        <w:rPr>
          <w:rStyle w:val="FootnoteAnchor"/>
          <w:rtl w:val="true"/>
        </w:rPr>
        <w:footnoteReference w:id="36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جمعة فصلّينا الزوال، فلمّا نهض بنا البعير إذا أنا برجل طوال آدم معه كتاب، فناوله جابراً فتناوله فقبّله ووضعه على عينيه وإذا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ابن علي إلى جابر بن يزيد وعليه طين أسود رطب،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أو بعد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ففكّ الخاتم وأقبل يقرؤه ويقبض وجهه حتى أتى على آخره، ثمّ أمسك الكتاب فما رأيته ضاحكاً ولا مسروراً حتى وافى الكوفة، فلّما وافينا الكوفة ليلاً بتُّ ليلتي، فلّما أصبحت أتيته إعظاماً له فوجدته قد خرج عليَّ وفي عنقه كعاب، قد علّقها وقد ركب قصبة،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منصور بن جمهور أميراً غير مأمور وأبياتاً من نحو هذا، فنظر في وجهي ونظرت في وجهه فلم يقل لي شيئاً ولم أقل له، وأقبلت أبكي لما رأيته واجتمع عليَّ وعليه الصبيان والناس، وجاء حتى دخل الرحبة وأقبل يدور مع الصبيان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w:t>
      </w:r>
    </w:p>
    <w:p>
      <w:pPr>
        <w:pStyle w:val="BookText"/>
        <w:rPr/>
      </w:pPr>
      <w:r>
        <w:rPr>
          <w:rFonts w:ascii="Amiri" w:hAnsi="Amiri" w:eastAsia="Amiri" w:cs="Amiri"/>
          <w:color w:val="111111"/>
          <w:sz w:val="28"/>
          <w:sz w:val="28"/>
          <w:szCs w:val="28"/>
          <w:rtl w:val="true"/>
          <w:lang w:bidi="ar-SA"/>
        </w:rPr>
        <w:t>ابن يزيد جُنَّ، فوالله ما مضت الأيام حتى ورد كتاب هشام بن عبد الملك</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وكانت شهادة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 من ذي الحجة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فلا بُدَّ أن يكون أمر هشام بقتل جابر بن يزيد الجعفي في حياة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الوالي خالد بن عبد الله القسري الذي استمرت ولايته على الكوفة خمس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واليه أن انظر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فاضرب عنقه وابعث إلي برأسه، فالتفت إلى جلسائه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 بن يزيد الجعفي؟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كان رجلاً له علم، وفضل وحديث، وحج، فجُنَّ وهو ذا في الرحبة مع الصبيان على القصب يلعب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 فإذا هو مع الصبيان يلعب على القصب،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تمضِ الأيام حتى دخل منصور بن جمهور</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وكان ذلك بعد وفاة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باثنتي عشرة سنة،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المغيّبات التي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ولّى مروان بن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عمر بن هبيرة الفزاري العراق، فقدمها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يزيد بن عمر بن هبيرة العراق هرب منصور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وصنع ما كان يقول جابر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إسناد الحديث حسن إلى أحمد بن النضر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الكليني في جامعه الذي عرفت حاله، وفيه ضروب من المعاجز</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ممّا رواه غير واحد من المتّهمين بالغلوّ مثل محمَّد بن أورمة، وصالح بن أبي حمّاد، وينتهي إلى رجل مجهول وهو النعمان بن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كونه تحريفاً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عمرو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ذكره الشيخ في الرجال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لاسيّما أنَّه من عشيرته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ضعيف جداً بحسب الإسناد، ولا شهادة لوروده في الكافي على اعتباره، كما أنّه غريب من حيث المضمون، بما تضمّنه من مجيء رجل من الجن رآه النعمان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ومقتضى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حياة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في زمان ولاية خالد بن عبد الله القسري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كتاب الاختصاص المنسوب إلى المفيد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الصفار، عن أحمد بن محمَّد بن عيسى، عن البرقي، عن أحمد بن النضر الخزّاز، عن النعمان بن بشير،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كتاب هشام بن عبد الملك على يوسف بن عثمان بأنْ انظر رجلاً من جعف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بعض الأعلام أنَّ 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ورد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يظهر الوجه فيه مع جهالة النعمان بن بشير، مضافاً إلى عدم اعتبار كتاب الاختصاص على ما حقّق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الألف فيشبه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فيقتضي أنّ الواقعة كانت في أواخر عهد جابر لأنَّ يوسف بن عمر تولّى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هذا لا يناسب ما فرض من حياة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فالحديث مضطرب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الحديث ابن شهرآشوب في المناقب</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عن النعمان بن بشير بمثل لفظ الكافي، وكأنَّه أخذه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عن نصر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يعقوب إسحاق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جابر ذات يوم وعلى رأسه قوصرة راكباً قصبة حتى مرَّ على سكك الكوفة،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جنّ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فلبثنا بعد ذلك أيّاماً، فإذا كتاب هشام قد جاء بحمله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الأمير فشهدوا عنده أنَّه قد اختلط، وكتب بذلك إلى هشام فلم يتعرَّض له، ثمَّ رجع إلى ما كان من حاله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أيضاً ضعيف من جهة الإرسال بين علي بن عبد الله وجابر، مضافاً إلى تضعيف نصر حيث اتّهم بالغلوّ، وكذلك إسحاق بن محمَّد البصري فقد اتّهم بالغلوّ، بل قال الكشّي إنَّه من أركانهم، ونسب إليه فرقة الإسحاقية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بن عبد الله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 الشيخ من أصحاب العسكري ‚، وقال الكشّي إنَّه سأل عنه العيّاشي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يمتحن في أوقات </w:t>
      </w:r>
    </w:p>
    <w:p>
      <w:pPr>
        <w:pStyle w:val="BookText"/>
        <w:rPr/>
      </w:pPr>
      <w:r>
        <w:rPr>
          <w:rFonts w:ascii="Amiri" w:hAnsi="Amiri" w:eastAsia="Amiri" w:cs="Amiri"/>
          <w:color w:val="111111"/>
          <w:sz w:val="28"/>
          <w:sz w:val="28"/>
          <w:szCs w:val="28"/>
          <w:rtl w:val="true"/>
          <w:lang w:bidi="ar-SA"/>
        </w:rPr>
        <w:t>الصلوات، ولم أحضره في وقت صلاة، ولم أسمع فيه إلّا خيراً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أيضاً عن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عبيد، ومحمَّد بن منصور الكوفي، عن محمَّد بن إسماعيل، عن صدقة، عن عمرو بن شمر،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العلاء بن يزيد رجل 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لمّا طلبه هشام حتى انتهى إلى السواد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الرواية فيها كرامتان لجابر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الإسناد أيضاً ضعيف، وقد ذكرنا حال نصر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الرازي البرمكي،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وعمرو بن شمر مضعّف بالغلوّ، والعلاء بن يزيد مجهول كما ينبّه عليه قول الراوي رجل من 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نصوص تعقّب هشام بن عبد الملك لجابر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في بعض الأخبار الضعيفة تعقّبه من قبل بعض خلفاء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تعيينه، فقد ذكر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 حديثاً موهوناً جاء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 بعض الأخبار إلى بني أمية فأنفذوا ليريدوا قتله، فصادفوه في طرقات المدينة راكب القصب يطوف ويصيح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فكتبوا يخبرون السلطان من بني أميّة بجنونه، فبعث إليهم أردنا قتله لما فعل فإذا كان قد جنّ اتركوه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لجابر خير من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يخطر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أصل تعقّب هشام لجابر، ولا يبعد كونه في زمان يوسف بن عمر الذي اشتهر بشدّته على الشيعة بعد الحجّاج، ولكن باقي القضية </w:t>
      </w:r>
    </w:p>
    <w:p>
      <w:pPr>
        <w:pStyle w:val="BookText"/>
        <w:rPr/>
      </w:pPr>
      <w:r>
        <w:rPr>
          <w:rFonts w:ascii="Amiri" w:hAnsi="Amiri" w:eastAsia="Amiri" w:cs="Amiri"/>
          <w:color w:val="111111"/>
          <w:sz w:val="28"/>
          <w:sz w:val="28"/>
          <w:szCs w:val="28"/>
          <w:rtl w:val="true"/>
          <w:lang w:bidi="ar-SA"/>
        </w:rPr>
        <w:t>تلفيقات من الغلاة والوضّاع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ويساعد على أصل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تظاهر جابر بالجنون ممّا لا ريب فيه، وقد ذكره علماء الجمهور أيضاً في ترجمته، ومثل جابر مظنَّة لتعقّبه من قبل الدولة الأمويّة وولاتها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وفي حديث آخر أنَّ جابراً تظاهر بالجنون عند قتل الوليد، فقد روى الكشّي عن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عن ابن أبي عمير، عن عبد الحميد بن أبي العلا،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المسجد حين قتل الوليد، فإذا الناس مجتمعون،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فإذا جابر الجعفي عليه عمامة خزّ حمراء وإذا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وصي الأوصياء ووارث علم الأنبياء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جنّ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والوليد المقتول هو الوليد بن يزيد بن عبد الملك تولّى الخلافة بعد هشام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بشدّة مجونه وفسقه حتى نُقم عليه، فخرج عليه ابن عمّه يزيد بن الوليد بن عبد الملك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وتولّى الخلافة، وقد اضطرب ملك بني مروان بعد مقتل الوليد بما وقع فيهم من الخلاف في أحداث وصفت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ما جاء في الرواية يحتمل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جابراً أظهر الجنون من جهة حساسيّة الوضع بعد مقتل الوليد، مضافاً إلى أن عهد كل خليفة جديد مظنَّة للتشديد في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ذلك لحدوث انفراج ما في الوضع، فكان قول جابر هذا نحو إشهار لإمامة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مع التظاهر بالجنون احتياطاً لنفسه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غير ذلك</w:t>
      </w:r>
      <w:r>
        <w:rPr>
          <w:rFonts w:eastAsia="Amiri" w:cs="Amiri" w:ascii="Amiri" w:hAnsi="Amiri"/>
          <w:color w:val="111111"/>
          <w:sz w:val="28"/>
          <w:szCs w:val="28"/>
          <w:rtl w:val="true"/>
          <w:lang w:bidi="ar-SA"/>
        </w:rPr>
        <w:t xml:space="preserve">. </w:t>
      </w:r>
      <w:bookmarkStart w:id="374" w:name="pg9111_108150"/>
    </w:p>
    <w:p>
      <w:pPr>
        <w:pStyle w:val="Heading3"/>
        <w:numPr>
          <w:ilvl w:val="2"/>
          <w:numId w:val="1"/>
        </w:numPr>
        <w:rPr/>
      </w:pPr>
      <w:bookmarkStart w:id="375" w:name="__RefHeading___Toc2853491_2870459653"/>
      <w:bookmarkStart w:id="376" w:name="_Toc140"/>
      <w:bookmarkEnd w:id="374"/>
      <w:bookmarkEnd w:id="375"/>
      <w:r>
        <w:rPr>
          <w:rtl w:val="true"/>
        </w:rPr>
        <w:t>الجهة الخامسة عشرة</w:t>
      </w:r>
      <w:r>
        <w:rPr>
          <w:rtl w:val="true"/>
        </w:rPr>
        <w:t xml:space="preserve">: </w:t>
      </w:r>
      <w:r>
        <w:rPr>
          <w:rtl w:val="true"/>
        </w:rPr>
        <w:t>جنون جابر أو تظاهره بالجنون</w:t>
      </w:r>
      <w:r>
        <w:rPr>
          <w:rtl w:val="true"/>
        </w:rPr>
        <w:t>..</w:t>
      </w:r>
      <w:bookmarkEnd w:id="376"/>
    </w:p>
    <w:p>
      <w:pPr>
        <w:pStyle w:val="BookText"/>
        <w:rPr/>
      </w:pPr>
      <w:r>
        <w:rPr>
          <w:rFonts w:ascii="Amiri" w:hAnsi="Amiri" w:eastAsia="Amiri" w:cs="Amiri"/>
          <w:color w:val="111111"/>
          <w:sz w:val="28"/>
          <w:sz w:val="28"/>
          <w:szCs w:val="28"/>
          <w:rtl w:val="true"/>
          <w:lang w:bidi="ar-SA"/>
        </w:rPr>
        <w:t>لا شكَّ في أنَّ جابراً كان يتصرّف تصرّفات غير موزونة يتراءى منها الجنون، كما ورد في تراث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الجمهور فقد ذكر ابن حجر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بدر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جابر يهيج به في السنة مرَّة فيهذي ويخلط في الكلام، فلعلَّ ما حكي عنه كان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عبيد في فضائل القرآن حديث الأشجعي</w:t>
      </w:r>
      <w:r>
        <w:rPr>
          <w:rStyle w:val="FootnoteAnchor"/>
          <w:rtl w:val="true"/>
        </w:rPr>
        <w:footnoteReference w:id="378"/>
      </w:r>
      <w:r>
        <w:rPr>
          <w:rFonts w:ascii="Amiri" w:hAnsi="Amiri" w:eastAsia="Amiri" w:cs="Amiri"/>
          <w:color w:val="111111"/>
          <w:sz w:val="28"/>
          <w:sz w:val="28"/>
          <w:szCs w:val="28"/>
          <w:rtl w:val="true"/>
          <w:lang w:bidi="ar-SA"/>
        </w:rPr>
        <w:t>عن مسعر، حدَّثنا جابر قبل أنْ يقع فيما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تغيّر عقله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الحديثية الأولى للجمهور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اعتمد عليها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القاسم بن سلام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الأشجعي،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حدَّثني جابر قبل أنْ يقع فيما وقع فيه</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هذا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تغيّر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 على هذا المعنى بعض الأعلام</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ما ذكره مسلم في ديباجة جامعه عن مسعر،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يزيد قبل أنْ يحدث ما أحدث</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الذهبي في ميزان </w:t>
      </w:r>
    </w:p>
    <w:p>
      <w:pPr>
        <w:pStyle w:val="BookText"/>
        <w:rPr/>
      </w:pPr>
      <w:r>
        <w:rPr>
          <w:rFonts w:ascii="Amiri" w:hAnsi="Amiri" w:eastAsia="Amiri" w:cs="Amiri"/>
          <w:color w:val="111111"/>
          <w:sz w:val="28"/>
          <w:sz w:val="28"/>
          <w:szCs w:val="28"/>
          <w:rtl w:val="true"/>
          <w:lang w:bidi="ar-SA"/>
        </w:rPr>
        <w:t>الاعتدال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شهاب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الأحوص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مررت بجابر الجعفي، سألت ربي العافية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وجود هذا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مسعر ناظر إلى تغيّره الفكري إلى مذهب الإمامة، والتعبير الثاني المحكي عنه يوضح ذلك، وله نظائر كقول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ما قتل أبو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ما كان يروى من أحاديثه تلك العظام قبل أن يحدث ما أحدث</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معين بإسناده عن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حمّاد قبل أن يحدث ما أحدث</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يعني دخوله في الإرجاء كما يوضّحه ما نقله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ذلك على حدّ قول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يحملون عن جابر قبل أن يظهر ما أظهر، فلمّا أظهر ما أظهر اتّهمه الناس في حديثه وتركه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بالرجعة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أنَّ قول الأشجعي في تفسير قول مسعر ليس صحيحاً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الأحوص فالظاهر أنَّه أيضاً ناظر إلى أنَّ جابراً بعد حظّه من العلم والورع افتتن بالرفض، وقد نقله غير واحد من أرباب الرجال بين أقوال ذامَّة 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الإماميَّة فقد رووا أيضاً عمل جابر بما يتراءى منه الجنون، كما مرَّ في معتبرة عبد الحميد بن أبي العلاء فيما وصفه به بعد مقتل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آثار أخرى ضعيفة رواها الضعفاء والغلاة ممَّن كان ينتمي إليه، فإنَّ غالب الآثار الضعيفة تبتني على أمور ثابتة يزاد فيها وفق هوى رواتها، كما يتبيّن بالتتبع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ذكر بعض الروايات التي تتضمَّن ذلك،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الكشّي بإسناده 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جابر ذات يوم وعلى رأسه قوصرة راكباً قصبة حتى مرَّ على سكك الكوفة،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جنّ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فلبثنا بعد ذلك أياماً، فإذا كتاب هشام قد جاء بحمله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عنه الأمير فشهدوا عنده أنَّه قد اختلط، وكتب بذلك إلى هشام فلم يتعرَّض له، ثمَّ رجع إلى ما كان من حاله الأوَّل</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 في حديث جاء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 بعض الأخبار إلى بني أمية فأنفذوا ليريدوا قتله، فصادفوه في طرقات المدينة راكب القصب يطوف ويصيح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فكتبوا يخبرون السلطان من بني أميَّة بجنونه، فبعث إليهم أردنا قتله لما فعل فإذا كان قد جنَّ اتركوه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لجابر خير من القتل</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ظنَّ بعضهم أنَّ قول النجاشي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جنونه</w:t>
      </w:r>
      <w:r>
        <w:rPr>
          <w:rStyle w:val="FootnoteAnchor"/>
          <w:rtl w:val="true"/>
        </w:rPr>
        <w:footnoteReference w:id="390"/>
      </w:r>
      <w:r>
        <w:rPr>
          <w:rFonts w:ascii="Amiri" w:hAnsi="Amiri" w:eastAsia="Amiri" w:cs="Amiri"/>
          <w:color w:val="111111"/>
          <w:sz w:val="28"/>
          <w:sz w:val="28"/>
          <w:szCs w:val="28"/>
          <w:rtl w:val="true"/>
          <w:lang w:bidi="ar-SA"/>
        </w:rPr>
        <w:t xml:space="preserve">، وليس كذلك، فإنَّ الاختلاط وإنْ كان لغة بمعنى الجنون، إلّا أنَّ هذا التعبير استعير </w:t>
      </w:r>
    </w:p>
    <w:p>
      <w:pPr>
        <w:pStyle w:val="BookText"/>
        <w:rPr/>
      </w:pPr>
      <w:r>
        <w:rPr>
          <w:rFonts w:ascii="Amiri" w:hAnsi="Amiri" w:eastAsia="Amiri" w:cs="Amiri"/>
          <w:color w:val="111111"/>
          <w:sz w:val="28"/>
          <w:sz w:val="28"/>
          <w:szCs w:val="28"/>
          <w:rtl w:val="true"/>
          <w:lang w:bidi="ar-SA"/>
        </w:rPr>
        <w:t>عند المحدّثين لمن يخلط الغثّ بالسمين ويروي أموراً منكرة كما يظهر بالتتبع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اختلط فلان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بمعنى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فالراجح في النظر أنَّ ما صدر من جابر ممّا يتراءى منه الجنون كان تكلّفاً كما تشير إليه معتبرة عبد الحميد بن أبي العلاء من حيث إنّها تدلّ على توقيت جنونه مع مقتل الوليد بن يزيد، وتصرّح بذلك سائر الآثار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عهد مثل هذا التصرّف من بعض النابهين من العلماء، فقد ذكر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أصيبعة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الهيثم بعدما وفد على الحاكم الفاطمي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بعض الدواوين فتولّاها رهبة لا رغبة، وتحقّق الغلط في الولاية، فإنَّ الحاكم كان كثير الاستحالة مريقاً للدماء بغير سبب، أو بأضعف سبب من خيال يتخيّله، فأجال فكرته في أمر يتخلّص به فلم يجد طريقاً إلى ذلك إلّا إظهار الجنون والخبال، فاعتمد ذلك وشاع فأحيط على موجوده له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بيد الحاكم ونوّابه، وجعل برسمه من يخدمه ويقوم بمصالحه، وقيد وترك في موضع من منزله، ولم يزل على ذلك إلى أن تحقق وفاة الحاكم، وبعد ذلك بيسير أظهر العقل وعاد إلى ما كان عليه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بعض تلامذته من الجمهور لم يلتفتوا إلى ذلك من جهة عدم التنبّه إلى مقتضيات هذا التصرف من قبل جابر، على أنَّ جمهور تلامذته ومعاصريه لم يصفوه بالاختلاط والجنون، ولعلّهم عرفوا أنَّ ذلك تكلّف منه في مسعاه لصيانة نفسه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هذا التصرّف من جابر ما يدلّ على حراجة موقف الشيعة آنذاك، حتى أنَّ مثل جابر في وجاهته وشيخوخته وعلمه يضطر إلى التظاهر بالجنون لأجل صيانة نفسه</w:t>
      </w:r>
      <w:r>
        <w:rPr>
          <w:rFonts w:eastAsia="Amiri" w:cs="Amiri" w:ascii="Amiri" w:hAnsi="Amiri"/>
          <w:color w:val="111111"/>
          <w:sz w:val="28"/>
          <w:szCs w:val="28"/>
          <w:rtl w:val="true"/>
          <w:lang w:bidi="ar-SA"/>
        </w:rPr>
        <w:t xml:space="preserve">. </w:t>
      </w:r>
      <w:bookmarkStart w:id="377" w:name="pg9111_108154"/>
    </w:p>
    <w:p>
      <w:pPr>
        <w:pStyle w:val="Heading3"/>
        <w:numPr>
          <w:ilvl w:val="2"/>
          <w:numId w:val="1"/>
        </w:numPr>
        <w:rPr/>
      </w:pPr>
      <w:bookmarkStart w:id="378" w:name="__RefHeading___Toc2853493_2870459653"/>
      <w:bookmarkStart w:id="379" w:name="_Toc141"/>
      <w:bookmarkEnd w:id="377"/>
      <w:bookmarkEnd w:id="378"/>
      <w:r>
        <w:rPr>
          <w:rtl w:val="true"/>
        </w:rPr>
        <w:t>الجهة السادسة عشرة</w:t>
      </w:r>
      <w:r>
        <w:rPr>
          <w:rtl w:val="true"/>
        </w:rPr>
        <w:t xml:space="preserve">: </w:t>
      </w:r>
      <w:r>
        <w:rPr>
          <w:rtl w:val="true"/>
        </w:rPr>
        <w:t>طبيعة تعامل جابر مع الوسط السُنّي العام بعد تحوّله الفكري إلى المذهب الإمامي</w:t>
      </w:r>
      <w:r>
        <w:rPr>
          <w:rtl w:val="true"/>
        </w:rPr>
        <w:t>..</w:t>
      </w:r>
      <w:bookmarkEnd w:id="379"/>
    </w:p>
    <w:p>
      <w:pPr>
        <w:pStyle w:val="BookText"/>
        <w:rPr/>
      </w:pPr>
      <w:r>
        <w:rPr>
          <w:rFonts w:ascii="IRNazanin" w:hAnsi="IRNazanin" w:eastAsia="IRNazanin"/>
          <w:color w:val="111111"/>
          <w:sz w:val="28"/>
          <w:sz w:val="28"/>
          <w:szCs w:val="28"/>
          <w:rtl w:val="true"/>
          <w:lang w:bidi="fa-IR"/>
        </w:rPr>
        <w:t xml:space="preserve">فهل كان جابر يتكتّم على تحوّله الفكري، أو على ما تلقّاه من أحاديث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الأوساط العلميّة والاجتماعيّة العامّة التي كان يعيشها في المرحلة الأولى، كما قد يناسب ذلك ما رواه عنه الفريقان من أنّه تحمّل آلاف الأحاديث ولم يحدّث بها؟</w:t>
      </w:r>
    </w:p>
    <w:p>
      <w:pPr>
        <w:pStyle w:val="BookText"/>
        <w:rPr/>
      </w:pPr>
      <w:r>
        <w:rPr>
          <w:rFonts w:ascii="IRNazanin" w:hAnsi="IRNazanin" w:eastAsia="IRNazanin"/>
          <w:color w:val="111111"/>
          <w:sz w:val="28"/>
          <w:sz w:val="28"/>
          <w:szCs w:val="28"/>
          <w:rtl w:val="true"/>
          <w:lang w:bidi="fa-IR"/>
        </w:rPr>
        <w:t xml:space="preserve">أم أنَّ جابراً أبرز تحوّله الفكري في تلك الأوساط وبذلك انفصل عن بيئة مشايخه وتلامذته في المرحلة السابقة، فتُرِكَ من قبل أصحابه من قبل، وانتقل إلى بيئة شيعيّة محضة، كما يتراءى ذلك في حق آخرين من أهل العلم والفضيلة ممَّن تتلمذ على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كزرارة بن أعين؟</w:t>
      </w:r>
    </w:p>
    <w:p>
      <w:pPr>
        <w:pStyle w:val="BookText"/>
        <w:rPr/>
      </w:pPr>
      <w:r>
        <w:rPr>
          <w:rFonts w:ascii="Amiri" w:hAnsi="Amiri" w:eastAsia="Amiri" w:cs="Amiri"/>
          <w:color w:val="111111"/>
          <w:sz w:val="28"/>
          <w:sz w:val="28"/>
          <w:szCs w:val="28"/>
          <w:rtl w:val="true"/>
          <w:lang w:bidi="ar-SA"/>
        </w:rPr>
        <w:t>ويناسب هذا الاحتمال ما دلّ على ترك جماعة من تلامذته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 موقف جابر بين هذا وذاك؟</w:t>
      </w:r>
    </w:p>
    <w:p>
      <w:pPr>
        <w:pStyle w:val="BookText"/>
        <w:rPr/>
      </w:pPr>
      <w:r>
        <w:rPr>
          <w:rFonts w:ascii="IRNazanin" w:hAnsi="IRNazanin" w:eastAsia="IRNazanin"/>
          <w:color w:val="111111"/>
          <w:sz w:val="28"/>
          <w:sz w:val="28"/>
          <w:szCs w:val="28"/>
          <w:rtl w:val="true"/>
          <w:lang w:bidi="fa-IR"/>
        </w:rPr>
        <w:t xml:space="preserve">والذي يظهر بالتأمّل في آثار جابر أنَّه لم يكن كبعض آخر من الرواة وحملة العلم عن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كان في أوائل حمله للحديث من أتباع الوسط العلمي والاجتماعي العاميّ كزرارة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زرارة بعد معرفته للحق انتقل في الجو العلمي إلى بيئة شيعيّة محضة ولم يظهر أنَّه بقي يحدّث أتباع ذلك الجو الذي انتقل منه بالآثار العاميّة، وأمَّا جابر فالذي يظهر بالتأمّل في آثاره أنَّه جمع بصعوبة بين الاتجاهين، فلم يزل يحدّث طلاب المدرسة العاميّة بالحديث الذي تلقّاه من أساتذته من الصحابة والتابعين قبل تحوّله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آثار هذا الاتجاه حمل مثل 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مشاهير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عنه، وهو في هذا الاتجاه لا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لتلامذة حلقته ما كان تلقّاه من العلم والفقه والمعارف من الإمام </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يتحملونه، ومن ثَمَّ استمر جلّ هؤلاء بالحضور عليه كما يظهر ممّا رواه الجمهور عن تلامذته عنه، ولم يرووا عنه ما يباين الآثار التي يعهدونها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تكشف آثار أخرى لجابر أنَّه كان يعمل في نفس الوقت ضمن اتجاه آخر خاص يتقيّد فيه بالرواية للخاصّة عن الإمام الباقر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 والمعارف، إذ يظهر ذلك ممّا نسب إليه من كتب من أصل ونوادر وتفسير وغيرها، حيث تضمّنت ما لا يتقبله الجمهور حسب أصولهم، كما سيأتي بيان ذلك في الحديث عن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يظهر أحياناً ما لا يتلائم مع أصول الأوساط العلميّة العاميّة، فيشير بذلك إلى تحوّله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تحديثه بانتهاء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ابن عيينة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جابر الجعفي وما سمعت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يعلّمه ما يعلمه، ثمَّ دعا عليٌ الحسنَ فعلّمه ما يعلم، ثمّ دعا الحسنُ الحسينَ فعلّمه ما يعلم، حتى بلغ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فتركته لذلك ولم أسمع منه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عندما كان ينقل حديثاً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وصيّ الأوصياء، فقد ورد عن ابن أكثم الخراساني</w:t>
      </w:r>
      <w:r>
        <w:rPr>
          <w:rStyle w:val="FootnoteAnchor"/>
          <w:rtl w:val="true"/>
        </w:rPr>
        <w:footnoteReference w:id="39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قال لسفيان بن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يا أبا محمَّد الذين عابوا على جابر الجعفي قوله حدّثني وصيّ الأوصياء،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أهونه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كان يحدِّث برجعة الأمر إلى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ورد عن سفيان بن عيينة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يحملون عن جابر قبل أنْ يظهر ما أظهر فلمّا أظهر ما أظهر اتّهمه الناس في حديثه وتركه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بالرجعة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كان يحدِّث أنّه سمع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كثيرة جداً، فقد ورد عن الجراح بن مليح</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جابراً يقول عندي سبعون ألف حديث عن أبي جعفر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كان يحدِّث بوجود باطن للقرآن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طرقنا فقد روى شريس الوابشي،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التفسير فأجابني، ثمَّ سألته عنه ثانية فأجابني بجواب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كنت أجبتني في هذه المسألة بجواب غير هذا قبل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 للقرآن بطناً وللبطن بطناً، وله ظهر وللظهر ظهر، يا جابر ليس شيء أبعد من عقول الرجال من تفسير القرآن، إنَّ الآية يكون أوَّلها في شيء وآخرها في شيء وهو كلام متصل منصرف على وجوه</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طرق العامَّة فقد ورد عن ابن عيينة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سأل جابر الجعفي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حَتَّى يَأْذَنَ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تأويلها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380" w:name="pg9111_108157"/>
    </w:p>
    <w:p>
      <w:pPr>
        <w:pStyle w:val="Heading3"/>
        <w:numPr>
          <w:ilvl w:val="2"/>
          <w:numId w:val="1"/>
        </w:numPr>
        <w:rPr/>
      </w:pPr>
      <w:bookmarkStart w:id="381" w:name="__RefHeading___Toc2853495_2870459653"/>
      <w:bookmarkStart w:id="382" w:name="_Toc142"/>
      <w:bookmarkEnd w:id="380"/>
      <w:bookmarkEnd w:id="381"/>
      <w:r>
        <w:rPr>
          <w:rtl w:val="true"/>
        </w:rPr>
        <w:t>الجهة السابعة عشرة</w:t>
      </w:r>
      <w:r>
        <w:rPr>
          <w:rtl w:val="true"/>
        </w:rPr>
        <w:t xml:space="preserve">: </w:t>
      </w:r>
      <w:r>
        <w:rPr>
          <w:rtl w:val="true"/>
        </w:rPr>
        <w:t>جابر والحركات الثوريّة</w:t>
      </w:r>
      <w:r>
        <w:rPr>
          <w:rtl w:val="true"/>
        </w:rPr>
        <w:t>..</w:t>
      </w:r>
      <w:bookmarkEnd w:id="382"/>
    </w:p>
    <w:p>
      <w:pPr>
        <w:pStyle w:val="BookText"/>
        <w:rPr/>
      </w:pPr>
      <w:r>
        <w:rPr>
          <w:rFonts w:ascii="IRNazanin" w:hAnsi="IRNazanin" w:eastAsia="IRNazanin"/>
          <w:color w:val="111111"/>
          <w:sz w:val="28"/>
          <w:sz w:val="28"/>
          <w:szCs w:val="28"/>
          <w:rtl w:val="true"/>
          <w:lang w:bidi="fa-IR"/>
        </w:rPr>
        <w:t xml:space="preserve">لقد كانت الكوفة تضّج بالمشاعر والحركات الثورية ضد خلافة بني أمية فيما بعد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نهاية هذه الخلافة بانتصار العباسيين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هي الفترة التي عاش بها جابر، وقد شهدت عدَّة ثورات سبق ذكرها أدرك جابر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شارك فيها جلّ علماء العراق،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وثورة عبد الله بن معاوية بن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تحكَ مشاركة جابر في شيء من هذه الثورات بعمل أو فتوى أو تحريض، كما فعله كثير من وجوه معاصريه، ومشايخه وتلامذته كسلمة بن كهيل، وأبي حنيفة وغيرهما، وقد ذكرنا بعضهم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هذا الأمر سهلاً على جابر اجتماعياً؛ إذ كان هوى عامَّة أهل الكوفة مع الثورة على بني أميَّة وولاتها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المتوقع أنْ يكون موقف جابر هذا ناشئاً عن تعلّمه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ووصيته إياه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الخروج آنذاك، وجاء أنَّه نهى أخاه زيداً عن الخروج، ولم يخرج زيد إلّا بعد وفاته بعدَّة سنين، وجاء في بعض الأخبار أنَّه لم يخرج من أصحاب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زيد أحد إلّا سليمان بن خالد، وقد ورد في الحديث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جابراً عن الخروج</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في أصل جعفر بن محمَّد الحضرمي عن إبراهيم بن جبير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إنَّ لبني العباس راية ولغيرهم رايات، فإيَّاك ثمَّ إيَّاك ثلاثاً حتى ترى رجلاً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له بين الركن والمقام معه سلاح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ومغفر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النعماني في الغيبة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عن هؤلاء الرجال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محمَّد بن المفضَّل، وسعدان بن إسحاق بن سعيد، وأحمد بن الحسين بن عبد الملك، ومحمَّد بن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يعقوب الكليني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إبراهيم بن هاشم،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علي بن محمَّد وغيره، عن سهل بن زياد، جميعاً،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الواحد بن عبد الله الموصلي، عن أبي علي أحمد بن محمَّد بن أبي ناشر، عن أحمد بن هلال، عن الحسن بن محبوب، عن عمرو بن أبي المقدام،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الزم الأرض ولا تحرك يداً ولا رجلاً حتى ترى علامات أذكرها لك إنْ أدركتها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اختلاف بني العباس، وما أراك تدرك ذلك، ولكن حدِّث به من بعدي عنّي</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الروايات أنَّ جابراً أنبأ زيداً بمقتله قبل خروجه، فقد ذكر السيد محسن الأمين أنَّه روى الخوارزمي في كتاب المقتل عن جابر الجعفي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أخي زيد بن علي خارج مقتول وهو على الحقّ، فالويل لمن خذله، والويل لمن حاربه، والويل لمن يقتله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أزمع زيد بن علي على الخروج،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أخاك يقول كذا وكذا،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لا يسعني أن أسكت وقد خولف كتاب الله وتحوكم إلى الجبت والطاغوت، وذلك أنّي شهدت هشاماً، ورجل عنده يسبّ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p>
    <w:p>
      <w:pPr>
        <w:pStyle w:val="BookText"/>
        <w:rPr/>
      </w:pPr>
      <w:r>
        <w:rPr>
          <w:rFonts w:ascii="Amiri" w:hAnsi="Amiri" w:eastAsia="Amiri" w:cs="Amiri"/>
          <w:color w:val="111111"/>
          <w:sz w:val="28"/>
          <w:sz w:val="28"/>
          <w:szCs w:val="28"/>
          <w:rtl w:val="true"/>
          <w:lang w:bidi="ar-SA"/>
        </w:rPr>
        <w:t>للسابّ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كافر أمَا إنَّي لو تمكّنت منك لاختطفت روحك وعجّلتك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عن جليسنا يا زيد، فوالله إنْ لم يكن إلّا أنا ويحيى ابني لخرجت عليه وجاهدته حتى أفنى</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لوحظ خروج بعض الغلاة خاصّة في عهد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كتب الفرق والتأريخ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سعيد، فقد خرج مع ستة أو سبعة أشخاص بظهر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عليهم عبد الله بن خالد القسري وأحرقهم، وكان ينسب نفسه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يتبرأ منه، لكن حيث كان من يتبعه من عوامّ الناس ولم يكونوا أهل بحث وفقه فلم يكن ينكشف كذبه لديهم، وهذا ممّا كان يعاني منه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كانوا قاطنين بعيداً عن الكوفة التي كانت مركز الشيعة، وقد مرّ أنَّ بعضهم زعم أنَّ جابراً خلف المغيرة بعد مقتله، وكأنَّه حدس ناشئ من توهّم تماثل اعتقادات جابر مع المغيرة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خطأ واضح، فأين جابر في موقعه في سلامة الاعتقاد والدين والعلم ومذاقه الثوري من ابن المغيرة الذي نُسب إليه دعوى الإلوهية والنبوة ومزاعم غريبة أخرى، وكانت له مطامح سياسية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العجلي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وقتل</w:t>
      </w:r>
      <w:r>
        <w:rPr>
          <w:rFonts w:eastAsia="Amiri" w:cs="Amiri" w:ascii="Amiri" w:hAnsi="Amiri"/>
          <w:color w:val="111111"/>
          <w:sz w:val="28"/>
          <w:szCs w:val="28"/>
          <w:rtl w:val="true"/>
          <w:lang w:bidi="ar-SA"/>
        </w:rPr>
        <w:t xml:space="preserve">. </w:t>
      </w:r>
      <w:bookmarkStart w:id="383" w:name="pg9111_108160"/>
    </w:p>
    <w:p>
      <w:pPr>
        <w:pStyle w:val="Heading3"/>
        <w:numPr>
          <w:ilvl w:val="2"/>
          <w:numId w:val="1"/>
        </w:numPr>
        <w:rPr/>
      </w:pPr>
      <w:bookmarkStart w:id="384" w:name="__RefHeading___Toc2853497_2870459653"/>
      <w:bookmarkStart w:id="385" w:name="_Toc143"/>
      <w:bookmarkEnd w:id="383"/>
      <w:bookmarkEnd w:id="384"/>
      <w:r>
        <w:rPr>
          <w:rtl w:val="true"/>
        </w:rPr>
        <w:t>الجهة الثامنة عشرة</w:t>
      </w:r>
      <w:r>
        <w:rPr>
          <w:rtl w:val="true"/>
        </w:rPr>
        <w:t xml:space="preserve">: </w:t>
      </w:r>
      <w:r>
        <w:rPr>
          <w:rtl w:val="true"/>
        </w:rPr>
        <w:t xml:space="preserve">عناية الإمام الباقر </w:t>
      </w:r>
      <w:r>
        <w:rPr>
          <w:rtl w:val="true"/>
        </w:rPr>
        <w:t>(</w:t>
      </w:r>
      <w:r>
        <w:rPr>
          <w:rtl w:val="true"/>
        </w:rPr>
        <w:t>علیه السلام</w:t>
      </w:r>
      <w:r>
        <w:rPr>
          <w:rtl w:val="true"/>
        </w:rPr>
        <w:t xml:space="preserve">) </w:t>
      </w:r>
      <w:r>
        <w:rPr>
          <w:rtl w:val="true"/>
        </w:rPr>
        <w:t>بجابر</w:t>
      </w:r>
      <w:r>
        <w:rPr>
          <w:rtl w:val="true"/>
        </w:rPr>
        <w:t>..</w:t>
      </w:r>
      <w:bookmarkEnd w:id="385"/>
    </w:p>
    <w:p>
      <w:pPr>
        <w:pStyle w:val="BookText"/>
        <w:rPr/>
      </w:pPr>
      <w:r>
        <w:rPr>
          <w:rFonts w:ascii="IRNazanin" w:hAnsi="IRNazanin" w:eastAsia="IRNazanin"/>
          <w:color w:val="111111"/>
          <w:sz w:val="28"/>
          <w:sz w:val="28"/>
          <w:szCs w:val="28"/>
          <w:rtl w:val="true"/>
          <w:lang w:bidi="fa-IR"/>
        </w:rPr>
        <w:t xml:space="preserve">يتراءى ممّا رواه الفريقان أنَّ جابراً كان يذكر عناية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 يبعد الاطمئنان بذلك بملاحظة بعض تلك الروايات، إلّا أنَّه لا ينبغي الشكّ في أنَّ الضعفاء من القصّاصين والغلاة وغيرهم أضافوا على ذلك شيئاً غير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يأتي بعض ما روي من مظاهر هذه العلاقة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مخاطبته كثيراً باسمه في الكلام معه حيث يرِد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أحياناً له، فقد روى الكليني بإسناده عن علي بن الحكم، عن أبي عبد الله المؤمن،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والله إني لمحزون، وإني لمشغول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شغلك؟ وما حزن قلبك؟</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إنَّه من دخل قلبه صافي خالص دين الله شغل قلبه عمّا سواه، يا جابر، ما الدنيا وما عسى أنْ تكون الدنيا هل هي إلّا طعام أكلته أو ثوب لبسته أو امرأة أصبتها؟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المؤمنين لم يطمئنوا إلى الدنيا ببقائهم فيها ولم يأمنوا قدومهم الآخرة، يا جابر، الآخرة دار قرار، والدنيا دار فناء وزوال ولكن أهل الدنيا أهل غفلة وكأنَّ المؤمنين هم الفقهاء أهل فكرة وعبرة، لم يصمّهم عن ذكر الله جلّ اسمه ما سمعوا بآذانهم، ولم يعمهم عن ذكر الله ما رأوا من الزينة بأعينهم ففازوا بثواب الآخرة، كما فازوا بذلك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جابر، أنَّ أهل التقوى أيسر أهل الدنيا مؤونة وأكثرهم لك معونة، تذكّر فيعينونك وإن نسيت ذكّروك، قوّالون بأمر الله قوّامون على أمر الله، قطعوا </w:t>
      </w:r>
    </w:p>
    <w:p>
      <w:pPr>
        <w:pStyle w:val="BookText"/>
        <w:rPr/>
      </w:pPr>
      <w:r>
        <w:rPr>
          <w:rFonts w:ascii="Amiri" w:hAnsi="Amiri" w:eastAsia="Amiri" w:cs="Amiri"/>
          <w:color w:val="111111"/>
          <w:sz w:val="28"/>
          <w:sz w:val="28"/>
          <w:szCs w:val="28"/>
          <w:rtl w:val="true"/>
          <w:lang w:bidi="ar-SA"/>
        </w:rPr>
        <w:t xml:space="preserve">محبتهم بمحبة ربَّهم ووحّشوا الدنيا لطاعة مليكهم ونظروا إلى الله عزَّ وجلَّ وإلى محبته بقلوبهم وعلموا أنَّ ذلك هو المنظور إليه، لعظيم شأنه، فأنزلْ الدنيا كمنزل نزلته ثمّ ارتحلت عنه، أو كمالٍ وجدته في منامك فاستيقظت وليس معك منه شيء،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لك هذا مثلاً، لأنَّها عند أهل اللبّ والعلم بالله كفيء الظلال، يا جابر، فاحفظ ما استرعاك الله عزَّ وجلَّ من دينه وحكمته ولا تسألن عمّا لك عنده إلّا ما له عند نفسك، فإنْ تكن الدنيا على غير ما وصفتُ لك فتحوّل إلى دار المستعتب، فلعمري لرُبَّ حريص على أمر قد شقي به حين أتاه، ولرُبَّ كاره لأمر قد سعد به حين أتاه،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العناية بتعليمه حتّى حمل عنه أحاديث كثيرة فيما حكاه هو على ما نقله عنه الفريقان كما سيأتي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تعليمه أموراً لم يكن ليبثها الإمام لكل واحد، كما حدّث بنفسه فيما رواه الفريقان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إعطاؤه كأساً حفظ ببركته أربعين ألف حديث، فعن شبابة</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عن ورقاء</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الباقر فسقاني في قعب حسائي حفظت به أربعين ألف حديث</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تعليمه ما يتحفظ به على حياته الشخصيّة من السلطة كما في الرواية المتقدّمة</w:t>
      </w:r>
    </w:p>
    <w:p>
      <w:pPr>
        <w:pStyle w:val="BookText"/>
        <w:rPr/>
      </w:pPr>
      <w:r>
        <w:rPr>
          <w:rFonts w:ascii="Amiri" w:hAnsi="Amiri" w:eastAsia="Amiri" w:cs="Amiri"/>
          <w:color w:val="111111"/>
          <w:sz w:val="28"/>
          <w:sz w:val="28"/>
          <w:szCs w:val="28"/>
          <w:rtl w:val="true"/>
          <w:lang w:bidi="ar-SA"/>
        </w:rPr>
        <w:t>التي تضمنت أنَّ الإمام بعث إليه بعد خروجه من المدينة من يوصل إليه رسالة يوصيه فيها بالحذر، وقد تظاهر بالجنون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مرّ ضعف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فقد روى الكليني عن العدّة عن أحمد بن أبي عبد الله، عن بعض العراقيين، عن محمَّد بن المثنى الحضرمي، عن أبيه، عن عثمان بن زيد،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لا أخرجك الله من النقص ولا التقصير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المظاهر الأخرى لهذه العلاقة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تسليمه كتاباً كما رواه هو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إلي كتاباً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 حدّثت به حتى تهلك بنو أميّة فعليك لعنتي ولعنة آبائي، وإذا أنت كتمت منه شيئاً بعد هلاك بني أمية فعليك لعنتي ولعنة آبائي، ثمّ دفع إلي كتاباً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 هذا فإنْ حدّثت بشيء منه أبداً فعليك لعنتي ولعنة آبائي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ضعف هذه الرواية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روي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أراه ملكوت السموات والأرض، فقد روى الصفّار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المثنى عن أبيه عن عثمان بن زيد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نُرِي إِبْرَاهِيمَ مَلَكُوتَ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مطرقاً إلى الأرض فرفع يده إلى فوق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فنظرت إلى السقف قد انفجر حتى خلص بصري إلى نور ساطع حار بصري دونه قال،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إبراهيم ملكوت السماوات والأرض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فإذا السقف 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بيدي </w:t>
      </w:r>
    </w:p>
    <w:p>
      <w:pPr>
        <w:pStyle w:val="BookText"/>
        <w:rPr/>
      </w:pPr>
      <w:r>
        <w:rPr>
          <w:rFonts w:ascii="IRNazanin" w:hAnsi="IRNazanin" w:eastAsia="IRNazanin"/>
          <w:color w:val="111111"/>
          <w:sz w:val="28"/>
          <w:sz w:val="28"/>
          <w:szCs w:val="28"/>
          <w:rtl w:val="true"/>
          <w:lang w:bidi="fa-IR"/>
        </w:rPr>
        <w:t>وقام وأخرجني من البيت الذي كنت فيه وأدخلني بيتاً آخر، فخلع ثيابه التي كانت عليه ولبس ثياباً غيرها،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فغضضت بصري،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عينك، فلبثت ساعة،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الظلمة التي سلكها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أتأذن لي أنْ أفتح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فإنَّك لا ترى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عيني فإذا أنا في ظلمة لا أبصر فيها موضع قدمي ثمّ صار قليلاً ووقف،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تدرى أين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واقف على عين الحياة التي شرب منها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من ذلك العالم إلى عالم آخر فسلكنا فيه فرأينا كهيئة عالمنا في بنائه ومساكنه وأهله، ثمّ خرجنا إلى عالم ثالث كهيئة الأوَّل والثاني، حتى وردنا خمسة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ملكوت الأرض ولم يرها إبراهيم، وإنَّما رأى ملكوت السماوات وهي اثنا عشر عالماً كل عالم كهيئة ما رأيت، كلَّما مضى منّا إمام سكن أحد هذه العوالم حتى يكون آخرهم القائم في عالمنا الذي نحن ساكنوه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فغضضت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بيدي فإذا نحن بالبيت الذي خرجنا منه فنزع تلك الثياب ولبس الثياب التي كانت عليه وعدنا إلى مجلسنا،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كم مضى من النهار؟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ساعات</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ذكره غير واحد من أنَّ جابراً كان باباً للإمام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شهرآشوب وجماعة من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وعوّل عليه جماعة من المتأخرين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يرجُح في النظر بالتأمل في مجموع التاريخ أنَّ مصطلح الباب قد عُمّم في عصر الغيبة الصغرى وما بعدها من قبل الغلاة، فقد كان يطلق على السفراء من جهة </w:t>
      </w:r>
    </w:p>
    <w:p>
      <w:pPr>
        <w:pStyle w:val="BookText"/>
        <w:rPr/>
      </w:pPr>
      <w:r>
        <w:rPr>
          <w:rFonts w:ascii="IRNazanin" w:hAnsi="IRNazanin" w:eastAsia="IRNazanin"/>
          <w:color w:val="111111"/>
          <w:sz w:val="28"/>
          <w:sz w:val="28"/>
          <w:szCs w:val="28"/>
          <w:rtl w:val="true"/>
          <w:lang w:bidi="fa-IR"/>
        </w:rPr>
        <w:t xml:space="preserve">أنَّهم باب الاتصال مع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مبنياً على الاتصال الحسيّ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زعم بعض الغلاة أنَّهم باب الإمام على أساس الاتصال المعنوي به، وأنَّهم مخزن أسراره وعلومه، وجعلوا ذلك قاعدة، وزعموا أنَّه كان لكل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فاختاروا أشخاصاً رأوا مناسبة شخصيّتهم لدعوى كونهم باباً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فادّعوا أنَّهم كانوا أبوابهم فجعلوا 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وسلمان باباً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 وسفينة باباً للإمام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 ورشيد الهجري باباً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 وأبا خالد الكابلي باباً للإمام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 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جابر بن يزيد الجعفي</w:t>
      </w:r>
      <w:r>
        <w:rPr>
          <w:rStyle w:val="FootnoteAnchor"/>
          <w:rtl w:val="true"/>
        </w:rPr>
        <w:footnoteReference w:id="414"/>
      </w:r>
      <w:r>
        <w:rPr>
          <w:rFonts w:ascii="IRNazanin" w:hAnsi="IRNazanin" w:eastAsia="IRNazanin"/>
          <w:color w:val="111111"/>
          <w:sz w:val="28"/>
          <w:sz w:val="28"/>
          <w:szCs w:val="28"/>
          <w:rtl w:val="true"/>
          <w:lang w:bidi="fa-IR"/>
        </w:rPr>
        <w:t xml:space="preserve">،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المفضَّل بن عمر</w:t>
      </w:r>
      <w:r>
        <w:rPr>
          <w:rStyle w:val="FootnoteAnchor"/>
          <w:rtl w:val="true"/>
        </w:rPr>
        <w:footnoteReference w:id="415"/>
      </w:r>
      <w:r>
        <w:rPr>
          <w:rFonts w:ascii="IRNazanin" w:hAnsi="IRNazanin" w:eastAsia="IRNazanin"/>
          <w:color w:val="111111"/>
          <w:sz w:val="28"/>
          <w:sz w:val="28"/>
          <w:szCs w:val="28"/>
          <w:rtl w:val="true"/>
          <w:lang w:bidi="fa-IR"/>
        </w:rPr>
        <w:t xml:space="preserve">، والإمام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محمَّد بن المفضَّل</w:t>
      </w:r>
      <w:r>
        <w:rPr>
          <w:rStyle w:val="FootnoteAnchor"/>
          <w:rtl w:val="true"/>
        </w:rPr>
        <w:footnoteReference w:id="416"/>
      </w:r>
      <w:r>
        <w:rPr>
          <w:rFonts w:ascii="IRNazanin" w:hAnsi="IRNazanin" w:eastAsia="IRNazanin"/>
          <w:color w:val="111111"/>
          <w:sz w:val="28"/>
          <w:sz w:val="28"/>
          <w:szCs w:val="28"/>
          <w:rtl w:val="true"/>
          <w:lang w:bidi="fa-IR"/>
        </w:rPr>
        <w:t xml:space="preserve">،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 محمَّد بن الفرات</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يعهد من أصحابنا مثل هذا المعنى، كما لا نجد في رجال البرقيّ والنجاشيّ ورجال الكشّي وفهرست الشيخ ورجاله والغيبة له وغيرها ذكراً لكون أحد باباً للأئمة المتقدمين، وإنَّما ذكر وكالة بعض أصحابنا لهم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الشيخ الطوسيّ في غيبته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محمَّد بن علي الشلمغاني لم يكن قطُ باباً إلى </w:t>
      </w:r>
      <w:bookmarkStart w:id="386" w:name="pg9111_108165"/>
    </w:p>
    <w:p>
      <w:pPr>
        <w:pStyle w:val="BookText"/>
        <w:rPr/>
      </w:pPr>
      <w:bookmarkEnd w:id="386"/>
      <w:r>
        <w:rPr>
          <w:rFonts w:ascii="Amiri" w:hAnsi="Amiri" w:eastAsia="Amiri" w:cs="Amiri"/>
          <w:color w:val="111111"/>
          <w:sz w:val="28"/>
          <w:sz w:val="28"/>
          <w:szCs w:val="28"/>
          <w:rtl w:val="true"/>
          <w:lang w:bidi="ar-SA"/>
        </w:rPr>
        <w:t>أبي القاسم ولا طريقاً له، ولا نصبّه أبو القاسم لشيء من ذلك على وجه ولا سبب</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أورد الكشّي رواية ضعيفة جداً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 سلمان باب الله في الأرض</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بعض أصحابنا اتّبعوا الغلاة ومن تأثّر بهم في ذلك كالطبريّ والخصيبي وغيرهما، ثمّ تبعهما المتأخرون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2853499_2870459653"/>
      <w:bookmarkStart w:id="388" w:name="_Toc144"/>
      <w:bookmarkEnd w:id="387"/>
      <w:r>
        <w:rPr>
          <w:rtl w:val="true"/>
        </w:rPr>
        <w:t>الجهة التاسعة عشرة</w:t>
      </w:r>
      <w:r>
        <w:rPr>
          <w:rtl w:val="true"/>
        </w:rPr>
        <w:t xml:space="preserve">: </w:t>
      </w:r>
      <w:r>
        <w:rPr>
          <w:rtl w:val="true"/>
        </w:rPr>
        <w:t>خوارق جابر أو كراماته</w:t>
      </w:r>
      <w:r>
        <w:rPr>
          <w:rtl w:val="true"/>
        </w:rPr>
        <w:t>..</w:t>
      </w:r>
      <w:bookmarkEnd w:id="388"/>
    </w:p>
    <w:p>
      <w:pPr>
        <w:pStyle w:val="BookText"/>
        <w:rPr/>
      </w:pPr>
      <w:r>
        <w:rPr>
          <w:rFonts w:ascii="Amiri" w:hAnsi="Amiri" w:eastAsia="Amiri" w:cs="Amiri"/>
          <w:color w:val="111111"/>
          <w:sz w:val="28"/>
          <w:sz w:val="28"/>
          <w:szCs w:val="28"/>
          <w:rtl w:val="true"/>
          <w:lang w:bidi="ar-SA"/>
        </w:rPr>
        <w:t>قد كان في أوساط المسلمين كالأمم السابقة رجال من الصالحين يتفق لهم الكرامات وإنْ لم يكونوا أنبياء، نظير ما كان يتفق لمريم ابنة عمران على ما قصّه القرآن الكريم، كما كان هناك آخرون يوهمون من خلال تعلّم العلوم الغريبة من السحر وأخواته أنَّهم أصحاب معاجز وكرامات ليثبتوا دعاوى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مجموع أخبار جابر لدى الفريقين أنَّ جابراً كان ممَّن يتفق له أمور عجيبة، ولعل ذلك من مصاديق ما ذكره زياد بن أبي الحلال فيما ذكره من أعاجيب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تقدم ذكرها عنه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الجمهور الذين يعتقدون بفساد عقيدة جابر حملوا ما رؤي منه على أنّه خديعة ومخاريق، فذكر ابن عدي أنَّه قال عثمان بن أبي شيبة حدثني أبي عن جدّي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آتيه في وقت ليس فيه فاكهة ولا قثّاء ولا خيار فيذهب إلى بُسيتين له في داره فيجيء بقثّاء وخيار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فوالله ما زرعته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ابن قتيبة في المعارف عن جابر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شبه ونيرنجات</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معرّب، وأصله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بالكاف الفارسيّة، وهو بمعنى الخدعة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 إطلاقه على الخدع الخفيّة فمنهم من جعله من السحر</w:t>
      </w:r>
      <w:r>
        <w:rPr>
          <w:rStyle w:val="FootnoteAnchor"/>
          <w:rtl w:val="true"/>
        </w:rPr>
        <w:footnoteReference w:id="422"/>
      </w:r>
      <w:r>
        <w:rPr>
          <w:rFonts w:ascii="Amiri" w:hAnsi="Amiri" w:eastAsia="Amiri" w:cs="Amiri"/>
          <w:color w:val="111111"/>
          <w:sz w:val="28"/>
          <w:sz w:val="28"/>
          <w:szCs w:val="28"/>
          <w:rtl w:val="true"/>
          <w:lang w:bidi="ar-SA"/>
        </w:rPr>
        <w:t>، ومنهم من قال إنَّه أُخَذ يشبه السحر وليس به كما في القاموس وغيره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يخالف ما ذكره غير واحد منهم من أنَّ الرجل كان صاحب ورع وصدق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تراث الإمامية بعض الآثار في كرامات جابر على ضعف في أغلبها، ويتوقع أنْ يكون الغلاة والوضّاع والقصّاصون قد زادوا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بإسناده إلى النعمان بن بشير عند طلب هشام بن عبد الملك لجابر الجعفي، وكان ذلك في حياة الإمام الباقر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كيف يحافظ على حياته، وجاء في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فوجدته قد خرج عليَّ وفي عنقه كعاب، قد علّقها وقد ركب قصبة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منصور بن جمهور أميراً غير مأمور وأبياتاً من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تمضِ الأيام حتى دخل منصور بن جمهور</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الكوفة وصنع ما كان يقول جابر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الكشّي عن نصر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عن زيد الحامض، عن موسى بن عبد الله، عن عمرو بن شمر، قال جاء قوم إلى جابر الجعفي فسألوه أنْ يعينهم في بناء مسجدهم؟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أعين في بناء شيء يقع منه رجل مؤمن فيموت، فخرجوا من عنده وهم يبخّلونه ويكذّبونه، فلما</w:t>
      </w:r>
    </w:p>
    <w:p>
      <w:pPr>
        <w:pStyle w:val="BookText"/>
        <w:rPr/>
      </w:pPr>
      <w:r>
        <w:rPr>
          <w:rFonts w:ascii="Amiri" w:hAnsi="Amiri" w:eastAsia="Amiri" w:cs="Amiri"/>
          <w:color w:val="111111"/>
          <w:sz w:val="28"/>
          <w:sz w:val="28"/>
          <w:szCs w:val="28"/>
          <w:rtl w:val="true"/>
          <w:lang w:bidi="ar-SA"/>
        </w:rPr>
        <w:t>كان من الغد أتمّوا الدراهم ووضعوا أيديهم في البِناء، فلما كان عند العصر زلت قدم البنّاء فوقع فمات</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أيضاً ما رواه الكشّي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نصير، عن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وحمدويه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عن علي بن الحكم، عن عروة بن موسى،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جالساً مع أبي مريم الحنّاط وجابر عنده جالس، فقام أبو مريم فجاء بدورق من ماء بئر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عكرمة،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مريم كأنَّي بك قد استغنيت عن هذه البئر واغترفت من هاهنا من ماء الفرات، فقال له أبو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ألوم الناس أنْ يسمونا 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مولى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يجيء ماء الفرات إلى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يُحتفر هاهنا نهر أوله عذاب على الناس وآخره رحمة يجري فيه ماء الفرات، فتخرج المرأة الضعيفة والصبي فيغترف منه، ويُجعل له أبواب في بني رواس، وفي بني موهبة، وعند بئر بني كندة، وفي بني فزارة حتى تتغامس فيه 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ذلك، وأنَّ الذي حدث على عهده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أنّه قد سمع بهذا الحديث قبل أنْ يكون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ما رواه الكشّي عن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عبيد ومحمَّد بن منصور الكوفي، عن محمَّد بن إسماعيل، عن صدقة، عن عمرو بن شمر،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العلاءَ بن يزيد رجلٌ 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لما طلبه هشام حتى انتهى إلى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قعود وراعٍ قريب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لفتت نعجة من شائه إلى حمل، فضحك جابر،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النعجة دعت حملها فلم يجيء،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ذلك الموضع فإنَّ الذئب عاماً أوَّل أخذ أخاك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لأعلمن حقيقة هذا أو كذبه، فجئت إلى الراعي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تبيعني هذا الحمل؟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أمه أفره شاة في الغنم وأغزرها درّة، وكان الذئب أخذ حملاً لها عند عام الأوَّل من ذلك الموضع، فما رجع لبنها حتى وضعت هذا فدرّت،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فلما صرت على جسر الكوفة نظر إلى رجل معه خاتم ياقوت،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خاتمك هذا البرّاق أرنيه،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فخلعه فأعطاه، فلما صار في يده رمى به في الفرات،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فقال بيده إلى الماء، فأقبل الماء يعلو بعضه على بعض حتى إذا قرب تناوله وأخذه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أيضاً ما رواه الكشّي عن نصر بن الصباح،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إسحاق بن محمَّد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 محمَّد بن إسماعيل،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جابر بن يزيد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ترى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على عيني فمررت وأنا أسبق الريح حتى صرت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كذلك متعجب إذ فكرت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أحوجني إلى وتد أوتده فإذا حججت عاماً قابلاً نظرت هيهنا هو أم لا، فلم أعلم إلّا وجابر بين يدي يعطيني وتداً،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العبد بإذن الله فكيف لو رأيت السيد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حتى صرت إلى باب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يصيح بي ادخل لا بأس عليك، فدخلت فإذا</w:t>
      </w:r>
    </w:p>
    <w:p>
      <w:pPr>
        <w:pStyle w:val="BookText"/>
        <w:rPr/>
      </w:pPr>
      <w:r>
        <w:rPr>
          <w:rFonts w:ascii="Amiri" w:hAnsi="Amiri" w:eastAsia="Amiri" w:cs="Amiri"/>
          <w:color w:val="111111"/>
          <w:sz w:val="28"/>
          <w:sz w:val="28"/>
          <w:szCs w:val="28"/>
          <w:rtl w:val="true"/>
          <w:lang w:bidi="ar-SA"/>
        </w:rPr>
        <w:t>جابر عنده، قال، فقال 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غرّقتهم أولاً بالماء وغرّقتهم آخراً بالعلم فإذا كسرت فاجبر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أطيع، أي البلاد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بالكوفة 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أخا النون بالكوفة، قال فبقيت متعجباً من قول جابر فجئت فإذا به في موضعه الذي كان فيه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القوم هل قام أو تنحى؟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لا، وكان سبب توحيدي أنْ سمعتُ قوله بالإلهية وفي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لا شكّ في كذبه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الغلاة شيئاً كثيراً حول كرامات جابر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الطبريّ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جابر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يريد الحيرة، فلما أشرفنا على كربلاء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هذه روضة من رياض الجنة لنا ولشيعتنا، وحفرة من حفر جهنم لأعدائنا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قضى ما أراد، ثمّ التفت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تأكل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يده بين الحجارة، فأخرج لي تفاحة لم أشمّ قطُ رائحة مثلها ولا تشبه رائحة فاكهة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أنها من الجنة، فأكلتها فعصمتني عن الطعام أربعين يوماً لم آكل ولم أحدث</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في المستدرك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الخصيبي الغالي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يوسف بن محمَّد، عن أبي سكينة، عن عمرو بن الزهير،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 جابر لأنّه جبر المؤمنين بعلمه، وهو بحر لا ينزح، وهو الباب في دهره، والحجّة على الخلق من حجة الله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389" w:name="pg9111_108170"/>
    </w:p>
    <w:p>
      <w:pPr>
        <w:pStyle w:val="Heading3"/>
        <w:numPr>
          <w:ilvl w:val="2"/>
          <w:numId w:val="1"/>
        </w:numPr>
        <w:rPr/>
      </w:pPr>
      <w:bookmarkStart w:id="390" w:name="__RefHeading___Toc2853501_2870459653"/>
      <w:bookmarkStart w:id="391" w:name="_Toc145"/>
      <w:bookmarkEnd w:id="389"/>
      <w:bookmarkEnd w:id="390"/>
      <w:r>
        <w:rPr>
          <w:rtl w:val="true"/>
        </w:rPr>
        <w:t>الجهة العشرون</w:t>
      </w:r>
      <w:r>
        <w:rPr>
          <w:rtl w:val="true"/>
        </w:rPr>
        <w:t xml:space="preserve">: </w:t>
      </w:r>
      <w:r>
        <w:rPr>
          <w:rtl w:val="true"/>
        </w:rPr>
        <w:t>جابر والأنباء الغيبية</w:t>
      </w:r>
      <w:r>
        <w:rPr>
          <w:rtl w:val="true"/>
        </w:rPr>
        <w:t>..</w:t>
      </w:r>
      <w:bookmarkEnd w:id="391"/>
    </w:p>
    <w:p>
      <w:pPr>
        <w:pStyle w:val="BookText"/>
        <w:rPr/>
      </w:pPr>
      <w:r>
        <w:rPr>
          <w:rFonts w:ascii="IRNazanin" w:hAnsi="IRNazanin" w:eastAsia="IRNazanin"/>
          <w:color w:val="111111"/>
          <w:sz w:val="28"/>
          <w:sz w:val="28"/>
          <w:szCs w:val="28"/>
          <w:rtl w:val="true"/>
          <w:lang w:bidi="fa-IR"/>
        </w:rPr>
        <w:t xml:space="preserve">لا شكّ بحسب دلالة الروايات التاريخية في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مطلعاً على أمور غيبيّة من الوقائع المستقبلية، وغيرها من وقائع في الأمم السابقة ونشأة الكون الماديّ وعوالم الملائكة، كما يتمثّل ذلك بوضوح بتتبع خطبه المذكورة في نهج البلاغة وغيره ممّا يتضمّن ذكر الملاحم وغيرها، وهذا الأمر موضع إقرار غير الشيعة من جهة تواتر أصله، وثبوته ثبوتاً تاريخياً لا شكّ فيه، وقد أذعن به ابن أبي الحديد المعتزلي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إنَّما يتخرّج على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إلهامه من قبل الله سبحانه وتعالى، كما يتفق لبعض عباده الصالحين، الذين يعبر عنهم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مبنيّاً للمفعول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تعبير شائع في العصر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كلا التقديرين فإنَّ في ذلك ما يشهد على مذهب الإمامية من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من قبل الله سبحانه من بين هذه الأمة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لوحظ لدى الأئمة من أولاده مثل هذه الحال، وهو أمر ثابت لدى الإمامية الذين عاشوا معهم بنحو متواتر وبيِّن، وقد جاء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بأنَّهم وَرِثوا كتباً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ثبت المُغيّبات، ويُعبّر عنها بالجفر والجامعة، وقد اشتُهر عنهم قضايا في التاريخ العامّ، نظير ما حكاه أبو الفرج الأصفهاني في مقاتل الطالبيين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الحسن المثنى في اجتماع 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انقدح بين المعارضتين للدولة الأموية من بني هاشم من العلوييّن والعباسييّن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طالبه بالبيعة لولده محمَّد أنّه لا يلي هذا الأمر وإنَّما هو لصاحب القباء الأصفر مشيراً </w:t>
      </w:r>
    </w:p>
    <w:p>
      <w:pPr>
        <w:pStyle w:val="BookText"/>
        <w:rPr/>
      </w:pPr>
      <w:r>
        <w:rPr>
          <w:rFonts w:ascii="Amiri" w:hAnsi="Amiri" w:eastAsia="Amiri" w:cs="Amiri"/>
          <w:color w:val="111111"/>
          <w:sz w:val="28"/>
          <w:sz w:val="28"/>
          <w:szCs w:val="28"/>
          <w:rtl w:val="true"/>
          <w:lang w:bidi="ar-SA"/>
        </w:rPr>
        <w:t>إلى المنصور العباسي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ذلك ما كتبه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وثيقة ولاية العهد من أنَّها لا تتم، كما حكاه التفتازاني ممّا رآه في المكتبة الرضوية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فضلاً عمّا كانوا يذكرونه من ذلك لعامّة المجتمع أو عامّة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يبثّون بعض الأنباء الخاصّة أو يعلّمون بعض هذا العلم لبعض أصحابهم ممَّن كانوا يجدون فيهم قابلية واهتماماً بذلك، وقد وُصف 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بشيء من هذا العلم، كما عن مِيثم التمار وحبيب بن مظاهر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كان أهل العلم من الجمهور لا يتحمّلون أنْ يدّعي أحد العلم بذلك، إذ كانوا يعدّونه من دعوى العلم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الواقع أنَّ ذلك ليس من قبيل علم الغيب، بل هو تعلّم من ذي علم، وقد جرت سُنّة الله سبحانه مع عباده الصالحين على إنبائهم ببعض الأمور المغيّبة كما يحكى ذلك عن الأنبياء السابقين وصدر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تراثه المروي 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عدم الإيمان باصطفاء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سبحانه هو الذي أدّى في الحقيقة إلى استبعاد مثل هذه الأمور في حقِّهم وعدِّها ضرباً من الغلوّ والمبالغة في مقاماتهم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ولما ذكرنا كان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نال حظّاً من هذا العلم حسب دلالة الشواهد الروائية والتاريخية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لم يلج هذا الباب واعتنى بالعقائد والفقه مثل زرارة ومحمَّد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الشواهد الروائية والتاريخية في تراث الإمامية على أنَّ جابراً كان من القسم الأول فهو كان قد تعلّم شيئاً من هذا العلم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ولّاد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يحيى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آتي جابر الجعفي فمررت برجل من بني أسد يقال له هدبة،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تأته، 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شريح</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في كتاب الله، فقال له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في كتاب الله شريح، وتهجّاه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سريج</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كان قد ثار على الدولة الأموية في زمان هشام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خراسان وكان واليها عاصم بن عبد الله</w:t>
      </w:r>
      <w:r>
        <w:rPr>
          <w:rStyle w:val="FootnoteAnchor"/>
          <w:rtl w:val="true"/>
        </w:rPr>
        <w:footnoteReference w:id="43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يزيد الناقص الأمان، وكتب بذلك كتاباً إلى واليه على الكوفة عبد الله بن عمر بن عبد العزيز يأمره بردّ ما كان أخذ منه من ماله وولده، ثمّ ثار مرة أخرى في زمن مروان الحمار وقتله جديع الكرماني في سرخس لستٍ بَقْيَن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 عند مدينة مرو بغير رأس</w:t>
      </w:r>
      <w:r>
        <w:rPr>
          <w:rStyle w:val="FootnoteAnchor"/>
          <w:rtl w:val="true"/>
        </w:rPr>
        <w:footnoteReference w:id="438"/>
      </w:r>
      <w:r>
        <w:rPr>
          <w:rFonts w:ascii="Amiri" w:hAnsi="Amiri" w:eastAsia="Amiri" w:cs="Amiri"/>
          <w:color w:val="111111"/>
          <w:sz w:val="28"/>
          <w:sz w:val="28"/>
          <w:szCs w:val="28"/>
          <w:rtl w:val="true"/>
          <w:lang w:bidi="ar-SA"/>
        </w:rPr>
        <w:t>وقُتل معه أيوب السختياني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يفهم معنى كلام جابر الجعفي من أنَّ الحارث بن سريج في كتاب الله، أي أنَّ خروجه من القضاء المبرم الذي لا بُدَّ منه، وهذا من المغيّبات التي أخبر الله تعالى بها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بدوره قد أعلمها لخلفائه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بدورهم </w:t>
      </w:r>
    </w:p>
    <w:p>
      <w:pPr>
        <w:pStyle w:val="BookText"/>
        <w:rPr/>
      </w:pPr>
      <w:r>
        <w:rPr>
          <w:rFonts w:ascii="Amiri" w:hAnsi="Amiri" w:eastAsia="Amiri" w:cs="Amiri"/>
          <w:color w:val="111111"/>
          <w:sz w:val="28"/>
          <w:sz w:val="28"/>
          <w:szCs w:val="28"/>
          <w:rtl w:val="true"/>
          <w:lang w:bidi="ar-SA"/>
        </w:rPr>
        <w:t>أعلموها خاصّة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رواه علماء الجمهور عنه من إثباته الرجعة كان من جملة هذه الأخبار، فقد ذُكر عن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جابر الجعفي كلاماً بادرت، خفت أنْ يقع علينا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الجعفي عن عبد الله بن نجي، وكان جابر يؤمن بالرجعة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 الذهبي في ميزان الاعتدال دمج الروايتين في حديث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سمعت من جابر الجعفي كلاماً بادرت، خفت أنْ يقع علينا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بالرجعة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سعيد أبو عثمان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العباسي خراسان طلع من المشرق القرن ذو الشفا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سعيد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سنة تسع وعشرين ومائة، واختلفت سيوف بني أمية ووثب حمار الجزيرة فغلب على الشام ظهرت الرايات السود</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ولنذكر نماذج من أخبار جابر في هذا الباب، لكن ينبغي الإشارة إلى أنَّه لا سبيل إلى </w:t>
      </w:r>
    </w:p>
    <w:p>
      <w:pPr>
        <w:pStyle w:val="BookText"/>
        <w:rPr/>
      </w:pPr>
      <w:r>
        <w:rPr>
          <w:rFonts w:ascii="IRNazanin" w:hAnsi="IRNazanin" w:eastAsia="IRNazanin"/>
          <w:color w:val="111111"/>
          <w:sz w:val="28"/>
          <w:sz w:val="28"/>
          <w:szCs w:val="28"/>
          <w:rtl w:val="true"/>
          <w:lang w:bidi="fa-IR"/>
        </w:rPr>
        <w:t xml:space="preserve">الأخذ بما يرد من الأخبار من غير أنْ يثبت اعتبارها، لأنَّ باب الملاحم والمُغيّبات من الأبواب التي كثر الوضع فيها، كما نبّه عليه علماء الحديث، لأنَّ كثيراً من القصّاصين والضعفاء يضعون في مثل ذلك لإعجاب الناس بهذا الباب، ومن ثَمَّ كان النقّاد من أصحابنا معنيين فيما يُنقل من هذا الباب أنْ يثبت كونه قبل وقوع الواقعة التي أخبر عنها، خشية أنْ يكون ممّا لُفِّق بعد وقوع الواقعة حتى إذا كان الراوي من رجال ظاهرهم الثقة، وقد جاء في الكافي بعد حكاية حديثٍ عن إمامة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أبي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وددت أنَّ هذا الخبر جاء من غير جهة أحمد بن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قبل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سنين</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يكون كثرة الوضع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باعثاً على نفي صدور ذلك كله برمّته، كما مال إليه بعض الباحثين</w:t>
      </w:r>
      <w:r>
        <w:rPr>
          <w:rStyle w:val="FootnoteAnchor"/>
          <w:rtl w:val="true"/>
        </w:rPr>
        <w:footnoteReference w:id="4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تعجّب من اليعقوبي في إيراد بعض أخبار جابر من هذا القبيل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وممّا ورد في التاريخ عن إخبار جابر في هذا الباب ما نقله اليعقوبي في تاريخه، قال بعد ذكر ما وقع لقحطبة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مقدمة جيش أبي مسلم الخراساني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حميد 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أيام بني أميّة، وعليّ فرو غليظ، فجلست إلى حلقة، وشيخ في صدر القوم يحدّثهم، فذكر أيام بني أميّة، وذكر السواد ومن يلبسه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ويكون، ويخرج رجل يقال له قحطبة، كأنّه هذا الأعرابي، وأشار إلي، ولو أشاء أن أقول هو هو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على نفسي، فتنحيت ناحية، فلما انصرف 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أقول إنك أنت هو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جابر بن يزيد الجعفي</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يحسن الظنُّ بهذا الخبر، وذلك لأنَّ اليعقوبي شيعي معتدل بعيد عن الكذب والوضع والغلوّ، كما يعلم بتتبع تاريخه، وما رواه من الأخبار عن قحطبة وأولاده ودورهم في نصرة بني العباس يماثل ما ذكره غيره من المؤرخين، ومن ثَمَّ يرجّح أنَّ إسناد اليعقوبي إلى حميد بن قحطبة في هذا الأثر هو إسناده وإسناد غيره في سائر أخباره، وقحطبة وبنوه ممَّن لا يتهمّ في إثبات فضيلة لبني جابر الجعفي فقد كانوا من أمراء الجيش لدى العباسيين، وقاتلوا وقتلوا كثيراً من العلوييّن كما ذكر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حجر عند ذكر خبر منكر روي عن أخيه الحسن بن قحطبة عن المنصور،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الآفة فيه من الحسن بن قحطبة فإنّه ليس من أهل الحديث، وإنَّما كان من أمراء بني العباس، فلعلّه حمله عن كذّاب حدّث به عن المنصور فتوهّم أنّه عن المنصور</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فالملحوظ أنّه لم يتّهمه بالكذب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في تراث الإمامية بعض الآثار التي قد يوثّق ببعضها، بعضها إخبار من جابر نفسه، لا على سبيل الحكاية، وبعضها حكاية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القسم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سبق في معتبرة عبد الحميد بن أبي العلاء من قول جابر عند مقتل الوليد بن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وصي الأوصياء ووارث علم الأنبياء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استظهار أنَّ مفاد قول جابر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أخبره بهذا الحدث،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قتل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مرّ في رواية ضعيفة عن النعمان بن بشير من إخبار جابر بأمر منصور بن جمهور الذي وَلي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الكشّي عن نصر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إسحاق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عن زيد الحامض، عن موسى بن عبد الله، عن عمرو بن شمر، قال جاء قوم إلى جابر الجعفي فسألوه أنْ يعينهم في بناء مسجدهم؟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بالذي أعين في بناء شيء يقع منه رجل مؤمن فيموت، فخرجوا من عنده وهم يبخّلونه ويكذّبونه، فلما كان من الغد أتموا الدراهم ووضعوا أيديهم في البِناء، فلما كان عند العصر زلت قدم البنّاء فوقع فمات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فيها قوم من الغلاة والضعفاء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وإسحاق بن محمَّد، وهو البصري الذي تتكرّر رواية الكشّي عن نصر عنه، وقد مرّت شدّة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فضيل فيحتمل أنْ يكون هو فضيل الرسان، الذي روى الكشّي عن محمَّد بن مسعود أنَّه سأل علي بن الحسن بن فضّال، عن فضيل الرسان؟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فضيل بن الزبير وكانوا ثلاثة إخوة عبد الله وآخر</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هذا الاحتمال بعيد جداً، فإنَّ الطبقة لا تساعد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فضيل الرسان هذا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هذا الرجل مهمل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زيد 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رجال الكشّي، ولكن في المعجم محمَّد بن زيد الحافظ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الحامض</w:t>
      </w:r>
      <w:r>
        <w:rPr>
          <w:rFonts w:eastAsia="IRNazanin" w:cs="IRNazanin"/>
          <w:color w:val="111111"/>
          <w:sz w:val="28"/>
          <w:szCs w:val="28"/>
          <w:rtl w:val="true"/>
          <w:lang w:bidi="fa-IR"/>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تقدير لا ذكر له في كتب رجال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موسى بن عبد الله فهو أيضاً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عمرو بن شمر فهو تلميذ جابر المتّفق على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الكشّي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نصير، عن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وحمدويه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عن علي بن الحكم، عن عروة ابن موسى،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جالساً مع أبي مريم الحنّاط وجابر عنده جالس، فقام أبو مريم فجاء بدورق من ماء بئر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عكرمة،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مريم كأنَّي بك قد استغنيت عن هذه البئر واغترفت من هاهنا من ماء الفرات، فقال له أبو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ألوم الناس أنْ يسمونا 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مولى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يجئ ماء الفرات إلى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يحتفر هاهنا نهر أوَّله عذاب على الناس وآخره رحمة يجري فيه ماء الفرات، فتخرج المرأة الضعيفة والصبيّ فيغترف منه، ويجعل له أبواب في بني رواس، وفي بني موهبة، وعند بئر بني كندة، وفي بني فزارة حتى تتغامس فيه 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حفر هذا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الذي حدّثَ على عَهْدِه</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دانشكاه مشهد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وبتحقيق الداماد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ولعلَّ أنَّه قد سمع بهذا الحديث قبل أنْ 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ذلك، وأنَّ الذي حدّثَ 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لمحمَّد ابن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حدّثَ به علي بن الحكم كان قد حصل في حياته ووقف عليه، ومن ثَمَّ أضاف الكشّي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أنَّه قد سمع بهذا الحديث قبل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بهذا الحديث قبل أنْ يُحتفر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الراجح في النظر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القراءة تندفع الريبة فيما يرد من الإخبار بالمُغيَّبات المستقبليّة، فإنَّه إخبار قبل الحصول، وأما لو كان إخبار الراوي بها بعد حصولها فيحتمل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قراءة ثانية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الذي حدّثَ عليَّ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أخبرني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أملى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 على حفر هذا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هذه القراءة يكون احتمال الوضع وارداً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نسخة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الذي حدّث علي وعَمَّرَ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حدَّثَ بهذا الحديث ورواه، قد عَمَّرَ عمراً طويلاً، فلعلّه قد سمع بهذا الحديث قبل أنْ يُحفر هذا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ذكره المحقّق المزبور، واستظهر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الذي حدّث علي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فهذا الحديث معتبر الإسناد إلى عروة بن موسى، وأمَّا هو فهو مجهول ولم يرد إلّا في إسناد علي بن الحكم، وربَّما وصف بالجعفي فيظهر أنَّه من أفراد قبيلة جابر ممَّن زعم إدراكه والرواية عنه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رواياته مريبة بعض الشيء من مثله من المجاهيل، فروى الصفّار عن محمَّد بن إسماعيل، عن علي بن الحكم، عن عروة بن موسى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يوماً ونحن نتحدث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فُقئت عين هشام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ومتى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وسألنا عن ذلك فكان كذلك</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الاختصاص عن أحمد بن محمَّد بن عيسى، ومحمَّد بن إسماعيل بن عيسى، عن علي بن الحكم مثله</w:t>
      </w:r>
      <w:r>
        <w:rPr>
          <w:rStyle w:val="FootnoteAnchor"/>
          <w:rtl w:val="true"/>
        </w:rPr>
        <w:footnoteReference w:id="452"/>
      </w:r>
      <w:r>
        <w:rPr>
          <w:rFonts w:ascii="Amiri" w:hAnsi="Amiri" w:eastAsia="Amiri" w:cs="Amiri"/>
          <w:color w:val="111111"/>
          <w:sz w:val="28"/>
          <w:sz w:val="28"/>
          <w:szCs w:val="28"/>
          <w:rtl w:val="true"/>
          <w:lang w:bidi="ar-SA"/>
        </w:rPr>
        <w:t>، ومثله مرسلاً في المناقب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روايتان أخريان لا غبار عليهما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الحسين بن حمدان الخصيبي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من هذا المعنى، ولكنه ينتهي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محمَّد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عبد الله الخياط،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علي عن أبي حمزة البطائني وهو علي بن معمّر، عن جابر بن يزيد الجعفي،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المؤمنين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أرأيتم أنْ لا تذهب الأيام والليالي حتى يجري ها هنا نهر تجري فيه السفن، فما أنتم قائلون؟ أفأنتم مصدّقون فيما قلت أم لا؟ قالوا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كأنَّني أنظر إلى نهر في هذا الموضع يزخر فيه الماء وتجري فيه السفن يحرفه طاغوت ينسب إلينا، وليس هو منّا يكون على أهل هذه العترة أولاً عذاباً، ورحمة عليهم آخراً فلم تذهب الأيام والليالي حتى حفر الخندق بالكوفة حفره المنصور فكان عذاباً على أهلها أولاً ورحمة عليهم آخراً، ثمّ جرى فيه الماء والسفن وانتفع الناس به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من طرق الزيديّة عن جابر إخباره عن ثورة أبي السرايا محمَّد بن إبراهيم بن إسماعيل المعروف بابن طباطبا بن إبراهيم بن الحسن بن الحسن بن علي بن أبي طالب، وهو ما رواه في مقاتل الطالبيين عن أحمد بن محمَّد بن سعيد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المكي، عن جابر الجعفي، عن أبي جعفر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يخطب على أعوادكم يا أهل الكوفة سنة تسع وتسعين ومائة في جمادي الأولى رجل منّا أهل البيت، يباهي الله به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الفرج مثل ذلك عن ابن عقدة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يزيد أبو جعفر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الواحد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سعيد بن خيثم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ابن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الناس لرجل منّا عند قصر الضرتين، سنة تسع وتسعين ومائة، في عشر من جمادي الأولى، يباهي الله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محمَّد ابن إبراهيم فبكى</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مريب وإنْ تعدد إسناده، لاسيّما بالنظر إلى ما احتواه من تحديد لسنة بعينها، وهو أمر غير 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من طريق الشيخ أحمد بن زياد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البصري، عن أبيه، عن إبراهيم بن أبي حجر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عن جابر بن</w:t>
      </w:r>
    </w:p>
    <w:p>
      <w:pPr>
        <w:pStyle w:val="BookText"/>
        <w:rPr/>
      </w:pPr>
      <w:r>
        <w:rPr>
          <w:rFonts w:ascii="IRNazanin" w:hAnsi="IRNazanin" w:eastAsia="IRNazanin"/>
          <w:color w:val="111111"/>
          <w:sz w:val="28"/>
          <w:sz w:val="28"/>
          <w:szCs w:val="28"/>
          <w:rtl w:val="true"/>
          <w:lang w:bidi="fa-IR"/>
        </w:rPr>
        <w:t>يزيد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وصيَّ الأوصياء ووارث علم الأنبياء أبا جعفر محمَّد بن علي بن الحسين بن علي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 العابدين علي بن الحسين، عن سيد الشهداء الحسين بن علي بن أبي طالب، عن سيد الأوصياء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منّي بخراسان، ما زارها مكروب إلّا نفّس الله كربته، ولا مذنب إلّا غفر الله ذنوبه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وثاقة شيخ الصدوق المذكور نظر، والرواة الأربعة قبل جابر مجاهيل أو 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الغلاة عن جابر أخباراً كثيرة، منها ما رواه الحافظ 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أبي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فدخل عمر بن عبد العزيز وهو غلام، وعليه ثوبان معصفران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الأيام حتى يملكها هذا الغلام، ويستعمل العدل جهراً والجور سراً، فإذا مات تبكيه أهل الأرض ويلعنه أهل السماء</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خلاف التاريخ جداً، فإن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يقارب عمر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كانت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فكيف شاهده جابر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غلام، وهذا ممّا يقتضي أنْ يكون جابر يَكبُر عمر بن عبد العزيز بعشرين سنة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أورد الخصيبي في هدايته أخباراً عن جابر، كما في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 وباب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وباب 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وباب الإمام علي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 وباب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أخبار أخرى تروى عن جابر عن أبي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الإخبار بالمُغيّبات مثل أخبار الظهور تمامها ضعيف، ومنها ما يكون من غير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وثوق بروايتها من طريقه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أخباره في نقل أسماء الأئمَّة الاثني عشر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أخبار 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الحارث عبد الله بن عبد الملك بن سهل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عبد الله الدستوائي،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عمرو بن شمر، عن جابر بن يزيد الجعفي، عن محمَّد بن علي الباقر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سالم بن عبد الله بن عمر، عن أبيه عبد الله بن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أوحى إلي ليلة أسري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خلفت في الأرض في أمتك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إلى الأرض اطلاعة فاخترتك منها، فلا أذكر حتى تذكر معي، فأنا المحمود وأنت محمَّد، ثمّ إني اطلعت إلى الأرض اطلاعة أخرى فاخترت منها علي بن أبي طالب فجعلته وصيك، فأنت سيد الأنبياء وعلي سيد الأوصياء، ثمّ شققت له اسماً من أسمائي فأنا الأعلى وهو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خلقت علياً وفاطمة والحسن والحسين والأئمَّة من نور واحد، ثمّ </w:t>
      </w:r>
    </w:p>
    <w:p>
      <w:pPr>
        <w:pStyle w:val="BookText"/>
        <w:rPr/>
      </w:pPr>
      <w:r>
        <w:rPr>
          <w:rFonts w:ascii="Amiri" w:hAnsi="Amiri" w:eastAsia="Amiri" w:cs="Amiri"/>
          <w:color w:val="111111"/>
          <w:sz w:val="28"/>
          <w:sz w:val="28"/>
          <w:szCs w:val="28"/>
          <w:rtl w:val="true"/>
          <w:lang w:bidi="ar-SA"/>
        </w:rPr>
        <w:t>عرضت ولايتهم على الملائكة، فمن قبلها كان من المقرَّبين، ومن جحدها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عبداً من عبادي عبدني حتى ينقطع ثمّ لقيني جاحداً لولايتهم أدخلته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 فتقدّمت أمامي فإذا علي بن أبي طالب، والحسن، والحسين، وعلي بن الحسين، ومحمَّد بن علي، وجعفر بن محمَّد، وموسى بن جعفر، وعلي بن موسى، ومحمَّد بن علي، وعلي بن محمَّد، والحسن بن علي، والحجة القائم كأنَّه الكوكب الدري في وسطهم،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محلِّل حلالي، ومحرِّم حرامي، وينتقم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أحببه فإنِّي أحبَّه وأحبُّ من يحبه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إسماعيل السلماني ومحمَّد بن عبد الله الشيباني، قالا حدّثنا محمَّد بن همام، عن جعفر بن محمَّد بن مالك الفراري، قال حدّثني حسين بن محمَّد بن سماعة، قال حدّثني أحمد بن الحارث، قال حدّثني المفضَّل بن عمر، عن يونس بن ظبيان، عن جابر بن يزيد الجعفي، قال 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تبارك وتعالى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عرفنا الله ورسوله، فمن أولوا الأمر منكم الذين قرن الله طاعتهم بطاعتك؟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خلفائي وأئمَّة المسلمين بعدي، أوّلهم علي بن أبي طالب، ثمّ الحسن، ثمّ الحسين، ثمّ علي بن الحسين، ثمّ محمَّد بن علي المعروف بالتوراة بالباقر، وستدركه يا جابر فإذا لقيته فاقرأه منّي السلام، ثمّ الصادق جعفر بن محمَّد، ثمّ موسى بن جعفر، ثمّ علي بن موسى، ثمّ محمَّد بن علي، ثمّ علي بن محمَّد، ثمّ الحسن بن علي، ثمّ سمييّ وكنييّ حجّة الله في أرضه</w:t>
      </w:r>
    </w:p>
    <w:p>
      <w:pPr>
        <w:pStyle w:val="BookText"/>
        <w:rPr/>
      </w:pPr>
      <w:r>
        <w:rPr>
          <w:rFonts w:ascii="IRNazanin" w:hAnsi="IRNazanin" w:eastAsia="IRNazanin"/>
          <w:color w:val="111111"/>
          <w:sz w:val="28"/>
          <w:sz w:val="28"/>
          <w:szCs w:val="28"/>
          <w:rtl w:val="true"/>
          <w:lang w:bidi="fa-IR"/>
        </w:rPr>
        <w:t>ونَفَسه في عباده ابن الحسن بن علي، ذلك الذي يفتح الله تعالى ذكرُه على يده مشارق الأرض ومغاربها ذلك الذي يغيب عن شيعته وأوليائه غيبة لا يثبت فيها على القول بإمامته إلّا 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لشيعته الانتفاع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بالنبوة إنَّهم ليستضيئون بنوره وينتفعون بولايته في غيبته كانتفاع الناس بالشمس إن سترها سحاب</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روى الخزّاز القمّي عن محمَّد بن عبد الله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بن جعفر بن الحسن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نصر أحمد بن عبد المنعم الصيداوي، قال حدثنا عمرو بن شمر الجعفي، عن جابر بن يزيد الجعفي،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جعل الإمامة في عقب الحسن والحسين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كذبوا والله، أوَ لم يسمعوا الله تعالى ذكرُه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جعلها إلّا في عقب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إنَّ الأئمَّة هم الذين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وهم الأئمَّة الذين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وجدت أساميهم مكتوبة على ساق العرش بالنور اثنا عشر اسماً، منهم علي وسبطاه وعلي ومحمَّد وجعفر وموسى وعلي ومحمَّد وعلي والحسن والحجة 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النعماني في الغيبة عن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علي الجعفي، عن محمَّد بن المثنى الحضرمي، عن أبيه، عن عثمان بن زيد، عن جابر،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خروج</w:t>
      </w:r>
    </w:p>
    <w:p>
      <w:pPr>
        <w:pStyle w:val="BookText"/>
        <w:rPr/>
      </w:pPr>
      <w:r>
        <w:rPr>
          <w:rFonts w:ascii="IRNazanin" w:hAnsi="IRNazanin" w:eastAsia="IRNazanin"/>
          <w:color w:val="111111"/>
          <w:sz w:val="28"/>
          <w:sz w:val="28"/>
          <w:szCs w:val="28"/>
          <w:rtl w:val="true"/>
          <w:lang w:bidi="fa-IR"/>
        </w:rPr>
        <w:t xml:space="preserve">القائم منّا أهل البيت كخروج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من خرج منّا أهل البيت قبل قيام القائم مثل فرخ طار فوقع من وكره فتلاعبت به الصبيان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روى النعماني عن علي بن أحمد، عن عبيد الله بن موسى العلوي، عن محمَّد بن الحسين، عن محمَّد بن سنان، عن عمار بن مروان، عن منخل بن جميل، عن جابر بن يزيد،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اسكنوا ما سكنت السماوات والأرض، أي لا تخرجوا على أحد فإنَّ أمركم ليس به خفاء، ألا إنَّها آية من الله عزَّ وجلَّ ليست من الناس، ألا إنَّها أضوء من الشمس لا تخفى على برٍّ ولا فاجر، أتعرفون الصبح؟ فإنَّها كالصبح ليس به خفاء</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روى النعماني عن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الصيرفي، عن الحسن بن محبوب، عن عمرو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اقبض مني هذه الخمسمائة درهم فإنَّها زكاة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أنت فضعها في جيرانك من أهل الإسلام والمساكين من إخوانك المسلمين،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أهل البيت قسّم بالسوية، وعدل في الرعية، فمن أطاعه فقد أطاع الله ومن عصاه فقد عصى الله، وإنَّما سمّي المهدي مهدياً لأنّه يهدي إلى أمر خفي، ويستخرج التوراة وسائر كتب الله عزَّ وجلَّ من غار بأنطاكية، ويحكم بين أهل التوراة بالتوراة، وبين أهل الإنجيل بالإنجيل، وبين أهل الزبور بالزبور، وبين أهل القرآن بالقرآن، وتجمع إليه أموال الدنيا من بطن الأرض وظهرها،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إلى ما قطعتم فيه الأرحام، وسفكتم فيه الدماء الحرام، وركبتم فيه ما حرَّم الله عزَّ وجلَّ، فيعطي شيئاً </w:t>
      </w:r>
    </w:p>
    <w:p>
      <w:pPr>
        <w:pStyle w:val="BookText"/>
        <w:rPr/>
      </w:pPr>
      <w:r>
        <w:rPr>
          <w:rFonts w:ascii="Amiri" w:hAnsi="Amiri" w:eastAsia="Amiri" w:cs="Amiri"/>
          <w:color w:val="111111"/>
          <w:sz w:val="28"/>
          <w:sz w:val="28"/>
          <w:szCs w:val="28"/>
          <w:rtl w:val="true"/>
          <w:lang w:bidi="ar-SA"/>
        </w:rPr>
        <w:t>لم يعطه أحد كان قبله، ويملأ الأرض عدلاً وقسطاً ونوراً كما ملئت ظلماً وجوراً وشرّاً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علي بن أحمد، عن عبيد الله بن موسى العلوي، عن علي بن إبراهيم بن هاشم، عن أبيه، عن محمَّد بن حفص،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ذلك خاصّ وعامّ، فأمَّا الخاصّ من الجوع فبالكوفة، ويخصّ الله به أعداء آل محمَّد فيهلكهم، وأمَّا العامّ فبالشام يصيبهم خوف وجوع ما أصابهم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الجوع فقبل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الخوف فبعد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عن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وسعدان ابن إسحاق بن سعيد وأحمد بن الحسين بن عبد الملك ومحمَّد بن أحمد بن الحسن جميعاً، عن الحسن بن محبوب، عن يعقوب السرّاج،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لا يظهر القائم حتى يشمل الناس بالشام فتنة يطلبون المخرج منها فلا يجدونه، ويكون قتل بين الكوفة والحيرة قتلاهم على سواء، وينادي منادٍ من السماء</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محمَّد بن المفضَّل، وسعدان بن إسحاق بن سعيد، وأحمد بن الحسين بن عبد الملك، ومحمَّد بن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w:t>
      </w:r>
    </w:p>
    <w:p>
      <w:pPr>
        <w:pStyle w:val="BookText"/>
        <w:rPr/>
      </w:pPr>
      <w:r>
        <w:rPr>
          <w:rFonts w:ascii="IRNazanin" w:hAnsi="IRNazanin" w:eastAsia="IRNazanin"/>
          <w:color w:val="111111"/>
          <w:sz w:val="28"/>
          <w:sz w:val="28"/>
          <w:szCs w:val="28"/>
          <w:rtl w:val="true"/>
          <w:lang w:bidi="fa-IR"/>
        </w:rPr>
        <w:t>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علي بن محمَّد وغيره، عن سهل بن زياد، جميعاً،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الواحد بن عبد الله الموصلي، عن أبي علي أحمد بن محمَّد بن أبي ناشر، عن أحمد بن هلال، عن الحسن بن محبوب، عن عمرو بن أبي المقدام،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ابن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الزم الأرض ولا تحرّك يداً ولا رجلاً حتى ترى علامات أذكرها لك إنْ أدركتها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اختلاف بني العباس، وما أراك تدرك ذلك، ولكن حدِّث به من بعدي عني، ومنادٍ ينادي من السماء، ويجيئكم صوت من ناحية دمشق بالفتح، وتخسف قرية من قرى الشام تسمّى الجابية، وتسقط طائفة من مسجد دمشق الأيمن، ومارقة تمرق من ناحية الترك، ويعقبها هرج الروم، وسيقبل إخوان الترك حتى ينزلوا الجزيرة، وسيقبل مارقة الروم حتى ينزلوا الرملة، فتلك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اختلاف كثير في كلّ أرض من ناحية المغرب، فأوَّل أرض تخرب أرض الشام ثمَّ يختلفون عند ذلك على 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وراية الأبقع، وراية السفياني، فيلتقي السفياني بالأبقع فيقتتلون فيقتله السفياني ومن تبعه، ثمّ يقتل الأصهب، ثمَّ لا يكون له همَّه إلّا الإقبال نحو العراق، ويمر جيشه بقرقيسياء، فيقتتلون بها فيقتل بها من الجبّارين مائة ألف،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فينزل أمير جيش السفياني البيداء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بيداء،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بيدي القوم، 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نستنصر الله فمن أجابنا من الناس فإنّا أهل بيت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بقيَّة من آدم، وذخيرة من 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حاجّني في كتاب الله فأنا أولى الناس بكتاب الله، ألا ومن حاجّني في سنة رسول الله فأنا أولى الناس بسُنَّة رسول الله، فأنشد الله من سمع كلامي اليوم لما أبلغ الشاهد منكم الغائب، وأسألكم بحقّ الله وبحقّ رسوله وبحقّي، فإنَّ لي عليكم حقّ القربى من رسول الله إلّا أعنتمونا ومنعتمونا ممَّن يظلمنا فقد أُخفنا وظُلمنا وطُردنا من ديارنا وأبنائنا وبُغي علينا ودُفعنا عن حقّنا وافترى أهل الباطل علينا، فالله الله فينا لا تخذلونا وانصرونا ينصركم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وثلاثة عشر رجلاً، ويجمعهم الله له على غير ميعاد قزعاً كقزع الخريف،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ذكرها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فيبايعونه بين الركن والمقام، ومعه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توارثته الأبناء عن الآباء، والقائم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الحسين يصلح الله له أمره في ليلة، فما أشكل على </w:t>
      </w:r>
      <w:bookmarkStart w:id="392" w:name="pg9111_108189"/>
    </w:p>
    <w:p>
      <w:pPr>
        <w:pStyle w:val="BookText"/>
        <w:rPr/>
      </w:pPr>
      <w:bookmarkEnd w:id="392"/>
      <w:r>
        <w:rPr>
          <w:rFonts w:ascii="Amiri" w:hAnsi="Amiri" w:eastAsia="Amiri" w:cs="Amiri"/>
          <w:color w:val="111111"/>
          <w:sz w:val="28"/>
          <w:sz w:val="28"/>
          <w:szCs w:val="28"/>
          <w:rtl w:val="true"/>
          <w:lang w:bidi="ar-SA"/>
        </w:rPr>
        <w:t xml:space="preserve">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يشكلن عليهم إذا نودي باسمه واسم أبيه وأمّه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الخزّاز القمّي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أبي عمير، عن أبي جميلة المفضَّل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صالح، عن جابر بن يزيد الجعفي،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اسمي وكنيته كنيتي، أشبه الناس بي خَلقاً وخُلقاً، يكون له غيبة وحيرة يضلّ فيها الأمم، ثمَّ يقبل كالشهاب الثاقب يملؤها عدلاً وقسطاً كما ملئت جوراً وظلماً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853503_2870459653"/>
      <w:bookmarkStart w:id="394" w:name="_Toc146"/>
      <w:bookmarkEnd w:id="393"/>
      <w:r>
        <w:rPr>
          <w:rtl w:val="true"/>
        </w:rPr>
        <w:t>الجهة الحادية والعشرون</w:t>
      </w:r>
      <w:r>
        <w:rPr>
          <w:rtl w:val="true"/>
        </w:rPr>
        <w:t xml:space="preserve">: </w:t>
      </w:r>
      <w:r>
        <w:rPr>
          <w:rtl w:val="true"/>
        </w:rPr>
        <w:t>جابر والغلاة</w:t>
      </w:r>
      <w:r>
        <w:rPr>
          <w:rtl w:val="true"/>
        </w:rPr>
        <w:t>..</w:t>
      </w:r>
      <w:bookmarkEnd w:id="394"/>
    </w:p>
    <w:p>
      <w:pPr>
        <w:pStyle w:val="BookText"/>
        <w:rPr/>
      </w:pPr>
      <w:r>
        <w:rPr>
          <w:rFonts w:ascii="IRNazanin" w:hAnsi="IRNazanin" w:eastAsia="IRNazanin"/>
          <w:color w:val="111111"/>
          <w:sz w:val="28"/>
          <w:sz w:val="28"/>
          <w:szCs w:val="28"/>
          <w:rtl w:val="true"/>
          <w:lang w:bidi="fa-IR"/>
        </w:rPr>
        <w:t xml:space="preserve">إنَّ جابراً أحد الرجال الذين تدّعيهم الغلاة ويزعمون أنَّه كان منهم ولم يكن من عموم الشيعة الإمامية الذين يعتقدون باصطفاء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وإمامتهم من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ولنقدِّم مقدِّمة حول الغلوّ والغلاة قبل الحديث عن جابر وادعائه من قبل الغلاة وآثاره عندهم، فنقول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الغلاة فرقة نشأت في أوساط المسلمين تبتني دعواها على رفع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درجة الإمامة والاصطفاء الإلهي إلى درجة النبوّة أو الإلوهيَّة، ويقترن بهذه الدعوى غالباً الغلوّ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ورفعه عن درجة النبوّة إلى درجة الإلوهيَّة، وكذلك الغلوّ في عدد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والمقداد وأبي ذر والنقباء الاثني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في بعض رؤوس الغلوّ ممَّن كان يدّعي صحبة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بهم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سبأ والمغيرة بن سعيد وأبي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وآخرين، وتبتني كثير من مذاهب الغلوّ على مبدأ التناسخ بمعنى أنَّ الأرواح تنتقل بعد الموت من جسم إلى آخر، أو المسخ بمعنى نقلها إلى أجسام بعض الحيوانات معاقبة لها، كما أنَّها غالباً لا أحكام فقهية لها، بل هي تهتم بأمر المعرفة وترى أنَّها مناط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بدأت حركة الغلوّ بالتزامن مع تصدّي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حيث حكي غلوّ ابن سبأ وجماعة فيه والاعتقاد بإلوهيّته</w:t>
      </w:r>
      <w:r>
        <w:rPr>
          <w:rStyle w:val="FootnoteAnchor"/>
          <w:rtl w:val="true"/>
        </w:rPr>
        <w:footnoteReference w:id="473"/>
      </w:r>
      <w:r>
        <w:rPr>
          <w:rFonts w:ascii="IRNazanin" w:hAnsi="IRNazanin" w:eastAsia="IRNazanin"/>
          <w:color w:val="111111"/>
          <w:sz w:val="28"/>
          <w:sz w:val="28"/>
          <w:szCs w:val="28"/>
          <w:rtl w:val="true"/>
          <w:lang w:bidi="fa-IR"/>
        </w:rPr>
        <w:t xml:space="preserve">، وبغيبته ومهدويته بعد وفاته، ثمَّ كان في زمان أغلب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يرفعهم إلى درجة الإلوهيَّة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أنَّ الغلاة فرقة غير الشيعة الإمامية بحسب عقائدها، وهي معدودة في قبالها في كتب الفرق جميعاً، إلّا أنَّ هناك جوانب صورية مشتركة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الغلاة يعتقدون بامتياز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فجلّهم يلتزم بالغلوّ فيمن عاصره من الأئمَّة الاثني عشر ومن سبقه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وضمّ بعضهم في الغلوّ الزهراء –، ولذلك قد يعدّون في جملة فرق الشيعة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الواقع إنَّ هذا التشابه شكلي، وذلك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الغلوّ عقيدة باطنية محضة مغايرة لدين الإسلام، فإنَّ الإسلام دين واضح المعالم من كتابه المحفوظ وهو ينفي الغلوّ في المخلوقات نفياً صريحاً قاطعاً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البون بين نوعي الامتياز واسع، فالإماميّة يلتزمون باصطفاء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سبحانه شأن اصطفاء بيوت الأنبياء السابقين، كما ورد في الآيات الشريفة ذكر اصطفاء آل إبراهيم وآل عمران وآل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الغلاة فهم يرفعون الأنبياء والأئمَّة إلى درجة الإلوهيّة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الغلاة لا يقتصرون على إثبات الامتياز للأنبياء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إنَّهم يغلوّن في رؤسائهم ويرفعونهم إلى مصافّ الأنبياء والأئمَّة، وهذا بخلاف الإمامية فإنَّهم لا يتجاوزون فيما يعتقدون به من الاصطفاء الإلهي المعهود إلى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 الزهراء والأئمَّة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طريقة تلقّي النصوص الشرعية كتاباً وسُنّة تختلف بين الفريقين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فالإمامية أهل رواية وجرح وتعديل وهم يستندون في إثبات الاصطفاء الإلهي لأهل البيت إلى نصوص متّفق على نقلها من الكتاب والسُنَّة، كآية التبليغ والمباهلة والتصدّق راكعاً وحديث الثقلين والغدير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ترتكز مدرسة الإمامية على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أَثبتوا ذلك لأنفسهم فعلاً كما تجد توصيف 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مكرّراً امتياز أهل البيت في خطبه وأقواله المأثورة في نهج البلاغة، كما أنَّ ذرّيته كالباقر والصادق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يؤمون قوماً يعتقدون بإمامتهم ويهتمّون بتراثهم، ويرون فيهم أنَّهم أوصياء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كانت السلطة تتعامل معهم على هذا الأساس</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الغلاة فلا يستندون في ذلك إلى نصوص تدلّ على ذلك، بل يتمّ تأويل عامَّة النصوص وصرفها عن ظاهرها، ويعترف كثير من فرق الغلاة بلعن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لرؤوسها، ولكنها تأوّل ذلك بأنَّ باطن اللعن هو الرحمة على طريقتهم في التوسّع في التأويل حتى أوَّلوا الأشياء بأضدادها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الغلوّ ظاهرة نشأت في الوسط الشيعي خاصَّة، بمعنى أنَّ الغلاة في الغالب كانوا من الشيعة بمعنى المحبين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القائلين بإمامتهم في أوَّل الأمر، وربمَّا كانوا على صفة الاستقامة، ثم انتقلوا في أثر عوامل مختلفة إلى الغلوّ في أهل البيت، كما أنَّ المتأثّرين برؤوس الغلوّ والمتّبعين لهم كانوا من عامَّة الشيعة غير المتفقّهين في الدين الذين كانوا يتأثّرون بالدعاوي المبالغ فيها ويصدقونها بالأساليب البدائية التي يستخدمها رؤوس الغلوّ من غير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الغلاة كانوا يدّعون جماعة من رواة الشيعة الإمامية وعلمائهم ممَّن عرفوا بأنَّهم كانوا مقرَّبين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يجدون في شخصيتهم صفات خاصة تناسب مدّعاهم في حقّهم، كأنْ تكون الشخصية غامضة أو عرفت بأنَّها من خواصّ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أسرارهم، ولا يختارون في هذا الصدد عادة الذين اشتهروا بالفقه أو العبادة كزرارة وجميل بن دراج ومحمَّد بن أبي عمير وأمثالهم، ويسندون مروياتهم المتضمّنة للغلوّ إلى الأئمَّة من طريقهم؛ وذلك لإثبات حقّانية دعواهم وإيهاماً لصدق رواياتهم، وبذلك ينازعون الإمامية في دعوى أنَّ هؤلاء الرجال منهم، وكان يُسهِّل ذلك لهم سعة باب الباطن عندهم في الرجال كسعته في النصوص، فيدّعون أنَّه كان لهم باطن غير ظاهرهم وروايات مستورة من الأسرار غير رواياتهم المشهورة، وقد ورّثوها لأهل السرّ من تلامذتهم، بل فعلوا ذلك في جماعة من الصحابة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الغلاة المتأخرين كانوا يطوّرون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عصر استقرار تراثهم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في مقامات معنوية لا بُدَّ من اتصاف جماعة بها اتّصافاً مطّرداً في شأن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وفق ذلك</w:t>
      </w:r>
      <w:r>
        <w:rPr>
          <w:rStyle w:val="FootnoteAnchor"/>
          <w:rtl w:val="true"/>
        </w:rPr>
        <w:footnoteReference w:id="474"/>
      </w:r>
      <w:r>
        <w:rPr>
          <w:rFonts w:ascii="IRNazanin" w:hAnsi="IRNazanin" w:eastAsia="IRNazanin"/>
          <w:color w:val="111111"/>
          <w:sz w:val="28"/>
          <w:sz w:val="28"/>
          <w:szCs w:val="28"/>
          <w:rtl w:val="true"/>
          <w:lang w:bidi="fa-IR"/>
        </w:rPr>
        <w:t xml:space="preserve">فإنَّهم كانوا يضطرون إلى تعيين مصاديق لهذه العناوين في شأن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فيختارون من أصحابهم مَن يجدون شخصيته أنسب بتلك الدعاوي في حقهم، وربَّما اضطروا في هذا السياق إلى اختيار أسماء غير مناسبة ملئاً للفراغ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الغلاة كانوا يتظاهرون بأنَّهم على عقائد الشيعة الإمامية وكان اعتقادهم أمراً مبَّطناً، وكانت لذلك أسباب عديدة،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المجتمع الإمامي كانوا من الشيعة الإمامية، وكان كشفهم عن عقائدهم ممّا يوجب تكفيرهم من قبلهم ومن قبل سائر المسلمين، وهذا ممّا يؤدي إلى محاذير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الخطورة عليهم،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الناس لهم وتعذّر النفوذ في عامَّة الناس وتحصيل الأتباع منهم،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زيف مستنداتهم ومروياتهم، ووقوع الشبهة فيها لدى أغلب المتأثّرين بهم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كان الغلاة بحسب الانتماء المذهبي والعلمي والاجتماعي معدودين من جملة الشيعة الإمامية ويعيشون بينهم، ويشاركون في النشاطات المختلفة من قبيل رواية التاريخ والحديث وسائر فروع المعرفة ويدسّون مجعولاتهم فيما بين التراث الإمامي، بل روى جماعة منهم أحاديث في ذمّ الغلاة، وفي تزكية بعض مشايخهم المتهمين بالغلوّ، كما روى الكشّي في رجاله أخباراً كثيرة في ذلك من طرق الغلاة أنفسهم، بل نسب إلى بعضهم تأليف كتاب في الردّ على الغلاة كما ذكر النجاشي في محمَّد ابن موسى بن عيسى أبو جعفر الهمداني السمّان، ضعّفه القمّيون بالغلوّ، وكان ابن </w:t>
      </w:r>
    </w:p>
    <w:p>
      <w:pPr>
        <w:pStyle w:val="BookText"/>
        <w:rPr/>
      </w:pPr>
      <w:r>
        <w:rPr>
          <w:rFonts w:ascii="Amiri" w:hAnsi="Amiri" w:eastAsia="Amiri" w:cs="Amiri"/>
          <w:color w:val="111111"/>
          <w:sz w:val="28"/>
          <w:sz w:val="28"/>
          <w:szCs w:val="28"/>
          <w:rtl w:val="true"/>
          <w:lang w:bidi="ar-SA"/>
        </w:rPr>
        <w:t>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الغلاة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اضطر علماء الإمامية إلى ذكرهم في كتب الرجال والفهارس والتنبيه على اعتقادهم والتخليط في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الغلاة كانوا يروون مختارات من الروايات المأثورة لدى محدّثي الإمامية ممّا يجدونها مناسبة لمدعياتهم فيصرفوها إلى مدّعياتهم من خلال بعض الشبهة والبيان بما يقتنع بها عامَّة الناس، مثل احتجاج محمَّد بن نصير النميري على صواب عقيدة الغلوّ وخطأ عقيدة جمهور الشيعة الإمامية</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بما ورد من قلَّة المؤمن وأنَّه كالكبريت الأحمر</w:t>
      </w:r>
      <w:r>
        <w:rPr>
          <w:rStyle w:val="FootnoteAnchor"/>
          <w:rtl w:val="true"/>
        </w:rPr>
        <w:footnoteReference w:id="477"/>
      </w:r>
      <w:r>
        <w:rPr>
          <w:rFonts w:ascii="Amiri" w:hAnsi="Amiri" w:eastAsia="Amiri" w:cs="Amiri"/>
          <w:color w:val="111111"/>
          <w:sz w:val="28"/>
          <w:sz w:val="28"/>
          <w:szCs w:val="28"/>
          <w:rtl w:val="true"/>
          <w:lang w:bidi="ar-SA"/>
        </w:rPr>
        <w:t>، وأنَّ قليلاً من الناس يكونون في موقع التبعية والانقياد في الصعوبات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كلّه كان هناك تشابه وخلاف كبير حول عدد من الرواة بين كونهم من الإمامية أو من الغلاة، كما وقع تشابه غير قليل في التراث الحديثي ونقده المضموني بين ما يكون في الحقيقة من أفكار الغلاة وغيره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ولاسيّما أنَّه قد كان من طرق الغلاة دسّ الزيادة في الروايات والكتب المأثورة كما يظهر بالمقارنة بين الرواية الواحدة الواردة من طرقهم ومن طرق غيرهم، فقد روى الكشّي عن يونس بن عبد الرحمن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وافيت العراق فوجدت بها قطعة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متوافرين، فسمعت منهم وأخذت كتبهم، فعرضتها من بعد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منها أحاديث كثيرة أن يكون من أحاديث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كذب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p>
    <w:p>
      <w:pPr>
        <w:pStyle w:val="BookText"/>
        <w:rPr/>
      </w:pPr>
      <w:r>
        <w:rPr>
          <w:rFonts w:ascii="IRNazanin" w:hAnsi="IRNazanin" w:eastAsia="IRNazanin"/>
          <w:color w:val="111111"/>
          <w:sz w:val="28"/>
          <w:sz w:val="28"/>
          <w:szCs w:val="28"/>
          <w:rtl w:val="true"/>
          <w:lang w:bidi="fa-IR"/>
        </w:rPr>
        <w:t xml:space="preserve">الله أبا الخطّاب، وكذلك أصحاب أبي الخطّاب يدسّون هذه الأحاديث إلى يومنا هذا في كتب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أيضاً، عن هشام بن الحكم، أنَّه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المغيرة بن سعيد يتعمَّد الكذب على أبي، ويأخذ كتب أصحابه وكان أصحابه المستترون بأصحاب أبي يأخذون الكتب من أصحاب أبي فيدفعونها إلى المغيرة، فكان يدسّ فيها الكفر والزندقة، ويسندها إلى أبي ثمَّ يدفعها إلى أصحابه ويأمرهم أنْ يبثوها في الشيعة، فكلّما كان في كتب أصحاب أبي من الغلوّ فذاك ما دسَّه المغيرة بن سعيد في كتبهم</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للغلاة آثاراً يختصّون بها لا يرويها عامَّة الإمامية، وهذه الآثار على العموم طرأ عليها كثير من التشويش، وذلك لأنَّ الإمامية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المؤلّفات الكاملة في الغلوّ</w:t>
      </w:r>
      <w:r>
        <w:rPr>
          <w:rStyle w:val="FootnoteAnchor"/>
          <w:rtl w:val="true"/>
        </w:rPr>
        <w:footnoteReference w:id="4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وكذلك ما كان واضحاً وصريحاً في الغلوّ من الآثار، وربمَّا بقي بعض خيوط أفكار الغلاة في هذا التراث ممّا يمكن تحديده أو تحديد المشتبه منه بالنقد الرجالي من جهة، والمقارنة مع الآثار الباقية للغلاة لديهم من جهة أخرى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بقيت آثار الغلاة في أوساط الفرق الغالية كالنصيرية، إلّا أنَّ من الصعوبة بمكان الإثبات التاريخي لهذه الآثار وفق أسانيدها، إلّا بمقدار ما تؤكّده كتب الفرق في وصف أقوال الغلاة، أو يرد في علم رجال الإمامية، أو يكون له نسخة مخطوطة ترجع إلى تاريخ 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 أمور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آثار الغلاة على العموم مبنيَّة على الكتمان والسرّية ممّا يتعذّر معه الإثبات التاريخي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روايات الغلاة هي في حقيقتها إنشاء منهم، ولكنهم يضطرون إلى نسبتها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الرواة السابقين؛ لأنَّ الموقع الرمزي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دور اللاحقين مقصوراً على الإذعان القلبي بتلك الحقائق ومعرفتها، أو شرحها وبيانها وترتيبها وملء نقاط فراغ مستنبطة لها ومزيد تأويل للمأوّل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لدى الغلاة عموماً علم إسناد وطبقات ولا علم رجال مبني على النقد والتمحيص للمنقولات</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بذريعة أنَّ هذه المنقولات أسرار وأنَّ حملتها بطبيعة الحال إنّما حملوها سرّاً، وأنَّ تحمّل هذه الأسرار بنفسه لا يتأتّى إلّا لمن محّض الإيمان وكان أهلاً لأنْ يكون مستودعاً للأسرار، ومن ثَمَّ ترى اختلالاً كبيراً في أسانيدهم من إرسال بين رجالها، أو قلب، أو تحريف عجيب للأسماء،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عام عن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جابر وعلاقته بالغلوّ والغلاة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حركة الغلوّ نشأت قبل جابر وذلك في الطبقة الأولى من طبقات الرواة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غلا بعض الناس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واستمرّت حركة الغلوّ في الطبقات اللاحقة بما فيها الطبقة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يعدّ جابر منهم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ادّعى بعض الغلاة في هذه الطبقة انتماءهُ إلى جابر، فقد ذكر النوبختي أنَّه</w:t>
      </w:r>
    </w:p>
    <w:p>
      <w:pPr>
        <w:pStyle w:val="BookText"/>
        <w:rPr/>
      </w:pPr>
      <w:r>
        <w:rPr>
          <w:rFonts w:ascii="Amiri" w:hAnsi="Amiri" w:eastAsia="Amiri" w:cs="Amiri"/>
          <w:color w:val="111111"/>
          <w:sz w:val="28"/>
          <w:sz w:val="28"/>
          <w:szCs w:val="28"/>
          <w:rtl w:val="true"/>
          <w:lang w:bidi="ar-SA"/>
        </w:rPr>
        <w:t xml:space="preserve">بعد مقتل عبد الله بن معاوية بن عبد الله بن جعفر بن أبي طالب في سنة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ثار على مروان بن محمَّد بن مروان بن الحكم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ﻫ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ادعي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افترقت فرقته بعده ثلاث فرق، وقد كان مال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شذاذ صنوف الشيعة برجل من أصحابه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زنديقاً من أهل المدائن فأبرز 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في الغلوّ والقول بالتناسخ والأظلة والدور وأسند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فخدعهم بذلك حتى ردّهم عن جميع الفرائض والشرائع والسنن وادّعى أنَّ هذا مذهب جابر بن عبد الله وجابر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النوبختي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رحمهما الله فإنَّهما قد كانا من ذلك بريئين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الملاحظ أنَّ نسبة العقائد الغالية إلى جابر الجعفي هنا تصدر لأوَّل مرَّة بعد مماته من قبل بعض الغلاة؛ لأنَّه كان يناسب اعتزاله واختصاصه بالباقر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واهتمامه بتأويل الآيات الشريفة، كما سيأتي بيانه في المقام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وكانت الحارثية مسبوقة بفرقتين ذكر النوبختي أنَّهما كانتا من الغلاة أيضاً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الكيسانية، وهي القائلة بإمامة محمَّد بن الحنفية فلما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عمارة البربري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نبي وأنَّ محمَّد بن الحنفية هو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علوّاً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حمزة هو الإمام وأنَّه ينزل عليه سبعة أسباب من السماء فيفتح بهن الأرض ويملكها، وكان قد نكح ابنته وأحلّ جميع المحارم، وقال من عرف الإمام فليصنع ما شاء فلا إثم عليه، فتبعه على ذلك ناس من أهل المدينة وأهل الكوفة فلعنه أبو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وبرئ منه وكذّبه وبرئت منه الشيعة، فاتّبعه على رأيه رجلان من نهد يقال 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ممّا ذكره من لعن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أنَّه كان في زمان تصدّيه للإمامة بعد شهادة أبيه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أنَّ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إليه، وكان قد كتب إلى الباقر يدعو إلى نفسه والإقرار بنبوته، وأخذه خالد بن عبد اللّه القسري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وَليَّ الكوفة من سنة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وخمسة عشر رجلاً وقتلهم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 ابن الحنفية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الإمام وهو الله عزَّ وجلَّ، وهو العالم بكلّ شيء، فمن عرفه فليصنع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بدء الغلوّ كان من الكيسانية والعباسية والحارثية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قالوا إنَّ الأئمَّة آلهة وإنَّهم أنبياء وإنَّهم رسل وإنَّهم ملائكة، وهم الذين تكلموا بالأظلة وفي التناسخ في الأرواح، وهم أهل القول بالدور في هذا الدار، وإبطال القيامة والبعث والحساب</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ذكره في شرح عقائدهم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وتتالت بعد جابر في 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فرق الغلاة، ويظهر بملاحظة روايات الغلاة والمضعّفين أنَّ جابراً كان من جملة من ترفع إليه الآثار المتضمنة للغلوّ والأفكار الغالية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ساهم في تأكيد هذه النسبة في الطبقة الخامسة جملة من تلامذة جابر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ابن شمر، وأبي جميلة المفضَّل بن صالح، والمنخل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ضعّف الثلاثة جميعاً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سرَّ التضعيف هو ملاحظة أدبيات الغلاة وخيوط أفكارهم وتلفيقاتهم فيما يروونه عن جابر، لاسيمّا عمرو بن شمر الذي أصبح راوية جابر وكان يصلّي في مسجده </w:t>
      </w:r>
    </w:p>
    <w:p>
      <w:pPr>
        <w:pStyle w:val="BookText"/>
        <w:rPr/>
      </w:pPr>
      <w:r>
        <w:rPr>
          <w:rFonts w:ascii="Amiri" w:hAnsi="Amiri" w:eastAsia="Amiri" w:cs="Amiri"/>
          <w:color w:val="111111"/>
          <w:sz w:val="28"/>
          <w:sz w:val="28"/>
          <w:szCs w:val="28"/>
          <w:rtl w:val="true"/>
          <w:lang w:bidi="ar-SA"/>
        </w:rPr>
        <w:t>من بعده، وبقي بعده طويلاً، وروى عنه آثاراً كثيرة انفرد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جابر جمع آخر ممَّن ضعّف أو اتّهم بالغلوّ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والربيع بن محمَّد المسلمي، وعبد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 من رؤوس الغلاة ممَّن فرّق الثوار عن عبد الله بن معاوية بن عبد الله بن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غالب، وسعد الأسكاف، وحميد بن شعيب، وضريس الوابشي، وعثمان بن زيد، وإبراهيم بن عمر اليماني، وصباح المزني، ويونس بن ظبيان، على تأمّل في روايته عنه مباشرةً؛ لأنَّه من أحداث الطبقة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جملة مَن نسب إليه الغلوّ وقد روى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يحتمل أنْ يكون قد ساهم في ترسيخ اهتمام الغلاة بجابر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قبيلة جابر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الرجل يتراءى أنَّه المفكر الأبرز للغلاة في الأعصار كلّها حتى تنسب إليه الغلاة كثيراً من الآثار الفكرية المختلفة التي تختصّ بها الغلاة بلسان الرواية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كالهفت الشريف، ورغم أنَّ بعض هذه الآثار مختلقة، أو يتوقع أنْ يكون قد زِيدَ فيها ونقص، إلّا أنَّه يبقى من الصعوبة بمكان نفي استناد الغلوّ إليه مطلقاً، ولكنَّه ربَّما كان من الغلاة الذين يجمعون بين الباطن والظاهر، ولا يلغون العمل بالشريعة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الطبقة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تلامذة تلاميذ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أبرز الرواة المضعّفين والمتّهمين بالغلوّ عن جابر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الزاهري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يعدّه الغلاة من أركانهم، ويعدّونه راوية لآثار الغلاة السابقين وتراثهم مثل تراث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حكي عنه اعترافه قبل موته بأنَّه كان يروي عن الوجادة، كما حكي عنه أنَّه كان يقول في مسجد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المعضلات فإلي، ومن أراد الحلال والحرام فعليه بالشيخ، يعني صفوان بن يحيى</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عن صفوان بن يحيى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سنان لقد هَمّ أنْ يطير غير مرَّة فقصصناه حتى ثبت معنا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محمَّد بن سنان عن الغلاة والمتهمين بالغلوّ ممَّن كانوا في طبقة مشايخه كالمفضَّل بن عمر، وربَّما روى ابن سنان عن جابر مباشرة، وهو مرسل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سائر الرواة الغالين والضعفاء عن جابر بالواسطة في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القاسم، وعبد الله بن حمّاد، وبكر بن صالح، وإسماعيل بن مهران، ومحمَّد بن عبد الرحمن بن محمَّد العزرمي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اعتني برواية المضامين المتضمّنة للغلوّ والتخليط عن جابر في الأجيال اللاحقة من الرواة الغلاة والمخلطين، مضافاً إلى رواية عامّة الروايات لبعض ما أُثر عنه ممّا لم يشخّصوه غلوّاً وتخليطاً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تبلورت فكرة البابيَّة التي سرعان ما وجهّها الغلاة إلى أنَّه لا يتيسّر استقاء المعرفة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بل لا بُدَّ من الدخول إلى معارفهم من خلال أبواب لهم، فأعطي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البابيَّة للإمام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ويلاحظ أنَّ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اقتباساً لما ورد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واستخدام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 الأئمَّة 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الإمام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الأئمَّة على أثر تشديد الرقابة عليهم وصعوبة اللقاء بهم أرجعوا إلى وكلاء موثوقين عندهم كمحمَّد بن عثمان العمري، وعبّر عن هؤلاء بالأبواب والسفراء، وكان المراد بالباب في الإطلاق العامّ هو سبيل الاتصال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توسَّع بعض الإمامية طرداً للفكرة إلى الأزمنة السابقة فانتزع لكلّ واحد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فجعل 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وباب أمير المؤمنين سلمان، وباب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وباب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الهجري، وباب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خالد الكابلي، ويحيى بن أم الطويل، وباب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جابراً،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جرى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تاريخ الأئمَّة المنسوب إلى أبى بكر محمَّد بن أحمد بن عبد الله بن إسماعيل بن أبي الثلج الكاتب البغدادي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حدود </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خصائص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عنواناً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 باب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الجعفي، وباب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وباب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المفضَّل، وباب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الفرات، وباب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الفرات، وباب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العمري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قوم إنَّ محمَّد بن نصير النميري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عثمان بن سعيد الباب، ومحمَّد بن نصير المعلّم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باب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سعيد ومحمَّد بن نصير كما قالوا في أبيه وهم النصيرية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القائم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طبّ الأئمَّة لابن سابور الزيّات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إسناده إلى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جعفر بن علي البرسي،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الأرمني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باباً للمفضَّل بن عمر، وكان المفضَّل باباً لأبي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ذات مرَّة في الغيبة عمَّن كان يختصّ ببعض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ادّعي اختصاصه من السفراء والوكلاء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يعتني بجعل شخص بخصوصه باباً للإمام، بل ذكر طيفاً من الوكلاء في الأمور الماليّة وغيرها، كما لم يهتم بجعل باب لكلّ واحد من الأئمَّة الاثني عشر، بل نظر إلى الصادق ومَن بعده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لم يركّز على التعبير عنهم بالباب، بل عبَّر بالسفراء والوكلاء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عبّر عن سفراء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بالأبواب</w:t>
      </w:r>
      <w:r>
        <w:rPr>
          <w:rStyle w:val="FootnoteAnchor"/>
          <w:rtl w:val="true"/>
        </w:rPr>
        <w:footnoteReference w:id="488"/>
      </w:r>
      <w:r>
        <w:rPr>
          <w:rFonts w:ascii="Amiri" w:hAnsi="Amiri" w:eastAsia="Amiri" w:cs="Amiri"/>
          <w:color w:val="111111"/>
          <w:sz w:val="28"/>
          <w:sz w:val="28"/>
          <w:szCs w:val="28"/>
          <w:rtl w:val="true"/>
          <w:lang w:bidi="ar-SA"/>
        </w:rPr>
        <w:t xml:space="preserve">، وذكر فصلاً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المذمومين الذين ادّعوا البابيَّة والسفارة كذباً وافتراءً</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ومن جملتهم الحلّاج ومحمَّد بن نصير وآخرين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مناقبه حيث اعتنى بذكر باب لكل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أيضاً باب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الجعفي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وجعل باب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وباب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راشد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وباب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وباب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العمري، وباب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روح النوبختي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يتوقّع أنْ يكون استنباط هذه الأبواب للأئمَّة مشاكلة مع دعاوي الغلاة، كما ينبّه عليه بعض وجوه الاشتراك، وفي جملة منها ملاحظات تاريخية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يذكر جلّ الإمامية أبواباً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المفيد في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وأيّاً كان فلم يكن غرض هؤلاء بالباب في شأن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كان طريقاً إلى السؤال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ولكن كثيراً من الغلاة حرّفوا معنى البابيَّة إلى كون صاحبها محلّ أسرار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العقائد الغالية التي كانوا يعتقدون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واستغلوا هذه الدعوى في وقت كان يصعب لعامَّة الناس التحقّق من دعاويهم، ورغم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يصدّرون لعناً بمدّعي البابيَّة لهم، إلّا أنَّ الغلاة كانوا يفسرون هذا اللعن بأنَّ ظاهره عذاب وباطنه رحمة، وحيث إنَّ دعوى احتكار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والقدرة الخارقة على التواصل معهم كان أمراً جاذباً لفريق من عامَّة الناس غير المتثبّتين فقد سلك الغلاة سبيل ادّعاء المعرفة لغرض جذب هؤلاء، ولاسيَّما أنَّ أغلبهم لم يكن من أهل الاطلاع على الفروع الفقهيَّة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اشتدّ الابتلاء بعد استشهاد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فاستراح الغلاة من الوجود الظاهر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وكذّبوا سفراء الإمام المهدي وزعموا أنَّهم الباب إليه، وازداد الابتلاء بعد الغيبة الكبرى من جهة انقطاع رسائل اللعن والتشهير بهم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يزل يظهر رجال من أهل الغلوّ والجهل يزعمون أنَّهم أبواب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انتشار فكرة الأبواب أعاد مدّعو البابيَّة والمعرفة ومنظّروها النظر في مواقع مشاهير الشيعة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الذين عرفوا بمحبّتهم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لأجل أنْ يتأتى أنْ يعتبروا أنفسهم ورؤساءهم بالنسبة إلى الإمام الحاضر بمثابة هؤلاء بالنسبة إلى من سبق فجعلوا في كلّ زمان باباً ونجباء </w:t>
      </w:r>
    </w:p>
    <w:p>
      <w:pPr>
        <w:pStyle w:val="BookText"/>
        <w:rPr/>
      </w:pPr>
      <w:r>
        <w:rPr>
          <w:rFonts w:ascii="Amiri" w:hAnsi="Amiri" w:eastAsia="Amiri" w:cs="Amiri"/>
          <w:color w:val="111111"/>
          <w:sz w:val="28"/>
          <w:sz w:val="28"/>
          <w:szCs w:val="28"/>
          <w:rtl w:val="true"/>
          <w:lang w:bidi="ar-SA"/>
        </w:rPr>
        <w:t>ونقباء وعناوين أخرى وطبقوها على أصحاب الأئمَّة السابقين لضمان اطرّاد الفكرة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ويرى الغلاة للباب شأناً عظيماً، إذ قد يتجلّى الخالق سبحانه فيهم فيدّعون الإلوهية، أو يتجلّى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فيدّعون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الجليّ تلميذ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أركان المذهب النصيري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نداء أبي الخطّاب منه السلام على مئذنة الجامع وتصريحه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المألوه بالإلوهيَّة المعروف بالأزليَّة، فمن ادَّعى عليَّ ما لم أقلْ فقد برئ من توحيد جعفر الرفيع الأعلى الذي هو الأزل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أبو الخطّاب في ذلك الوقت قد ظهر به الميم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جرى من الأبواب إليهم التسليم من النداء بتوحيد العين في أماكن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نادى عمر بن الفرات وأبو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إليهما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بمعنويَّة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إلوهيَّة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واسميَّة الاسم في أماكن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أهل الظاهر ذلك إلى الموالي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جلّوا وعلوا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فلعنوهم في الظاهر تسكيناً لأهل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الكفر والعناد والتقصير والإلحاد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اللعنة رحمة، وقد لعن مولانا جعفر الصادق أبا الخطّاب وجرى من لعنه هذا المجرى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جرى من نداء عبد الله بن سبأ قديماً قبل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قبل بعثه مرَّة أخرى حسب ما ادّعوه في أساطيرهم من أنه بُعِثَ مكرراً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وبعد غيبة الميم منه السلام بمعنوية الأزل ما هو أشهر وأكثر من أن يدرك ويحصى وقُتِلَ ستاً، وتكون السابعة أكبر ممّا تقدَّم وتأخَّر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نداء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ويعبَّر عنه بالمعنى لأنَّه حقيقة الإلوهيَّة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والبصرة وتصريحه بذاته وتوحيده على المنابر بالكوفة والبصرة وغيرهما في خطبة الأقاليم، وخطبة البيان، وخطبة الكشف والطثنجية</w:t>
      </w:r>
      <w:r>
        <w:rPr>
          <w:rStyle w:val="FootnoteAnchor"/>
          <w:rtl w:val="true"/>
        </w:rPr>
        <w:footnoteReference w:id="49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الأوَّل، أنا الآخر، أنا </w:t>
      </w:r>
    </w:p>
    <w:p>
      <w:pPr>
        <w:pStyle w:val="BookText"/>
        <w:rPr/>
      </w:pPr>
      <w:r>
        <w:rPr>
          <w:rFonts w:ascii="Amiri" w:hAnsi="Amiri" w:eastAsia="Amiri" w:cs="Amiri"/>
          <w:color w:val="111111"/>
          <w:sz w:val="28"/>
          <w:sz w:val="28"/>
          <w:szCs w:val="28"/>
          <w:rtl w:val="true"/>
          <w:lang w:bidi="ar-SA"/>
        </w:rPr>
        <w:t>الظاهر، أنا الباطن، أنا بكلِّ شيء عليم، أنا قرم من حديد، أنا أبدئ وأعيد، أنا مهلك 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وأمثاله إشارة إلى ذاته ظاهراً موجوداً سَمِعَه الخاصّ والعامّ والمخالف والمؤالف</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قالوا في أحد تنظيراتهم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تنظير خلفاء محمَّد بن نصير النميري مثل الخصيبي</w:t>
      </w:r>
      <w:r>
        <w:rPr>
          <w:rStyle w:val="FootnoteAnchor"/>
          <w:rtl w:val="true"/>
        </w:rPr>
        <w:footnoteReference w:id="492"/>
      </w:r>
      <w:r>
        <w:rPr>
          <w:rFonts w:ascii="IRNazanin" w:hAnsi="IRNazanin" w:eastAsia="IRNazanin"/>
          <w:color w:val="111111"/>
          <w:sz w:val="28"/>
          <w:sz w:val="28"/>
          <w:szCs w:val="28"/>
          <w:rtl w:val="true"/>
          <w:lang w:bidi="fa-IR"/>
        </w:rPr>
        <w:t xml:space="preserve">ومن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الفارسي، وباب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ابن ورقة، وباب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الهجري، وباب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الكابلي، وباب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معمّر بن أم الطويل، وباب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يزيد الجعفي، وباب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وباب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وباب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المفضَّل، وباب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الفرات الكاتب، وباب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محمَّد بن سنان واحداً من النقباء الاثني عشر وابن سبأ من بين النجباء الأربع والعشرين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يبعد أنَّه كان لسائر الغلاة المدعين للبابيَّة قبيل الغيبة الصغرى وبعدها ترتيب آخر للرواة، وقد ذكر الخصيبي في القسم الثاني من الهداية الكبرى المعقود لذكر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الأبواب على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محمَّد بن سنان وعلي بن حسكة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من مدعي البابيَّة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في هذا التصنيف عدم ملاحظة الجوانب التاريخية بنظر الاعتبار، فإنَّ </w:t>
      </w:r>
    </w:p>
    <w:p>
      <w:pPr>
        <w:pStyle w:val="BookText"/>
        <w:rPr/>
      </w:pPr>
      <w:r>
        <w:rPr>
          <w:rFonts w:ascii="IRNazanin" w:hAnsi="IRNazanin" w:eastAsia="IRNazanin"/>
          <w:color w:val="111111"/>
          <w:sz w:val="28"/>
          <w:sz w:val="28"/>
          <w:szCs w:val="28"/>
          <w:rtl w:val="true"/>
          <w:lang w:bidi="fa-IR"/>
        </w:rPr>
        <w:t xml:space="preserve">جابراً كان من خواص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يضيفون الروايات التي يروونها عن جابر ممّا يتضمَّن لديهم أسراراً إلى أنَّه سمعها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قلَّة الشخصيات المناسبة لدعوى البابيَّة ووجود شخصيَّة مناسبة أخرى في نظرهم لدعوى البابيَّة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أدّى إلى صرف جابر إلى بابيَّة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المفضَّل أُلْصِقَ بالصادق وكلّ ما رووه عنه من الرسائل إنَّما كان رواية عنه، بل لم يبقَ ظاهراً إلى زمان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ذلك جعلوه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هذه الفرقة لم تكن معنية بالاطلاع على التاريخ ومراعاة ثوابته، ولا تخاطب جمهوراً يدركون الأمور التاريخية ويعتبرون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التأويلات التي يمكن أنْ تكون مخرجاً لهم عن أي اضطراب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أنَّ مصطلح البابيَّة بمعنى باب المعرفة المتصف بالتجليات والتصرّفات الخارقة ممّا اخترعه الغلاة عند الغيبة الصغرى أو قبيلها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مصطلح الباب في كلام سعد بن عبد الله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المقالات والفرق في ذكر مذهب المخمّسة الذين هم أصحاب أبي الخطّاب</w:t>
      </w:r>
      <w:r>
        <w:rPr>
          <w:rStyle w:val="FootnoteAnchor"/>
          <w:rtl w:val="true"/>
        </w:rPr>
        <w:footnoteReference w:id="4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أنَّ الذي يظهر من سياق عبارته أنَّه لم يكن ناظراً إلى تقرير هذا المذهب بصيغته القديمة المعهودة لدى أبي الخطّاب، بل التقرير الكلّي للمذهب، وتشهد عبارته على أنَّه مقتبس من كلمات متأخري المخمّسة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الذي يظهر استمرار أفكار المخمّسة حتى عهد الغيبة الصغرى التي عاش فيها سعد، ومن ثَمَّ نجد أنَّ معاصره النوبختي لم يذكر مصطلح الباب في شرح أفكار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الأخطاء التي تقع فيها كتب الفرق حيث يذكرون تقرير مذاهب قديمة ببيانات متأخّرين قد تتضمَّن زيادات وتفاصيل ومصطلحات لم تعهد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وأيَّاً كان فبطبيعة الحال كان لاعتبار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للباب من مقام رفيع يلي مقام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الغلوّ في شخصيّة جابر نفسه وتولّد روايات حول مدح الأئمَّة إياه ومآثره وعجائبه، كما عقد الخصيبي بحثاً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ما عقده في مناقب سائر الأبواب كأبي الخطّاب الغالي ومحمَّد بن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جابر ومآثره</w:t>
      </w:r>
      <w:r>
        <w:rPr>
          <w:rStyle w:val="FootnoteAnchor"/>
          <w:rtl w:val="true"/>
        </w:rPr>
        <w:footnoteReference w:id="495"/>
      </w:r>
      <w:r>
        <w:rPr>
          <w:rFonts w:ascii="Amiri" w:hAnsi="Amiri" w:eastAsia="Amiri" w:cs="Amiri"/>
          <w:color w:val="111111"/>
          <w:sz w:val="28"/>
          <w:sz w:val="28"/>
          <w:szCs w:val="28"/>
          <w:rtl w:val="true"/>
          <w:lang w:bidi="ar-SA"/>
        </w:rPr>
        <w:t xml:space="preserve">، وتبعه أبو سعيد ميمون بن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المعارف</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أمثلتها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يا نظير الذي أغرق الخليقة بالماء وأنت أغرقتهم بالعلم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 جابر لأنَّه جبر المؤمنين بعلمه، وهو بحر لا ينزف، وهو الباب في دهره والحجَّة على الخلق، حجَّة أبي جعفر محمَّد بن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وطرق هذه الأخبار جمعٌ من المجاهيل، وجمعٌ من مشاهير الغلاة مثل أبي الخطّاب، ومحمَّد بن سنان، ويونس بن ظبيان، ومحمَّد بن صدقة العنبري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المرويّات التي تضاف إلى جابر، وقد تضمّنت كتب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المحفوظة بعض الشيء على الإجمال في تراث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عديدة قصيرة وطويلة عن جابر يعتبر مضمون جملة منها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الإجمال فإنَّ جابراً يعتبر عند الغلاة من جملة مشاهير حملة العلم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يعنون به العلم المكتوم عن عامَّة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إنَّ كنية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التحف</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وقالوا إنَّه يشرف على جماعة يندرجون في طبقة الأيتام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يحيى المعبراني، بشارة بن المغيرة، ميمون بن إبراهيم، فرات بن أحنف، حمران بن أعين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مؤسسو المذهب العلوي بترتيب مناسبات اجتماعية يحتفلون بها كما في سائر الأديان والمذاهب لإضفاء حيوية خاصَّة على هذا المذهب، وفي هذا السياق جعل عيدين من الأعياد العربية باسم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أركان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مجموع الأعياد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الأعياد العربية عشرة 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يوم الفطر، ويوم الأضحى، ويوم الغدير، والسبعة عدد الأيام السبعة التي ذكرها الله عزَّ وجلَّ وعلا من جهة الأبواب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خاطب محمَّد الباقر منه السلام لجابر بن يزيد الجعفي، ووضع يده على صدره فوجد برد أنامله في ظهره،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جابر حجّة الله في أرضه وسماواته على أهلها، وكان ذلك يوم الاثنين لسبعة خلون من شهر ذي الحجَّة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التاسع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اليوم الذي أمر الباقر منه السلام بالبيان لجابر بن يزيد الجعفي بالدعاء إلى الله جهراً فدعا، فأخذ فترك السندان المحمي على يده حتى حالت حمرته، ثم قتل، وكان ذلك اليوم يوم السبت لستة عشر يوماً خلون من ذي الحجَّة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وجعلوا في جملة ادعيتهم التوسّل بالأبواب ومنهم جابر الجعفي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دستور العلوية الباطني لم يتضمَّن ذكر الأبواب عدا محمَّد بن نصير النميري وخلفائه، وهو دستور ترتّب لاحقاً وأدخل عليه تغييرات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أردنا بيانه في هذه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الحلقة القادمة في تكملة هذه الجهة في الآثار المنسوبة إلى جابر الجعفي عند الغلاة، ثمَّ في المقام الثاني في علوم جابر وكتبه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9111_108211"/>
      <w:bookmarkStart w:id="396" w:name="pg9111_108211"/>
      <w:bookmarkEnd w:id="396"/>
    </w:p>
    <w:p>
      <w:pPr>
        <w:pStyle w:val="Heading2"/>
        <w:numPr>
          <w:ilvl w:val="1"/>
          <w:numId w:val="1"/>
        </w:numPr>
        <w:rPr/>
      </w:pPr>
      <w:bookmarkStart w:id="397" w:name="pg9111_108211"/>
      <w:bookmarkStart w:id="398" w:name="__RefHeading___Toc2853505_2870459653"/>
      <w:bookmarkStart w:id="399" w:name="_Toc147"/>
      <w:bookmarkEnd w:id="397"/>
      <w:bookmarkEnd w:id="398"/>
      <w:r>
        <w:rPr>
          <w:rtl w:val="true"/>
        </w:rPr>
        <w:t xml:space="preserve">تعقیبات حول وثاقة رواة کامل الزیارات </w:t>
      </w:r>
      <w:r>
        <w:rPr>
          <w:rtl w:val="true"/>
        </w:rPr>
        <w:t xml:space="preserve">- </w:t>
      </w:r>
      <w:r>
        <w:rPr>
          <w:rtl w:val="true"/>
        </w:rPr>
        <w:t xml:space="preserve">الشيخ بشّار أبو كلل </w:t>
      </w:r>
      <w:r>
        <w:rPr>
          <w:rtl w:val="true"/>
        </w:rPr>
        <w:t>(</w:t>
      </w:r>
      <w:r>
        <w:rPr>
          <w:rtl w:val="true"/>
        </w:rPr>
        <w:t>دام عزه</w:t>
      </w:r>
      <w:r>
        <w:rPr>
          <w:rtl w:val="true"/>
        </w:rPr>
        <w:t>)</w:t>
      </w:r>
      <w:bookmarkEnd w:id="399"/>
    </w:p>
    <w:p>
      <w:pPr>
        <w:pStyle w:val="Heading3"/>
        <w:numPr>
          <w:ilvl w:val="2"/>
          <w:numId w:val="1"/>
        </w:numPr>
        <w:rPr/>
      </w:pPr>
      <w:bookmarkStart w:id="400" w:name="__RefHeading___Toc2853507_2870459653"/>
      <w:bookmarkStart w:id="401" w:name="_Toc148"/>
      <w:bookmarkEnd w:id="400"/>
      <w:r>
        <w:rPr>
          <w:rtl w:val="true"/>
        </w:rPr>
        <w:t>اشارة</w:t>
      </w:r>
      <w:bookmarkEnd w:id="40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وثاقة رواة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البحوث الرجاليَّة التي احتدم الجدل بشأنها بين الأعلام، وقد كتب فيها الأستاذ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مطوَّلاً نُشر في مجموعة أبحاثه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أحد تلامذته بتوضيح مرامه وتبيينه ومناقشة بعض ما كُتب مؤخّراً في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يشتمل على نقاط إضافية يجدر الاطلاع عليها</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محمَّد وآله الطيبين الطاهرين الغرّ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أستاذ أساتذتنا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شطر من حياته المباركة إلى وثاقة من وقعوا في أسانيد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وقد تبعه في ذلك عدد من تلامذته وغيرهم،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هذا المبنى لاحقاً وبنى على اختصاص التوثيق بمشايخ ابن قولويه بلا واسطة، وأصدر بياناً أوضح فيه وجه عدوله عن القول الأوَّل، ورد فيه ما نصّه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ملاحظة روايات الكتاب والتفتيش في أسانيدها ظهر اشتماله على جملة وافرة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تربو على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عليها الأوصاف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الكتاب الشيء الكثير من الروايات المرسلة والمرفوعة والمقطوعة التي تنتهي إلى غير المعصوم والتي وقع في إسنادها من هو من غير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يشتمل على الكثير من روايات أناس مهملين لا ذكر لهم في كتب الرجال أصلاً بل وجماعة مشهورين بالضعف كالحسن بن علي بن أبي عثمان ومحمَّد بن عبد الله بن مهران وأميّة بن علي القيسي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هذا كلّه لا ينسجم مع 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الديباجة لو كان مراده توثيق جميع من وقع في إسناد كتابه من أنَّه لم يخرج فيه حديثاً روي عن الشذّاذ من الرجال غير المعروفين بالرواية المشهورين بالحديث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فصوناً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الإخبار بما لا واقع له لم يكن بدّ من حمل العبارة على خلاف ظاهرها بإرادة مشايخه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مناص من العدول عمّا بنينا عليه سابقاً والالتزام باختصاص التوثيق بمشايخه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بعض المراجع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متمسكاً بالقول الأوَّل وأجاب عمّا أفاده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عبارة ابن قولويه آبية عن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وإنَّ الغرض من توثيق الرجال بيان اعتبار روايات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اعتبار الرواية إنَّما يكون بوثاقة جميع رجال سندها لا خصوص الراوي الأوَّل الذي يروي عنه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أخرجت فيه حديثاً روي عن الشذّاذ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خلافه، وإلّا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أخرجت فيه حديثاً رواه الشذّاذ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إبقاء كلامه على ظاهره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منزّهاً عن الكذب فلا بدَّ من توجيه كلامه بما يناسب الكتاب المذكور، وذلك بالنظر في نقاط الضعف التي أشير إليها واحدة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اشتمال الكتاب على الروايات المرسلة والمرفوعة والمقطوعة لا ينافي تعهّده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القريب اطّلاعه على أنَّ الشخص الذي أرسل هو ممَّن لا يرسل إلّا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يبعد مألوفية ذلك عند القدماء كما وصل ذلك إلينا من بعضهم 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أنَّ الكتاب الذي اشتمل عليه الخبر المذكور هو من الكتب التي قامت القرائن الخارجية على صحَّة أخبارها لعرضها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خواص أصحابهم ممَّن يحسن التمييز ونحو ذلك ممَّا قد يتيسّر له ولأمثاله من قدماء الأصحاب وذوي المقام منهم الاطلاع عليه وإن خفي علينا الكثير من ذلك لبُعد العهد وإثارة الشبه ونحو ذلك</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انتهاء الروايات إلى 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يكشف عن أنَّ تعهّده بالاقتصار على رواياتهم مبني على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إنَّما التزم بذلك فيما إذا كان في الرواية عنهم ما يغني عن الرواية عن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فلا دخل لذلك بالمهمّ في ما نحن فيه من وثاقة رجال السند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ومثله الحال في الرواية عن غير أصحابنا إذا كان المراد منهم مَن هو بعيد عن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أريد به مَن هو مختلط بهم كالسكوني وأبي الجارود وطلحة بن زيد فهم ملحقون بأصحابنا في عرف أهل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 الكتاب على الكثير من روايات أناس مهملين لا ذكر لهم في كتب الرجال لا ينافي تعهّده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كتب الرجال قد أهملت الكثير من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 الكتاب على جماعة مشهورين بالضعف إن كان المراد به أنَّهم مشهورون عند غيره بنحو يمكن مخالفة ابن قولويه للمشهور في ذلك فهو لا يعدو أن يكون اختلافاً بين أهل الجرح والتعديل الذي يقع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أنَّهم مشهورون بالضعف عند الأصحاب عموماً بحيث لا يمكن خفاء ذلك على ابن قولويه ومخالفته لهم فيه فيهوّن الأمر إمكان جمع توثيقه لهم في كتابه مع تضعيفهم المذكور بأنَّه لمّا كان الغرض من توثيقهم هو توثيق رواياتهم فالظاهر أنَّ المراد بذلك وثاقتهم حين أدائهم الرواية وأخذها عنهم؛ لأنَّ ذلك كافٍ في حجيّة الرواية والاعتماد عليها، ولا ينافي ذلك أن يعرض ما يسقط روايته عن الحجيّة من ضعف في الذاكرة حتى صار يخلط ولا يضبط أو من هزّة وفتنة أخرجته عن مقام الوثاقة أي الكذب أو الغلوّ أو الكفر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هذا الوجه هو الظاهر بدواً فلا أقل من لزوم الحمل عليه بعد ملاحظة واقع الكتاب ومراعاة مؤلّفه في الوثاقة والجلالة ورفعة المقام وقدم الطبقة، وهو أولى بكثير من حمل كلامه على توثيق خصوص مشايخه الذين يروي عنهم بلا واسطة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 بعض المراجع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تعرَّض له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بحوثه الرجالية وناقشه بكلام مفصَّل، ورد فيه ما نصّه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ذكر في وجه إباء عبارة ابن قولويه عن الحمل على إرادة توثيق مشايخه المباشرين خاصَّة فيلاحظ عليه بأنَّه ربَّما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في مشايخه المذكورين في الكتاب أنَّهم من نقّاد الأخبار وكان يكتفي بذلك في الاعتماد على الرواية وإن كان في سندها ضعيف أو مجهول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عندئذٍ أن يكون مراده وثاقة جميع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أخرجت فيه حديثاً روي عن الشذّاذ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فيه أن يكون مسوقاً لبيان أنَّ جميع رواة الكتاب إنَّما هم من المشهورين بالرواية لا كونهم جميعاً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راوٍ مشهور بالحديث ولكنّه لم يوثقه الرجاليون بل ضعّفوه كسهل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عبارة ابن قولويه آبية عن الحمل المذكور غير تام، نعم هو بحاجة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إذاً النظر في ما أجيب به عن الأمور التي أشار إليها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ذكر من احتمال بناء ابن قولويه على أنَّ من أرسلوا المراسيل التي أوردها في كتابه هم ممَّن لا يرسلون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بشأن ابن أبي عمير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الضعف، فإنَّ عدد هؤلاء يزيد على الستين شخصاً وفيهم العديد من الضعفاء كسلمة بن الخطّاب وعبد الله بن عبد الرحمن الأصم ومحمَّد بن جمهور العمي</w:t>
      </w:r>
      <w:r>
        <w:rPr>
          <w:rStyle w:val="FootnoteAnchor"/>
          <w:rtl w:val="true"/>
        </w:rPr>
        <w:footnoteReference w:id="504"/>
      </w:r>
      <w:r>
        <w:rPr>
          <w:rFonts w:ascii="Amiri" w:hAnsi="Amiri" w:eastAsia="Amiri" w:cs="Amiri"/>
          <w:color w:val="111111"/>
          <w:sz w:val="28"/>
          <w:sz w:val="28"/>
          <w:szCs w:val="28"/>
          <w:rtl w:val="true"/>
          <w:lang w:bidi="ar-SA"/>
        </w:rPr>
        <w:t>، وفيهم بعض من صرّح بأنَّه يروي عن الضعفاء كمحمد بن خالد البرقي</w:t>
      </w:r>
      <w:r>
        <w:rPr>
          <w:rStyle w:val="FootnoteAnchor"/>
          <w:rtl w:val="true"/>
        </w:rPr>
        <w:footnoteReference w:id="505"/>
      </w:r>
      <w:r>
        <w:rPr>
          <w:rFonts w:ascii="Amiri" w:hAnsi="Amiri" w:eastAsia="Amiri" w:cs="Amiri"/>
          <w:color w:val="111111"/>
          <w:sz w:val="28"/>
          <w:sz w:val="28"/>
          <w:szCs w:val="28"/>
          <w:rtl w:val="true"/>
          <w:lang w:bidi="ar-SA"/>
        </w:rPr>
        <w:t>، والبقيَّة بين موثَّق ومجهول ومهمل لم يذكر بشيء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كلّ هؤلاء ممَّن لا يرسلون إلّا عن ثقة فكيف لا يوجد على ذلك شاهد في أي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يلاحظ أي تميّز لهؤلاء عن سائر من أرسلوا في المجاميع الروائية الأخرى من الكتب الأربعة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عدم إرسال الراوي عن غير ثقة لا يكون عادة إلّا فيما لو </w:t>
      </w:r>
    </w:p>
    <w:p>
      <w:pPr>
        <w:pStyle w:val="BookText"/>
        <w:rPr/>
      </w:pPr>
      <w:r>
        <w:rPr>
          <w:rFonts w:ascii="Amiri" w:hAnsi="Amiri" w:eastAsia="Amiri" w:cs="Amiri"/>
          <w:color w:val="111111"/>
          <w:sz w:val="28"/>
          <w:sz w:val="28"/>
          <w:szCs w:val="28"/>
          <w:rtl w:val="true"/>
          <w:lang w:bidi="ar-SA"/>
        </w:rPr>
        <w:t xml:space="preserve">كان ملتزماً بعدم الرواية إلّا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ذلك بشأن ابن أبي عمير وصفوان والبزنطي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قليل في الرواة وليس عادة مألوفة عند القدماء، ولذلك اعتنى علماء الرجال من الفريقين بالتنصيص على من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معظم الذين أرسلوا في روايات كتاب الكامل لم يكونوا من هذا القبيل كما يظهر بتتبّع مشايخهم في الفهارس وأسانيد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العديد من المراسيل التي أوردها ابن قولويه قد وقع الإرسال فيها بأزيد من واسطة واحدة، وفي مثل ذلك يتعذّر عادة على المرسل التحقّق من وثاقة من لا يكون من مشايخه المباشرين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 من احتمال اطّلاع ابن قولويه على أنَّ الكتاب الذي اشتمل على الخبر المرسل أو المرفوع أو المقطوع هو من الكتب التي قامت القرائن الخارجية على صحّة أخبارها لعرضها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استبعاده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إذ لا يبرّر بوجه شهادته بأنَّ جميع رواته من ثقات أصحابنا كما لعلَّه واضح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ذكر من أنَّ التزام ابن قولويه بعدم الرواية عن 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فيما إذا كان في الرواية عنهم ما يغني عن الرواية عن غيرهم فيلاحظ عليه بأنَّ هذا إنَّما هو مقتضى ما ورد في المطبوعة النجفيّة والقميّة</w:t>
      </w:r>
      <w:r>
        <w:rPr>
          <w:rStyle w:val="FootnoteAnchor"/>
          <w:rtl w:val="true"/>
        </w:rPr>
        <w:footnoteReference w:id="506"/>
      </w:r>
      <w:r>
        <w:rPr>
          <w:rFonts w:ascii="Amiri" w:hAnsi="Amiri" w:eastAsia="Amiri" w:cs="Amiri"/>
          <w:color w:val="111111"/>
          <w:sz w:val="28"/>
          <w:sz w:val="28"/>
          <w:szCs w:val="28"/>
          <w:rtl w:val="true"/>
          <w:lang w:bidi="ar-SA"/>
        </w:rPr>
        <w:t xml:space="preserve">من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أخرج فيه حديثاً روي عن غيرهم إذا كان في ما روينا عنهم من حديثهم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عن حديث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المذكور في المطبوعة الطهرانيّة وكذلك في البحار وخاتمة المستدرك</w:t>
      </w:r>
      <w:r>
        <w:rPr>
          <w:rStyle w:val="FootnoteAnchor"/>
          <w:rtl w:val="true"/>
        </w:rPr>
        <w:footnoteReference w:id="507"/>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أنَّها هي الأنسب بسوق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 من أنَّ مَن كان من غير الإمامية مختلطاً بأصحابنا فهو ملحق بهم في عرف أهل الحديث فلا تخلّ رواية ابن قولويه عنه بتعهّده عدم الرواية عن غير الثقات من أصحابنا فهو غير تام أيضاً، لأنَّه لا شاهد على الإلحاق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ذكر الأصحاب في الفهارس جمعاً من رجال العامَّة وأضرابهم ممَّن رووا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وألّفوا الكتب من أحاديثهم إلحاقاً لهم بأصحابنا المصنّفين، وهذا أمر آخر لا تعلّق له بمورد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ذكر من أنَّ رواية ابن قولويه عن غير أصحابنا ممَّن هو بعيد عنهم أو روايته عن 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يكشف عن أنَّ تعهّده بالاقتصار على روايات الثقات من أصحابنا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مبني على الغالب، وعلى كل حال فلا دخل له بالمهمّ في ما نحن فيه من وثاقة رجال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فيلاحظ عليه بأنَّ الموارد المذكورة وأشباهها كالرواية عن الضعفاء والمجاهيل وإيراد المراسيل ونحوها إن لم تكن تشكّل بمجموعها رقماً معتداً به لأمكن أن يوجّه ما عثر عليه منها بما ذكر ويبنى على عدم كونه مضرّاً بما يستفاد من كلام 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التعهّد بالاقتصار على إيراد روايات الثقات من أصحابنا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واقع الحال أنَّ تلكم الموارد كثيرة جدّاً</w:t>
      </w:r>
      <w:r>
        <w:rPr>
          <w:rStyle w:val="FootnoteAnchor"/>
          <w:rtl w:val="true"/>
        </w:rPr>
        <w:footnoteReference w:id="508"/>
      </w:r>
      <w:r>
        <w:rPr>
          <w:rFonts w:ascii="Amiri" w:hAnsi="Amiri" w:eastAsia="Amiri" w:cs="Amiri"/>
          <w:color w:val="111111"/>
          <w:sz w:val="28"/>
          <w:sz w:val="28"/>
          <w:szCs w:val="28"/>
          <w:rtl w:val="true"/>
          <w:lang w:bidi="ar-SA"/>
        </w:rPr>
        <w:t xml:space="preserve">ولا سبيل إلى توجيهها بما أشير إليه، بل لا بد من جعلها قرينة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معنى آخر غير التعهّد بما ذكر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 من أنَّ اشتمال الكتاب على الكثير من روايات أناس مهملين لا ذكر لهم في كتب الرجال لا ينافي تعهّد ابن قولويه بالاقتصار على الرواية عن الثقات من أصحابنا؛ لأنَّ كتب الرجال قد أهملت الكثير من الرواة، فيمكن أن يناقش فيه بأنَّه لو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 على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أن يوجّه إهمال ما يزيد على النصف من عدد رواة الكتاب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يخلو عن إشكال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الملاحظ أنَّه عبّر في ذيل عبارته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المعروفين بالرواية المشهورين بالحديث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القسم الأعظم من رواة كتابه لم يكونوا كذلك وإلّا لتمثّل في سائر المصادر كما هو واضح للممارس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ذكر في توجيه اشتمال الكتاب على عدد غير قليل من المضعّفين فيلاحظ عليه بأنَّ الاختلاف في الجرح والتعديل وإن كان أمراً متعارفاً بين علماء الرجال ولكنّ المعهود منه هو تضعيف النجاشي بضعة من الرواة ممَّن وثّقهم الشيخ وانعكاس الأمر في بضعة رواة آخرين، وهكذا بالنسبة إلى الكشّي وابن الغضائري وسائر أرباب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يوثّق أحدهم جمعاً كبيراً من الرواة ممَّن طعن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فهذا غير معهود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في أسانيد كامل الزيارات أكثر من ستين راوياً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اثنين وستين شخصاً من رواة كامل الزيارات مع ما ورد في كلمات أعلام الرجاليين فيهم من القدح من دون معارض أو مع المعارض أحياناً،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فيلاحظ أنَّ مقتضى شمول التوثيق المذكور في مقدّمة الكامل لجميع رواته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ابن قولويه مع أعلام الرجاليين في وثاقة وضعف عدد كبير من الرواة ممَّا لا يعهد مثله بالنسبة إلى غيره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توثيقه لعدد من مشاهير الكذّابين والوضّاعين كمحمَّد بن علي القرشي أبي سمينة، ومحمَّد بن عبد الله بن مهران، ويونس بن ظبيان، ومحمَّد بن جمهور العمي، ومحمَّد بن الحسن بن شمّون، وعبد الله بن عبد الرحمن الأصم، والحسن بن علي بن أبي </w:t>
      </w:r>
    </w:p>
    <w:p>
      <w:pPr>
        <w:pStyle w:val="BookText"/>
        <w:rPr/>
      </w:pPr>
      <w:r>
        <w:rPr>
          <w:rFonts w:ascii="Amiri" w:hAnsi="Amiri" w:eastAsia="Amiri" w:cs="Amiri"/>
          <w:color w:val="111111"/>
          <w:sz w:val="28"/>
          <w:sz w:val="28"/>
          <w:szCs w:val="28"/>
          <w:rtl w:val="true"/>
          <w:lang w:bidi="ar-SA"/>
        </w:rPr>
        <w:t>عثمان، وعبد الله بن القاسم الحضرمي،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توجيهه من أنَّه لمّا كان الغرض من توثيق هؤلاء هو توثيق رواياتهم فالظاهر أنَّ المراد بذلك وثاقتهم حين أدائهم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يكون لأولئك الرواة دور وثاقة قبل دور الضعف وأنَّ الروايات المدرجة في الكتاب قد رويت عنهم في دور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فرض في فرض، ولا شاهد عليه بوجه، بل الشواهد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مضامين جملة من روايات هؤلاء تشهد بأنَّها من مختلقاتهم في دور الضعف، فلتراجع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 على أنَّ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 عن معرفة أحوال الرواة بل كان خبيراً بها، ولا سيّما مع التنصيص على كونه من أجلّاء أصحابنا في الحديث</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محيص من البناء على عدم كون مراده بالتوثيق المذكور في مقدّمة الكامل هو توثيق جميع رواة الكتاب كما تنبّه لذلك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مناقشة ما ورد في كلام بعض المراجع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نُشر أخيراً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 من مصباح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ولاحظت أنَّه قد ذُكر في هامش بعض صفحاته</w:t>
      </w:r>
      <w:r>
        <w:rPr>
          <w:rStyle w:val="FootnoteAnchor"/>
          <w:rtl w:val="true"/>
        </w:rPr>
        <w:footnoteReference w:id="510"/>
      </w:r>
      <w:r>
        <w:rPr>
          <w:rFonts w:ascii="Amiri" w:hAnsi="Amiri" w:eastAsia="Amiri" w:cs="Amiri"/>
          <w:color w:val="111111"/>
          <w:sz w:val="28"/>
          <w:sz w:val="28"/>
          <w:szCs w:val="28"/>
          <w:rtl w:val="true"/>
          <w:lang w:bidi="ar-SA"/>
        </w:rPr>
        <w:t xml:space="preserve">ردٌّ مفصَّلٌ على أحد الوجوه التي أوردها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الرابع المتقدّم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بدا لي أنَّ ما ذكره الكاتب لا يفي بالجواب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كأنَّه بعيد عن مرام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عنَّ لي أن أشرح مقصوده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أعقّبه بالتعليق على ما ذكره الكاتب، فأقول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اختلاف الرجاليين في التوثيق والتضعيف وإن كان أمراً متعارفاً ولكنّ المعهود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بمراجعة الأصول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يوثّق أحدهم بضعة أشخاص ممَّن يضعّفهم الآخرون أو ممَّن يضعّفهم بعضهم ويوثّقهم أو يسكت عن بيان حالهم بعض آخر، وأمَّا أن يوثّق الرجالي ما يزيد على ستين شخصاً ممَّن ورد تضعيفهم في كلمات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وافقه على توثيق بعضهم رجالي آخر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يشكّل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من وثّقهم فهذا غير معهود أصلاً، ولا سيما إذا كان فيهم عدد من المشهورين بالكذب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وثّق في كتابه مئات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يقرب من عدد رواة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من ضعّفه غيره إلّا عدد محدود جدّاً كإبراهيم بن عمر اليماني وحذيفة بن منصور والحسن بن الحسين اللؤلؤي وخلف بن حماد وسالم بن مكرم وسهل بن أحمد الديباجي وسليمان بن داود المنقري ومحمد بن إسماعيل البرمكي ومحمَّد ابن عيسى بن عبيد ويحيى بن عليم ويعقوب السراج وأبي طالب الأنباري، وليس في هؤلاء أيّ من الكذّابين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وثّق في كتابي الفهرست والرجال مئات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أقلّ من نصف من وثّقهم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من ضعّفه غيره إلّا بضع أشخاص كجعفر بن محمَّد بن مالك وداود بن كثير الرقي وسعد بن طريف وسهل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عمير الذي روى عن حوالي أربعمائة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توثيق لهم 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مشايخه من ضعّفه غيره إلّا سبعة أو ثمانية رواة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المنقري وعبد الرحمن بن سالم الأشل والمفضّل بن صالح والمفضّل بن عمر وإسحاق ابن عبد العزيز والحسن بن راشد وعلي بن أبي حمزة وزياد بن مروان القندي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وصفوان بن يحيى الذي روى عمَّن يقرب من مائتي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توثيق لهم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يوجد في مشايخه ممَّن ضعّفه غيره إلّا أربعة رواة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والمفضّل بن صالح وعبد الله بن خداش وصالح النيلي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نصر البزنطي الذي روى عمَّن يقرب من مائة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توثيق 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مشايخه من ضعّفه غيره إلّا المفضّل بن صالح وعبد الرحمن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يمكن تصديق أنَّ ابن قولويه قد قصد بما ذكره في مقدّمة كتابه توثيق مئات الرواة ممَّن وقعوا في أسانيده في حين أنَّ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ممَّن ضعّفهم غيره، وإن كان فيهم بعض من وثّقه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ممَّا لم يقع نظيره لأيّ من الرجاليين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التوضيح يظهر الوجه في ما صنعه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إدراج أسماء عدد ممَّن تعارض فيهم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بن محمَّد بن مالك والحسن بن الحسين اللؤلؤي وسهل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بعض من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على وثاقتهم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بن عيسى ابن عبيد وسالم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الأشخاص الاثنين والستين ممَّن روي عنهم في كامل الزيارات وقد ضُعّفوا في كلمات سائر الرجاليين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توثيق بعض الرجاليين لعدد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على ذلك في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شيئاً من حقيقة أنَّ توثيق ابن قولويه لأزيد من ستين راوياً ممَّن ورد تضعيفهم في كلمات غيره، يعني مخالفته لغيره من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وثاقة وضعف هذا العدد الكبير من الرواة وهو أمر غريب؛ لأنَّه ممَّا لم يتفق مثله لأيّ رجاليّ آخر، بل غاية ما اتفق هو أن يكون بين من يوثّقهم أحدهم عشرة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أو أكثر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ضعّفهم غيره سواء وافقه في توثيق بعضهم آخر أو لا، وهم في كل الأحوال لا يشكّلون إلّا نسبة ضئيلة جدّاً من مجموع من قام بتوثيقهم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لوحده يشكّل شاهداً قوياً على أنَّه ليس مقصود ابن قولويه بما ذكره في </w:t>
      </w:r>
    </w:p>
    <w:p>
      <w:pPr>
        <w:pStyle w:val="BookText"/>
        <w:rPr/>
      </w:pPr>
      <w:r>
        <w:rPr>
          <w:rFonts w:ascii="Amiri" w:hAnsi="Amiri" w:eastAsia="Amiri" w:cs="Amiri"/>
          <w:color w:val="111111"/>
          <w:sz w:val="28"/>
          <w:sz w:val="28"/>
          <w:szCs w:val="28"/>
          <w:rtl w:val="true"/>
          <w:lang w:bidi="ar-SA"/>
        </w:rPr>
        <w:t xml:space="preserve">مقدّمة كتابه هو توثيق جميع رواة أسانيده؛ إذ من المستبعد جدّاً ممَّن يكون عارفاً بأحوال الرجال أن يكون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توثيقاته على خلاف ما صدر من سائر أئمَّة الرجال ممَّن سبقوه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ويفترض أنَّه اعتمد عليهم وعلى نظرائه في معلوماته الرجالية أو ممَّن أتوا من بعده وكانوا عيالاً عليه وعلى أمثاله في معرفة أحوال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أن تنسب إلى فقيه جليل القدر مجموعة من الفتاوى ويلاحظ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شاذّة لا قائل بها من الفقهاء أصلاً، أو أنَّه توجد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فقط موزعة في فتاوى الآخرين، أليس هذا يثير الاستغراب ويدعو إلى التشكيك في صحّة نسبة كل تلك الفتاوى الشاذّة إلى ذلك الفقيه الجليل؟</w:t>
      </w:r>
    </w:p>
    <w:p>
      <w:pPr>
        <w:pStyle w:val="BookText"/>
        <w:rPr/>
      </w:pPr>
      <w:r>
        <w:rPr>
          <w:rFonts w:ascii="Amiri" w:hAnsi="Amiri" w:eastAsia="Amiri" w:cs="Amiri"/>
          <w:color w:val="111111"/>
          <w:sz w:val="28"/>
          <w:sz w:val="28"/>
          <w:szCs w:val="28"/>
          <w:rtl w:val="true"/>
          <w:lang w:bidi="ar-SA"/>
        </w:rPr>
        <w:t>هذا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ابن قولويه قد عمد إلى تأليف كتابه الكامل من خصوص الروايات التي رواها الثقات فلماذا لا نجد أي تميّز لرواة هذه الروايات عن رواة سائر المجاميع الروائية المؤلّفة في موضوع الزيارات وما يلحق بها، كأبواب الزيارات من كتاب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المزار من كتاب التهذيب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ألا يفترض أن نجد عند المقارنة أنَّ رواة الكامل يمتازون عن رواة زيارات الكافي ومزار التهذيب ولو من حيث قلَّة من يكون فيهم مطعوناً عليه في كلمات الرجاليين؟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نجد عند المقارنة بين أحاديث كتاب منتقى الجمان للشيخ حسن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لذكر الأحاديث الصحاح والحسان وبين أحاديث كتاب الوافي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 فيه عامَّة روايات الكتب الأربعة أنَّ رواة أحاديث المنتقى يمتازون عن رواة أحاديث الوافي من حيث إنَّهم من الإمامية الموثقين أو الممدوحين وقلّما يوجد فيهم من طعن فيه أحد الرجاليين، بخلاف من ورد ذكرهم في الوافي فإنَّ فيهم الإمامي وغيره والموثّق وغيره والممدوح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تقيّد المؤلّف بإيراد روايات الثقات خاصّة فلا بدَّ أن يتميّز مؤلّفه عن سائر المؤلّفات المماثلة له في الموضوع، بأن يكون الرواة فيه مختلفين عن غيرهم من حيث سلامتهم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النادر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الجرح والطعن في كلمات الآخرين، وهذه الميزة لا نجدها بوجه في كتاب الكامل، بل نجد على العكس من ذلك أنَّ العديد ممَّن وردت رواياتهم في هذا الكتاب هم ممَّن قلّ أن يضاهيهم أحد في الضعف والسقوط، كعبد الله ابن عبد الرحمن الأصم 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غال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 له ابن قولويه ما يزيد على ثلاثين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مصدرها كتابه في الزيارات الذي قال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خبث عظيم ومذهب متهافت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وكيونس بن ظبيان الذي عدّه الفضل بن شاذان من الكذّابين المشهورين، 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يلتفت إلى ما رواه، كل كتبه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له ابن قولويه خمس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وكمحمَّد بن علي القرشيّ الذي عدَّه الفضل بن شاذان من الكذّابين المشهورين أيضاً، 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فاسد الاعتقاد لا يعتمد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 له ابن قولويه سبع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تميّز كتاب الكامل عن سائر كتب المزار في عدد من سلم من رواته عن الطعن في كلمات الرجاليين مؤشّر واضح آخر إلى أنَّ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بما أورده في مقدّمته توثيق جميع رواته،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ما يتعلَّق بتوضيح مرام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في ما يأتي نصّ ما ذكره الكاتب مع التعقيب على كلّ مقطع بما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بعد إيراد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مراجعة هؤلاء تبيَّن أنَّ كيلهم بمكيال واحد ليس بسديد؛ وذلك 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منهم لا ظهور في كلمات الرجاليين على عدم وثاقتهم وإنَّما قدحهم راجع إلى جهات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وكثيراً ما يرجع تضعيف الغضائري إلى ضعف الرواية بمعنى اسم المصدر لا المصدر، نظير حديثه يعرف وينكر، حديثه نعرفه وننكره، حديثه مضطرب، حديثه غير 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راشد الذي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الطفاوي وكان من الطبقة السادسة ولم يرد ذكره في كامل الزيارات، وأمَّا الذي وقع في أسناده وقد ضعّفه ابن الغضائري فهو مولى بني العباس الذي يروي عنه حفيده القاسم بن يحيى وكان من الطبقة الخامسة، فلا ينبغي الخلط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ما أشير إليه من أنَّ قول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وثاقة الرجل غير تام، فإنَّه في مقابل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والمتبادر منه إرادة ضعف الشخص في نقله لا ضعف ما يرويه من الروايات من حيث اشتمالها على المناكير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ضعف الروايات بهذا المعنى لا يجتمع مع وثاقة راويها إذا لم يحتمل أن يكون غيره هو العلَّة فيها، ولذلك لا نجد في كلمات الرجاليين الجمع بينهما في شيء من الموارد،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نفسه ولكن يروي المناكير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نفسه ولكن يروي عن الضعفاء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يعرف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غير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القدح في الوثاقة، فإنَّ الأوَّل ظاهر في كون المراد به هو أنَّه يروي </w:t>
      </w:r>
    </w:p>
    <w:p>
      <w:pPr>
        <w:pStyle w:val="BookText"/>
        <w:rPr/>
      </w:pPr>
      <w:r>
        <w:rPr>
          <w:rFonts w:ascii="Amiri" w:hAnsi="Amiri" w:eastAsia="Amiri" w:cs="Amiri"/>
          <w:color w:val="111111"/>
          <w:sz w:val="28"/>
          <w:sz w:val="28"/>
          <w:szCs w:val="28"/>
          <w:rtl w:val="true"/>
          <w:lang w:bidi="ar-SA"/>
        </w:rPr>
        <w:t xml:space="preserve">أحياناً ما يصادم العقل أو يخالف الكتاب أو السنَّة ممَّا لا يمكن القبول به إلّا بضرب من التأويل، ففيه إشارة واضحة إلى اتّهامه في نقله، وليس المراد به هو أنَّه قد يروي ما لا تقبله العقول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خلاف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ظاهر في كون المراد من عدم النقاء هو الاشتمال على ما ينكر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ظاهر في كون المراد به هو الاضطراب في النقل والحكاية، وهو ممَّا ينافي الوثاقة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قول ابن الغضائري في إسماعيل بن مهران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حديثه بالنقي يضطرب تارة ويصلح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بقرينة المقابلة على أنَّ المراد باضطراب الحديث هو الخلل في النقل وعدم سلامته وهو لا ينسجم مع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 النجاشي في ترجمة الحسين بن أحمد البوشنجي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المذهب، وكان ثقة في 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يلوح منه أنَّه أراد بالتنصيص على وثاقته نفي كونه مضطرب الرواية كما كان مضطرب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 بن مروان القندي أحد أركان الوقف كما في الكشّي، والمستشكل ذهب إلى عدم قدحه في الوثاقة بل بنى على وثاقته، لاحظ قبسات من علم الرجال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على ضعف زياد بن مروان ليس لمجرّد كونه من أركان الوقف، قال 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الوجيزة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موثق، جمعاً بين الوقف والتوثيق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 التوثيق بأنَّ المنقول عنه أنَّه سمع النصّ وأظهره ثمَّ خالفه وأنكره، وهذا لا يجتمع مع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في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عيسى بن عبيد عن زياد بن مروان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علي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هذا كتابه كتابي وكلامه كلامي ورسوله رسولي وما قال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زياد بن مروان روى هذا </w:t>
      </w:r>
    </w:p>
    <w:p>
      <w:pPr>
        <w:pStyle w:val="BookText"/>
        <w:rPr/>
      </w:pPr>
      <w:r>
        <w:rPr>
          <w:rFonts w:ascii="IRNazanin" w:hAnsi="IRNazanin" w:eastAsia="IRNazanin"/>
          <w:color w:val="111111"/>
          <w:sz w:val="28"/>
          <w:sz w:val="28"/>
          <w:szCs w:val="28"/>
          <w:rtl w:val="true"/>
          <w:lang w:bidi="fa-IR"/>
        </w:rPr>
        <w:t xml:space="preserve">الحديث ثمَّ أنكره بعد مضي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بالوقف، وحبس ما كان عنده من مال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والطريق إليه صحيح؛ إذ ليس فيه من يتوقّف في شأنه سوى العبيدي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توثيقه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عقدة عن علي بن الحسن بن فضّال عن محمَّد بن عمر بن يزيد وعلي بن أسباط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عثمان بن عيسى الرواسي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زياد القندي وابن مسكان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عليكم الساعة خير أهل الأرض، فدخل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أهل الأرض؟ ثم دنا فضمّه إليه،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تدري ما قال 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هذان يشكّان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بهذا الحديث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الحديث، لا ولكن حدّثني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جحدتماه حقّه أو خنتماه فعليكما لعنة الله والملائكة والناس أجمعين، يا زياد لا تنجب أنت وأصحابك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زياد القندي،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أحسبك قد خولطت، فمرّ وتركني، فلم أكلمه ولا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نزل نتوقع لزياد دعوة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ظهر منه أيام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ومات زنديقاً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الروايتين دلالة واضحة على جحده للنصّ الصريح ومعاندته للحقّ الصحيح، وكذبه في الرواية وموته على الزندقة، والرواية الأخيرة معتبرة الإسناد كالأولى، فإنَّ الطريق إلى ابن محبوب موثّق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فالتوثيق إنَّما يجتمع مع فساد المذهب لو كان السبب فيه اعتراض الشبهة، والمعروف في سبب وقف زياد وأضرابه من رؤساء الواقفة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الثقات أنَّ أوَّل من أظهر الوقف علي بن أبي حمزة البطائني وزياد بن </w:t>
      </w:r>
    </w:p>
    <w:p>
      <w:pPr>
        <w:pStyle w:val="BookText"/>
        <w:rPr/>
      </w:pPr>
      <w:r>
        <w:rPr>
          <w:rFonts w:ascii="Amiri" w:hAnsi="Amiri" w:eastAsia="Amiri" w:cs="Amiri"/>
          <w:color w:val="111111"/>
          <w:sz w:val="28"/>
          <w:sz w:val="28"/>
          <w:szCs w:val="28"/>
          <w:rtl w:val="true"/>
          <w:lang w:bidi="ar-SA"/>
        </w:rPr>
        <w:t>مروان القندي وعثمان بن عيسى الرواسي، طمعوا في الدنيا ومالوا إلى حطامها واستمالوا قوماً فبذلوا لهم شيئاً ممَّا اختانوه من الأموال، نحو حمزة بن بزيع وابن المكاري وكرام الخثعمي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استبان بما ذكرنا من كلام الأصحاب ورواياتهم ضعف زياد ابن مروان بالوقف وجحد النصّ والميل إلى الحطام واستمالة الناس إلى الباطل والخيانة في المال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شأنه فلا ينبغي التوقّف فيه، ولا الالتفات إلى ما يرويه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كلام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يخلو من وجاهة، وإن كان يظهر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وثاقة الرجل لرواية ابن ابي عمير عنه،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قبل انحرافه، فليتدبّر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أحمد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ابن الوليد روايته من نوادر الحكمة إلّا أنَّ الصدوق روى عنه في معاني الأخبار والخصال، ولعلّه كذلك في الفقيه في بيان طريقه إلى داود الرقّي، فراجع</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استثناء ابن الوليد روايته من كتاب نوادر الحكمة ظاهر في عدم وثاقة الرجل عنده، ويشهد له ما قاله أبو العباس ابن نوح بشأن من استثنى ابن الوليد رواياتهم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أصاب شيخنا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محمَّد بن عيسى بن عبيد فلا أدري ما رابه فيه؛ لأنَّه كان على ظاهر العدالة والثقة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التعليل في الذيل يدلّ على عدم وثاقة بقية من استثنيت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بناء ابن </w:t>
      </w:r>
    </w:p>
    <w:p>
      <w:pPr>
        <w:pStyle w:val="BookText"/>
        <w:rPr/>
      </w:pPr>
      <w:r>
        <w:rPr>
          <w:rFonts w:ascii="Amiri" w:hAnsi="Amiri" w:eastAsia="Amiri" w:cs="Amiri"/>
          <w:color w:val="111111"/>
          <w:sz w:val="28"/>
          <w:sz w:val="28"/>
          <w:szCs w:val="28"/>
          <w:rtl w:val="true"/>
          <w:lang w:bidi="ar-SA"/>
        </w:rPr>
        <w:t>نوح على ذلك، وقد وافقه عليه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ابن الوليد ومن وافقه للرجل واضح، وأمّا رواية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فلا تدلّ على وثاقته عنده، فإنّه لا يتقيد بالرواية عن الثقات خاصّة وإن توهم ذلك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له أنّه ذكر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بعض الروايات ما لفظه</w:t>
      </w:r>
      <w:r>
        <w:rPr>
          <w:rStyle w:val="FootnoteAnchor"/>
          <w:rtl w:val="true"/>
        </w:rPr>
        <w:footnoteReference w:id="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شيخنا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سيّء الرأي في محمَّد بن عبد الله المسمعي راوي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أخرجت هذا الخبر في هذا الكتاب؛ لأنَّه كان في كتاب الرحمة وقد قرأته عليه فلم ينكره ورواه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يظهر من هذه العبارة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يروي أحاديث الأشخاص الثقات كذلك يروي أحاديث الضعفاء إذا عرضت على شيخه ابن الوليد فلم ينكرها ورواها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أيضاً ممَّا ذكره في مواضع من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يروي أحاديث الضعفاء إذا خلت عن التخليط والغلوّ ولم تكن ممَّا انفردوا بها، فقد روى كتب محمَّد بن علي الصيرفي أبي سمينة باستثناء ما كان فيها من تخليط أو غلوّ أو تدليس أو ينفرد به ولا يعرف من غير طريقه، كما روى كتب محمَّد بن سنان إلّا ما كان فيها من تخليط وغلوّ، وأيضاً ذكر بشأن محمَّد بن عيسى بن عبيد أنَّه لا يروي ما يختص بروايته واستثنى من روايات محمَّد بن أحمد بن يحيى ما كان فيها من تخليط، معيِّناً ذلك في روايات عدد من الضعفاء والروايات المرسلة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إيراد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شخص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الفقيه 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وثاقته عنده، بل عمله بالرواية لا يدلّ على ذلك أيضاً، فإنَّه يجوز أن يكون من جهة وثوقه بها لبعض القرائن، إذ كان المدار عندهم على حجيّة الخبر الموثوق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التوضيح راجع القبسات</w:t>
      </w:r>
      <w:r>
        <w:rPr>
          <w:rStyle w:val="FootnoteAnchor"/>
          <w:rtl w:val="true"/>
        </w:rPr>
        <w:footnoteReference w:id="514"/>
      </w:r>
      <w:r>
        <w:rPr>
          <w:rFonts w:ascii="Amiri" w:hAnsi="Amiri" w:eastAsia="Amiri" w:cs="Amiri"/>
          <w:color w:val="111111"/>
          <w:sz w:val="28"/>
          <w:sz w:val="28"/>
          <w:szCs w:val="28"/>
          <w:rtl w:val="true"/>
          <w:lang w:bidi="ar-SA"/>
        </w:rPr>
        <w:t>في ترجمة محمَّد بن عيسى بن عبيد والبحث عن حجيّة مراسيل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تقدَّم يظهر أنَّ ذكر عبد الله بن أحمد الرازي في عداد من لا ظهور في كلمات الرجاليين في عدم وثاقتهم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ثبت قبول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استثناء رواياته من نوادر الحكمة يدلّ على القدح في وثاقته عند ابن الوليد وغيره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حمّاد الأنصاري،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يعرف تارة وينكر أخرى ويخرّج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أصحابنا،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حديثه تارة وينكر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القدح من حيث الوثاقة، ولذلك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يصلح حديثه للاستدلال به؛ لأنَّه متّهم في نقله، ولكن لا بأس بجعله شاهداً ومؤيّداً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مدحه من حيث كونه راوياً للحديث، وإنَّما يدلّ على كونه من المشايخ الذين يتلقّى منهم العلم، وهو لا يقتضي ثبوت وثاقته في النقل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اقتضى ذلك لعارضه قول ابن الغضائري، فلا ينبغي إدراج اسم الرجل في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ميمون الصائغ،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يعرف وينكر ويجوز أن يخرّج شاهداً، إلّا أنَّه لا يبعد حسنه، لما رواه الكشّي بإسناده عن جعفر بن بشير عنه، فراجع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آنفاً أنَّ عبارة ابن الغضائري تدلّ على الطعن في الوثاقة، وأمَّا الاستدلال برواية علي بن ميمون على حُسْن نفسه ففي غاية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دلالة فيها على الحسن من الجهة المبحوث عنها بوجه؛ إذ ليس فيها سوى دعواه أنَّه قال </w:t>
      </w:r>
    </w:p>
    <w:p>
      <w:pPr>
        <w:pStyle w:val="BookText"/>
        <w:rPr/>
      </w:pPr>
      <w:r>
        <w:rPr>
          <w:rFonts w:ascii="IRNazanin" w:hAnsi="IRNazanin" w:eastAsia="IRNazanin"/>
          <w:color w:val="111111"/>
          <w:sz w:val="28"/>
          <w:sz w:val="28"/>
          <w:szCs w:val="28"/>
          <w:rtl w:val="true"/>
          <w:lang w:bidi="fa-IR"/>
        </w:rPr>
        <w:t xml:space="preserve">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أدين الله بولايتك وبولاية آبائك وأجدادك فادع الله أن يثبّتني،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بالرحمة لا يدلّ على مدحه من حيث رواية الأحاديث ليقتضي حجيّة نقله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صدقة،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ولا تتوهم أنَّ الغلوّ يتنافى مع الوثاقة، لوضوح أنَّ للغلوّ درجات ومراتب ليست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التمييز بين ما يراد بالغلوّ في كلمات المتقدّمين وما يراد به في كلمات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يتداول في كلمات الرجاليين كالكشّي والشيخ والنجاشي وابن الغضائري توصيف العديد من الرواة بأنَّهم من الغلاة، وبنى غير واحد من المتأخّرين على أنَّ المراد بالغلوّ عندهم هو ما يعمّ الاعتقاد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بالمقامات العالية، واستشهدوا لذلك بما حكاه الصدوق</w:t>
      </w:r>
      <w:r>
        <w:rPr>
          <w:rStyle w:val="FootnoteAnchor"/>
          <w:rtl w:val="true"/>
        </w:rPr>
        <w:footnoteReference w:id="516"/>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شيخه ابن الوليد من أنَّ أوَّل درجة في الغلوّ هو 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 هو الاعتقاد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بالربوبية أو النبوة أو الاعتقاد بكفاية محبّتهم عن أداء الفرائض واجتناب الكبائر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لهذا عدد من الروايات وجملة من كلمات الأصحاب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الصدوق</w:t>
      </w:r>
      <w:r>
        <w:rPr>
          <w:rStyle w:val="FootnoteAnchor"/>
          <w:rtl w:val="true"/>
        </w:rPr>
        <w:footnoteReference w:id="518"/>
      </w:r>
      <w:r>
        <w:rPr>
          <w:rFonts w:ascii="IRNazanin" w:hAnsi="IRNazanin" w:eastAsia="IRNazanin"/>
          <w:color w:val="111111"/>
          <w:sz w:val="28"/>
          <w:sz w:val="28"/>
          <w:szCs w:val="28"/>
          <w:rtl w:val="true"/>
          <w:lang w:bidi="fa-IR"/>
        </w:rPr>
        <w:t>بإسناده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ابن رسول الله إنَّ عندنا أخباراً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وفضلكم أهل البيت وهي من رواية مخالفيكم ولا نعرف مثلها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أفندين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مخالفينا وضعوا أخباراً في فضائلنا وجعلوها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الغلوّ، وثانيها التقصير في أمرنا، وثالثها التصريح بمثالب أعدائنا، فإذا سمع الناس الغلوّ فينا كفّروا شيعتنا ونسبوهم إلى القول بربوبيتنا، وإذا سمعوا التقصير اعتقدوه فينا وإذا سمعوا مثالب أعدائنا بأسمائهم ثلبونا بأسمائنا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الكشّي</w:t>
      </w:r>
      <w:r>
        <w:rPr>
          <w:rStyle w:val="FootnoteAnchor"/>
          <w:rtl w:val="true"/>
        </w:rPr>
        <w:footnoteReference w:id="519"/>
      </w:r>
      <w:r>
        <w:rPr>
          <w:rFonts w:ascii="IRNazanin" w:hAnsi="IRNazanin" w:eastAsia="IRNazanin"/>
          <w:color w:val="111111"/>
          <w:sz w:val="28"/>
          <w:sz w:val="28"/>
          <w:szCs w:val="28"/>
          <w:rtl w:val="true"/>
          <w:lang w:bidi="fa-IR"/>
        </w:rPr>
        <w:t xml:space="preserve">بإسناده عن أبي العلاء الخفّاف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وجه الله، أنا جنب الله، وأنا الأوَّل، وأنا الآخر، وأنا الظاهر، وأنا الباطن، وأنا وارث الأرض، وأنا سبيل الله وبه عزمت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تفسير غير ما يذهب فيها أهل 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السيد ابن طاووس</w:t>
      </w:r>
      <w:r>
        <w:rPr>
          <w:rStyle w:val="FootnoteAnchor"/>
          <w:rtl w:val="true"/>
        </w:rPr>
        <w:footnoteReference w:id="520"/>
      </w:r>
      <w:r>
        <w:rPr>
          <w:rFonts w:ascii="Amiri" w:hAnsi="Amiri" w:eastAsia="Amiri" w:cs="Amiri"/>
          <w:color w:val="111111"/>
          <w:sz w:val="28"/>
          <w:sz w:val="28"/>
          <w:szCs w:val="28"/>
          <w:rtl w:val="true"/>
          <w:lang w:bidi="ar-SA"/>
        </w:rPr>
        <w:t>بإسناده عن الحسين بن أحمد المالكي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لأحمد بن هليل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يقال في محمَّد بن سنان من أمر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هو والله علَّمني الطهور، وحبس العيال، وكان متقشّفاً متعبّداً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 الكشّي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فرقة بنبوة محمَّد بن نصير النميري، وذلك أنَّه ادعى أنَّه نبي رسول، وأنَّ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وكان يقول بالتناسخ والغلوّ في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فيه بالربوبية ويقول بإباحة المحارم، ويحلّل نكاح الرجال بعضهم بعضاً في أدبارهم،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الفاعل والمفعول به أحد الشهوات والطيبات، وأنَّ الله لم يحرّم شيئاً من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الكشّي</w:t>
      </w:r>
      <w:r>
        <w:rPr>
          <w:rStyle w:val="FootnoteAnchor"/>
          <w:rtl w:val="true"/>
        </w:rPr>
        <w:footnoteReference w:id="522"/>
      </w:r>
      <w:r>
        <w:rPr>
          <w:rFonts w:ascii="Amiri" w:hAnsi="Amiri" w:eastAsia="Amiri" w:cs="Amiri"/>
          <w:color w:val="111111"/>
          <w:sz w:val="28"/>
          <w:sz w:val="28"/>
          <w:szCs w:val="28"/>
          <w:rtl w:val="true"/>
          <w:lang w:bidi="ar-SA"/>
        </w:rPr>
        <w:t>أنَّه سأل محمد بن مسعود العياشي عن أحوال عدد من الرجال، فقال في ضمن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علي بن عبد الله بن مروان فإنَّ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يمتحنون في أوقات الصلاة، ولم أحضره في وقت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الغضائري</w:t>
      </w:r>
      <w:r>
        <w:rPr>
          <w:rStyle w:val="FootnoteAnchor"/>
          <w:rtl w:val="true"/>
        </w:rPr>
        <w:footnoteReference w:id="523"/>
      </w:r>
      <w:r>
        <w:rPr>
          <w:rFonts w:ascii="Amiri" w:hAnsi="Amiri" w:eastAsia="Amiri" w:cs="Amiri"/>
          <w:color w:val="111111"/>
          <w:sz w:val="28"/>
          <w:sz w:val="28"/>
          <w:szCs w:val="28"/>
          <w:rtl w:val="true"/>
          <w:lang w:bidi="ar-SA"/>
        </w:rPr>
        <w:t>عن الحسن بن محمَّد بن بندار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مشايخي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أورمة لمّا طعن عليه بالغلوّ اتفقت الأشاعرة ليقتلوه، فوجدوه يصلّي الليل من أوَّله إلى آخره ليالي عديدة فتوقّفوا عن اعتقادهم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النصوص والكلمات تشير بوضوح إلى أنَّه كان معنى الغلوّ عند المتقدّمين هو الاعتقاد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بالربوبية ونحو ذلك أو الاعتقاد بكفاية معرفتهم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الحاجة إلى الإتيان بالصلاة والصيام ولا غيرهما من الفرائض، وأيضاً عدم الضير في ممارسة المحرّمات حتى ما يمسّ العرض والشرف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تقدَّم من أنَّ ابن الوليد كان يعدّ نفي السهو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في الغلوّ، فلا يبعد أن يكون المراد به أنَّ الالتزام بعدم وقوع السهو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خطوة في طريق الغلوّ في الاعتقاد لا أنَّه بنفسه غلوّ، ولو سلّم أنَّ هذا هو المراد به فهو لا يقتضي كون الغلوّ في كلمات الآخرين بمعنى الاعتقاد في المعصومين بالمقامات العالية كما ادّعي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الغلوّ لا ينفك عادة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الغالي بالمعنى المتقدّم يبيح المحرمات، ومن أهونها عنده الكذب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الغالي لا يمكنه الاستغناء عن الكذب في تثبيت مذهبه وترويجه، كما هو واضح لمن تتبّع أحوال كبار الغلاة في كتب الرجال، حيث يلاحظ أنَّهم يكذبون </w:t>
      </w:r>
    </w:p>
    <w:p>
      <w:pPr>
        <w:pStyle w:val="BookText"/>
        <w:rPr/>
      </w:pPr>
      <w:r>
        <w:rPr>
          <w:rFonts w:ascii="IRNazanin" w:hAnsi="IRNazanin" w:eastAsia="IRNazanin"/>
          <w:color w:val="111111"/>
          <w:sz w:val="28"/>
          <w:sz w:val="28"/>
          <w:szCs w:val="28"/>
          <w:rtl w:val="true"/>
          <w:lang w:bidi="fa-IR"/>
        </w:rPr>
        <w:t xml:space="preserve">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وينسبون إليهم الغرائب والأعاجيب دعماً لعقائدهم الفاسدة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يكاد أن يكون الجمع بين كون الرجل غالياً وكونه ثقة جمعاً بين متنافيين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والمعلّى بن محمَّد البصري،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حديثه وينكر ويروي عن الضعفاء ويجوز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الفهرست في ترجمة أبان بن عثمان رواية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عبارة ابن الغضائري دالّة على القدح من حيث الوثاقة، وكذلك قول النجاشي في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الوليد عنه مباشرة فلم تثبت، لوقوع السقط في الموضع المذكور من الفهرست، فإنَّ ابن الوليد من الطبقة التاسعة والمعلّى من السابعة فلا بدّ من الواسطة بينهما، وهو الحسين بن محمَّد بن عامر في عدَّة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الصدوق إلى المعلّى في المشيخة،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النجاشي إلى سالم بن مكرم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رواية ابن الوليد عن شخص لا تدلّ على وثاقته عنده، لعدم الدليل على تقيّده بعدم الرواية إلّا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استثناؤه لروايات عدد من الرجال من كتاب نوادر الحكمة فلا يعني وثاقة الباقين كما هو موضح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والمنصور بن العباس،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إمَّا أن يكون في الحديث والرواية وهو ينافي الوثاقة كما مرَّ قريباً، وإمَّا أن يكون في المذهب فيقتضي الانحراف في العقيدة، وإمَّا أن يكون في كليهما كما ذكره النجاشي بالنسبة إلى المعلّى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المراد بكون المنصور ابن العباس مضطرب الأمر هو الأخير من جهة البناء على إطلاق الكلام، إذ لولاه يكون مجملاً، ومقتضى الأصل عند دوران الأمر بين الإطلاق والإجمال هو الأوَّل، فليتدبّر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يتبيَّن أنَّ جميع الرواة الثمانية الذين ادعى الكاتب أنَّه لا ظهور في كلمات </w:t>
      </w:r>
    </w:p>
    <w:p>
      <w:pPr>
        <w:pStyle w:val="BookText"/>
        <w:rPr/>
      </w:pPr>
      <w:r>
        <w:rPr>
          <w:rFonts w:ascii="Amiri" w:hAnsi="Amiri" w:eastAsia="Amiri" w:cs="Amiri"/>
          <w:color w:val="111111"/>
          <w:sz w:val="28"/>
          <w:sz w:val="28"/>
          <w:szCs w:val="28"/>
          <w:rtl w:val="true"/>
          <w:lang w:bidi="ar-SA"/>
        </w:rPr>
        <w:t>الرجاليين في عدم وثاقتهم هم ممَّن يمكن استظهار القدح في وثاقتهم من بعضها، سواء بني على ذلك بعد التحقيق والتمحيص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وأربعة عشر منهم قد تعارض فيهم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تعارض فيه الجرح والتعديل من المذكورين عند إيراد اسمه، كجعفر بن محمَّد بن مالك والحسن بن الحسين اللؤلؤي وداود بن كثير الرقّي وسالم بن مكرم وسعد بن طريف وسهل بن زياد ومحمَّد بن أورمة ومحمَّد بن عيسى بن عبيد والمفضّل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تعارض أقوال الرجاليين بشأن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ليكلّف الكاتب نفسه ببيانه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بالرغم من ذلك فقد أورد أسماءهم للوجه الذي تقدّم في توضيح مرامه،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 برأه ابن الغضائري من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عدّ الرجل ممَّن تعارض فيه الجرح والتعديل، فإنَّ جرحه معلوم؛ إذ استثناه ابن الوليد من رجال نوادر الحكمة ووافقه عليه الصدوق وابن نوح، والظاهر أنَّه هو مستند ما ذكره النجاشي من تضعيف القميّين له وما ذكره الشيخ من تضعيف ابن بابويه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تعديله فأين هو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أقصى ما هناك هو أنَّ ابن الغضائري حكى عن القميّين أنَّه كان غالياً وعلّق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يدلّ إلّا على عدم تمثّل الغلوّ فيما اطلع عليه ابن الغضائري من رواياته، وهو لا يصلح دليلاً قاطعاً على نفي الغلوّ عنه، ولذلك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تصريح النجاشي والشيخ بأنَّ حديثه يعرف وينكر، ممَّا يقتضي عدم نقائه من الغلوّ والتخليط</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في المتّهمين بالغلو إنَّما هي بأعمالهم دون رواياتهم، </w:t>
      </w:r>
    </w:p>
    <w:p>
      <w:pPr>
        <w:pStyle w:val="BookText"/>
        <w:rPr/>
      </w:pPr>
      <w:r>
        <w:rPr>
          <w:rFonts w:ascii="Amiri" w:hAnsi="Amiri" w:eastAsia="Amiri" w:cs="Amiri"/>
          <w:color w:val="111111"/>
          <w:sz w:val="28"/>
          <w:sz w:val="28"/>
          <w:szCs w:val="28"/>
          <w:rtl w:val="true"/>
          <w:lang w:bidi="ar-SA"/>
        </w:rPr>
        <w:t>ولذلك يلاحظ أنَّ محمَّد بن أورمة الذي اتّهم بالغلوّ لم يشفع له في دفع هذا الاتهام عنه كون رواياته صحيحة خالية من معاني الغلوّ والتخليط، ولكن لما بعث إليه من يفتك به ووجده يصلّي من أوَّل الليل إلى آخره توقّف عن قتله حيث تبيّن له أنَّه ليس غالياً؛ لأنَّ الغالي لا يصلّي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بن محمَّد بن مالك، وثّقه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وثّقه الشيخ في كتاب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اعترافه بأنَّه روى في مولد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أعاجيب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ينبغي أن يعدّ ذلك هفوة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ممَّن اعتمد عليه في توثيقه، فإنَّه يظهر من النجاشي أنَّ ضعف الرجل كان بمثابة من الوضوح والجلاء حتى أنَّه استغرب مجرد أن يروي عنه اثنان من الأجلّاء،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ضعيفاً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يضع الحديث وضعاً ويروي عن المجاهيل، وسمعت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أيضاً فاسد المذهب والرواية، ولا أدري كيف روى عنه شيخنا النبيل الثقة أبو علي ابن همام وشيخنا الجليل الثقة أبو غالب الزراري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موضع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 متروك الحديث جملة، وكان في مذهبه ارتفاع، ويروي عن الضعفاء والمجاهيل، وكل عيوب الضعفاء مجتمعة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بن الحسين اللؤلؤي، وثّقه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في ترجمة محمَّد بن أحمد بن يحيى أنَّ ابن الوليد كان يستثني من روايته ما رواه عن جماعة منهم الحسن بن الحسين اللؤلؤي في ما ينفرد به، ثمَّ حكى عن ابن نوح أنَّ تلميذه الصدوق قد تبعه في ذلك وأنَّهما قد أصابا في كل من استثنياه إلّا في محمَّد ابن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على ظاهر العدالة والثقة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الكلام يقتضي عدم وثاقة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الجماعة، وظاهر النجاشي موافقته لابن نوح في ذلك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الملاحظ أنَّه ترجم للحسن بن الحسين اللؤلؤي،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كوفي ثقة كثير الرواية </w:t>
      </w:r>
    </w:p>
    <w:p>
      <w:pPr>
        <w:pStyle w:val="BookText"/>
        <w:rPr/>
      </w:pPr>
      <w:r>
        <w:rPr>
          <w:rFonts w:ascii="Amiri" w:hAnsi="Amiri" w:eastAsia="Amiri" w:cs="Amiri"/>
          <w:color w:val="111111"/>
          <w:sz w:val="28"/>
          <w:sz w:val="28"/>
          <w:szCs w:val="28"/>
          <w:rtl w:val="true"/>
          <w:lang w:bidi="ar-SA"/>
        </w:rPr>
        <w:t>له كتاب مجموع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من وثّقه النجاشي غير من ضعّفه ابن الوليد وابن بابويه وابن نوح وقرّرهم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الحسن بن الحسين اللؤلؤي اثنان كما يدلّ عليه قول الفهرست في باب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الحسين اللؤلؤي ثقة وليس بابن المعروف بالحسن بن الحسين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أنهى طريقه إليه بالحسن بن الحسين اللؤلؤي، ومثله النجاشي، فإنَّ كلامهما دال على أنَّ الحسن بن الحسين اللؤلؤي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والد أحمد ذاك والثاني راويه وهو المعروف الذي استثني، وحيث إنَّه ليس في النجاشي ذكر طريق إلى الذي عنونه يحمل كلامه على والد أحمد صوناً لكلامه عن التناقض، فلو كان أراد المعروف وعقيدته فيه التوثيق كانت القاعدة أن يرسل ذلك ويشير إلى الاختلاف فيه بعد تضعيف أولئك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فليس اللؤلؤي الذي ضعّفه ابن الوليد وغيره ممَّن تعارض فيه الجرح والتعديل، بل هو مضعّف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تعدّد اللؤلؤي قائلاً</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الحسن بن الحسين اللؤلؤي اسم لرجل واحد وهو الراوي عن أحمد، وأمّا والد أحمد فهو لم يوصف باللؤلؤي، فإنَّ اللؤلؤي وصف لأحمد نفسه باعتبار أنَّه صنّف كتاب اللؤلؤة لا أنَّه وصف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ولا سيّما أنَّ النجاشي قال في من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الرواية، مع عدم العثور على رواية لوالد أحمد المذكور في شيء من جوامع الحديث بخلاف من استثنيت رواياته من نوادر الحكمة، فإنَّه كثير الرواية كما لا يخفى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فاللؤلؤي المعروف هو ممَّن تعارض فيه الجرح والتعديل، ولكن من رجاليّ واحد هو النجاشي، وقد التزم بعضهم في مثله بتساقط قوليه بالتعارض وكون </w:t>
      </w:r>
    </w:p>
    <w:p>
      <w:pPr>
        <w:pStyle w:val="BookText"/>
        <w:rPr/>
      </w:pPr>
      <w:r>
        <w:rPr>
          <w:rFonts w:ascii="Amiri" w:hAnsi="Amiri" w:eastAsia="Amiri" w:cs="Amiri"/>
          <w:color w:val="111111"/>
          <w:sz w:val="28"/>
          <w:sz w:val="28"/>
          <w:szCs w:val="28"/>
          <w:rtl w:val="true"/>
          <w:lang w:bidi="ar-SA"/>
        </w:rPr>
        <w:t>المرجع قول غيره من المضعّفين، وهذا بحث مفصَّل، فراجعه في القبسات</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يمكن أن يدّعى أنَّ هذا خارج عن محلِّ الكلام؛ إذ مورده ما إذا تعارضت أقوال الرجالين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رجالي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جرح راوٍ وتعديله، فليتأمّل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وداود بن كثير الرقّي، وثّقه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المفيد وغيره أيضاً، ولكن قدح فيه النجاشي وابن الغضائري قدحاً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وسالم بن مكرم أبو سلمة، وثّقه النجاشي، ومن الغريب أنَّ المستشكل بنى على وثاقته أيضاً، فلاحظ بحوث في شرح مناسك الحج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ابن أبي عمير أيضاً بروايته عنه كما شهد ابن فضّال بصلاحه، ولم يضعّفه إلّا الشيخ، وقد رجّح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في ذلك في حدّ ذاته، ويبدو أنَّ مقصود الكاتب هو الاستغراب من ذكر الرجل بعد البناء على وثاقته في عداد غيره ممَّن ضعّفهم الرجاليون، ولكن لا محلّ له مع الالتفات إلى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شرحه آنفاً، فليلاحظ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وسعد بن طريف،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دلالة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وثاقته فهي محلّ خلاف بينهم، قال المحقّق الشيخ محمَّد سبط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المراد به كون حديثه معتمداً، لظهور قرائن على ذلك وإن كان في نفسه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المغايرة بين الأمرين الجمع بينهما في موارد شتّى في كتب الرجال، فتراهم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صحيح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الإنصاف أنَّه لا يمكن المساعدة عليه، فإنَّه إذا كان توصيف حديث الراوي بالصحة مختصّاً بكتاب معيّن كما في قول النجاشي في الحسن بن علي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نوادر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يراد به ما ذكره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مع توصيف حديثه بذلك بصورة عامَّة فلا بدَّ أن يراد به خلوّه من التخليط والمناكير ونحوها،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يلازم الوثاقة، فليتأمّل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 بن زياد الآدمي، وثّقه الشيخ في الرجال وإن عارض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شكّك في اشتمال كتاب الرجال على التوثيق؛ لعدم حكايته عنه في رجال ابن داود بالرغم من أنَّه كان عنده هذا الكتاب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التوثيق سهواً من قلم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صرّح في الاستبصار بأنَّ الرجل ضعيف عند نقّاد الأخبار، الظاهر في أنَّ ضعفه كان متسالماً عليه بينهم، ومع ذلك كيف يمكن أن يوثّقه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 البيانين غير تامّ، كما أوضحه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القبسات</w:t>
      </w:r>
      <w:r>
        <w:rPr>
          <w:rStyle w:val="FootnoteAnchor"/>
          <w:rtl w:val="true"/>
        </w:rPr>
        <w:footnoteReference w:id="52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موارد تعارض الجرح والتعديل في كلام رجاليّ واحد، فيجري عليه ما تقدَّم قريباً في ترجمة الحسن بن الحسين اللؤلؤي،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أورمة، برأه ابن الغضائري من الغلوّ، ويحتمل أنَّه كان مستقيماً لما نقله الكشّي عن ابن الوليد في ترجمته، فراجع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ممَّن ضعّفه الشيخ في كتاب الرجال، وقال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رواياته تخليطاً، وليس في كلام ابن الغضائري دلالة على وثاقته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حكاه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شيوخ القميّين عن ابن الوليد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أورمة قد طعن عليه بالغلوّ، فكل ما كان في كتبه ممّا وجد في كتب الحسين بن سعيد وغيره فقل به، وما تفرّد به فلا تعتمده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كيف يستفاد منه استقامة الرجل؟ بل هو أقرب إلى الدلالة على الطعن في وثاقته من حيث النهي عن الاعتماد على ما يتفرد بنقله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سنان، وثّقه المفيد في الإرشاد ورسالة لمح البرهان التي ينقل عنها السيد ابن طاووس وإن عارض نفسه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توثيقه في لمح البرهان فقد رجع عنه في رسالة جوابات أهل الموصل في العدد والرؤية، قائلاً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مطعون فيه، لا تختلف العصابة في تهمته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توثيقه في الإرشاد ففي كونه مقصوداً له ومعتبراً كلام للمحقّق الشيخ محمَّد سبط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محلِّه، وقد تعرَّض له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القبسات</w:t>
      </w:r>
      <w:r>
        <w:rPr>
          <w:rStyle w:val="FootnoteAnchor"/>
          <w:rtl w:val="true"/>
        </w:rPr>
        <w:footnoteReference w:id="52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مقابل تضعيف الرجل والطعن فيه بالغلوّ من قبل عدد من الأعلام كالفضل بن شاذان وأيوب بن نوح والكشّي وابن داود القمي وابن الغضائري والشيخ والنجاشي توثيق معتدّ به للرجل من قبل أيّ من الرجاليين، فلاحظ</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عيسى بن عبيد، وثّقه الفضل بن شاذان والكشّي والنجاشي وابن نوح وآخرون، والغريب أنَّ المستشكل وثّقه أيضاً، فلاحظ قبسات من علم الرجال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الغريب أنَّ الكاتب لم يتّضح له مرام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والضابطة التي اعتمدها في إعداد قائمة المطعون فيهم من رجال كامل الزيارات، فاعتقد أنَّه إذا كان أحد المطعون فيهم موثّقاً في كلمات بعض الرجاليين أو موثّقاً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إدراج اسمه في تلك القائمة، ولو كان قد اتّضح له مرامه لم يقع منه الاستغراب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والمعلّى بن خنيس، ذكره الشيخ في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ضعّفه النجاشي وابن الغضائري تضعيفاً شديداً، ولكن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في عداد الوكلاء الممدوحين قائلاً</w:t>
      </w:r>
      <w:r>
        <w:rPr>
          <w:rStyle w:val="FootnoteAnchor"/>
          <w:rtl w:val="true"/>
        </w:rPr>
        <w:footnoteReference w:id="5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المعلّى بن خنيس، وكان من قوام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قتله داود بن علي بسببه، وكان محموداً عنده، ومضى على منهاجه، وأمره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داود بن علي المعلّى بن خنيس فصلبه، عظم ذلك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عليه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على ما قتلت مولاي وقيّمي في مالي وعلى عيالي؟ والله إنَّه لأوجه عند الله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كلامه أنَّه اعتمد على الروايتين المذكورتين ونحوهما في عدّ المعلى من الممدوحين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دلالة فيهما ولا في غيرهما على ما يقتضي وثاقته والاعتماد على روايته، كما أوضحه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القبسات</w:t>
      </w:r>
      <w:r>
        <w:rPr>
          <w:rStyle w:val="FootnoteAnchor"/>
          <w:rtl w:val="true"/>
        </w:rPr>
        <w:footnoteReference w:id="531"/>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مقصود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مدحه بما يشمل توثيقه من الروايات الواردة بشأنه فلا يمكن المساعدة عليه، ومن الواضح أنَّه إذا تبيّن خطأ الرجالي في مستنده فلا يعتد برأيه، فتدبّر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والمفضّل بن صالح، روى عنه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توثيق سلّم به المستشكل، فلاحظ بحوث في شرح مناسك الحج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ممَّن تعارض فيه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مختار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تقدَّم أنَّ المناط في من يصحّ إدراج اسمه في القائمة المذكورة هو كونه مطعوناً في كلمات بعض الرجاليين سواء وثّقه غيره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والمفضّل بن عمر، ذكره الشيخ في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في الوكلاء الممدوحين قائلاً</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المفضّل بن عمر، بهذا الإسناد عن أحمد بن إدريس عن أحمد بن محمَّد بن عيسى عن الحسين بن سعيد عن محمَّد بن أبي عمير عن الحسين بن أحمد المنقري عن أسد بن أبي علاء 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أسأله عن المفضّل بن عمر، وهو في ضيعة له في يوم شديد الحر والعرق يسيل على صدره، فابتدأني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والله الذي لا إله إلّا هو الرجل المفضّل بن عمر الجعفي، نعم والله الذي لا إله إلّا هو الرجل هو المفضّل بن عمر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أحصيت بضعاً وثلاثين مرَّة يكررها،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والد بعد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إلى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أموالاً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ردها فادفعها إلى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فرددتها إلى جعفي فحططتها على باب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خدمة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أكن أرى شيئاً يصل إليه إلّا من ناحية المفضّل، ولربَّما رأيت الرجل يجيء بالشيء فلا يقبله منه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أوصله إلى المفضّل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منه أنَّه اعتمد على هذه الروايات وما شاكلها في عدّ المفضّل من الممدوحين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ولكنها لا تخلو من مناقشات تعرَّض لها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القبسات</w:t>
      </w:r>
      <w:r>
        <w:rPr>
          <w:rStyle w:val="FootnoteAnchor"/>
          <w:rtl w:val="true"/>
        </w:rPr>
        <w:footnoteReference w:id="533"/>
      </w:r>
      <w:r>
        <w:rPr>
          <w:rFonts w:ascii="Amiri" w:hAnsi="Amiri" w:eastAsia="Amiri" w:cs="Amiri"/>
          <w:color w:val="111111"/>
          <w:sz w:val="28"/>
          <w:sz w:val="28"/>
          <w:szCs w:val="28"/>
          <w:rtl w:val="true"/>
          <w:lang w:bidi="ar-SA"/>
        </w:rPr>
        <w:t>، فيجري في المقام ما مرّ آنفاً بشأن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هناك وجوهاً أخرى ذكرت لوثاقة المفضّل ولكنها أيضاً محلّ تأمّل أو منع، فراجع القبسات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ويونس بن ظبيان، روى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الاستبصار فيما اختلف من الأخبار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توثيق عند المستشكل واحتماله السقط أو التعدد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ممَّن ضعّفه أعلام الرجاليين، فقد عدّه الفضل بن شاذان من الكذابين المشهورين، 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يلتفت إلى ما رواه، كل كتبه 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وضّاع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صحيحة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لعنه ويستفاد منها خبثه وضلاله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ابن أبي عمير عنه فهي غير ثابتة، 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بشأن ما يوجد في النسخ الواصلة إلينا من التهذيبين من المورد المشار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في هذا المورد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ومحمَّد بن أبي عمير عن بريد ويونس بن ظبيان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السند سقط لا محالة، فإنَّ ابن أبي عمير من الطبقة السادسة ولا يروي عن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بريد بن معاوية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لأنَّه من الطبقة الرابعة، وقد توفّي في حياة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 بقليل، أي في عام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فيعرف من عطف يونس بن ظبيان على بريد في هذا السند وقوع سقط في البين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هناك واسطة محذوفة بين صفوان ومحمَّد بن أبي عمير وبين بريد ويونس بن </w:t>
      </w:r>
    </w:p>
    <w:p>
      <w:pPr>
        <w:pStyle w:val="BookText"/>
        <w:rPr/>
      </w:pPr>
      <w:r>
        <w:rPr>
          <w:rFonts w:ascii="Amiri" w:hAnsi="Amiri" w:eastAsia="Amiri" w:cs="Amiri"/>
          <w:color w:val="111111"/>
          <w:sz w:val="28"/>
          <w:sz w:val="28"/>
          <w:szCs w:val="28"/>
          <w:rtl w:val="true"/>
          <w:lang w:bidi="ar-SA"/>
        </w:rPr>
        <w:t>ظبيان، ولعلَّ تلك الواسطة هو جميل بن دراج الذي توسّط بين ابن أبي عمير ويونس بن ظبيان في بعض الموارد</w:t>
      </w:r>
      <w:r>
        <w:rPr>
          <w:rStyle w:val="FootnoteAnchor"/>
          <w:rtl w:val="true"/>
        </w:rPr>
        <w:footnoteReference w:id="536"/>
      </w:r>
      <w:r>
        <w:rPr>
          <w:rFonts w:ascii="Amiri" w:hAnsi="Amiri" w:eastAsia="Amiri" w:cs="Amiri"/>
          <w:color w:val="111111"/>
          <w:sz w:val="28"/>
          <w:sz w:val="28"/>
          <w:szCs w:val="28"/>
          <w:rtl w:val="true"/>
          <w:lang w:bidi="ar-SA"/>
        </w:rPr>
        <w:t>، وهو ممّن يروي عن بريد أيضاً</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صفوان كذلك</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رواية ابن أبي عمير عن بريد في موضع من الوسائل</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سقط كما يظهر بمراجعة مصدره وهو الكافي</w:t>
      </w:r>
      <w:r>
        <w:rPr>
          <w:rStyle w:val="FootnoteAnchor"/>
          <w:rtl w:val="true"/>
        </w:rPr>
        <w:footnoteReference w:id="540"/>
      </w:r>
      <w:r>
        <w:rPr>
          <w:rFonts w:ascii="Amiri" w:hAnsi="Amiri" w:eastAsia="Amiri" w:cs="Amiri"/>
          <w:color w:val="111111"/>
          <w:sz w:val="28"/>
          <w:sz w:val="28"/>
          <w:szCs w:val="28"/>
          <w:rtl w:val="true"/>
          <w:lang w:bidi="ar-SA"/>
        </w:rPr>
        <w:t xml:space="preserve">، والاسم الساقط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يظهر من بعض الروايات</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أنَّ يونس بن ظبيان كان أيضاً ممَّن توفّي في</w:t>
      </w:r>
    </w:p>
    <w:p>
      <w:pPr>
        <w:pStyle w:val="BookText"/>
        <w:rPr/>
      </w:pPr>
      <w:r>
        <w:rPr>
          <w:rFonts w:ascii="IRNazanin" w:hAnsi="IRNazanin" w:eastAsia="IRNazanin"/>
          <w:color w:val="111111"/>
          <w:sz w:val="28"/>
          <w:sz w:val="28"/>
          <w:szCs w:val="28"/>
          <w:rtl w:val="true"/>
          <w:lang w:bidi="fa-IR"/>
        </w:rPr>
        <w:t xml:space="preserve">حياة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هذا التقدير فلا محيص من وجود الواسطة بينه وبين ابن أبي عمير؛ لأنَّ الأخير لم يدرك عصر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حقّق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وقوع السقط في السند المذكور ممَّا لا ينبغي صدوره ممَّن له خبرة بطبقات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وخمسة منهم علم لهم حالة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الكاتب إلّا أربعة أشخاص، ولعلَّ اسم الخامس سقط عند التنضيد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وجود حالة استقامة سابقة لبعض المطعونين غير ناهض بدفع</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إذ لا يمكن أن يكون ابن قولويه ناظراً في توثيقه المزعوم لهم إلى حال </w:t>
      </w:r>
    </w:p>
    <w:p>
      <w:pPr>
        <w:pStyle w:val="BookText"/>
        <w:rPr/>
      </w:pPr>
      <w:r>
        <w:rPr>
          <w:rFonts w:ascii="Amiri" w:hAnsi="Amiri" w:eastAsia="Amiri" w:cs="Amiri"/>
          <w:color w:val="111111"/>
          <w:sz w:val="28"/>
          <w:sz w:val="28"/>
          <w:szCs w:val="28"/>
          <w:rtl w:val="true"/>
          <w:lang w:bidi="ar-SA"/>
        </w:rPr>
        <w:t xml:space="preserve">استقامتهم خاصَّة، فإنَّ عدداً من الروايات التي أوردها عنهم مروية عن أناس شاركوهم في الانحراف، كما في علي بن أبي حمزة الذي أخرج له عدَّة روايات عن القاسم بن محمَّد الجوهري وكان واقفياً مثله، وبعض الروايات عن الحسن بن علي الوشاء الذي قضى شطراً من عمره على القول بالوقف، فبطبيعة الحال لم يكن لابن قولويه طريق لإحراز كون تلك الروايات مروية عن ابن أبي حمزة في حال استقامته، فكيف أدرجها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له من جهة الثقات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يرى وثاقة الرجل في حال استقامته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فرض تمكنه من إحراز كون تلك الروايات مأخوذة منهم قبل انحرافهم المذهبي، إلّا أنَّه لو كان يرى ضعفهم وعدم وثاقتهم بعد الانحراف لم يصح منه إطلاق القول بأنَّ روايات كتابه مروية عن الثقات من أصحابنا، كما سيأتي توضيحه في أواخر هذا البحث،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العبرتائي،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التصحيف تخرّص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الرجل كانت له حالة استقامة من حيث العقيدة قبل أن ينحرف في أواخر حياته، ولكن وقع الخلاف بين الرجاليين في وثاقته وعدمها حتى بعد انحرافه، ولو ثبت أنَّ النجاشي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لاقتضى ذلك وثاقته مطلقاً كما ذهب إليه جمع، لا التفصيل بين حالة استقامته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الملاحظ أنَّ النجاشي عقّب كلامه ذاك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منها وينكر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أنَّه لا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تنافي بين وثاقة الراوي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وروايته أموراً منكرة من جهة كذب من حدّثه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بعض المراجع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المراد بإنكار حديثه عدم وثاقته بل اشتمال حديثه على المناكير التي يصعب على العقول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كلا التوجيهين، فإنَّه إذا كانت العلّة في المناكير التي يرويها الشخص هي غيره فلا بدّ من التنبيه على ذلك، ولا يصحّ إطلاق القول بأنَّه يروي المناكير أحياناً فإنَّه يفهم منه القدح فيه، بل لا بدّ من أن يضاف إليه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والعلّة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أنَّ المراد بالمناكير هو المطالب الحقّة التي يصعب على العقول تحمّلها فمن الظاهر ضعفها، فإنَّ الحديث المنكر هو الحديث الذي يشتمل على ما لا يقبله العقل أو يخالف واضح الشرع من الغلوّ والتخليط وأمثال ذلك، وأمَّا ما يشتمل على المعارف العالية التي هي فوق مستوى الأفهام المتعارفة فلا يعبّر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في كلماتهم استخدام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حديثه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عدم الوثوق بالراوي تماماً، كما قال النجاشي</w:t>
      </w:r>
      <w:r>
        <w:rPr>
          <w:rStyle w:val="FootnoteAnchor"/>
          <w:rtl w:val="true"/>
        </w:rPr>
        <w:footnoteReference w:id="544"/>
      </w:r>
      <w:r>
        <w:rPr>
          <w:rFonts w:ascii="Amiri" w:hAnsi="Amiri" w:eastAsia="Amiri" w:cs="Amiri"/>
          <w:color w:val="111111"/>
          <w:sz w:val="28"/>
          <w:sz w:val="28"/>
          <w:szCs w:val="28"/>
          <w:rtl w:val="true"/>
          <w:lang w:bidi="ar-SA"/>
        </w:rPr>
        <w:t>في عبد الرحمن بن أحمد بن نهيك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الحديث بذاك، يعرف منه وينكر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في عمر بن 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حديثه بعض الشيء، يعرف منه وينكر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الشيخ</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في إسماعيل بن علي بن 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مختلط الأمر في الحديث، يعرف منه وينكر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الرواية يعرف منها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تدافع بين صدره وذيله،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الرواية وينكر منها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خالياً من </w:t>
      </w:r>
    </w:p>
    <w:p>
      <w:pPr>
        <w:pStyle w:val="BookText"/>
        <w:rPr/>
      </w:pPr>
      <w:r>
        <w:rPr>
          <w:rFonts w:ascii="Amiri" w:hAnsi="Amiri" w:eastAsia="Amiri" w:cs="Amiri"/>
          <w:color w:val="111111"/>
          <w:sz w:val="28"/>
          <w:sz w:val="28"/>
          <w:szCs w:val="28"/>
          <w:rtl w:val="true"/>
          <w:lang w:bidi="ar-SA"/>
        </w:rPr>
        <w:t xml:space="preserve">الإشكال، وقد نبّه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ما وقع من الإشكال في كلام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الصواب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الرواية، يعرف منها وينكر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وبه يندفع الإشكال عنه، وهو المناسب مع ما ذكر من رواية العبرتائي لأكثر أصول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نسخ رجال النجاشي والمصادر التي نقلت عنه كلّها متّفقة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الاعتداد باحتمال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النسخ الموجودة من رجال النجاشي ونسخة السيد ابن طاووس التي اعتمدها في كتابه حلّ الإشكال ونسخ المتأخرين عنه ترجع كلّها إلى نسخة واحدة هي برواية السيد ابن الصمصام ذي الفقار بن محمَّد بن معبد الحسني، واحتمال التصحيف فيها وارد لا دافع له، وقد لوحظ وقوعه في عدَّة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فمن الصعب الاعتماد في وثاقة ابن هلال وقبول رواياته على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تلك النسخة مع تعقّبه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منها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احتمال التصحيف ليس مجرّد تخرّص كما زعم الكاتب بل هو من جهة رفع التدافع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منها وينكر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العبرتائي طويل الذيل، وما تقدَّم هو بعض ما تعرَّض له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القبسات </w:t>
      </w:r>
      <w:r>
        <w:rPr>
          <w:rStyle w:val="FootnoteAnchor"/>
          <w:rtl w:val="true"/>
        </w:rPr>
        <w:footnoteReference w:id="549"/>
      </w:r>
      <w:r>
        <w:rPr>
          <w:rFonts w:ascii="IRNazanin" w:hAnsi="IRNazanin" w:eastAsia="IRNazanin"/>
          <w:color w:val="111111"/>
          <w:sz w:val="28"/>
          <w:sz w:val="28"/>
          <w:szCs w:val="28"/>
          <w:rtl w:val="true"/>
          <w:lang w:bidi="fa-IR"/>
        </w:rPr>
        <w:t>، فراجعه إن شئت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والحسن بن علي بن أبي حمزة، روى عنه ابن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فهذا توثيق عند المستشكل نفسه، فإن أبيت فأدرجه في من تعارض فيه الجرح والتعديل، وإلّا فذره في سنبله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الأولى وهي ما رواه الشيخ بإسناده عن ابن أبي نصر عن الحسن بن علي بن أبي حمزة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هلك وترك جاريتين قد دبّرهما وأنا ممَّن أشهد لهما، وعليه دين كثير فما رأيك؟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رضي الله عن أبيك ورفعه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قضاء دينه خير 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ينبغي الجزم بوقوع اشتباه في سندها، فإنَّه لا يمكن أن يكون الراوي لها هو الحسن بن علي بن أبي حمزة البطائني؛ إذ إنَّ أباه كان من رؤوس الواقفة وقد هلك بعد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فينبغي أن يكون المراد بأبي الحسن هو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كيف يسأل الحسن بن علي بن أبي حمزة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حكم شرعي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يناصبه العداء ولا يؤمن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بن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رضي الله عن أبيك ورفعه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قال</w:t>
      </w:r>
      <w:r>
        <w:rPr>
          <w:rStyle w:val="FootnoteAnchor"/>
          <w:rtl w:val="true"/>
        </w:rPr>
        <w:footnoteReference w:id="550"/>
      </w:r>
      <w:r>
        <w:rPr>
          <w:rFonts w:ascii="Amiri" w:hAnsi="Amiri" w:eastAsia="Amiri" w:cs="Amiri"/>
          <w:color w:val="111111"/>
          <w:sz w:val="28"/>
          <w:sz w:val="28"/>
          <w:szCs w:val="28"/>
          <w:rtl w:val="true"/>
          <w:lang w:bidi="ar-SA"/>
        </w:rPr>
        <w:t>فيه عندما أبلغ خبر هلاكه بأنَّه قد دخل النار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عدم صحّة النسخة المذكورة</w:t>
      </w:r>
      <w:r>
        <w:rPr>
          <w:rStyle w:val="FootnoteAnchor"/>
          <w:rtl w:val="true"/>
        </w:rPr>
        <w:footnoteReference w:id="551"/>
      </w:r>
      <w:r>
        <w:rPr>
          <w:rFonts w:ascii="Amiri" w:hAnsi="Amiri" w:eastAsia="Amiri" w:cs="Amiri"/>
          <w:color w:val="111111"/>
          <w:sz w:val="28"/>
          <w:sz w:val="28"/>
          <w:szCs w:val="28"/>
          <w:rtl w:val="true"/>
          <w:lang w:bidi="ar-SA"/>
        </w:rPr>
        <w:t>، فلا يمكن أن تثبت بها رواية البزنطي عن الحسن بن علي بن أبي حمزة المضعّف في كلمات غير واحد من الرجاليين كابن فضّال والكشّي وابن الغضائري</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الرواية الثانية فهي ما رواه الشيخ بإسناده عن أبي عبد الله الرازي عن أحمد بن محمَّد بن أبي نصر عن الحسن بن علي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قرينة على أنَّ المراد بالحسن بن علي في سندها هو ابن البطائني، بل ذكر الشهيد الثاني والفاضل الهندي</w:t>
      </w:r>
      <w:r>
        <w:rPr>
          <w:rStyle w:val="FootnoteAnchor"/>
          <w:rtl w:val="true"/>
        </w:rPr>
        <w:footnoteReference w:id="553"/>
      </w:r>
      <w:r>
        <w:rPr>
          <w:rFonts w:ascii="Amiri" w:hAnsi="Amiri" w:eastAsia="Amiri" w:cs="Amiri"/>
          <w:color w:val="111111"/>
          <w:sz w:val="28"/>
          <w:sz w:val="28"/>
          <w:szCs w:val="28"/>
          <w:rtl w:val="true"/>
          <w:lang w:bidi="ar-SA"/>
        </w:rPr>
        <w:t>أنَّه الوشّاء، مع أنَّ الرازي المذكور ضعيف جدّاً فلا يمكن أن تثبت بنقله رواية البزنطي عن شخص ضعيف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ثبتت رواية البزنطي عن الحسن بن علي بن أبي حمزة فلا يبعد أنَّها كانت قبل أن يرجع البزنطي عن القول بالوقف، فإنَّه كان واقفيّاً ثمَّ قال بإمامة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على ذلك الشيخ في كتاب الغيبة، وعلى ذلك يشكل جعل روايته عن ابن علي بن أبي حمزة دليلاً على وثاقته، فليتأمّل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غضَّ النظر عمَّا تقدَّم فإنَّ رواية البزنطي عن الرجل تصلح أن تكون دليلاً على وثاقته مطلقاً، من غير اختصاص بما قبل انحرافه وقوله بالوقف، ولا أثر لكونه مستقيماً في العقيدة مدَّة وانحرافه لاحقاً في ما هو محلّ الكلام من ضعفه ووثاقته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 علي بن أبي حمزة البطائني، له حال استقامة كما هو واضح عند الطائفة، وروى عنه المشائخ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نصر، وهذا توثيق كما مرّ وتكرّر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علي بن أبي حمزة كان على ظاهر الاستقامة والصلاح قبل استشهاد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لا أثر لذلك في ما هو محلّ الكلام، لما مرّ آنفاً من أنَّ توثيق ابن قولويه لرجال الكامل ليس ناظراً إلى خصوص زمان تلقّي ما أورده من الروايات عنهم، مع أنَّ في رواياته عن علي بن أبي حمزة ما رواه عنه بعض </w:t>
      </w:r>
    </w:p>
    <w:p>
      <w:pPr>
        <w:pStyle w:val="BookText"/>
        <w:rPr/>
      </w:pP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كالقاسم 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تلقّيها عنه بعد انحرافه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القاسم الحارثي،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غالٍ كان صحب معاوية بن عمّار ثم خلط وفارقه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ابن الغضائري لم يشر إلى صحبته لمعاوية بن عمّار قبل التخليط،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يستفاد من كلام النجاشي هو أنَّ الرجل لم يكن مخلطاً أيام صحبته لمعاوية بن عمّار، ولا يستفاد منه أنَّه كان ثقة آنذاك، وحمل توثيق ابن قولويه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ناظراً إلى ما قبل تخليطه وعدم شموله لما بعده حتى لا يعارض تضعيف النجاشي وابن الغضائري جمع اقتراحي لا عبرة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وتجدر الإشارة إلى أنّه قد وردت رواية ابن أبي عمير عن عبد الله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الموارد، فربّما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هو الحارثي المذكور أو الحضرمي المضعّف كذلك الذي هو من رواة الكامل أيضاً، والرواية المشار إليها مذكورة في موضع من الفقيه، حيث روى فيه الصدوق بإسناده عن محمَّد بن أبي عمير عن عبد الله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أوردها بعينها في الأمالي عن جعفر بن محمَّد بن مسرور عن الحسين بن محمَّد ابن عامر عن عمّه عبد الله بن عامر عن محمَّد بن أبي عمير عن عبد الله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الذي روى عنه ابن أبي عمير تلك الرواية هو غير الحارثي والحضرمي المذكورين، بل هو الجعفري الذي ذكر في بعض نسخ رجال الشيخ</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قد أوردها الكليني بإسناده عن علي بن محمَّد القاساني عمَّن ذكره عن عبد الله بن القاسم</w:t>
      </w:r>
      <w:r>
        <w:rPr>
          <w:rStyle w:val="FootnoteAnchor"/>
          <w:rtl w:val="true"/>
        </w:rPr>
        <w:footnoteReference w:id="557"/>
      </w:r>
      <w:r>
        <w:rPr>
          <w:rFonts w:ascii="Amiri" w:hAnsi="Amiri" w:eastAsia="Amiri" w:cs="Amiri"/>
          <w:color w:val="111111"/>
          <w:sz w:val="28"/>
          <w:sz w:val="28"/>
          <w:szCs w:val="28"/>
          <w:rtl w:val="true"/>
          <w:lang w:bidi="ar-SA"/>
        </w:rPr>
        <w:t>، فيعلم بذلك اتّحاد عبد الله بن القاسم الذي روى عنه ابن أبي عمير مع من روى عنه القاساني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 توجد للقاساني روايات متعدّدة مسندة ومرسلة عن عبد الله بن القاسم الجعفري في المحاسن والكافي والتوحيد ومعاني الأخبار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بذلك أنَّ الذي روى عنه ابن أبي عمير هو عبد الله بن القاسم الجعفري، واتحاده مع الحضرمي بكون أحد اللفظين محرّفاً عن الآخر غير معلوم بل الظاهر خلافه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لا دليل على جرحه أصلاً، وهو علي بن أحمد بن أشيم، غاية الأمر أنَّه مجهول كما ذكر الشيخ، ولكنّه كما ترى ليس بشيء؛ إذ المجهول عرفاً ولغة من لا يعرف لا غير، وأمَّا كونه دالاً على من تضاربت فيه الأقوال من جرح وتعديل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استبعاده وغرابته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عناية زائدة مفقودة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Style w:val="FootnoteAnchor"/>
          <w:rtl w:val="true"/>
        </w:rPr>
        <w:footnoteReference w:id="5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كلمات المتقدّمين والمتأخّرين من الرجاليين بشأن الكثير من الرواة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إلى أنَّه من ألفاظ الجرح في كلمات المتقدّمين، وأمَّا في كلمات المتأخّرين من الشهيد الثاني والمجلسي الثاني وغيرهما فالمراد به الأعم من المجروح ومن المهمل الذي لم يذكر فيه قدح ولا مدح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غير مورد</w:t>
      </w:r>
      <w:r>
        <w:rPr>
          <w:rStyle w:val="FootnoteAnchor"/>
          <w:rtl w:val="true"/>
        </w:rPr>
        <w:footnoteReference w:id="562"/>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وثاقة من قال فيه المفيد أو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 إذا ورد توثيقه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أفاده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لا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المتقدّمين مجرّد عدم التعرّف على حال الشخص، لئلا يقع تعارض عندئذٍ بين 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على ذلك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بهذا الوصف حوالي خمسين شخصاً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الرجال، ولو كان المراد به مجرّد عدم الاطلاع على حال الراوي وأنَّه ثقة أو غير ثقة لكان ينبغي أن يذكره بالنسبة إلى عشرات آخرين أيضاً، فإنَّه من المؤكد أنَّه لم يكن يعرف حال الكثيرين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ذكرهم في كتاب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المتقدّمين هو من لم يطّلع الرجاليّ على حاله، بل الظاهر أنَّ المراد به من تتضارب بشأنه مؤشّرات الوثاقة والضعف، ولذلك لا يمكن البناء على كونه ثقة أو ضعيفاً، فالمجهول من ألفاظ الذم والقدح ويقع التعارض بينه وبين قول التوثيق الصادر من شخص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وهو واضح لمن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واثنين منهم لا يعلم فيهما المضعّف،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أسلم الجبلي،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فاسد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يكون نظر النجاشي في ما حكاه إلى ابن الغضائري، وذلك بملاحظة مجموعة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في الخلاصة</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أسلم الطبري الجبلي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الغضائري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أصله كوفي كان يتّجر إلى طبرستان،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غالياً فاسد الحديث،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وذيل هذه العبارة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للنجاشي، ويظهر ممَّا قبله أنَّ ابن الغضائري كان قد ترجم لمحمَّد بن أسلم المذكور في كتاب الضعفاء، والظاهر أنَّه كان قد قدح فيه بما لم يجد العلّامة حاجة إلى نقله بعد نقل ما ذكره النجاشي كما هو دأبه في الموارد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المولى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انتزع كتاب الضعفاء لابن الغضائري من كتاب حلّ الإشكال 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قال في كتابه</w:t>
      </w:r>
      <w:r>
        <w:rPr>
          <w:rStyle w:val="FootnoteAnchor"/>
          <w:rtl w:val="true"/>
        </w:rPr>
        <w:footnoteReference w:id="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ابن الغضائري الميم ثمانية وثلاثون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نهاية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قد سقط من عدّتها المذكورة أوَّلاً؛ إذ لا غلط أنَّ الموجود هنا أربعة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بمراجعة خلاصة العلّامة ورجال ابن داود أسماء الأربعة الآخرين، والظاهر أنَّ منهم محمَّد بن أسلم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منشأ السقط هو أنَّ نسخة حلّ الإشكال التي كانت بخط السيد ابن طاووس وانتزع منها المولى التستري كتاب الضعفاء كان قد أصابها التلف في بعض موارد النقل فيها عن هذا الكتاب فلم يتيسّر له انتزاع جميع ما ذكره السيد نقلاً عن ابن الغضائري</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الملاحظ أنَّ النجاشي ربَّما يكون ناظراً في ما يورده إلى ما ذكره ابن الغضائري من دون أن ينسبه إليه بالاسم،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محمَّد بن أورمة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IRNazanin" w:hAnsi="IRNazanin" w:eastAsia="IRNazanin"/>
          <w:color w:val="111111"/>
          <w:sz w:val="28"/>
          <w:sz w:val="28"/>
          <w:szCs w:val="28"/>
          <w:rtl w:val="true"/>
          <w:lang w:bidi="fa-IR"/>
        </w:rPr>
        <w:t xml:space="preserve">رأى توقيعاً من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قم في معنى محمَّد بن أورمة وبراءته ممَّا قذف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مطابق لما ذكره ابن الغضائري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كتاباً خرج من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القميّين في براءته ممَّا قذف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النجاشي في محمَّد بن بحر الدهني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مذهبه ارتفاع، وحديثه قريب من السلامة، ولا أدري من أين قيل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يريد بذلك ما ذكره ابن الغضائري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في مذهبه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شواهد أخرى لما ذكر يمكن ملاحظتها في القبسات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تقدَّم لا يستبعد أنَّ ابن الغضائري كان قد قدح في محمَّد بن أسلم بالغلوّ وفساد الحديث، ويكون النجاشي ناظراً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غضَّ النظر عمَّا تقدَّم فإنَّه يمكن الاطمئنان بأنَّ ابن الغضائري كان قد قدح في هذا الرجل عند ترجمته في كتاب الضعفاء، وإلّا لم يقتصر العلّامة على إيراد ما ذكره النجاشي كما هو دأبه في سائر الموارد، وعلى ذلك فلا يكون المضعّف للرجل منحصراً في من أشار إليه النجاشي، ليقال إنَّه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المؤمن،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 ما يدلّ على أنَّه كان واقفاً وكان مختلط الأمر في حديثه، والجملة الثانية فيها احتمالات في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 وعلى تقدير ظهوره في كونها جملة استئنافية ليست ظاهرة في سلب الوثاقة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كونه جملة استئنافية، وإلّا لم يناسب أن يكرّر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 عنه ما يدلّ على أنَّه كان واقفاً ومختلط </w:t>
      </w:r>
    </w:p>
    <w:p>
      <w:pPr>
        <w:pStyle w:val="BookText"/>
        <w:rPr/>
      </w:pPr>
      <w:r>
        <w:rPr>
          <w:rFonts w:ascii="Amiri" w:hAnsi="Amiri" w:eastAsia="Amiri" w:cs="Amiri"/>
          <w:color w:val="111111"/>
          <w:sz w:val="28"/>
          <w:sz w:val="28"/>
          <w:szCs w:val="28"/>
          <w:rtl w:val="true"/>
          <w:lang w:bidi="ar-SA"/>
        </w:rPr>
        <w:t>الأمر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في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مختلط الأمر في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الخدش في وثاقة الرجل فهي في غير محلّها أيضاً، بل ظاهره أنَّه أراد به كونه ممَّن يروي الغثّ والسمين وما يعرف وما ينكر، ممَّا يثير الريب في وثاقته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يظهر من قول الشيخ</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في ترجمة إسماعيل بن علي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مختلط الأمر في الحديث يعرف منه وينكر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ابن الغضائري</w:t>
      </w:r>
      <w:r>
        <w:rPr>
          <w:rStyle w:val="FootnoteAnchor"/>
          <w:rtl w:val="true"/>
        </w:rPr>
        <w:footnoteReference w:id="568"/>
      </w:r>
      <w:r>
        <w:rPr>
          <w:rFonts w:ascii="Amiri" w:hAnsi="Amiri" w:eastAsia="Amiri" w:cs="Amiri"/>
          <w:color w:val="111111"/>
          <w:sz w:val="28"/>
          <w:sz w:val="28"/>
          <w:szCs w:val="28"/>
          <w:rtl w:val="true"/>
          <w:lang w:bidi="ar-SA"/>
        </w:rPr>
        <w:t>في شأن خلف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مختلط، يعرف حديثه تارة وينكر أخرى، ويجوز أن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تبقى الإشارة إلى أنَّ النجاشي عقّب ما تقدَّم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منتحل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يمكن أن يقرأ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من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منتحل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منتحل الحديث لأبي عبد الله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الرجل ألّف كتاباً في الأحاديث المنتحلة، فكان ذلك اسماً لكتابه بلحاظ كونه موضوعه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يظهر من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من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منتحل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للكتاب، ليكون المقصود أنَّه انتحل أحاديث غيره في هذا الكتاب،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انتحل الشعر ادعاه لنفسه وهو لغيره، وكذلك الحديث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فإنَّه يدلّ على قدح كبير في الرجل، فليلاحظ</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يبقى منهم اثنان وثلاثون راوياً قد يستظهر من كلمات الرجاليين عدم وثاقتهم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يحيى المعاذي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يتضح الوجه في حساب من تعارض فيهم الجرح والتعديل، إذ يكفي في موافقة بعض الأعلام لابن قولويه رحمه الله تعالى في توثيقهم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فالذي يهمّنا في المقام هو القسم الأخير، وهم عبارة عن اثنين وثلاثين شخصاً لا غير، وهو عدد ليس بالمهول، ولا يشكّل أضعاف تضعيفات ابن الغضائري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يستظهر من كلمات الرجاليين عدم وثاقتهم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عند دخولها على الفعل المضارع على التقليل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البعض فقط استظهر منها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الغرابة، فإنَّ جلّ الأعلام إن لم يكن كلّهم سلّموا دلالتها على ضعف المذكورين،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يتضح الوجه في حساب من تعارض فيهم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الجواب عنه في بداية هذه المقالة،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عدد ليس بالمهول، ولا يشكّل أضعاف تضعيفات ابن الغضائري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عليه بما تبيَّن ممَّا تقدَّم من أنَّ جميع الاثنين والستين شخصاً الذين ذكرهم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ورد في كلمات الرجاليين ما يمسّ وثاقتهم، فالعدد مهول 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اشتماله على جملة من كبار الوضّاعين والكذّابين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يشكّل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من وردت أسماؤهم في أسانيد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أضعاف من وثّقهم بعض الرجاليين ممَّن ضعفهم ابن الغضائري مع أنَّه قد وافقه في بعضهم غيره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المضعّفين أيضاً ليسوا بدرجة واحدة فيمكن فيهم الميز والفرز، فمنهم من ضعّفه القميّون وهم اثنان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الجاموراني ومحمَّد بن موسى </w:t>
      </w:r>
    </w:p>
    <w:p>
      <w:pPr>
        <w:pStyle w:val="BookText"/>
        <w:rPr/>
      </w:pPr>
      <w:r>
        <w:rPr>
          <w:rFonts w:ascii="Amiri" w:hAnsi="Amiri" w:eastAsia="Amiri" w:cs="Amiri"/>
          <w:color w:val="111111"/>
          <w:sz w:val="28"/>
          <w:sz w:val="28"/>
          <w:szCs w:val="28"/>
          <w:rtl w:val="true"/>
          <w:lang w:bidi="ar-SA"/>
        </w:rPr>
        <w:t>الهمداني بناءً على رجوع تضعيف ابن الغضائري إلى ما اشتهر عند القميّين؛ إذ لم يعهد غيره في غيره كالنجاشي والشيخ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هما ممَّن استثنى ابن الوليد والصدوق رواياتهم من كتاب نوادر الحكمة، وقد حكى النجاشي في ترجمة محمَّد بن أحمد بن يحيى عن أستاذه ابن نوح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أصاب شيخنا أبو جعفر محمَّد بن الحسن بن الوليد في ذلك كلّه وتبعه أبو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إلّا في محمَّد بن عيسى بن عبيد فلا أدري ما رابه فيه؛ لأنَّه كان على ظاهر العدالة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واضح الدلالة على أنَّ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وثّقه الشيخ وقال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 حديثه متقناً لما يرويه فقيهاً بصيراً بالحديث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 ابن الوليد والصدوق على عدم وثاقة من عدا محمَّد بن عيسى بن عبيد، ويظهر من النجاشي عدم مخالفته في ذلك، فكيف يقال بأنَّ المضعّف للجاموراني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أحمد أبو عبد الله لا محمَّد بن أبي عبد الله كما ذكره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والهمداني ينحصر في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الغضائري فهو أجلّ من أن يتبع القميّين في تضعيفاتهم من غير تمحيص وتحقيق، كيف وقد ردّ عليهم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الرجل لا نقّاد مثله بعد ابن الوليد الناقد لنوادر الحكمة وغيره، بل هو فوقه، فتراه قوّى ممّن ضعّفه ابن الوليد وابن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 والحسين بن شاذويه ومحمَّد بن أورمة وزيد الزراد وزيد النرسي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أنَّه حكى تضعيف القميّين للجاموراني ولم يعلّق عليه، وإنَّما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مذهبه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الهمداني فقد ضعّفه بنفسه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يروي عن الضعفاء </w:t>
      </w:r>
    </w:p>
    <w:p>
      <w:pPr>
        <w:pStyle w:val="BookText"/>
        <w:rPr/>
      </w:pPr>
      <w:r>
        <w:rPr>
          <w:rFonts w:ascii="Amiri" w:hAnsi="Amiri" w:eastAsia="Amiri" w:cs="Amiri"/>
          <w:color w:val="111111"/>
          <w:sz w:val="28"/>
          <w:sz w:val="28"/>
          <w:szCs w:val="28"/>
          <w:rtl w:val="true"/>
          <w:lang w:bidi="ar-SA"/>
        </w:rPr>
        <w:t>ويجوز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استثناء القميّين لما رواه من نوادر الحكمة، ولا دلالة في ذلك على رجوع تضعيفه إلى ما ذكره القميّون، كما لا دلالة لعدم ورود التضعيف في كلام النجاشي والشيخ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هو غير مسلَّم الضعف عند جميع الرجاليين، ولا أقلّ من عدم الاتفاق على ضعفه من الثلاثة الشيخ والنجاشي والغضائري، وهم الغالبية سوى أربعة فقط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النهاوندي والحسن بن علي بن أبي عثمان ومحمَّد بن سليمان الديلمي، ومحمَّد بن عبد الله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لاتفاق الثلاثة الشيخ والنجاشي وابن الغضائري على تضعيف هؤلاء الأربعة، فإنَّ هناك من هم أشدّ ضعفاً من بعض المذكورين ولم يضعّفه بعضهم كالشيخ، مثل محمَّد بن علي القرشي أبي سمينة، الذي عدّه الفضل بن الشاذان من الكذّابين المشهورين بل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فاسد الاعتقاد لا يعتمد عليه في شيء، وكان وَرَد قم وقد اشتهر بالكذب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شهيراً في الارتفاع لا يُلتفت إليه ولا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يونس ابن ظبيان الذي عدّه الفضل بن شاذان من الكذّابين المشهورين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يلتفت إلى ما رواه، كلّ كتبه 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وضّاع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أنَّ عدم تضعيف الشيخ لهذين الراويين يضعِّف من احتمال كونهما من الكذّابين الوضّاعين؟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اتّهم بالغلوّ والمذاهب الفاسدة وهم تسعة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من ضعّف بالغلوّ وحده إلّا محمَّد بن صدقة، وأمَّا بقيَّة مَن عدّوا من الغلاة وفاسدي المذهب فقد ضعّفوا أيضاً تضعيفاً مطلقاً أو من جهة خصوص الكذب وفساد الحديث والتفرّد بالغرائب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أنَّ الغالي لا يستغني عادة عن الكذب، ولذلك يكاد أن يكون الجمع بين كون الرجل غالياً وكونه ثقة جمعاً بين متنافيين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تفرّد بتضعيفهم واحد من الرجاليين، فابن الغضائري ما يقارب العشرة، والنجاشي ما يقارب الأربعة، ومنهم من تفرّد بتضعيفهم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هذا لا يضرّ بالمقصود، فإنَّ استبعاد أن يوثّق ابن قولويه أزيد من ستّين شخصاً ممَّن وَرَد تضعيفهم في كلمات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كبار الوضّاعين والكذّابين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يختلف بوجود تضعيف بعضهم في كلام واحد أو أكثر؛ إذ إنَّ مثل هذا لم يقع لأيّ من الرجاليين الآخرين كما مرّ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طعن عليه أهالي قم بالغلوّ كمحمَّد بن موسى الهمداني مع أنَّ له كتاباً في ردّ الغلاة ممَّا يكشف أنَّ وراء الأكمة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الهمداني كتاباً في الرد على الغلاة ليس دليلاً قاطعاً على عدم غلوّه، فإنَّ بعض الغلاة لا يرى نفسه غالياً بل يعدّ من يقول بما دون قوله مقصّراً ويرى الغلوّ في ما يتبناه من هو أشدّ تطرّفاً منه، ومن شواهد ذلك أنَّ علي بن العباس الجراذيني الذي رمي بالغلوّ هو صاحب كتاب في الردّ على السلمانية الذين هم طائفة من الغلاة كما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 أنَّ النجاشي نسب تضعيف الهمداني بالغلوّ إلى القميّين، وكذلك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فيه القميّون بالغلوّ، ولا يظهر من أيّ من العَلَمين الموافقة على ذلك، فهذا يصلح أن يورث بعض الشكّ في غلوّ الرجل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فليس الأساس في تضعيف هذا الرجل هو اتّهامه بالغلوّ ليناقش في صحته، بل تصريح ابن الوليد بأنَّه كان يضع الحديث وكان كذّاباً غير ثقة، وموافقة ابن نوح على استثناء رواياته من نوادر الحكمة وتضعيف ابن الغضائري إيّاه،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روى عنه اثنان من أصحاب الإجماع وهو صالح بن الحكم النيلي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قصد بالاثنين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الذي هو ممَّن قال الشيخ في كتاب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يروون ولا يرسلون إلّا عن ثقة، ولكن أقصى ما يقتضي ذاك هو تعارض الجرح والتعديل في هذا الرجل، فلماذا أورد الكاتب اسمه هنا ولم يورده في القسم الثاني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عثمان الذي هو من جماعة ادعى الكشّي إجماع أصحابنا على تصحيح ما يصح عنهم، ولكن أين هذا من الدلالة على وثاقة من يروون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أقصى ما يمكن أن يدّعى هو اقتضاؤه اعتبار رواياتهم بغض النظر عن حال من يروونها عنهم، مع أنَّ هذا غير تام أيضاً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يحتمل رجوعه عن الغلوّ وهو صالح بن سهل كما في اختيار الكشّي، ويظهر منه حسن حاله كما فهم منه ابن داود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غريب، فإنَّ ابن الغضائري قد ضعّف الرجل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كذّاب وضّاع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ولا في سائر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فيلاحظ أنَّ تضعيفه لم يقتصر على عدّه من الغلاة بل اتّهمه بالكذب ووضع الحديث أيضاً، فلو فرض أنَّ هناك ما يدلّ على رجوعه عن الغلوّ فما الذي يدلّ على كفّه عن الكذب والوضع؟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رواية الكشّي فهي مرسلة ومروية عن الرجل نفسه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أقول في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بالربوبية فدخلت عليه فلمّا نظر إلي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 إنا والله عبيد مخلوقون، لنا ربّ نعبده وإن لم نعبده 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إن صحّت فأقصى ما تدلّ عليه هو رجوع الرجل عن القول بربوبية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عدم قوله بالغلوّ بنحو آخر فلا يستفاد منها أبداً، فضلاً عن أن يستفاد منها حسن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داود فقد ذكره بعنوان صالح بن سهل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بعنوان صالح بن سهيل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يعتقد في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الربوبية وأنَّه دخل عليه فأقسم أنَّه ليس 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لا عبرة بفهمه المدح من الرواية، مع أنَّه لا يمكن أن يعتمد على مدح المضعَّف لنفسه،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لا يخفى على أي ناظر للكتب والمصنّفات ومن جاس خلال الديار وتصفح الآثار والأخبار كثرة مروياته بدرجة لا تتناسب مع اشتهاره بالغلوّ والكذب والفساد في الحديث إلّا أن تكون له حالة استقامة فيما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من له إلمام كافٍ بطريقة المتقدّمين من أعلام المحدّثين يعلم أنَّهم كانوا لا يتحاشون عن إيراد روايات الضعفاء المشهورين فضلاً عن غير المشهورين في كتبهم إذا لم يستنكروا مضامينها، بل وكانوا يعملون بها متى حصلت لهم القناعة بها بمقتضى الشواهد والقرائن، ومن ذلك تصحيح بعض نقّاد الأخبار لها، هذه طريقتهم التي لا يحيدون عنها، وعليها تمّ تأليف الكتب الأربعة وغيرها من كتب الأحاديث الواصلة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يستكشف من كثرة روايات بعض المشهورين بالكذب في كتب الحديث أنَّه كانت له حالة سابقة اعتمد الأصحاب على ما تمَّ تلقّيه منه في تلك الحالة، فهو لعمري من العجب العجاب، ولا يقوله قائله إلّا من ضيق الخناق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أيام كان يرى وثاقة رجال كامل الزيارات، حيث لاحظ أنَّ أبا سمينة ممَّن لا ريب في ضعفه واشتهاره بالكذب ومع ذلك ورد اسمه في أسانيد الكامل فالتجأ إلى القول بأنَّ محمَّد بن علي القرشي الواقع في سند كامل الزيارات لم يُعلم أنَّه أبو سمينة، فإنَّ أبا سمينة وإن كان قرشياً واسمه محمَّد بن علي إلّا أنَّه لا يلازم انحصار المسمّى بهذا الاسم فيه، فمن الممكن أنَّه رجل آخر، ورواية محمَّد </w:t>
      </w:r>
    </w:p>
    <w:p>
      <w:pPr>
        <w:pStyle w:val="BookText"/>
        <w:rPr/>
      </w:pPr>
      <w:r>
        <w:rPr>
          <w:rFonts w:ascii="Amiri" w:hAnsi="Amiri" w:eastAsia="Amiri" w:cs="Amiri"/>
          <w:color w:val="111111"/>
          <w:sz w:val="28"/>
          <w:sz w:val="28"/>
          <w:szCs w:val="28"/>
          <w:rtl w:val="true"/>
          <w:lang w:bidi="ar-SA"/>
        </w:rPr>
        <w:t>ابن أبي القاسم ماجيلويه عنه لا تدلّ على الاتحاد، لإمكان روايته عن كلا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ضعف محمَّد بن عبد الله بن مهران ومع ذلك وقع في أسانيد كامل الزيارات فقال</w:t>
      </w:r>
      <w:r>
        <w:rPr>
          <w:rStyle w:val="FootnoteAnchor"/>
          <w:rtl w:val="true"/>
        </w:rPr>
        <w:footnoteReference w:id="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الله بن مهران الواقع في إسناد كامل الزيارات هو غير هذا الرجل وإنَّما هو محمَّد بن أحمد بن عبد الله ابن مهران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الأخير متأخّر طبقة عمّن ذكر في الكامل،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هذه التضعيفات ما يستشم منها رائحة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ابن قولويه قد وثّق كل أولئك المضعّفين في كلمات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أجلّ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ينبغي أن تستشم منه رائحة الحدس بدرجة أقوى؛ إذ كيف يمكن أن يكون توثيقه لكلّهم مستنداً إلى الحسّ عن طريق نقل كابر عن كابر، وكلمات من سبقه ومن لحقه مشحون بتضعيف الكثيرين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فتحنا كل هذه الأبواب التي أوصدها المستشكل لتضاءل هذا العدد وتلاشى، فلا محلّ للبعد و لا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ممَّا مرّ بيانه أنَّ الباحث المحقّق لا يجد مناصاً من الإقرار بأنَّ الأبواب المشار إليها كلّها مؤصدة أمامه، وأنَّ الاستبعاد المتقدّم في محلّه تماماً، ولذلك لا محيص من البناء على أنَّ ابن قولويه لم يقصد بما ذكره في المقدّمة توثيق جميع رواة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سيّما مع ما بيّنه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الغرض من توثيق هؤلاء هو توثيق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كون التوثيق حال أداء الرواية خلاف الظاهر، ثمَّ إنَّ هذا مبنيّ على كونهم مستقيمين زمناً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فرض في فرض ولا شاهد عليه بوجه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ادّعاء كون توثيق ابن قولويه لهؤلاء حال أداء الرواية خلاف الظاهر </w:t>
      </w:r>
    </w:p>
    <w:p>
      <w:pPr>
        <w:pStyle w:val="BookText"/>
        <w:rPr/>
      </w:pPr>
      <w:r>
        <w:rPr>
          <w:rFonts w:ascii="Amiri" w:hAnsi="Amiri" w:eastAsia="Amiri" w:cs="Amiri"/>
          <w:color w:val="111111"/>
          <w:sz w:val="28"/>
          <w:sz w:val="28"/>
          <w:szCs w:val="28"/>
          <w:rtl w:val="true"/>
          <w:lang w:bidi="ar-SA"/>
        </w:rPr>
        <w:t>فغريب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حال كلّ موثِّق حكاية وثاقة الراوي حال أدائه للرواية لا مطلقاً، والتنبيه على حاله في غير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انحرف بعد ذلك وتُركت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حيطة علم الرجال، بل هو من شؤون علم التراجم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ابن قولويه أراد وثاقتهم حين تلقّي روايات الكتاب عنهم، لا قبل ذلك ولا بعده، لأنَّ غرضه من التوثيق إنَّما كان بيان اعتبار وحجيّة تلكم الروايات، وهو لا يقتضي أزيد من وثاقة كلّ راوٍ حين نقله الرواية لمن بعده، وهذا محتمل حتى في المشهورين بالغلوّ والكذب، بأن كانت لهم حالة استقامة رووا فيها الأحاديث، ويكون ما أورده ابن قولويه في كتابه إنَّما هو من تلك الأحاديث خاصَّة دون ما رووها قبل ذلك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غرض ابن قولويه هو التنبيه على اعتبار روايات كتابه لا يشكّل قرينة على أنَّه قصد توثيق رواتها في زمان تلقّي تلكم الروايات عنهم فقط، فإنَّ المنساق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 لنا من جهة الثقات من أصحابنا رحمهم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موصوفين بالوثاقة ومعدودين من أصحابنا ومستحقين لطلب الرحمة لهم من الله تعالى، بحيث ختمت حياتهم بذلك، ولا يستساغ التعبير المذكور إذا كان لبعضهم دور وثاقة واستقامة ثمَّ خرجوا من المذهب أو أصبحوا يمارسون الكذب والوضع واشتهروا به واستحقوا بذلك اللعن والعذاب، وإن كانت الروايات المدرجة في الكتاب مأخوذة منهم قبل ذلك، بل في مثل هذه الحالة ينبغي التنبيه على المعنى المذكور بنحو قولهم كما في موضع من الكافي</w:t>
      </w:r>
      <w:r>
        <w:rPr>
          <w:rStyle w:val="FootnoteAnchor"/>
          <w:rtl w:val="true"/>
        </w:rPr>
        <w:footnoteReference w:id="57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طاهر بن حاتم في حال 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موضع من كمال الدين</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أحمد بن هلال في حال 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حكاه ابن الغضائري</w:t>
      </w:r>
      <w:r>
        <w:rPr>
          <w:rStyle w:val="FootnoteAnchor"/>
          <w:rtl w:val="true"/>
        </w:rPr>
        <w:footnoteReference w:id="576"/>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الخطّاب في حال 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النجاشي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عبيد الله بن سهل في حال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ظهور كلام ابن قولويه في توثيق رواة الكامل في حين تلقّي الروايات المدرجة في الكتاب عنهم، إلّا أنَّ الجمع بين توثيقه وتضعيف غيره بحمل توثيقه على كونه ناظراً إلى حالة استقامة محتملة كانت للشخص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النقل عنه في الكامل في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التضعيف على كونه ناظراً إلى حالة الانحراف اللاحقة، جمع اقتراحي تبرعي ولا عبرة به، ولا أقلّ من جهة عدم قرينة على كون التضعيف ناظراً إلى خصوص تلك الحالة، ومن الواضح أنَّ المقام ليس من موارد حمل المطلق على المقيّد، فإنَّ ذلك يختص بما إذا كان المطلق والمقيّد صادرين من شخص واحد أو من شخصين هما بمنزلة الواحد كإمامين معصومين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غضَّ النظر عمَّا تقدَّم فإنَّ الجمع المذكور غير متّجه من جهة أخرى، وهي ما أشار إليه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مضامين جملة من روايات الكذّابين والوضّاعين المذكورة في الكامل تشهد بأنها من مختلقاتهم</w:t>
      </w:r>
      <w:r>
        <w:rPr>
          <w:rStyle w:val="FootnoteAnchor"/>
          <w:rtl w:val="true"/>
        </w:rPr>
        <w:footnoteReference w:id="578"/>
      </w:r>
      <w:r>
        <w:rPr>
          <w:rFonts w:ascii="Amiri" w:hAnsi="Amiri" w:eastAsia="Amiri" w:cs="Amiri"/>
          <w:color w:val="111111"/>
          <w:sz w:val="28"/>
          <w:sz w:val="28"/>
          <w:szCs w:val="28"/>
          <w:rtl w:val="true"/>
          <w:lang w:bidi="ar-SA"/>
        </w:rPr>
        <w:t xml:space="preserve">في دور الضعف لا من رواياتهم قبل ذلك في دور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لهم دور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الملاحظ عدم اختلاف الرواة عنهم فيها عن رواة سائر رواياتهم، فكيف اقتنع ابن قولويه أنَّها رويت عنهم في </w:t>
      </w:r>
    </w:p>
    <w:p>
      <w:pPr>
        <w:pStyle w:val="BookText"/>
        <w:rPr/>
      </w:pPr>
      <w:r>
        <w:rPr>
          <w:rFonts w:ascii="Amiri" w:hAnsi="Amiri" w:eastAsia="Amiri" w:cs="Amiri"/>
          <w:color w:val="111111"/>
          <w:sz w:val="28"/>
          <w:sz w:val="28"/>
          <w:szCs w:val="28"/>
          <w:rtl w:val="true"/>
          <w:lang w:bidi="ar-SA"/>
        </w:rPr>
        <w:t>حال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تقدَّم أنَّ عدداً من الروايات التي أوردها عن المنحرفين مروية عن أناس شاركوهم في الانحراف، كما في علي بن أبي حمزة الذي أخرج له عدَّة روايات عن القاسم بن محمَّد الجوهري وكان واقفياً مثله، وبعض الروايات عن الحسن بن على الوشّاء الذي قضى شطراً من عمره على القول بالوقف، فبطبيعة الحال لم يكن لابن قولويه طريق لإحراز كون تلك الروايات مروية عن ابن أبي حمزة في حال استقامته، فكيف أوردها في كتابه إذا لم يكن يوثّق الرجل حتى بعد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كون ابن قولويه ناظراً في توثيقه المزعوم إلى زمان تلقّي الروايات المدرجة في الكامل عن الرواة المذكورين فيه هو أن لا يصح الاستناد إلى توثيقه في البناء على اعتبار سائر ما ورد في جوامع الحديث من روايات للمذكورين في أسانيد الكامل، ممَّا يحتمل أنَّه تمَّ تلقّيها منهم قبل زمن تلقّي رواياتهم في الكامل مع عدم ثبوت وثاقتهم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 له رواية واحدة في الكامل رواها عنه علي بن النعمان وله عشرات الروايات في الكتب الأربعة وغيرها رواها عنه آخرون، والرجل ممَّن لم يوثّق في كتب الرجال، فإذا بني على كون التوثيق المزعوم لابن قولويه ناظراً إلى زمان تلقّي علي بن النعمان تلك الرواية عنه، فلا ينفع ذاك التوثيق في الاعتماد على سائر رواياته إلّا مع إحراز تلقّيها عنه في زمن تلقّي تلك الرواية أو في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احتمال تلقّيها قبل ذلك فحيث لا مثبت لوثاقته في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حجيّة الاستصحاب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البناء على حجيّتها، وبذلك تقل جدوى الالتزام بوثاقة رواة كامل الزيارات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على خلاف ما سلكه بعض المراجع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w:t>
      </w:r>
    </w:p>
    <w:p>
      <w:pPr>
        <w:pStyle w:val="BookText"/>
        <w:rPr/>
      </w:pPr>
      <w:r>
        <w:rPr>
          <w:rFonts w:ascii="Amiri" w:hAnsi="Amiri" w:eastAsia="Amiri" w:cs="Amiri"/>
          <w:color w:val="111111"/>
          <w:sz w:val="28"/>
          <w:sz w:val="28"/>
          <w:szCs w:val="28"/>
          <w:rtl w:val="true"/>
          <w:lang w:bidi="ar-SA"/>
        </w:rPr>
        <w:t>اعتمد على رواية لسليمان بن حفص المروزي وردت في مفطّرية إدخال الغبار في الحلق من جهة ورود اسمه في أسانيد كامل الزيارات</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الراوي عنه في هذه الرواية هو محمَّد بن عيسى في حين أنَّ الراوي عنه في الكامل في موضع هو الحسين بن زكريا وفي موضع آخر علي بن محمَّد عن بعض أصحابه</w:t>
      </w:r>
      <w:r>
        <w:rPr>
          <w:rStyle w:val="FootnoteAnchor"/>
          <w:rtl w:val="true"/>
        </w:rPr>
        <w:footnoteReference w:id="580"/>
      </w:r>
      <w:r>
        <w:rPr>
          <w:rFonts w:ascii="Amiri" w:hAnsi="Amiri" w:eastAsia="Amiri" w:cs="Amiri"/>
          <w:color w:val="111111"/>
          <w:sz w:val="28"/>
          <w:sz w:val="28"/>
          <w:szCs w:val="28"/>
          <w:rtl w:val="true"/>
          <w:lang w:bidi="ar-SA"/>
        </w:rPr>
        <w:t>والظاهر أنَّ المراد بعلي بن محمَّد هو الأشعث بقرينة كون الراوي عنه سلمة بن الخطاب وقد روى عن الأشعث في موضع من معاني الأخبار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أنَّه لا سبيل إلى إحراز أنَّ رواية محمَّد بن عيسى عن سليمان بن حفص لم تكن متقدّمة زماناً على رواية الحسين بن زكريا والواسطة المبهمة عنه فكيف يمكن البناء على اعتبار روايته الواردة في مفطّرية الغبار إذا كان توثيق ابن قولويه إيّاه ناظراً إلى حال تلقّي الحسين بن زكريا والواسطة المبهمة ما ورد عنه في الكامل؟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كون أغلب التضعيفات التي طعن فيها على الغلاة ممَّن تأخّر عن ابن قولويه بعشرات السنين ناشئاً عن اغترارهم بما ذكر من أحوالهم بعد انحرافهم من مقالاتهم الباطلة وترويج بضائعم الكاسدة وعقائدهم الفاسدة، غافلين عن هجران الأصحاب للرواية عنهم حينها وكون ما روي عنهم في كتبنا المعروفة المشهورة إنَّما كان حال استقامتهم ووثاقتهم في الحديث</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إساءة بالغة لأئمَّة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والنجاشي وابن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تلامذة ابن قولويه 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أساتذتهم وهم أعلام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والمفيد وابن عبدون كانوا من تلامذة ابن قولويه والراوين </w:t>
      </w:r>
    </w:p>
    <w:p>
      <w:pPr>
        <w:pStyle w:val="BookText"/>
        <w:rPr/>
      </w:pPr>
      <w:r>
        <w:rPr>
          <w:rFonts w:ascii="Amiri" w:hAnsi="Amiri" w:eastAsia="Amiri" w:cs="Amiri"/>
          <w:color w:val="111111"/>
          <w:sz w:val="28"/>
          <w:sz w:val="28"/>
          <w:szCs w:val="28"/>
          <w:rtl w:val="true"/>
          <w:lang w:bidi="ar-SA"/>
        </w:rPr>
        <w:t>عنه كتبه ومصنفاته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يتصوّر أنَّهم اغتروا بكذا وغفلوا عن كذا وعَلم بذلك من جاء بعدهم بألف عام مع قلّة المصادر وضياع معظم الكتب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الكلام المذكور غير صحيح من أصله ولا يبتني على التتبع والتحقيق، فإنَّ من له إلمام بطريقة الأصحاب في تأليف كتب الروايات والأحاديث يعلم أنَّهم لم يكونوا يقتصرون فيها من روايات الغلاة والفاسدين على ما تمَّ تلقّيها منهم قبل انحرافهم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شواهد ذلك أنَّ كتاب نوادر الحكمة لمحمَّد بن أحمد بن يحيى الذي كان من أشهر كتب الحديث عند الإمامية، وقد عدّه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الفقيه</w:t>
      </w:r>
      <w:r>
        <w:rPr>
          <w:rStyle w:val="FootnoteAnchor"/>
          <w:rtl w:val="true"/>
        </w:rPr>
        <w:footnoteReference w:id="58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المشهورة التي عليها المعوّل وإليها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منه بنفسه عند روايته إياه في فهرسته</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فيه من غلوّ وتخليط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بأنَّه يقصد به ما كان من روايات من ذكرهم أستاذه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عليه أيضاً ما تقدَّم آنفاً من التقييد بحال الاستقامة في بعض روايات الغلاة ومنحرفي المذهب، فإنَّه إذا كان دأبهم الإعراض عن روايات هؤلاء بعد انحرافهم فما الوجه في 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ولحشد سائر الشواهد على هذا محلّ آخر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ادعاء كون الاستقامة في كثير من المنحرفين فرضاَ لا شاهد عليه فيدفعه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ترويه الغلاة والمتّهمون والمضعّفون وغير هؤلاء فما يختص الغلاة بروايته فإن كانوا ممّن عرف لهم حال استقامة وحال غلوّ عمل بما رووه في حال الاستقامة وترك ما رووه في حال خطئهم، ولأجل ذلك عملت الطائفة بما رواه أبو الخطّاب محمَّد بن أبي زينب في حال استقامته وتركوا ما رواه في حال تخليطه، وكذلك </w:t>
      </w:r>
    </w:p>
    <w:p>
      <w:pPr>
        <w:pStyle w:val="BookText"/>
        <w:rPr/>
      </w:pPr>
      <w:r>
        <w:rPr>
          <w:rFonts w:ascii="Amiri" w:hAnsi="Amiri" w:eastAsia="Amiri" w:cs="Amiri"/>
          <w:color w:val="111111"/>
          <w:sz w:val="28"/>
          <w:sz w:val="28"/>
          <w:szCs w:val="28"/>
          <w:rtl w:val="true"/>
          <w:lang w:bidi="ar-SA"/>
        </w:rPr>
        <w:t>القول في أحمد بن هلال العبرتائي وابن أبي عذافر وغير هؤلاء، فأمَّا ما يرويه في حال تخليطهم فلا يجوز العمل به على كلّ حال، وكذلك القول فيما ترويه المتّهمون والمضعّفون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على شيء فإنَّما يدلّ على حالة متفشّية في كثير من الرواة، بنحو يتناسب معها الرواية عنهم وإدراج مروياتهم في كتب الأصحاب الذين يحترزون عادة عن أخبار من اشتهر بالكذب والوضع والغلوّ لولا كونها منقولة عنهم زمن الاستقامة، ولا يسع المجال لحشد الشواهد وجلب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وجود حالة استقامة لأولئك المضعّفين المذكورين في كامل الزيارات كانوا فيها من ثقات أصحابنا لا يعدو كونه مجرّد احتمال لا شاهد عليه بوجه، بل ينبغي القطع بخلافه في أكثرهم، فإنَّه لو كانت لأكثرهم حالتان من هذا القبيل لتمثّل ذلك في كتب الرجال، كما نجده بالنسبة إلى بعض الرواة ممَّن كانوا منحرفين ثمَّ اهتدوا أو كانوا مهتدين ثمَّ انحرفوا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الاستشهاد للمدّعى المذكور بكلام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ودعوى دلالته على أنَّ ذلك كان أمراً متفشّياً، فإنَّه لا يستفاد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الحالة المذكورة، بل مجرّد وجودها بمقدار معتدّ به، وهذا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نبَّه على ضرورة الاقتصار في العمل برواياتهم على ما كانت من مروياتهم في زمان الاستقامة إلّا مع احتفافها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الكاتب ضمَّ إلى ذلك ما زعمه من تحرّز الأصحاب عادة عن أخبار المشهورين بالكذب والوضع والغلوّ، فاستنتج منه أنَّ روايات هؤلاء المبثوثة في كتبنا إنَّما هي منقولة عنهم في زمن الاستقامة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وهم محض، بل هي بقسميها مبثوثة في كتبنا، ومتى أُريد التمييز بينهما قُيّد النقل عنهم بحال الاستقامة كما مرَّ بعض نماذجه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مفروغية الأصحاب عن ترك ما رواه الغلاة وأضرابهم حال انحرافهم وفسادهم، فما ورد في كتبنا يحمل على ذاك المحمل الحسن، وأمَّا ادعاء كونها كلّها مروية عنهم في حال الانحراف لأنَّها اقترنت بقرائن الاطمئنان بالصدور فبعيد جدّاً في مثل هذه الموارد الكثيرة التي لا تخفى على من راجعها من روايات وكتب ومصنّفات وأصول لم تهجر ولم تُستثنَ، وهذا باب وسيع يحتاج إلى فرصة أخرى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عدم العمل بروايات الغلاة وأمثالهم إذا كانت مروية عنهم حال تخليطهم، لا عدم إيرادها في كتب الحديث، بل يظهر منه المفروغية عن تداول إيرادها فيها، ولذلك احتاج إلى التنبيه على ضرورة عدم العمل بهذا القسم من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ليس على إطلاقه بل فيما إذا لم تكن قرينة على صحّتها، وقد بتر الكاتب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المقطع الدال على هذا المعنى، وهو قوله</w:t>
      </w:r>
      <w:r>
        <w:rPr>
          <w:rStyle w:val="FootnoteAnchor"/>
          <w:rtl w:val="true"/>
        </w:rPr>
        <w:footnoteReference w:id="5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هناك ما يعضد روايتهم ويدلّ على صحّتها وجب العمل به، وإن لم يكن هناك ما يشهد لروايتهم بالصحّة وجب التوقف في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 العدّة</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رواه الغلاة ومن هو مطعون عليه في روايته ومتّهم في وضع الأحاديث فلا يجوز العمل بروايته إذا انفرد، وإذا انضاف إلى روايته رواية بعض الثقات جاز ذلك ويكون ذلك لأجل رواية الثقة دون روايته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ذكره في الموضعين يظهر الوجه في ما يلاحظ من وجود أعداد غير قليلة من روايات الضعفاء والمطعونين في كتب المتقدّمين حتى ما كانت معدّة للعمل بها </w:t>
      </w:r>
    </w:p>
    <w:p>
      <w:pPr>
        <w:pStyle w:val="BookText"/>
        <w:rPr/>
      </w:pPr>
      <w:r>
        <w:rPr>
          <w:rFonts w:ascii="Amiri" w:hAnsi="Amiri" w:eastAsia="Amiri" w:cs="Amiri"/>
          <w:color w:val="111111"/>
          <w:sz w:val="28"/>
          <w:sz w:val="28"/>
          <w:szCs w:val="28"/>
          <w:rtl w:val="true"/>
          <w:lang w:bidi="ar-SA"/>
        </w:rPr>
        <w:t>كالكافي والفقيه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جلياً كون الاستبعاد المدّعى في غير محلّه،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تجلّى بأوضح من ذي قبل تماميَّة الاستبعاد المذكور وأنَّه في محلِّه جدّاً، بل يبدو لي كونه مع سائر الشواهد والقرائن موجباً للاطمئنان بعدم كون ابن قولويه قاصداً بما أورده في مقدّمة الكامل توثيق جميع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تحرير هذه التعقيبات وإعادة صياغتها والإضافة عليها بمراجعة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لزاماً عليَّ أن أقدِّم له خالص شكري وامتناني على بالغ عنايته وجميل رعايته لإنجازها بهذه الصورة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وصلّى الله على نبيّه وآله الأطهار</w:t>
      </w:r>
      <w:r>
        <w:rPr>
          <w:rFonts w:eastAsia="Amiri" w:cs="Amiri" w:ascii="Amiri" w:hAnsi="Amiri"/>
          <w:color w:val="111111"/>
          <w:sz w:val="28"/>
          <w:szCs w:val="28"/>
          <w:rtl w:val="true"/>
          <w:lang w:bidi="ar-SA"/>
        </w:rPr>
        <w:t>.</w:t>
      </w:r>
      <w:bookmarkStart w:id="402" w:name="pg9111_108271"/>
    </w:p>
    <w:p>
      <w:pPr>
        <w:pStyle w:val="Heading3"/>
        <w:numPr>
          <w:ilvl w:val="2"/>
          <w:numId w:val="1"/>
        </w:numPr>
        <w:rPr/>
      </w:pPr>
      <w:bookmarkStart w:id="403" w:name="__RefHeading___Toc2853509_2870459653"/>
      <w:bookmarkStart w:id="404" w:name="_Toc149"/>
      <w:bookmarkEnd w:id="402"/>
      <w:bookmarkEnd w:id="403"/>
      <w:r>
        <w:rPr>
          <w:rtl w:val="true"/>
        </w:rPr>
        <w:t>المصادر</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 العزيز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تعليقات الميرداماد الأسترآبادي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استقصاء الاعتبار في 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بن الحسن بن 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الغروي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السيد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لابن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عبيد الله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والسيد حسين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الأعلمي للمطبوعات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والشيخ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موسى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كتب الشيعة وأصولهم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مكتبة المحقّق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من مصباح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زيد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ونظمها السيد محمَّد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أوّليّة محدودة التداول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المرتضوية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قم منشورات مؤسسة نشر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 طهران بإشراف علي أكبر الغفاري منشورات 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حسن الأصفهاني المعروف بالفاضل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جلال الدين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حسين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المؤرخ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الطباطبائي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بن الحسن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المكتبة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ﻫ 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bookmarkStart w:id="405" w:name="pg9111_108275"/>
    </w:p>
    <w:p>
      <w:pPr>
        <w:pStyle w:val="Heading2"/>
        <w:numPr>
          <w:ilvl w:val="1"/>
          <w:numId w:val="1"/>
        </w:numPr>
        <w:rPr/>
      </w:pPr>
      <w:bookmarkStart w:id="406" w:name="__RefHeading___Toc2853511_2870459653"/>
      <w:bookmarkStart w:id="407" w:name="_Toc150"/>
      <w:bookmarkEnd w:id="405"/>
      <w:bookmarkEnd w:id="406"/>
      <w:r>
        <w:rPr>
          <w:rtl w:val="true"/>
        </w:rPr>
        <w:t xml:space="preserve">رسالة اللباس المشکوک </w:t>
      </w:r>
      <w:r>
        <w:rPr>
          <w:rtl w:val="true"/>
        </w:rPr>
        <w:t xml:space="preserve">- </w:t>
      </w:r>
      <w:r>
        <w:rPr>
          <w:rtl w:val="true"/>
        </w:rPr>
        <w:t xml:space="preserve">الشیخ محمد اسماعیل الغروی المحلاتی </w:t>
      </w:r>
      <w:r>
        <w:rPr>
          <w:rtl w:val="true"/>
        </w:rPr>
        <w:t>(</w:t>
      </w:r>
      <w:r>
        <w:rPr>
          <w:rtl w:val="true"/>
        </w:rPr>
        <w:t>قدس سره</w:t>
      </w:r>
      <w:r>
        <w:rPr>
          <w:rtl w:val="true"/>
        </w:rPr>
        <w:t>)</w:t>
      </w:r>
      <w:bookmarkEnd w:id="407"/>
    </w:p>
    <w:p>
      <w:pPr>
        <w:pStyle w:val="Heading3"/>
        <w:numPr>
          <w:ilvl w:val="2"/>
          <w:numId w:val="1"/>
        </w:numPr>
        <w:rPr/>
      </w:pPr>
      <w:bookmarkStart w:id="408" w:name="__RefHeading___Toc2853513_2870459653"/>
      <w:bookmarkStart w:id="409" w:name="_Toc151"/>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رسالة</w:t>
      </w:r>
    </w:p>
    <w:p>
      <w:pPr>
        <w:pStyle w:val="BookText"/>
        <w:rPr/>
      </w:pPr>
      <w:r>
        <w:rPr>
          <w:rFonts w:ascii="IRNazanin" w:hAnsi="IRNazanin" w:eastAsia="IRNazanin"/>
          <w:color w:val="111111"/>
          <w:sz w:val="28"/>
          <w:sz w:val="28"/>
          <w:szCs w:val="28"/>
          <w:rtl w:val="true"/>
          <w:lang w:bidi="fa-IR"/>
        </w:rPr>
        <w:t>اللباس المشکوک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المحقق</w:t>
      </w:r>
    </w:p>
    <w:p>
      <w:pPr>
        <w:pStyle w:val="BookText"/>
        <w:rPr/>
      </w:pPr>
      <w:r>
        <w:rPr>
          <w:rFonts w:ascii="IRNazanin" w:hAnsi="IRNazanin" w:eastAsia="IRNazanin"/>
          <w:color w:val="111111"/>
          <w:sz w:val="28"/>
          <w:sz w:val="28"/>
          <w:szCs w:val="28"/>
          <w:rtl w:val="true"/>
          <w:lang w:bidi="fa-IR"/>
        </w:rPr>
        <w:t xml:space="preserve">الشیخ محمد اسماعیل الغروی المحلاتی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دراسات علمیة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9111_108277"/>
      <w:bookmarkStart w:id="411" w:name="pg9111_108277"/>
      <w:bookmarkEnd w:id="411"/>
    </w:p>
    <w:p>
      <w:pPr>
        <w:pStyle w:val="Heading3"/>
        <w:numPr>
          <w:ilvl w:val="2"/>
          <w:numId w:val="1"/>
        </w:numPr>
        <w:rPr/>
      </w:pPr>
      <w:bookmarkStart w:id="412" w:name="pg9111_108277"/>
      <w:bookmarkStart w:id="413" w:name="__RefHeading___Toc2853515_2870459653"/>
      <w:bookmarkStart w:id="414" w:name="_Toc152"/>
      <w:bookmarkEnd w:id="412"/>
      <w:bookmarkEnd w:id="413"/>
      <w:r>
        <w:rPr>
          <w:rtl w:val="true"/>
        </w:rPr>
        <w:t>المقدمة</w:t>
      </w:r>
      <w:bookmarkEnd w:id="414"/>
    </w:p>
    <w:p>
      <w:pPr>
        <w:pStyle w:val="Heading4"/>
        <w:numPr>
          <w:ilvl w:val="3"/>
          <w:numId w:val="1"/>
        </w:numPr>
        <w:rPr/>
      </w:pPr>
      <w:bookmarkStart w:id="415" w:name="__RefHeading___Toc2853517_2870459653"/>
      <w:bookmarkStart w:id="416" w:name="_Toc153"/>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محمَّد وآله الطيبين الطاهرين الهداة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ممَّا يشترط في 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النصوص</w:t>
      </w:r>
      <w:r>
        <w:rPr>
          <w:rStyle w:val="FootnoteAnchor"/>
          <w:rtl w:val="true"/>
        </w:rPr>
        <w:footnoteReference w:id="586"/>
      </w:r>
      <w:r>
        <w:rPr>
          <w:rFonts w:ascii="Amiri" w:hAnsi="Amiri" w:eastAsia="Amiri" w:cs="Amiri"/>
          <w:color w:val="111111"/>
          <w:sz w:val="28"/>
          <w:sz w:val="28"/>
          <w:szCs w:val="28"/>
          <w:rtl w:val="true"/>
          <w:lang w:bidi="ar-SA"/>
        </w:rPr>
        <w:t>وتطابقت عليه الفتاوى</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يكون مأخوذاً من أجزاء ما لا يجوز أكل لحمه من الحيوانات أو من خصوص السباع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طرح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عصر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بحثٌ في حكم اللباس المشكوك كونه مأخوذاً من أجزاء ما لا يؤكل لحمه، وأنَّه هل تجوز الصلاة فيه أو لا؟</w:t>
      </w:r>
    </w:p>
    <w:p>
      <w:pPr>
        <w:pStyle w:val="BookText"/>
        <w:rPr/>
      </w:pPr>
      <w:r>
        <w:rPr>
          <w:rFonts w:ascii="Amiri" w:hAnsi="Amiri" w:eastAsia="Amiri" w:cs="Amiri"/>
          <w:color w:val="111111"/>
          <w:sz w:val="28"/>
          <w:sz w:val="28"/>
          <w:szCs w:val="28"/>
          <w:rtl w:val="true"/>
          <w:lang w:bidi="ar-SA"/>
        </w:rPr>
        <w:t xml:space="preserve">والمشهور بينهم منذ ذلك العصر إلى زمان آية الله المجدّد السيّد ميرزا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الجواز، وكان القائل بالجواز نادراً كالمحقّق الأردبيلي</w:t>
      </w:r>
      <w:r>
        <w:rPr>
          <w:rStyle w:val="FootnoteAnchor"/>
          <w:rtl w:val="true"/>
        </w:rPr>
        <w:footnoteReference w:id="589"/>
      </w:r>
      <w:r>
        <w:rPr>
          <w:rFonts w:ascii="Amiri" w:hAnsi="Amiri" w:eastAsia="Amiri" w:cs="Amiri"/>
          <w:color w:val="111111"/>
          <w:sz w:val="28"/>
          <w:sz w:val="28"/>
          <w:szCs w:val="28"/>
          <w:rtl w:val="true"/>
          <w:lang w:bidi="ar-SA"/>
        </w:rPr>
        <w:t>والسيّد صاحب المدارك</w:t>
      </w:r>
      <w:r>
        <w:rPr>
          <w:rStyle w:val="FootnoteAnchor"/>
          <w:rtl w:val="true"/>
        </w:rPr>
        <w:footnoteReference w:id="590"/>
      </w:r>
      <w:r>
        <w:rPr>
          <w:rFonts w:ascii="Amiri" w:hAnsi="Amiri" w:eastAsia="Amiri" w:cs="Amiri"/>
          <w:color w:val="111111"/>
          <w:sz w:val="28"/>
          <w:sz w:val="28"/>
          <w:szCs w:val="28"/>
          <w:rtl w:val="true"/>
          <w:lang w:bidi="ar-SA"/>
        </w:rPr>
        <w:t>والشيخ البهائي</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لمّا ذهب المجدّد الشيرازي إلى القول بالجواز وأقامه على أسس جديدة انعكس الحال وأصبح هو القول المعروف بين من تأخّر عنه وشذّ القائل بالمنع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رسالته في اللباس المشكوك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عمّت البلوى في أزمنتنا هذه بما يُشكّ في اتخاذه من أجزاء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 يجلب إلينا من بلاد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الشهرة السابقة قائمة على عدم جواز الصلاة فيه إلى أنْ انتهت رئاسة الإمامية وسياستها إلى طود عزّها وسنام فخارها، واحد دهورها وأعصارها، ربانيّ علومها وقطب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المذهب في رأس المائة الرابعة عشر، علّامة دهره وآية الله العظمى في عصره، بيضاء شيراز وغرّة الغري، حضرة الميرزا محمَّد حسن الحسيني العسكري أفاض الله تعالى على تربته الزكيَّة من الرحمة أزكاها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أصلح في الدنيا والدين أمر الأمَّة وأحسن الخلافة للأئمَّة وأعطى كلّ مسألة من أمهات المسائل ومعضلاتها حقّها من التحقيق وأتى فيها بما لا ينفكّ تصوره عن التصديق، فمن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 المشكوك على جواز الصلاة فيه وأسسه على أتقن أساس وجدّده بعد الهجر والاندراس، فباختياره له خرج عن الشذوذ وانعكس الأمر وعادت المسألة كمسألة ماء البئر</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 مسألة الصلاة في اللباس المشكوك قد حظيت باهتمام كبير وشغلت مساحة مهمَّة من أبحاث المحقّقين منذ أنْ بنى فيها المجدّد الشيرازي على القول بالجواز، فكتب فيها عدد من الأعلام بحوثاً مفصَّلة ورسائل خاصَّة، وضمَّنها بعضهم أهمَّ آرائه الأصوليَّة وتحقيقاته العلميَّة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ألَّف فيها من معاصري المجدّد الشيرازي العلمان الكبيران الشيخ حبيب الله الرشتي والشيخ محمَّد حسن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بعده فقد ألَّف فيها غير واحد من </w:t>
      </w:r>
    </w:p>
    <w:p>
      <w:pPr>
        <w:pStyle w:val="BookText"/>
        <w:rPr/>
      </w:pPr>
      <w:r>
        <w:rPr>
          <w:rFonts w:ascii="IRNazanin" w:hAnsi="IRNazanin" w:eastAsia="IRNazanin"/>
          <w:color w:val="111111"/>
          <w:sz w:val="28"/>
          <w:sz w:val="28"/>
          <w:szCs w:val="28"/>
          <w:rtl w:val="true"/>
          <w:lang w:bidi="fa-IR"/>
        </w:rPr>
        <w:t xml:space="preserve">الأعاظم كالمحقّق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العراقي والعلّامة الشهيدي والمحقّق الإيرواني والعلّامة البلاغي والسيّد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ألَّف فيها أيضاً العلّامة الكبير آية الله المحقّق الشيخ محمَّد إسماعيل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مسطِّراً هذه الرسالة التي بين أيدينا، وحيث إنَّه لم يسبق طبعها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كمعظم آثاره وتراثه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ارتأينا تحقيقها ونشرها، ليستفيد منها المعنيّون بمثلها من الدراسات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صدّرناها بمقدّمة تتضمّن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موجز في ترجمة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الرسالة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نرجو أنْ نكون قد وفّقنا لإنجاز ما قصدناه، وما التوفيق إلّا بالله عليه توكّلنا وإليه أنبنا وإليه المصير</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المحقّق الشيخ محمَّد إسماعيل الغروي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bookmarkStart w:id="417" w:name="pg9111_108281"/>
    </w:p>
    <w:p>
      <w:pPr>
        <w:pStyle w:val="Heading4"/>
        <w:numPr>
          <w:ilvl w:val="3"/>
          <w:numId w:val="1"/>
        </w:numPr>
        <w:rPr/>
      </w:pPr>
      <w:bookmarkStart w:id="418" w:name="__RefHeading___Toc2853519_2870459653"/>
      <w:bookmarkStart w:id="419" w:name="_Toc154"/>
      <w:bookmarkEnd w:id="417"/>
      <w:bookmarkEnd w:id="418"/>
      <w:r>
        <w:rPr>
          <w:rtl w:val="true"/>
        </w:rPr>
        <w:t xml:space="preserve">موجز في ترجمة المؤلف </w:t>
      </w:r>
      <w:r>
        <w:rPr>
          <w:rtl w:val="true"/>
        </w:rPr>
        <w:t>(</w:t>
      </w:r>
      <w:r>
        <w:rPr>
          <w:rtl w:val="true"/>
        </w:rPr>
        <w:t>طاب ثراه</w:t>
      </w:r>
      <w:r>
        <w:rPr>
          <w:rtl w:val="true"/>
        </w:rPr>
        <w:t>)</w:t>
      </w:r>
      <w:bookmarkEnd w:id="419"/>
    </w:p>
    <w:p>
      <w:pPr>
        <w:pStyle w:val="Heading5"/>
        <w:numPr>
          <w:ilvl w:val="4"/>
          <w:numId w:val="1"/>
        </w:numPr>
        <w:rPr/>
      </w:pPr>
      <w:bookmarkStart w:id="420" w:name="__RefHeading___Toc2853521_2870459653"/>
      <w:bookmarkStart w:id="421" w:name="_Toc155"/>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موجز في ترجمة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593"/>
      </w:r>
    </w:p>
    <w:p>
      <w:pPr>
        <w:pStyle w:val="Heading5"/>
        <w:numPr>
          <w:ilvl w:val="4"/>
          <w:numId w:val="1"/>
        </w:numPr>
        <w:rPr/>
      </w:pPr>
      <w:bookmarkStart w:id="422" w:name="__RefHeading___Toc2853523_2870459653"/>
      <w:bookmarkStart w:id="423" w:name="_Toc156"/>
      <w:bookmarkEnd w:id="422"/>
      <w:r>
        <w:rPr/>
        <w:t>1</w:t>
      </w:r>
      <w:r>
        <w:rPr>
          <w:rtl w:val="true"/>
        </w:rPr>
        <w:t xml:space="preserve">. </w:t>
      </w:r>
      <w:r>
        <w:rPr>
          <w:rtl w:val="true"/>
        </w:rPr>
        <w:t>نسبه ونسبته</w:t>
      </w:r>
      <w:bookmarkEnd w:id="423"/>
    </w:p>
    <w:p>
      <w:pPr>
        <w:pStyle w:val="BookText"/>
        <w:rPr/>
      </w:pPr>
      <w:r>
        <w:rPr>
          <w:rFonts w:ascii="Amiri" w:hAnsi="Amiri" w:eastAsia="Amiri" w:cs="Amiri"/>
          <w:color w:val="111111"/>
          <w:sz w:val="28"/>
          <w:sz w:val="28"/>
          <w:szCs w:val="28"/>
          <w:rtl w:val="true"/>
          <w:lang w:bidi="ar-SA"/>
        </w:rPr>
        <w:t>هو الشيخ محمَّد إسماعيل ابن المولى محمَّد علي بن زين العابدين الغروي المحلّاتي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والده من أجلّة علماء عصره، ذكر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لازمه عدَّة أعوام، ثمَّ أثنى عليه ثناءً بالغاً،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جليلاً، عابداً، ورعاً، متبحّراً في الأصول، بارعاً في الفقه، مجانباً لأهل الدنيا ولذائذها، مشغولاً بنفسه وإصلاح رمسه، ولم يدخل في مناصب الحكومة والفتوى وأخذ الحقوق وغيرها</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2853525_2870459653"/>
      <w:bookmarkStart w:id="425" w:name="_Toc157"/>
      <w:bookmarkEnd w:id="424"/>
      <w:r>
        <w:rPr/>
        <w:t>2</w:t>
      </w:r>
      <w:r>
        <w:rPr>
          <w:rtl w:val="true"/>
        </w:rPr>
        <w:t xml:space="preserve">. </w:t>
      </w:r>
      <w:r>
        <w:rPr>
          <w:rtl w:val="true"/>
        </w:rPr>
        <w:t>ولادته ونشأته</w:t>
      </w:r>
      <w:bookmarkEnd w:id="425"/>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يوم الأربعاء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عام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توابع مدينة أصفهان الشهيرة في إيران، وقد نشأ فيها في كنف والده المعظّم ووالدته الجليلة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الصالحات في عصرها وذات صفات حسنة مع المواظبة على العبادات والأذكار ولا سيَّما صلاة الليل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في الخامسة من عمره بتعلّم القرآن الكريم وبعض الكتب الفارسية المتداول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تعليمها للصغار</w:t>
      </w:r>
      <w:r>
        <w:rPr>
          <w:rFonts w:eastAsia="Amiri" w:cs="Amiri" w:ascii="Amiri" w:hAnsi="Amiri"/>
          <w:color w:val="111111"/>
          <w:sz w:val="28"/>
          <w:szCs w:val="28"/>
          <w:rtl w:val="true"/>
          <w:lang w:bidi="ar-SA"/>
        </w:rPr>
        <w:t xml:space="preserve">. </w:t>
      </w:r>
      <w:bookmarkStart w:id="426" w:name="pg9111_108282"/>
    </w:p>
    <w:p>
      <w:pPr>
        <w:pStyle w:val="Heading5"/>
        <w:numPr>
          <w:ilvl w:val="4"/>
          <w:numId w:val="1"/>
        </w:numPr>
        <w:rPr/>
      </w:pPr>
      <w:bookmarkStart w:id="427" w:name="__RefHeading___Toc2853527_2870459653"/>
      <w:bookmarkStart w:id="428" w:name="_Toc158"/>
      <w:bookmarkEnd w:id="426"/>
      <w:bookmarkEnd w:id="427"/>
      <w:r>
        <w:rPr/>
        <w:t>3</w:t>
      </w:r>
      <w:r>
        <w:rPr>
          <w:rtl w:val="true"/>
        </w:rPr>
        <w:t xml:space="preserve">. </w:t>
      </w:r>
      <w:r>
        <w:rPr>
          <w:rtl w:val="true"/>
        </w:rPr>
        <w:t>دراسته وحياته العلميَّة</w:t>
      </w:r>
      <w:bookmarkEnd w:id="428"/>
    </w:p>
    <w:p>
      <w:pPr>
        <w:pStyle w:val="BookText"/>
        <w:rPr/>
      </w:pPr>
      <w:r>
        <w:rPr>
          <w:rFonts w:ascii="Amiri" w:hAnsi="Amiri" w:eastAsia="Amiri" w:cs="Amiri"/>
          <w:color w:val="111111"/>
          <w:sz w:val="28"/>
          <w:sz w:val="28"/>
          <w:szCs w:val="28"/>
          <w:rtl w:val="true"/>
          <w:lang w:bidi="ar-SA"/>
        </w:rPr>
        <w:t xml:space="preserve">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 من عمره تصدّى والده بنفسه لتعليمه العلوم العربية من النحو والصرف والبلاغة وغيرها، وعند بلوغه الثانية عشرة درس على يده كتب السطوح في علم أصول الفقه كالمعالم والقوانين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أوائل بلوغه غادر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العاصمة طهران وتعلَّم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عَلَمين بارزين من تلامذته، وهما الميرزا أبو القاسم النوري الطهراني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محمَّد حسن الآشتياني صاحب الحاشية الكبيرة على الرسائل، واشتغل إلى جنب ذلك بتعلّم عدد من الكتب المؤلّفة في العلوم العقليَّة والرياضيات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ﻫ غادر طهران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غاية الفقر والعسر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كربلاء المقدَّسة في أوَّل شهر رمضان المبارك، وحضر في هذا الشهر الفضيل عند العَلَمين الجليلين المولى حسين الأردكاني والشيخ زين العابدين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توجّه نحو النجف الأشرف في الثاني من شهر شوّال المكرّم، وسكن المدرسة التي تقع في جنب الصحن الحيدري الشريف</w:t>
      </w:r>
      <w:r>
        <w:rPr>
          <w:rStyle w:val="FootnoteAnchor"/>
          <w:rtl w:val="true"/>
        </w:rPr>
        <w:footnoteReference w:id="594"/>
      </w:r>
      <w:r>
        <w:rPr>
          <w:rFonts w:ascii="Amiri" w:hAnsi="Amiri" w:eastAsia="Amiri" w:cs="Amiri"/>
          <w:color w:val="111111"/>
          <w:sz w:val="28"/>
          <w:sz w:val="28"/>
          <w:szCs w:val="28"/>
          <w:rtl w:val="true"/>
          <w:lang w:bidi="ar-SA"/>
        </w:rPr>
        <w:t>أربعة أشهر، ثمَّ انتقل إلى مدرسة الصدر الأعظم الواقعة في السوق الكبير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في النجف الأشرف الحضور عند ثلاثة من أجلّ تلامذة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حسن الشيرازي، والشيخ حبيب الله الرشتي، والسيّد حسين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اختصّ بالأوَّل منهم إلى أنْ غادر المدينة المقدَّسة في أواخر </w:t>
      </w:r>
      <w:bookmarkStart w:id="429" w:name="pg9111_108283"/>
    </w:p>
    <w:p>
      <w:pPr>
        <w:pStyle w:val="BookText"/>
        <w:rPr/>
      </w:pPr>
      <w:bookmarkEnd w:id="429"/>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ﻫ إلى إيران وتوقّف فيها قريباً من عامين، ثمَّ رجع إلى العراق عام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ﻫ فالتحق بالسيّد المجدِّد الشيرازي الذي كان قد انتقل إلى سامراء واستقر فيها مع جمع من الفضلاء والطلّاب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أواسط عام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ﻫ غادر سامراء إلى إيران وسكن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أعوام اشتغل خلالها بتدريس كتاب الرسائل وسائر كتب الشيخ الأعظم الأنصاري، بالإضافة إلى اشتغالاته العلميَّة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عزم على العود إلى العراق مرَّة أخرى، فوصل سامراء المقدَّسة في شهر ربيع الثاني عام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السيّد المجدِّد الشيرازي توفّي بعد ذلك ببضعة أشهر، فارتأى الانتقال إلى النجف الأشرف وتمَّ له ذلك في أوائل شعبان عام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 واستقر فيها مشتغلاً بالتدريس والتأليف إلى آخر عمره الشريف</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853529_2870459653"/>
      <w:bookmarkStart w:id="431" w:name="_Toc159"/>
      <w:bookmarkEnd w:id="430"/>
      <w:r>
        <w:rPr/>
        <w:t>4</w:t>
      </w:r>
      <w:r>
        <w:rPr>
          <w:rtl w:val="true"/>
        </w:rPr>
        <w:t xml:space="preserve">. </w:t>
      </w:r>
      <w:r>
        <w:rPr>
          <w:rtl w:val="true"/>
        </w:rPr>
        <w:t>آثاره ومؤلّفاته</w:t>
      </w:r>
      <w:bookmarkEnd w:id="431"/>
    </w:p>
    <w:p>
      <w:pPr>
        <w:pStyle w:val="BookText"/>
        <w:rPr/>
      </w:pPr>
      <w:r>
        <w:rPr>
          <w:rFonts w:ascii="Amiri" w:hAnsi="Amiri" w:eastAsia="Amiri" w:cs="Amiri"/>
          <w:color w:val="111111"/>
          <w:sz w:val="28"/>
          <w:sz w:val="28"/>
          <w:szCs w:val="28"/>
          <w:rtl w:val="true"/>
          <w:lang w:bidi="ar-SA"/>
        </w:rPr>
        <w:t xml:space="preserve">قال 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تصانيف كثيرة في الفقه والأصول والكلام والرجال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أسماء عدد منها، وما اطّلعنا عليه أو ورد ذكره في المصادر المتاحة لنا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العلم والمعرفة، 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ملمّع في الكلام، أثبت فيه الأصول الدينيَّة ببيانات وافية ونكات دقيقة وشرح بعض الآيات والأحاديث المشكلة في هذه الأبواب وردّ على أكثر الفرق من أهل الضلال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الجزء الأوَّل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بالحجم الوزيري في المطبعة المرتضويّة في النجف الأشرف في عام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ﻫ، وتوجد عدَّة نسخ خطّية منه في مكتبة السيّد المرعشي في 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اللآلئ المربوطة في وجوب المشروطة، وهو من أشهر مؤلّفاته، كَتَبه باللغة الفارسية في نصرة الحركة الدستورية في إيران، وقد طبع في بندر بوشهر على الحجر في عام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ﻫ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أنَّه ذُكر في بعض المصادر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اللآلئ المربوطة في حقيقة المشروطة الذهنية وإنْ امتنع وجودها خارجاً كشريك الباري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الأبحاث في النفقات الثلاث، أي نفقة الزوجة والأقارب والمِلْك، 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بسط فيه القول في مقتضى الأدلة في هذه النفقات وتكلّم في الفروع المتفرّعة عليها عند الأصحاب، وقد ألَّفه في حياة ولده البارع آغا محمَّد المتوفّى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أنَّه تامّ، ولكن المطبوع منه في عام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بالحجم الرقعي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مطبعة حكمت بقمّ بتصحيح السيّد هاشم الرسولي المحلّاتي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 إلّا على أحكام نفقة الزوجة والأقارب، ولعلَّ الباقي فُقِدَ بعد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نسخته المخطوطة في مكتبة السيّد المرعشي في قمّ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اللوامع، 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بخطّه، أوَّله بعد الخطبة المختصرة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جملة من الدرر اللوامع الغرويَّة من شتات القضايا الفقهيَّة والأصوليَّة والرجاليَّة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فوائد جليلة وأفكار رائعة في مسائل العلوم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أوراق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الفرق بين الهديّة والرشوة وجواز حكم الحاكم بعلمه وهما 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منضمَّة إلى رسالة تنقيح الأبحاث المتقدِّمة في مكتبة السيّد المرعشي في قمّ المقدَّسة بالرقم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اللباس المشكوك، وهي التي بين أيدينا، وسيأتي الكلام حولها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لباب الأصول بإسقاط الزوائد والفضول،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ترجم به لنفسه في عام </w:t>
      </w:r>
      <w:bookmarkStart w:id="432" w:name="pg9111_108285"/>
    </w:p>
    <w:p>
      <w:pPr>
        <w:pStyle w:val="BookText"/>
        <w:rPr/>
      </w:pPr>
      <w:bookmarkEnd w:id="432"/>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مشغول بتأليفه في هذه الأيام ويقول بعض العارفين من أهل الخبرة أنَّه لو تمَّ لما رئي مثله في كتب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يمهله الأجل لإتمامه، فقد ذكر العلّامة الطهراني أنَّه خرج منه جملة من مباحث الألفاظ، وقال السيّد الأمين أنَّه خرج منه إلى مقدّمة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نفائس الفوائد في أصول الفقه، قال العلّامة الطهراني إنَّه ألَّفه قبل لباب الأصول، وذكره السيّد الأمين وسمّاه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نفائس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الكلمات الموجزة، 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فوائد كلاميَّة وأخلاقيَّة وسياسيَّة وتاريخيَّة وفوائد أخرى نافعة وبعض القصائد ومدائح أهل البيت ومراثيهم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الملل والنحل للشهرستاني، قال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حاشية مبسوطة على الجزء الثالث من الكتاب عند البحث عمّا يتعلَّق بالإمامة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شعر، ذكره بعض الباحثين، والذي ذكره العلّامة الطهراني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شعراً كثيراً في مدائح الأئمَّة ومراثيهم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المكاسب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الشبهة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المسيحيَّة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الأربعة الأخيرة ذكرها السيّد الأمين ولم نجد ذكرها في كلمات العلّامة الطهراني</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2853531_2870459653"/>
      <w:bookmarkStart w:id="434" w:name="_Toc160"/>
      <w:bookmarkEnd w:id="433"/>
      <w:r>
        <w:rPr/>
        <w:t>5</w:t>
      </w:r>
      <w:r>
        <w:rPr>
          <w:rtl w:val="true"/>
        </w:rPr>
        <w:t xml:space="preserve">. </w:t>
      </w:r>
      <w:r>
        <w:rPr>
          <w:rtl w:val="true"/>
        </w:rPr>
        <w:t>فكره ونشاطه السياسي</w:t>
      </w:r>
      <w:bookmarkEnd w:id="43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العلّامة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أهمّ المنظّرين من علماء الدين للحركة الدستورية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جرت أحداثها في إيران في أوائل القرن الماضي، وقد بذل </w:t>
      </w:r>
    </w:p>
    <w:p>
      <w:pPr>
        <w:pStyle w:val="BookText"/>
        <w:rPr/>
      </w:pPr>
      <w:r>
        <w:rPr>
          <w:rFonts w:ascii="IRNazanin" w:hAnsi="IRNazanin" w:eastAsia="IRNazanin"/>
          <w:color w:val="111111"/>
          <w:sz w:val="28"/>
          <w:sz w:val="28"/>
          <w:szCs w:val="28"/>
          <w:rtl w:val="true"/>
          <w:lang w:bidi="fa-IR"/>
        </w:rPr>
        <w:t xml:space="preserve">جهداً كبيراً في دعمها وتأييدها من خلال تأليف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اللآلئ المربوطة في وجوب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 ذكره، وكذلك إصدار العديد من البيانات التي حظيت باهتمام العلماء البارزين المؤيّدين للمشروطة كآية الله المحقّق الشيخ محمَّد كاظم الخراساني وآية الله الشيخ عبد الله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أصدر الأوَّل بياناً طلب فيه من المسلمين أنْ يرجعوا إلى ما كتبه العلّامة المحلّاتي لمعرفة ما على عواتقهم من التكاليف الشرعيّة في حفظ بيضة الإسلام وفَهْم حقيقة ما صدر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آية الله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بأنَّ المخالف لأساس المشروطة بمنزلة المحارب مع إمام العصر أرواحنا فداه، على حدّ ما ورد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صدرت عدَّة دراسات ومقالات حول رؤية العلّامة المحلّاتي إلى المشروطة ونظريته السياسيَّة في الحكم في زمن الغيبة الكبرى، والمقارنة بينها وبين نظريَّة معاصره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تلك الدراسات والمقالات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مشروطه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هجري،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مروري بر حيات وانديشه سياسي شيخ محمَّد إسماعيل غروي 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حسين زاده،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شيخ إسماعيل محلاتي انديشمند نامدار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روحانى،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ومشروطه خواهى از ديد عالم وارسته شيخ محمَّد إسماعيل محلّاتى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روحاني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تبقى الإشارة إلى أنَّ تأييد ودعم العلّامة المحلّاتي لحركة المشروطة كان في إطار اهتمامه وسعيه لإحداث تغيير في أحوال المسلمين، بالنظر إلى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يعانونه من استبداد الحكّام وتفشّي الجهل والفرقة والفقر في صفوفهم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بأنَّ بإمكان المسلمين أنْ يحظوا بحكم رشيد يوفّر لهم جميع حسنات المدنيَّة الحديثة من دون المساس بمعتقداتهم الدينيَّة، وقد طلب من الشيخ آغا بزرك </w:t>
      </w:r>
      <w:bookmarkStart w:id="435" w:name="pg9111_108287"/>
    </w:p>
    <w:p>
      <w:pPr>
        <w:pStyle w:val="BookText"/>
        <w:rPr/>
      </w:pPr>
      <w:bookmarkEnd w:id="435"/>
      <w:r>
        <w:rPr>
          <w:rFonts w:ascii="Amiri" w:hAnsi="Amiri" w:eastAsia="Amiri" w:cs="Amiri"/>
          <w:color w:val="111111"/>
          <w:sz w:val="28"/>
          <w:sz w:val="28"/>
          <w:szCs w:val="28"/>
          <w:rtl w:val="true"/>
          <w:lang w:bidi="ar-SA"/>
        </w:rPr>
        <w:t xml:space="preserve">الطهراني أنْ يترجم إلى الفارسية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الأنام بحقيقة المدنيَّة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فريد وجدي الذي حاول أنْ يثبت فيه ملائمة الإسلام للتمدّن، وقد تمَّت الترجمة ونشر جزء منها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تصدر آنذاك</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2853533_2870459653"/>
      <w:bookmarkStart w:id="437" w:name="_Toc161"/>
      <w:bookmarkEnd w:id="436"/>
      <w:r>
        <w:rPr/>
        <w:t>6</w:t>
      </w:r>
      <w:r>
        <w:rPr>
          <w:rtl w:val="true"/>
        </w:rPr>
        <w:t xml:space="preserve">. </w:t>
      </w:r>
      <w:r>
        <w:rPr>
          <w:rtl w:val="true"/>
        </w:rPr>
        <w:t>خصاله وصفاته الحميدة</w:t>
      </w:r>
      <w:bookmarkEnd w:id="437"/>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بالورع والزهد وكثرة العبادة والابتعاد عن الشهرة، وقد هاجر من إيران إلى العتبات المقدَّسة في العراق مع ما كان يتهيأ له في إيران من رفاهيَّة نسبيَّة بسبب أنَّه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كتب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العِشرة مع الناس هناك لا تنسجم مع حقيقة العبوديَّة لله تعالى، في إشارة إلى ما كان يقتضيه ذلك من استعمال المداهنة والمجاملة ونحوهما ممّا لم يكن تطيقه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في النجف الأشرف من فقر مدقع وضيق شديد في المعيشة وهو صابر على هذا الحال، وممّا يحكى بهذا الصدد أنَّ بعض الأجلّة ممّن كان مطّلعاً على حالته طلب من مرجع الشيعة الإمامية في وقته آية الله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يخصّص له راتباً شهرياً يعينه على مصاعب الزمان، فطلب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المترجَم له رسالة في أحكام النفقات الثلاث حتى يقف بنفسه على مبلغه من العلم،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 ذكرها، فلمّا اطّلع عليها السيّد الطباطبائي أكبر مكانته العلميَّة وخصّص له راتباً شهرياً مناسباً، ولكن لم تطل أيام السيّد وتوفّي بعد ذلك ببضعة أشهر فانقطع ذلك الراتب</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2853535_2870459653"/>
      <w:bookmarkStart w:id="439" w:name="_Toc162"/>
      <w:bookmarkEnd w:id="438"/>
      <w:r>
        <w:rPr/>
        <w:t>7</w:t>
      </w:r>
      <w:r>
        <w:rPr>
          <w:rtl w:val="true"/>
        </w:rPr>
        <w:t xml:space="preserve">. </w:t>
      </w:r>
      <w:r>
        <w:rPr>
          <w:rtl w:val="true"/>
        </w:rPr>
        <w:t>كلمات الثناء عليه</w:t>
      </w:r>
      <w:bookmarkEnd w:id="43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آية الله المحقّق الشيخ محمَّد كاظم الخراساني في توصيفه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صفوة الفقهاء والمجتهدين، ثقة الإسلام والمسلمين، العالم الكامل العادل آقاي آقا شيخ إسماعيل </w:t>
      </w:r>
      <w:bookmarkStart w:id="440" w:name="pg9111_108288"/>
    </w:p>
    <w:p>
      <w:pPr>
        <w:pStyle w:val="BookText"/>
        <w:rPr/>
      </w:pPr>
      <w:bookmarkEnd w:id="440"/>
      <w:r>
        <w:rPr>
          <w:rFonts w:ascii="Amiri" w:hAnsi="Amiri" w:eastAsia="Amiri" w:cs="Amiri"/>
          <w:color w:val="111111"/>
          <w:sz w:val="28"/>
          <w:sz w:val="28"/>
          <w:szCs w:val="28"/>
          <w:rtl w:val="true"/>
          <w:lang w:bidi="ar-SA"/>
        </w:rPr>
        <w:t>مجتهد محلّاتي 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العلّامة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كبير ومحقّق متفنن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السيّد الأمين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مجتهداً محقّقاً دقيق النظر جيّد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ميرزا محمَّد باقر الزنجاني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الحبر المعتمد، والعلّامة الأوحد، عماد الأعلام، أكمل المتبحّرين، وأفضل المتكلّمين حجّة الإسلام الشيخ إسماعيل المحلّاتي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شهاب الدين المرعشي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النحرير، زاهد الزمان، المحقّق المدقّق في السمعيّات والعقليّات، آية الله العظمى الشيخ محمَّد إسماعيل المحلّاتي النجفي</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2853537_2870459653"/>
      <w:bookmarkStart w:id="442" w:name="_Toc163"/>
      <w:bookmarkEnd w:id="441"/>
      <w:r>
        <w:rPr/>
        <w:t>8</w:t>
      </w:r>
      <w:r>
        <w:rPr>
          <w:rtl w:val="true"/>
        </w:rPr>
        <w:t xml:space="preserve">. </w:t>
      </w:r>
      <w:r>
        <w:rPr>
          <w:rtl w:val="true"/>
        </w:rPr>
        <w:t>طلّابه وتلامذته</w:t>
      </w:r>
      <w:bookmarkEnd w:id="442"/>
    </w:p>
    <w:p>
      <w:pPr>
        <w:pStyle w:val="BookText"/>
        <w:rPr/>
      </w:pPr>
      <w:r>
        <w:rPr>
          <w:rFonts w:ascii="Amiri" w:hAnsi="Amiri" w:eastAsia="Amiri" w:cs="Amiri"/>
          <w:color w:val="111111"/>
          <w:sz w:val="28"/>
          <w:sz w:val="28"/>
          <w:szCs w:val="28"/>
          <w:rtl w:val="true"/>
          <w:lang w:bidi="ar-SA"/>
        </w:rPr>
        <w:t xml:space="preserve">لقد كان العلّامة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مشتغلاً بالبحث والتدريس عقوداً من الزمن، سواءً في بروجرد، أو سامراء، أو النجف الأشرف، ومن المؤكّد أنَّه حضر عنده أعداد كبيرة من الطلّاب، ولكن التاريخ لم يحفظ لنا إلّا أسماء عدد محدود منهم، وممّن اطلعنا على أسمائهم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نجله الشيخ محمَّد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محمود شريعتمدار الأسترآبادي الطهراني، قال العلّامة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رسالة في إمكان الترتّب والأمر بالضدين على سبيل الترتيب، كتبها أوَّلاً على ترتيب بحث أستاذه المحلّاتي المصرّ على القول بإمكان الأمر الترتّبي وذلك في حدود نيّف وعشرين وثلاثمائة وألف في النجف، ثمَّ لمّا هاجر إلى سامراء كتب المسألة ثانياً على ترتيب تقرير بحث أستاذه شيخنا الميرزا محمَّد تقي الشيرازي المصرّ على القول بامتناع الأمر الترتّبي، فكان يقرّر أوَّلاً دليل الامتناع، ثمَّ يردّه ببيانات وافية ويثبت إمكانه على ما يراه المولى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الميرزا حسن السيادتي السبزواري</w:t>
      </w:r>
      <w:r>
        <w:rPr>
          <w:rFonts w:eastAsia="Amiri" w:cs="Amiri" w:ascii="Amiri" w:hAnsi="Amiri"/>
          <w:color w:val="111111"/>
          <w:sz w:val="28"/>
          <w:szCs w:val="28"/>
          <w:rtl w:val="true"/>
          <w:lang w:bidi="ar-SA"/>
        </w:rPr>
        <w:t>.</w:t>
      </w:r>
      <w:bookmarkStart w:id="443" w:name="pg9111_108289"/>
    </w:p>
    <w:p>
      <w:pPr>
        <w:pStyle w:val="BookText"/>
        <w:rPr/>
      </w:pPr>
      <w:bookmarkEnd w:id="44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بن عبد الله المعروف بعرب الترشيزي الكاشمري المظفرآبادي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جواد الطباطبائي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ميرزا محمَّد باقر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شهاب الدِّين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853539_2870459653"/>
      <w:bookmarkStart w:id="445" w:name="_Toc164"/>
      <w:bookmarkEnd w:id="444"/>
      <w:r>
        <w:rPr/>
        <w:t>9</w:t>
      </w:r>
      <w:r>
        <w:rPr>
          <w:rtl w:val="true"/>
        </w:rPr>
        <w:t xml:space="preserve">. </w:t>
      </w:r>
      <w:r>
        <w:rPr>
          <w:rtl w:val="true"/>
        </w:rPr>
        <w:t>إخوانه وأولاده</w:t>
      </w:r>
      <w:bookmarkEnd w:id="445"/>
    </w:p>
    <w:p>
      <w:pPr>
        <w:pStyle w:val="BookText"/>
        <w:rPr/>
      </w:pPr>
      <w:r>
        <w:rPr>
          <w:rFonts w:ascii="Amiri" w:hAnsi="Amiri" w:eastAsia="Amiri" w:cs="Amiri"/>
          <w:color w:val="111111"/>
          <w:sz w:val="28"/>
          <w:sz w:val="28"/>
          <w:szCs w:val="28"/>
          <w:rtl w:val="true"/>
          <w:lang w:bidi="ar-SA"/>
        </w:rPr>
        <w:t xml:space="preserve">من إخوان شيخنا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الكامل الخطّاط الشيخ زين العابدين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يسكن مدرسة الصدر بطهران، وقد صرف أكثر عمره في كتابة المصحف الشريف وكتب الأدعية والفقه وسائر العلوم، وانتقل إلى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في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وتوفّي ودفن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الجليل الشيخ علي المحلّاتي الكتبي، وكان يسكن بومباي من بلاد الهند وطبع بها عدداً من الكتب المهمَّة كرجال الكشّي ورجال النجاشي ومناقب آل أبي طالب وغيرها، وقد توفّي ودفن في مقبرة المسلمين هناك في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أولاد شيخنا المترجَم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العالم المتبحّر الحاج الشيخ محمَّد المحلّاتي، وكان من تلامذة أبيه والمحقّق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امتاز بالنبوغ الفائق والذكاء الشديد، ومن أهم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خوش يارقلى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ردّ فيه على البهائية، وهو يدلّ على علمه الواسع بمختلف المذاهب وكيفيَّة الاحتجاج على أهلها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أصدر مجلَّة سياسيَّة تاريخيَّة باللغة الفارسيَّة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w:t>
      </w:r>
      <w:bookmarkStart w:id="446" w:name="pg9111_108290"/>
    </w:p>
    <w:p>
      <w:pPr>
        <w:pStyle w:val="BookText"/>
        <w:rPr/>
      </w:pPr>
      <w:bookmarkEnd w:id="446"/>
      <w:r>
        <w:rPr>
          <w:rFonts w:ascii="Amiri" w:hAnsi="Amiri" w:eastAsia="Amiri" w:cs="Amiri"/>
          <w:color w:val="111111"/>
          <w:sz w:val="28"/>
          <w:sz w:val="28"/>
          <w:szCs w:val="28"/>
          <w:rtl w:val="true"/>
          <w:lang w:bidi="ar-SA"/>
        </w:rPr>
        <w:t>ثمانية أعداد ثمَّ توقّفت عن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الأربعين من العمر في عام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ودفن في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عمّه الشيخ زين العابدين المحلّاتي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الجليل الشيخ حسين المحلّاتي الشهير بالروحاني، وكان قد درس في النجف الأشرف ثم هاجر منها إلى إيران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وأصبح يمارس مهام العالم الديني في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توفّي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الشيخ علي المحلّاتي وكان ممّن درس في النجف الأشرف أيضاً وهاجر منها إلى إيران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وقتل على يد مجهول في كرمانشاه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المحامي حسن الروحاني، وكان من سكنة طهران يمارس فيها المحاماة، ومن قبل ذلك درس في قمّ المقدَّسة على عدد من الأعلام منهم آية الله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المهندس أبو تراب الروحاني، وكان أيضاً ممّن درس في قم ثمَّ انتقل إلى طهران ودرس الهندسة وامتهنها</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853541_2870459653"/>
      <w:bookmarkStart w:id="448" w:name="_Toc165"/>
      <w:bookmarkEnd w:id="447"/>
      <w:r>
        <w:rPr/>
        <w:t>10</w:t>
      </w:r>
      <w:r>
        <w:rPr>
          <w:rtl w:val="true"/>
        </w:rPr>
        <w:t xml:space="preserve">. </w:t>
      </w:r>
      <w:r>
        <w:rPr>
          <w:rtl w:val="true"/>
        </w:rPr>
        <w:t>وفاته ومدفنه</w:t>
      </w:r>
      <w:bookmarkEnd w:id="44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جوار ربِّه الكريم بعد عمر حافل بالعطاء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 عشر من شهر ربيع الأوَّل 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في النجف الأشرف، فخسرت بذلك الحوزة العلميَّة أحد العلماء الأفذاذ وفَقَدَ طلّاب العلم والمعرفة أحد الأساتذة الكبار، وقد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الصحن العلوي المطهَّر بالغرفة الأولى على يمين الخارج من الباب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منطقة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عليه يوم ولد ويوم مات ويوم يبعث حيّاً</w:t>
      </w:r>
      <w:r>
        <w:rPr>
          <w:rFonts w:eastAsia="IRNazanin" w:cs="IRNazanin"/>
          <w:color w:val="111111"/>
          <w:sz w:val="28"/>
          <w:szCs w:val="28"/>
          <w:rtl w:val="true"/>
          <w:lang w:bidi="fa-IR"/>
        </w:rPr>
        <w:t xml:space="preserve">. </w:t>
      </w:r>
      <w:bookmarkStart w:id="449" w:name="pg9111_108291"/>
    </w:p>
    <w:p>
      <w:pPr>
        <w:pStyle w:val="Heading4"/>
        <w:numPr>
          <w:ilvl w:val="3"/>
          <w:numId w:val="1"/>
        </w:numPr>
        <w:rPr/>
      </w:pPr>
      <w:bookmarkStart w:id="450" w:name="__RefHeading___Toc2853543_2870459653"/>
      <w:bookmarkStart w:id="451" w:name="_Toc166"/>
      <w:bookmarkEnd w:id="449"/>
      <w:bookmarkEnd w:id="450"/>
      <w:r>
        <w:rPr>
          <w:rtl w:val="true"/>
        </w:rPr>
        <w:t>التعريف برسالة اللباس المشكوك</w:t>
      </w:r>
      <w:bookmarkEnd w:id="451"/>
    </w:p>
    <w:p>
      <w:pPr>
        <w:pStyle w:val="BookText"/>
        <w:rPr/>
      </w:pPr>
      <w:r>
        <w:rPr>
          <w:rFonts w:ascii="Amiri" w:hAnsi="Amiri" w:eastAsia="Amiri" w:cs="Amiri"/>
          <w:color w:val="111111"/>
          <w:sz w:val="28"/>
          <w:sz w:val="28"/>
          <w:szCs w:val="28"/>
          <w:rtl w:val="true"/>
          <w:lang w:bidi="ar-SA"/>
        </w:rPr>
        <w:t xml:space="preserve">كان من مقتنيات مكتبة العالم الجليل آية الله السيّد ميرزا علي آقا نجل السيّد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 صغير الحجم يتضمَّن بحثاً حول مسألة اللباس المشكوك، وقد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تحريرات المرحوم المبرور العلّامة المحلّاتي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يساوي اسمه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الكرّاس انتقل بعد وفاته إلى ملك ولده المرحوم حجّة الإسلام والمسلمين السيّد ميرزا حسن الشيرازي طاب ثراه، ولمّا ارتحل إلى الرفيق الأعلى اشتراه من ورثته وصيّه وصهره سيدنا المرجع الديني الأعلى السيّد علي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عليه بخطّه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رسالة في اللباس المشكوك فيه للعلّامة الحاج الشيخ محمَّد إسماعيل المحلّاتي النجفي صاحب كتابي أنوار العلم والمعرفة والنفقات المتوفّى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والظاهر أنَّها من أجزاء كتابه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اللوامع الغروية من شتات القضايا الفقهية والأصولية، كما يعلم من مقدِّمة تنقيح الأبحاث عن أحكام النفقات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فإنَّ الملاحظ 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بحثه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لامعةٌ 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بوضوح على كونه جزءاً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اللوامع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رسالة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الوجه في عدم عدّ العلّامة الطهراني هذه الرسالة في عداد تصنيفات العلّامة المحلّاتي لا في الذريعة ولا في طبقات أعلام الشيعة، كما يظهر أنَّ عدَّه منها في أعيان الشيعة وغيره مبني على عدم الاطلاع عليها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الكرّاس المشار إليه يقع في ستّة عشرة صفحة 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ومساحة الكتابة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واحد وعشرين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بخطّ التعليق الجيّد نسبياً، ولكنَّه يشتمل على بعض السقط والأخطاء الإملائية وغيرها، بالرغم ممَّا يظهر من غير واحدة من صفحاته من أنَّه صُحِّح وتمَّت مقابلته مع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يتيسّر لنا الحصول على غيره من نسخ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البحث والفحص في عدد من المكتبات العامَّة في العراق وإيران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 عليها وحدها في تحقيقها، وتلخّص عملنا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النصّ وإضافة عناوين إليه بين معقوفين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تقويمه بتصحيح ما وقع فيه من السقط والخطأ مع الإشارة إلى ذلك في الهامش إلّا ما كان واضحاً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الأحاديث الشريفة و الأقوال الفقهيَّة والأصوليَّة من مصادرها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الختام نتقدَّم بخالص شكرنا وعظيم امتناننا إلى سماحة المرجع الديني الأعلى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وفّر لنا هذه النسخة الفريدة للرسالة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سائلين المولى القدير أن لا يحرمنا من بركات وجوده الشريف إنَّه سميع 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 وصلَّى الله على محمَّد وآله الطاهرين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9" o:detectmouseclick="t"/>
                <v:stroke color="#3465a4" joinstyle="round" endcap="flat"/>
                <w10:wrap type="none"/>
              </v:shape>
            </w:pict>
          </mc:Fallback>
        </mc:AlternateConten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كتبه آية الله السيّد ميرزا علي آقا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وسيدنا المرجع الديني الأعلى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بخطهما الشريف على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2" o:detectmouseclick="t"/>
                <v:stroke color="#3465a4" joinstyle="round" endcap="flat"/>
                <w10:wrap type="none"/>
              </v:shape>
            </w:pict>
          </mc:Fallback>
        </mc:AlternateConten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w:t>
      </w:r>
      <w:bookmarkStart w:id="452" w:name="pg9111_108296"/>
    </w:p>
    <w:p>
      <w:pPr>
        <w:pStyle w:val="Heading3"/>
        <w:numPr>
          <w:ilvl w:val="2"/>
          <w:numId w:val="1"/>
        </w:numPr>
        <w:rPr/>
      </w:pPr>
      <w:bookmarkStart w:id="453" w:name="__RefHeading___Toc2853545_2870459653"/>
      <w:bookmarkStart w:id="454" w:name="_Toc167"/>
      <w:bookmarkEnd w:id="452"/>
      <w:bookmarkEnd w:id="453"/>
      <w:r>
        <w:rPr>
          <w:rtl w:val="true"/>
        </w:rPr>
        <w:t>متن الرسالة</w:t>
      </w:r>
      <w:bookmarkEnd w:id="45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5" w:name="__RefHeading___Toc2853547_2870459653"/>
      <w:bookmarkStart w:id="456" w:name="_Toc168"/>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رسالة</w:t>
      </w:r>
    </w:p>
    <w:p>
      <w:pPr>
        <w:pStyle w:val="BookText"/>
        <w:rPr/>
      </w:pPr>
      <w:r>
        <w:rPr>
          <w:rFonts w:ascii="IRNazanin" w:hAnsi="IRNazanin" w:eastAsia="IRNazanin"/>
          <w:color w:val="111111"/>
          <w:sz w:val="28"/>
          <w:sz w:val="28"/>
          <w:szCs w:val="28"/>
          <w:rtl w:val="true"/>
          <w:lang w:bidi="fa-IR"/>
        </w:rPr>
        <w:t>اللباس المشکوک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المحقق</w:t>
      </w:r>
    </w:p>
    <w:p>
      <w:pPr>
        <w:pStyle w:val="BookText"/>
        <w:rPr/>
      </w:pPr>
      <w:r>
        <w:rPr>
          <w:rFonts w:ascii="IRNazanin" w:hAnsi="IRNazanin" w:eastAsia="IRNazanin"/>
          <w:color w:val="111111"/>
          <w:sz w:val="28"/>
          <w:sz w:val="28"/>
          <w:szCs w:val="28"/>
          <w:rtl w:val="true"/>
          <w:lang w:bidi="fa-IR"/>
        </w:rPr>
        <w:t xml:space="preserve">الشیخ محمد اسماعیل الغروی المحلاتی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دراسات علمیة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9111_108299"/>
      <w:bookmarkStart w:id="458" w:name="pg9111_108299"/>
      <w:bookmarkEnd w:id="458"/>
    </w:p>
    <w:p>
      <w:pPr>
        <w:pStyle w:val="BookText"/>
        <w:rPr/>
      </w:pPr>
      <w:bookmarkStart w:id="459" w:name="pg9111_108299"/>
      <w:bookmarkEnd w:id="459"/>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نبيّنا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2853549_2870459653"/>
      <w:bookmarkStart w:id="461" w:name="_Toc169"/>
      <w:bookmarkEnd w:id="460"/>
      <w:r>
        <w:rPr>
          <w:rtl w:val="true"/>
        </w:rPr>
        <w:t>درَّةٌ لامعةٌ غرويَّةٌ</w:t>
      </w:r>
      <w:bookmarkEnd w:id="461"/>
    </w:p>
    <w:p>
      <w:pPr>
        <w:pStyle w:val="BookText"/>
        <w:rPr/>
      </w:pPr>
      <w:r>
        <w:rPr>
          <w:rFonts w:ascii="Amiri" w:hAnsi="Amiri" w:eastAsia="Amiri" w:cs="Amiri"/>
          <w:color w:val="111111"/>
          <w:sz w:val="28"/>
          <w:sz w:val="28"/>
          <w:szCs w:val="28"/>
          <w:rtl w:val="true"/>
          <w:lang w:bidi="ar-SA"/>
        </w:rPr>
        <w:t>وليعلم أنَّ المركّبات الشرعيّة إنَّما هي ملتئمة من أفعال خاصَّة قد أمر الشارع بالإتيان بها وجمعها في الوجود على نحو خاصّ سواء اعتبرت جزءاً في المركّب أو شرطاً له، ومن تروك خاصَّة أيضاً لا بمعنى كون كلّ واحد من تلك التروك بما هو معنى عدميّ مطلوباً نفسيّاً في المركّب أوَّلاً وبالذات، بل هنا أفعال وجوديّة خاصَّة موجبة للإخلال بالمركّب لو اقترنت معه، فلذلك نهى الشارع عن الإتيان بها في ضمن المركّب صوناً له عن الاختلال المترتّب على وجودها، لا أنَّ أعدامها بما هي تلك الأعدام لها</w:t>
      </w:r>
      <w:r>
        <w:rPr>
          <w:rStyle w:val="FootnoteAnchor"/>
          <w:rtl w:val="true"/>
        </w:rPr>
        <w:footnoteReference w:id="595"/>
      </w:r>
      <w:r>
        <w:rPr>
          <w:rFonts w:ascii="Amiri" w:hAnsi="Amiri" w:eastAsia="Amiri" w:cs="Amiri"/>
          <w:color w:val="111111"/>
          <w:sz w:val="28"/>
          <w:sz w:val="28"/>
          <w:szCs w:val="28"/>
          <w:rtl w:val="true"/>
          <w:lang w:bidi="ar-SA"/>
        </w:rPr>
        <w:t>تأثير في تماميّة المركّب، كما هو كذلك في الأجزاء والشرائط الوجوديّة التي أمر الشارع بإيجادها في المركّب، فإنَّ لكلّ واحد منها تأثيراً خاصَّاً في قوام المركّب وتماميّة وجوده في نفسه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الحاصل أنَّ المركّبات الشرعيّة ملتئمة من وجودات، و من أعدام</w:t>
      </w:r>
      <w:r>
        <w:rPr>
          <w:rStyle w:val="FootnoteAnchor"/>
          <w:rtl w:val="true"/>
        </w:rPr>
        <w:footnoteReference w:id="596"/>
      </w:r>
      <w:r>
        <w:rPr>
          <w:rFonts w:ascii="Amiri" w:hAnsi="Amiri" w:eastAsia="Amiri" w:cs="Amiri"/>
          <w:color w:val="111111"/>
          <w:sz w:val="28"/>
          <w:sz w:val="28"/>
          <w:szCs w:val="28"/>
          <w:rtl w:val="true"/>
          <w:lang w:bidi="ar-SA"/>
        </w:rPr>
        <w:t>لا لكونها كذلك بل لكون نقائضها وهو كلّ واحد من الأفعال الوجوديّة الخاصَّة مضرّاً في قوامه فلذلك يُقال إنَّ المركّب لا يتمّ إلّا بعدم تلك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وخلاصته أنَّ الموانع بوجودها مضرَّة في المركّب لا أنَّ أعدامها</w:t>
      </w:r>
      <w:r>
        <w:rPr>
          <w:rStyle w:val="FootnoteAnchor"/>
          <w:rtl w:val="true"/>
        </w:rPr>
        <w:footnoteReference w:id="597"/>
      </w:r>
      <w:r>
        <w:rPr>
          <w:rFonts w:ascii="Amiri" w:hAnsi="Amiri" w:eastAsia="Amiri" w:cs="Amiri"/>
          <w:color w:val="111111"/>
          <w:sz w:val="28"/>
          <w:sz w:val="28"/>
          <w:szCs w:val="28"/>
          <w:rtl w:val="true"/>
          <w:lang w:bidi="ar-SA"/>
        </w:rPr>
        <w:t>شرط فيه، كما لا ينبغي أن يُرتاب فيه بأدنى تأمّل</w:t>
      </w:r>
      <w:r>
        <w:rPr>
          <w:rFonts w:eastAsia="Amiri" w:cs="Amiri" w:ascii="Amiri" w:hAnsi="Amiri"/>
          <w:color w:val="111111"/>
          <w:sz w:val="28"/>
          <w:szCs w:val="28"/>
          <w:rtl w:val="true"/>
          <w:lang w:bidi="ar-SA"/>
        </w:rPr>
        <w:t xml:space="preserve">. </w:t>
      </w:r>
      <w:bookmarkStart w:id="462" w:name="pg9111_108300"/>
    </w:p>
    <w:p>
      <w:pPr>
        <w:pStyle w:val="Heading4"/>
        <w:numPr>
          <w:ilvl w:val="3"/>
          <w:numId w:val="1"/>
        </w:numPr>
        <w:rPr/>
      </w:pPr>
      <w:bookmarkStart w:id="463" w:name="__RefHeading___Toc2853551_2870459653"/>
      <w:bookmarkStart w:id="464" w:name="_Toc170"/>
      <w:bookmarkEnd w:id="462"/>
      <w:bookmarkEnd w:id="463"/>
      <w:r>
        <w:rPr>
          <w:rtl w:val="true"/>
        </w:rPr>
        <w:t>الاختلاف في جريان أصالة البراءة في دوران الأمر بين الأقلّ والأكثر في الأجزاء والشرائط والموانع</w:t>
      </w:r>
      <w:bookmarkEnd w:id="464"/>
    </w:p>
    <w:p>
      <w:pPr>
        <w:pStyle w:val="BookText"/>
        <w:rPr/>
      </w:pPr>
      <w:r>
        <w:rPr>
          <w:rFonts w:ascii="Amiri" w:hAnsi="Amiri" w:eastAsia="Amiri" w:cs="Amiri"/>
          <w:color w:val="111111"/>
          <w:sz w:val="28"/>
          <w:sz w:val="28"/>
          <w:szCs w:val="28"/>
          <w:rtl w:val="true"/>
          <w:lang w:bidi="ar-SA"/>
        </w:rPr>
        <w:t xml:space="preserve">ثمَّ إنَّ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الأفعال المؤثّرة في قوام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بكونها كذلك فلا إشكال ولا كلام، وأمَّا لو شكّ في فعل أنَّه هل يجب الإتيان به في المركّب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كبرى الشرطيّة والجزئيّة مشكوكة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المسألة المعروفة، أي دوران الأمر بين الأقلّ والأكثر والزيادة والنقيصة في المركّب، التي اختلفوا فيها</w:t>
      </w:r>
      <w:r>
        <w:rPr>
          <w:rStyle w:val="FootnoteAnchor"/>
          <w:rtl w:val="true"/>
        </w:rPr>
        <w:footnoteReference w:id="598"/>
      </w:r>
      <w:r>
        <w:rPr>
          <w:rFonts w:ascii="Amiri" w:hAnsi="Amiri" w:eastAsia="Amiri" w:cs="Amiri"/>
          <w:color w:val="111111"/>
          <w:sz w:val="28"/>
          <w:sz w:val="28"/>
          <w:szCs w:val="28"/>
          <w:rtl w:val="true"/>
          <w:lang w:bidi="ar-SA"/>
        </w:rPr>
        <w:t>وأنَّ الزائد المشكوك هل ينفى بالبراءة لكونه شكّاً في التكليف الزائد أو يجب الإتيان به للاشتغال بالمركّب الثابت في الجملة؟ كلٌّ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القسم الثاني أيضاً لو شُكّ في فعل أنَّه هل نهى الشارع عن الإتيان به في ضمن المركّب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كبرى المانعيّة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داخل في المسألة المذكورة، ويجري الخلاف الثابت فيها، كلٌّ على قوله</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853553_2870459653"/>
      <w:bookmarkStart w:id="466" w:name="_Toc171"/>
      <w:bookmarkEnd w:id="465"/>
      <w:r>
        <w:rPr>
          <w:rtl w:val="true"/>
        </w:rPr>
        <w:t>عدم جريان أصالة البراءة في الشبهة المصداقيّة للجزء والشرط</w:t>
      </w:r>
      <w:r>
        <w:rPr>
          <w:rtl w:val="true"/>
        </w:rPr>
        <w:t>]</w:t>
      </w:r>
      <w:bookmarkEnd w:id="46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علم كبرى الجزئيّة والشرطيّة وكذا المانعيّة وشُكّ في كون شيء مصداقاً لذلك الجزء أو الشرط الثابت جزئيّته أو شرطيّته أو للمانع المعلوم،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الجزئيّة والشرطيّة اللتان بهما قوام المركّب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الاحتياط فيه وعدم الاكتفاء بالإتيان بمشكوك الجزئيّة والشرطيّة، بل لا بدَّ من الإتيان بما هو المعلوم كونه كذلك، للعلم بالتكليف بالجزء والشرط المقتضي للعلم بالبراءة الذي لا يحصل إلّا بالإتيان بما هو المعلوم كونه كذلك لا المشكوك، فالآتي بما هو المشكوك كونه من سور القرآن مع قطعه بوجوب السورة في الصلاة أو ما هو بمنزلة القطع لم يقطع </w:t>
      </w:r>
      <w:bookmarkStart w:id="467" w:name="pg9111_108301"/>
    </w:p>
    <w:p>
      <w:pPr>
        <w:pStyle w:val="BookText"/>
        <w:rPr/>
      </w:pPr>
      <w:bookmarkEnd w:id="467"/>
      <w:r>
        <w:rPr>
          <w:rFonts w:ascii="Amiri" w:hAnsi="Amiri" w:eastAsia="Amiri" w:cs="Amiri"/>
          <w:color w:val="111111"/>
          <w:sz w:val="28"/>
          <w:sz w:val="28"/>
          <w:szCs w:val="28"/>
          <w:rtl w:val="true"/>
          <w:lang w:bidi="ar-SA"/>
        </w:rPr>
        <w:t>بفراغ ذمّته عن الجزء المعلوم جزئيّته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علم جزئيّة شيء أو شرطيّته فقد علم كون وجوده مقوّماً لوجود المركّب المعلوم وجوبه، بحيث يفوت أصل تقوّمه بفوت هذا الجزء أو الشرط، وحينئذٍ فإحراز هذا المركّب لا يمكن إلّا بإحراز جميع مقوّماته، و الشاكّ في وجود واحد من المقوّمات شاكّ في أصل وجوده الواجب عليه إحرازه، ولا إشكال في ذلك</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853555_2870459653"/>
      <w:bookmarkStart w:id="469" w:name="_Toc172"/>
      <w:bookmarkEnd w:id="468"/>
      <w:r>
        <w:rPr>
          <w:rtl w:val="true"/>
        </w:rPr>
        <w:t>تقريب عدم جريان أصالة البراءة في الشبهة المصداقيّة للمانع</w:t>
      </w:r>
      <w:r>
        <w:rPr>
          <w:rtl w:val="true"/>
        </w:rPr>
        <w:t>]</w:t>
      </w:r>
      <w:bookmarkEnd w:id="469"/>
    </w:p>
    <w:p>
      <w:pPr>
        <w:pStyle w:val="BookText"/>
        <w:rPr/>
      </w:pPr>
      <w:r>
        <w:rPr>
          <w:rFonts w:ascii="Amiri" w:hAnsi="Amiri" w:eastAsia="Amiri" w:cs="Amiri"/>
          <w:color w:val="111111"/>
          <w:sz w:val="28"/>
          <w:sz w:val="28"/>
          <w:szCs w:val="28"/>
          <w:rtl w:val="true"/>
          <w:lang w:bidi="ar-SA"/>
        </w:rPr>
        <w:t xml:space="preserve">وإنَّما الإشكال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صغرى المانعيّة بعد العلم بالكبرى وأنَّ هذا الشيء هل هو من مصاديق المانع المعلوم مانعيّته أم ليس من المصاديق فهل يجب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بكبرى التكليف المقتضي للقطع بالفراغ عنه الحاصل بترك المانع المشكوك؟</w:t>
      </w:r>
    </w:p>
    <w:p>
      <w:pPr>
        <w:pStyle w:val="BookText"/>
        <w:rPr/>
      </w:pPr>
      <w:r>
        <w:rPr>
          <w:rFonts w:ascii="Amiri" w:hAnsi="Amiri" w:eastAsia="Amiri" w:cs="Amiri"/>
          <w:color w:val="111111"/>
          <w:sz w:val="28"/>
          <w:sz w:val="28"/>
          <w:szCs w:val="28"/>
          <w:rtl w:val="true"/>
          <w:lang w:bidi="ar-SA"/>
        </w:rPr>
        <w:t xml:space="preserve">ومجرّد الفرق بأنَّ التكليف في الأوَّل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الأوامر المتعلّقة بالأجزاء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النواهي المتعلّقة بالموانع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فارق في هذا الباب، لاشتراك القسمين في كون كلٍّ منهما تكليفاً غيريّاً راجعاً إلى إحراز المركّب المعلوم وجوبه، فكما يجب إحراز المركّب من طرف الأوامر المعلوم تعلّقها به، كذلك في طرف النواهي الراجعة إليه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الشكّ في امتثال تلك الأوامر الثابتة من طرف المولى شكّ في إحراز المركّب المعلوم وجوبه، كذلك الشكّ في امتثال تلك النواهي حرفاً بحرف</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بالمركّب في الحقيقة عبارة عن مجتمع أوامر ونواهٍ راجعة إلى مركّب واحد، وامتثال تلك الأوامر والنواهي امتثال لذلك المركّب الوحدانيّ، والشكّ في امتثالها شكّ في امتثاله بعد ما ثبت التكليف به بقيوده شرطاً وجزءاً ومانعاً</w:t>
      </w:r>
      <w:r>
        <w:rPr>
          <w:rFonts w:eastAsia="Amiri" w:cs="Amiri" w:ascii="Amiri" w:hAnsi="Amiri"/>
          <w:color w:val="111111"/>
          <w:sz w:val="28"/>
          <w:szCs w:val="28"/>
          <w:rtl w:val="true"/>
          <w:lang w:bidi="ar-SA"/>
        </w:rPr>
        <w:t xml:space="preserve">. </w:t>
      </w:r>
      <w:bookmarkStart w:id="470" w:name="pg9111_108302"/>
    </w:p>
    <w:p>
      <w:pPr>
        <w:pStyle w:val="BookText"/>
        <w:rPr/>
      </w:pPr>
      <w:bookmarkEnd w:id="470"/>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إحراز القيود وامتثالها بعد العلم بالتقييد من غير فرق بين القيود الأمريّة والقيود النهييّة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هو الملاك في وجوب الاحتياط في الشكّ في صغرى المانعيّة كالشكّ في صغرى الشرطيّة والجزئيّة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853557_2870459653"/>
      <w:bookmarkStart w:id="472" w:name="_Toc173"/>
      <w:bookmarkEnd w:id="471"/>
      <w:r>
        <w:rPr>
          <w:rtl w:val="true"/>
        </w:rPr>
        <w:t>تقريب جريان أصالة البراءة في الشبهة المصداقيّة للمانع</w:t>
      </w:r>
      <w:bookmarkEnd w:id="472"/>
    </w:p>
    <w:p>
      <w:p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النواهي الغيريَّة نظير النواهي النفسيّة، فكما أنَّ النهي النفسيّ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في الحقيقة إلى نواهٍ متكثّرة بتكثّر الأفراد، وكلّ فرد من أفراد الخمر يتعلّق به نهي في الحقيقة ويكون حراماً ومورداً للإطاعة والعصيان برأسه مع قطع النظر عن الفرد الآخر، وفي الحقيقة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تلو النهي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لحال المصاديق ومعرّف لها والنهي يرد على كلّ واحد منها بمعرفيّة هذا العنوان، وهذا هو السرّ في إجرائهم البراءة في الشبهات المصداقيّة في المحرّمات النفسيّة لكون الشكّ فيها شكّاً في أصل التكليف، فالمائع الذي يشكّ في خمريّته يشكّ في تعلّق التحريم به ابتداءً فلا يجب التحرّز عنه ما لم تثبت الحرمة، كما هو الشأن في الشبهات التحريميّة البدويّة كلّها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بعينه جارٍ في النواهي الغيريّة بعينها،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غير المأكول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نواهٍ عديدة واردة على أفراد هذا العنوان بمعرفيّته، فيصير كلّ فردٍ من أفراده مانعاً برأسه عن الصلاة وموجباً لبطلانها مع قطع النظر عن الفرد الآخر، وحينئذٍ فإذا شككنا في شيء أنَّه من غير المأكول أم لا فقد شككنا في مانعيّته رأساً، وأنَّه هل تعلّق </w:t>
      </w:r>
    </w:p>
    <w:p>
      <w:pPr>
        <w:pStyle w:val="BookText"/>
        <w:rPr/>
      </w:pPr>
      <w:r>
        <w:rPr>
          <w:rFonts w:ascii="Amiri" w:hAnsi="Amiri" w:eastAsia="Amiri" w:cs="Amiri"/>
          <w:color w:val="111111"/>
          <w:sz w:val="28"/>
          <w:sz w:val="28"/>
          <w:szCs w:val="28"/>
          <w:rtl w:val="true"/>
          <w:lang w:bidi="ar-SA"/>
        </w:rPr>
        <w:t>به الخطاب التحريميّ الغيريّ أم لم يتعلّق به أصلاً فيكون في الحقيقة شكّاً في ثبوت التكليف الغيريّ في هذا المورد من أوَّل الأمر فلا يجب امتثاله ما لم يحرز ثبوته وهذا بعينه مثل ما إذا شككت في كبرى مانعيّة شيء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هذا الخطاب مشكوك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هذا التقييد لم يعلم ثبوته فلا يجب امتثاله بحكم العقل ما دام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إذا شككت في صغرى</w:t>
      </w:r>
      <w:r>
        <w:rPr>
          <w:rStyle w:val="FootnoteAnchor"/>
          <w:rtl w:val="true"/>
        </w:rPr>
        <w:footnoteReference w:id="600"/>
      </w:r>
      <w:r>
        <w:rPr>
          <w:rFonts w:ascii="Amiri" w:hAnsi="Amiri" w:eastAsia="Amiri" w:cs="Amiri"/>
          <w:color w:val="111111"/>
          <w:sz w:val="28"/>
          <w:sz w:val="28"/>
          <w:szCs w:val="28"/>
          <w:rtl w:val="true"/>
          <w:lang w:bidi="ar-SA"/>
        </w:rPr>
        <w:t>المانعيّة، فإنَّك وإن كنت عالماً بالكبرى لكن بعد ما كانت الكبرى عبارة عن مجتمع صغريات في موارد ثبوت الموضوع، فهي نفس تلك الصغريات بالحقيقة دائرة مدار موضوعها لا شيء آخر غيرها، فإذا شككت في وجود الموضوع في مورد فقد شككت في أصل ثبوت الكبرى بحسب هذا المورد، ومجرّد علمك بثبوت هذه الكبرى في موارد علمك بوجود الموضوع لا يوجب الامتثال في هذا المورد المشكوك ثبوت أصل الكبرى بالنسبة إليه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المشكوك لا يجب امتثاله بحكم العقل والشرع ما دام مشكوكاً، سواء كان الحكم المشكوك صغريات مجتمعة في موارد موضوعها التي يعبّر عنها بالكبرى أو صغرىً خاصَّة بالنسبة إلى مورد خاصّ، ففي كلا الموردين الحكم المشكوك امتثالُه ساقط من غير فرق، واشتمال الثاني على صغريات معلومةٍ الواجبُ فيها الامتثال للعلم بها لا يوجب الاحتياط في ما هو المشكوك من الصغرى وإلحاقها بالمعلوم كما هو واضح</w:t>
      </w:r>
      <w:r>
        <w:rPr>
          <w:rFonts w:eastAsia="Amiri" w:cs="Amiri" w:ascii="Amiri" w:hAnsi="Amiri"/>
          <w:color w:val="111111"/>
          <w:sz w:val="28"/>
          <w:szCs w:val="28"/>
          <w:rtl w:val="true"/>
          <w:lang w:bidi="ar-SA"/>
        </w:rPr>
        <w:t xml:space="preserve">. </w:t>
      </w:r>
      <w:bookmarkStart w:id="473" w:name="pg9111_108304"/>
    </w:p>
    <w:p>
      <w:pPr>
        <w:pStyle w:val="Heading4"/>
        <w:numPr>
          <w:ilvl w:val="3"/>
          <w:numId w:val="1"/>
        </w:numPr>
        <w:rPr/>
      </w:pPr>
      <w:bookmarkStart w:id="474" w:name="__RefHeading___Toc2853559_2870459653"/>
      <w:bookmarkStart w:id="475" w:name="_Toc174"/>
      <w:bookmarkEnd w:id="473"/>
      <w:bookmarkEnd w:id="474"/>
      <w:r>
        <w:rPr>
          <w:rtl w:val="true"/>
        </w:rPr>
        <w:t>هل تفترق الشبهات المصداقيّة لمتعلّقات النواهي النفسيّة والغيريّة في جريان أصالة البراءة فيها وعدمه؟</w:t>
      </w:r>
      <w:bookmarkEnd w:id="475"/>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النواهي النفسيّة والغيريّة، فإنَّ التكليف في الأوَّل نفسيّ غير مرتبط بواجب آخر، ولازم ذلك أنَّه لو شككت في ثبوت هذا التكليف لأخذت بلازم الشكّ وهو البراءة، بخلاف ما لو كان غيريّاً فإنَّه مرتبط بواجب آخر عُلم وجوبه، ولازم هذا الارتباط أن يكون الشكّ في امتثاله شكّاً في امتثال ذلك الواجب المعلوم، وحينئذٍ فالشكّ الحاصل فيه من حيث نفسه وإن اقتضى البراءة منه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جميع الأحكام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الشكّ في امتثال الواجب المعلوم وجوبه المترتّب على الشكّ في امتثاله يقتضي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في هذا المشكوك الغيريّ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تقتضي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الشكّ فيه في نفسه مع قطع النظر عن رجوعه إلى الواجب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تقتضي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الشكّ في امتثاله شكّاً في امتثال الواجب المعلوم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والحاصل من الجهة الأولى هو صرف عدم الاقتضاء ومحض اللااقتضاء كما هو واضح، والحاصل من الجهة الثانية هو تمام الاقتضاء لوجوب الاحتياط، فيقدّم على الجهة الأولى، وحاصله وجوب الاحتياط لكون الشكّ في امتثاله شكّاً في امتثال الواجب المعلوم اشتغال الذمّة به المقتضي للقطع بالفراغ عنه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المعلوم لا يجب امتثاله إلّا بمقدار ما علم من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 من وجوبه لما علم اشتغال الذمة به فيؤخذ بمقتضاه وهو العلم بالفراغ عنه، وأمّا في ما لم يعلم وجوبه فلم يعلم الاشتغال به حتى يقتضي العلم بالفراغ عنه،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امتثال الواجب الغيريّ شكّ في امتثال الواجب المعلوم، والواجب المعلوم يجب العلم بامتثاله ولا يكفي الشكّ فيه، مغالطة واضحة؛ لأنَّ الواجب المعلوم يجب العلم بالفراغ </w:t>
      </w:r>
    </w:p>
    <w:p>
      <w:pPr>
        <w:pStyle w:val="BookText"/>
        <w:rPr/>
      </w:pPr>
      <w:r>
        <w:rPr>
          <w:rFonts w:ascii="Amiri" w:hAnsi="Amiri" w:eastAsia="Amiri" w:cs="Amiri"/>
          <w:color w:val="111111"/>
          <w:sz w:val="28"/>
          <w:sz w:val="28"/>
          <w:szCs w:val="28"/>
          <w:rtl w:val="true"/>
          <w:lang w:bidi="ar-SA"/>
        </w:rPr>
        <w:t>عنه بمقدار ما علم من وجوبه لا ما شكّ فيه فإنَّه لم يعلم وجوبه من هذه الجهة حتى يقتضي العلم بالفراغ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إذا علم بوجوبه من بعض الجهات دون بعض فالعلم بوجوبه من طرف ذلك البعض المعلوم لا يقتضي العلم بالفراغ عنه إلّا من تلك الجهات المعلومة لا المشكوكة، فعلمك بوجوبه من جهات لا يقتضي رفع اليد عن مقتضى الشكّ في الجهات الأخرى، بل يؤخذ بمقتضى العلم في الجهات المعلومة وهو العلم بالامتثال وبمقتضى الشكّ في الجهة المشكوكة وهو البراءة، فيعطى كلّ ذي حقّ حقّه وكلّ ذي فضل فضله، لا أنَّه ترفع اليد عن مقتضى الشكّ بواسطة العلم في المورد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ذوات أمور أمر الشارع بالإتيان ببعضها ونهى عن الإتيان بالبعض الآخر مقارناً معها، فهي مجمع أوامر ونواهي يجب العمل بكلّ واحد منها على حسبه، فكلّ أمر أو نهي علم بوجوبه في الصلاة يجب العلم بامتثاله بمقتضى العلم بثبوته، دون ما كان مشكوكاً فلا يجب امتثاله بمقتضى الشكّ في أصل ثبوته، واشتمال الصلاة على واجبات ومحرّمات معلومة يجب العلم بامتثالها لأجل العلم بثبوتها لا يقتضي وجوب الامتثال في مشكوكاتها، وهذا هو الوجه في جريان البراءة في الشكّ في كبرى الشرطيّة والمانعيّة والجزئيّة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بعينه جارٍ في الشكّ في صغرى المانعيّة، لما عرفت من أنَّ النهي الكبروي عن إيجاد مانع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التلبّس بغير المأكول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نواهٍ عديدة بحسب صغريات تلك الكبرى، ومفاده في الحقيقة إنّما هو آحاد تلك النواهي الجزئيّة المتعلّق كلّ واحد منها بكلّ واحد من أفراد غير المأكول، وحينئذٍ فكلّ لباس علم بكونه من غير المأكول فقد علم بتعلّق النهي عنه في الصلاة فيجب العلم بامتثاله، وكلّ لباس لم يعلم بكونه من غير المأكول فلم يعلم بكونه مانعاً عن الصلاة ولم </w:t>
      </w:r>
      <w:bookmarkStart w:id="476" w:name="pg9111_108306"/>
    </w:p>
    <w:p>
      <w:pPr>
        <w:pStyle w:val="BookText"/>
        <w:rPr/>
      </w:pPr>
      <w:bookmarkEnd w:id="476"/>
      <w:r>
        <w:rPr>
          <w:rFonts w:ascii="Amiri" w:hAnsi="Amiri" w:eastAsia="Amiri" w:cs="Amiri"/>
          <w:color w:val="111111"/>
          <w:sz w:val="28"/>
          <w:sz w:val="28"/>
          <w:szCs w:val="28"/>
          <w:rtl w:val="true"/>
          <w:lang w:bidi="ar-SA"/>
        </w:rPr>
        <w:t xml:space="preserve">يعلم تعلّق النهي بالتلبّس بها فيها فلا يجب فيه الاحتياط كما لا يجب الاحتياط في كلّ مشكوك الوجوب والحرمة، ومجرّد اشتمال غير المأكول على نواهٍ متعلّقة بأفرادها المعلومة لا يقتضي الاحتياط في المشكوك؛ إذ العلم بالخطاب يقتضي العلم بالامتثال في مورد وجود العلم لا في موارد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في صغرى الجزئيّة والشرطيّة فلا يجري فيه هذا الكلام؛ لأنَّ الأمر بجزء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الأمر بإيجاد فعل خاصّ على نحو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سورة من سور القرآن في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العلم بوجود هذا الفعل على النحو الذي علم بالأمر به، فلو اكتفى بكلمات يحتمل أنَّها من سور القرآن لم يعلم بالفراغ عمّا علم وجوبه، بل لا بدَّ بعد علمه بالاشتغال بالسورة من علمه بالفراغ الحاصل بقراءة السورة المعلومة لا المشكوكة</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853561_2870459653"/>
      <w:bookmarkStart w:id="478" w:name="_Toc175"/>
      <w:bookmarkEnd w:id="477"/>
      <w:r>
        <w:rPr>
          <w:rtl w:val="true"/>
        </w:rPr>
        <w:t>هل مانعيّة كون اللباس من أجزاء ما لا يؤكل لحمه انحلاليّة أو لا؟</w:t>
      </w:r>
      <w:bookmarkEnd w:id="478"/>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علم مانعيّة غير المأكول في الصلاة فقد علم بكون هذه الحقيقة الواحدة السارية في جميع مواردها بما هي هذه الحقيقة مانعة عن الصلاة، وكون كلّ فرد من أفراد غير المأكول مانعاً إنمَّا هو من جهة انطباقه مع تلك الحقيقة لا أنَّ كلّ واحد واحد من الأفراد مانع برأسه حتّى يكون الشكّ في الانطباق شكّاً في أصل المانعيّة حتّى يحكم بعدمه، وبعدما صار الشكّ في وجود الموضوع شكّاً في الانطباق بعد القطع بأصل المانعيّة يكون القطع بالمانعيّة مقتضياً للقطع بالفراغ والعلم بالامتثال الحاصل بترك المصداق المشكوك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مانعيّة غير المأكول والنهي عنه في الصلاة إنَّما هو في مورد وجود الموضوع لا عدمه، فإنَّه حينئذٍ لا وجود لغير المأكول حتّى ينهى عنه في الصلاة ويكون مانعاً عنها أم لا، وحينئذٍ فإذا شكّ في وجود الموضوع في مورد فقد شكّ في </w:t>
      </w:r>
      <w:bookmarkStart w:id="479" w:name="pg9111_108307"/>
    </w:p>
    <w:p>
      <w:pPr>
        <w:pStyle w:val="BookText"/>
        <w:rPr/>
      </w:pPr>
      <w:bookmarkEnd w:id="479"/>
      <w:r>
        <w:rPr>
          <w:rFonts w:ascii="Amiri" w:hAnsi="Amiri" w:eastAsia="Amiri" w:cs="Amiri"/>
          <w:color w:val="111111"/>
          <w:sz w:val="28"/>
          <w:sz w:val="28"/>
          <w:szCs w:val="28"/>
          <w:rtl w:val="true"/>
          <w:lang w:bidi="ar-SA"/>
        </w:rPr>
        <w:t>وجود النهي وثبوت أصل المانعيّة بحسب هذا المورد، لكون أصل المانعيّة أمراً متفرّعاً على وجود الموضوع، وحينئذٍ فالشكّ في الموضوع شكٌّ في أصل المانعيّة وشكٌّ في أصل تقييد الصلاة بحسب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الحقيقة الواحدة السارية مانعة في الصلاة معلوم والشكّ في الانطباق لا في أصل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ارتياب في أنَّ أصل المانعيّة المجعولة إنَّما هي في موارد وجود الموضوع، وأمَّا في مورد عدمه فلا موضوع حتى يكون مانعاً أم لا، وحينئذٍ فإذا كان أصل المانعيّة المجعولة مقصورة على وجود الموضوع ليس إلّا، فالشكّ في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أصل المانعيّة المجعولة بحسب هذا المورد فيحكم بالعدم بمقتضى الشكّ، كما يحكم بالعدم عند الشكّ في كبرى المانعيّة من غير فرق، ومجرّد الفرق بأنَّ الشكّ هنا في صغرى المانعيّة وهناك في الكبرى غير فارق بعد ما يرجع الشكّ في كلا الموردين إلى الشكّ في أصل مدخليّة المشكوك في الصلاة</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853563_2870459653"/>
      <w:bookmarkStart w:id="481" w:name="_Toc176"/>
      <w:bookmarkEnd w:id="480"/>
      <w:r>
        <w:rPr>
          <w:rtl w:val="true"/>
        </w:rPr>
        <w:t>ما يفترق به جريان أصالة البراءة في الشبهات الحكميّة عن جريانها في الشبهات الموضوعيّة</w:t>
      </w:r>
      <w:bookmarkEnd w:id="481"/>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كلام آخر، وهو أنَّ البراءة في الشكّ في الكبرى من جهة قصور البيان فيها من طرف الشارع كما هو الحال في جميع الشبهات الحكميّة، وأمَّا الشكّ في الصغرى فليست البراءة فيه لذلك، لعدم كون بيان الصغرى من وظيفة الشارع، بل وظيفته ليس إلّا بيان الكبرى المفروغ عنها هنا بل وفي جميع الشبهات الموضوعيّة، فلا قصور من طرف الشارع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البيان من طرفه فلا يصحّ العقاب والمؤاخذة، بل البراءة فيها من جهة أخرى كما أوضحناه في الأصول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موقع ترتيب الآثار على كلّ موضوع إنَّما هو بعد شهوده ورؤيته </w:t>
      </w:r>
    </w:p>
    <w:p>
      <w:pPr>
        <w:pStyle w:val="BookText"/>
        <w:rPr/>
      </w:pPr>
      <w:r>
        <w:rPr>
          <w:rFonts w:ascii="Amiri" w:hAnsi="Amiri" w:eastAsia="Amiri" w:cs="Amiri"/>
          <w:color w:val="111111"/>
          <w:sz w:val="28"/>
          <w:sz w:val="28"/>
          <w:szCs w:val="28"/>
          <w:rtl w:val="true"/>
          <w:lang w:bidi="ar-SA"/>
        </w:rPr>
        <w:t>ورفع الحجاب بينه وبين العبد دون ما كان محجوباً عنه مستتراً منه،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حضور الشيء والاتصال به ملاك ترتيب آثاره لا غيابه واحتجابه، وهذا عبارة أخرى عن أنَّ العلم بكل موضوع ملاك إثبات آثاره وتنجّزه على العبد،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كان ملاك البراءة في الأوَّل هو عدم تماميّة البيان من قبل المولى وعدم سقوط العذر من طرفه، وملاك البراءة في الثاني عدم شهود الموضوع ورؤيته، الذي هو في الحقيقة اتصال العبد وارتفاع العزلة بينه وبين العبد الذي لا ربط له بوظيفة المولى، فيكون قياس الشكّ في الصغرى على الشكّ في الكبرى من حيث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قياسه بالشبهات الموضوعيّة النفسيّة في ملاك البراءة قياس بأمر يساويه، فإنَّ كلّا ً من المقيس والمقيس عليه شكٌّ في الصغرى بعد إحراز الكبرى، وملاك البراءة فيهما معاً هو احتجاب الموضوع عن العبد وعدم حضوره عنده، وحينئذٍ فلا بدَّ من أن يلاحظ فإن لم يكن فرق في البين من جهة أخرى يوجب التفكيك بينهما من حيث البراءة والاشتغال، والقول بالبراءة في الأوَّل والاشتغال في الثاني، يكون القول بالبراءة في الصغريات النفسيّة المسلّم عند الكلّ من غير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كالمائع المشكوك كونه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مع القول بالبراءة في الصغريات الغيريّة التي هي الموضوع في بحثنا هذا، لاتحاد المناط فيهما من غير فرق فارق من هذه الجهة، فنقول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الموهم للزوم التفكيك بينهما هو ما عرفت من أنَّ التكليف المشكوك هنا غيريّ فيكون الشكّ فيه شكّاً في امتثال ذلك الغير الذي علم وجوبه، فيجب العلم بامتثاله بمقتضى العلم بوجوبه، وقد عرفت الجواب عنه بأنَّ المانعيّة والحرمة الغيريّة إنَّما هما في موارد وجود الموضوع دون عدمه، فإنَّه حينئذٍ لا موضوع حتى يكون حراماً أو غير حرام مانعاً أو غير مانع، ولازم ذلك أن يكون الشكّ في وجود الموضوع شكّاً في </w:t>
      </w:r>
      <w:bookmarkStart w:id="482" w:name="pg9111_108309"/>
    </w:p>
    <w:p>
      <w:pPr>
        <w:pStyle w:val="BookText"/>
        <w:rPr/>
      </w:pPr>
      <w:bookmarkEnd w:id="482"/>
      <w:r>
        <w:rPr>
          <w:rFonts w:ascii="Amiri" w:hAnsi="Amiri" w:eastAsia="Amiri" w:cs="Amiri"/>
          <w:color w:val="111111"/>
          <w:sz w:val="28"/>
          <w:sz w:val="28"/>
          <w:szCs w:val="28"/>
          <w:rtl w:val="true"/>
          <w:lang w:bidi="ar-SA"/>
        </w:rPr>
        <w:t>ثبوت المانعيّة والحرمة الغيريّة في المورد المشكوك، كما أنَّ الشكّ في خمريّة مائع شكٌّ في حرمته؛ إذ الحرمة النفسيّة فرع وجود الخمر، وإذ لا خمر فلا حرمة سلباً منفيّ الموضوع، وكما أنَّ الخمريّة والحرمة النفسيّة بعدما كانت محجوبة عن العبد وغائبة عنه غير مكشوفة عنده فلا يلزم عليه ترتيب آثارها كذلك الحرمة الغيريّة والمانعيّة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بالصلاة ثابت فيقتضي العلم بالفراغ الحاصل بترك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العلم بالفراغ بمقدار العلم بالاشتغال، وأصل التكليف الغيريّ والمانعيّة لم يثبت في هذا المورد حتى يقتضي العلم بالفراغ بالنسبة إليه، وثبوت المانعيّة في موارد العلم بوجود الموضوع لا يقتضي العلم بالفراغ في المورد المشكوك والمانعيّة المشكوكة، كما أنَّ العلم بالحرمة النفسيّة للخمر في موارد العلم بوجود الخمر لا يقتضي العلم بالامتثال في الموارد المشكوكة</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853565_2870459653"/>
      <w:bookmarkStart w:id="484" w:name="_Toc177"/>
      <w:bookmarkEnd w:id="483"/>
      <w:r>
        <w:rPr>
          <w:rtl w:val="true"/>
        </w:rPr>
        <w:t>تقريب عدم جريان أصالة البراءة في الشبهة المصداقيّة للمانع لكونها من قبيل الشكّ في المحصّل، والجواب عنه</w:t>
      </w:r>
      <w:bookmarkEnd w:id="48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بل لا ارتياب في أنَّ الأوامر والنواهي المجتمعة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أوامر ونواهي مستقلّة حتّى يلاحظ حال كلّ منها بانفراد فما كان معلوماً أخذ به وما لم يكن معلوماً حكم بسقوط امتثاله، بل هي أوامر ونواهٍ مرتبطة كلٌّ بالآخر، ففي الحقيقة كلّها وارد على عنوان واحد وأمر إجمالي بتحصيل ذلك العنوان الوحدانيّ المتحصّل من مجموع تلك الأوامر والنواهي، وحينئذٍ فإذا شككنا في جزئيّة شيء أو شرطيّته أو مانعيّته صغرويّة كانت أو كبرويّة فقد شككنا في حصول هذا العنوان بدون هذا المشكوك، والقطع بوجوب العنوان المتحصّل من المجموع يوجب القطع بامتثاله غير الحاصل إلّا بالاحتياط في ما هو المشكوك، وهذا الكلام لو تمّ فإنَّما </w:t>
      </w:r>
    </w:p>
    <w:p>
      <w:pPr>
        <w:pStyle w:val="BookText"/>
        <w:rPr/>
      </w:pPr>
      <w:r>
        <w:rPr>
          <w:rFonts w:ascii="Amiri" w:hAnsi="Amiri" w:eastAsia="Amiri" w:cs="Amiri"/>
          <w:color w:val="111111"/>
          <w:sz w:val="28"/>
          <w:sz w:val="28"/>
          <w:szCs w:val="28"/>
          <w:rtl w:val="true"/>
          <w:lang w:bidi="ar-SA"/>
        </w:rPr>
        <w:t>هو يقتضي الاحتياط في مطلق الشك في التكاليف الغيريّة حكميّة أو موضوعيّة، لا في خصوص الموضوعيّة التي هي موضوع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على نحو يكون حاسماً لمادة الإشكال مطلقاً 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المتأمّل في أدلّة المركّبات الشرعيّة لا يرتاب في أنَّ الشارع حين إيراده الأمر على تلك المركّبات لم يلاحظ في كلّ واحد منها عنواناً بسيطاً متحصّلاً من الإتيان بالأجزاء والشرائط، بحيث يكون نفس تلك الأفعال مقدّمة خارجيّة لحصول ذلك العنوان ويكون الأمر بكلّ واحد منها أمراً غيريّاً مقدّميّاً لحصوله في نظر الشارع، بل الظاهر ورود الأمر في لحاظ الشارع على نفس تلك الأفعال الملتئمة وهي الواجب بالحقيقة من دون توليد عنوان ثانوي متحصّل من الكلّ، وإنَّما هو معنى ننتزعه نحن بعد ملاحظة ورود أمر الشارع على المجموع، فنأخذ من المجموع عنواناً ثانويّاً واحداً ونتخيّل ورود الأمر عليه؛ لأنَّ الشارع لاحظ في نظره أوَّلاً هذا العنوان الوحدانيّ ثمَّ أورد الأمر على تلك الأفعال باعتبار كونها محصّلة له، بحيث كان الأمر بها في الحقيقة وسيلة لتحصيل ذلك العنوان على نحو يكون هو المأمور به بالحقيقة وموضوعاً لورود الأمر النفسيّ عليه، بل الملحوظ في نظر الشارع حسب ما هو مفاد كلامه هو كون نفس تلك الأفعال الخاصَّة على النحو الخاصّ بأنفسها مورداً لأمره وهي المأمور به الأصليّ الأوَّليّ، وعلى هذا فيكون المأمور به بالحقيقة أمراً تدريجيّاً مستطيلاً باستطالة تلك الأفعال المترتّبة كلّا ً على الآخر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تلك الأفعال المتدرّجة كما أنَّه قد يلاحظها الشارع إجمالاً ويأتي باللفظ الحاكي عن الكلّ ويورد الأمر النفسيّ عليه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 لذوات تلك الأفعال الخاصَّة على النحو الخاصّ والأمر النفسيّ وارد عليها </w:t>
      </w:r>
    </w:p>
    <w:p>
      <w:pPr>
        <w:pStyle w:val="BookText"/>
        <w:rPr/>
      </w:pPr>
      <w:r>
        <w:rPr>
          <w:rFonts w:ascii="Amiri" w:hAnsi="Amiri" w:eastAsia="Amiri" w:cs="Amiri"/>
          <w:color w:val="111111"/>
          <w:sz w:val="28"/>
          <w:sz w:val="28"/>
          <w:szCs w:val="28"/>
          <w:rtl w:val="true"/>
          <w:lang w:bidi="ar-SA"/>
        </w:rPr>
        <w:t xml:space="preserve">بإراءة هذا اللفظ، كذلك قد يلاحظها تفصيلاً ويأمر بها على التفصيل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ثمَّ اقرأ ثمَّ اركع ثمَّ 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فتلك الأوامر المتعدّدة الواردة على الكثرات المذكورة صورة تفصيليّة لذلك اللحاظ الإجمالي في الحقيقة وبمنزلة الشرح والتفصيل لذلك المتن المجمل، ويكون كلّ واحد منها على التدريج ظهور إرادته النفسيّة القلبيّة المتعلّقة بالكلّ، فهذه الأوامر المترتّبة التدريجيّة بمنزلة إرادة واحدة خارجيّة نفسيّة تظهر على العبد من الآمر على الترتيب تدريجاً ويكون تمامها بتمام عدّ هذه الأفعال أوَّلاً فثانياً وهكذا، ففي الحقيقة هذه الأوامر تحريك نفسيّ واحد تدريجي يظهر أوَّلاً فأوَّلاً على ترتيب الأفعال، لا أنَّ كلّ واحد منها أمر غيريّ متعلّق بكلّ واحد من الأفعال لكونه مقدّمة لحصول العنوان كما سبق إلى بعض الأذهان، فهي بكلّها بمنزلة خطّ وحدانيّ مستطيل ممتدّ إلى حدّ خاصّ يظهر متدرّجاً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هذا التحريك النفسيّ التدريجي الممتدّ والإرادة الخارجيّة الوحدانيّة التدريجيّة من المولى نحو العبد، فكلّ ما ورد منه على العبد بأن قام الدليل عليه ووصل إلى العبد يأخذ به، وكلّ ما لم يقم عليه دليل ولم يصل إلى العبد ولو بعد الفحص وشكّ فيه فكأنَّه شكّ في زيادة الخطّ بعد القطع ببعضه، فيأخذ بما هو المعلوم من الخطّ ويترك المشكوك، ولو عاقب المولى عليه كان عقاباً من غير إتمام الحجّة وتمام العذر الحاصل بتمام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التحريك النفسيّ التدريجيّ نشكّ في زيادته بعد القطع ببعضه فنأخذ بالمعلوم منه ونترك المشكوك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الواجب النفسيّ هو ذلك العنوان البسيط الوحدانيّ المتحصّل من تلك الأفعال،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بيان هذا العنوان وما يكون موجباً لحصوله في الخارج بيد المولى ومن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لا يعلم إلّا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كلّ ما قام الدليل </w:t>
      </w:r>
      <w:bookmarkStart w:id="485" w:name="pg9111_108312"/>
    </w:p>
    <w:p>
      <w:pPr>
        <w:pStyle w:val="BookText"/>
        <w:rPr/>
      </w:pPr>
      <w:bookmarkEnd w:id="485"/>
      <w:r>
        <w:rPr>
          <w:rFonts w:ascii="Amiri" w:hAnsi="Amiri" w:eastAsia="Amiri" w:cs="Amiri"/>
          <w:color w:val="111111"/>
          <w:sz w:val="28"/>
          <w:sz w:val="28"/>
          <w:szCs w:val="28"/>
          <w:rtl w:val="true"/>
          <w:lang w:bidi="ar-SA"/>
        </w:rPr>
        <w:t>على كونه محصّلاً لذلك العنوان نأخذ به لتمام الحجّة فيه على العبد، وكلّ ما لم يدلّ عليه دليل حتّى بعد الفحص فلا يصحّ العقاب عليه وإلّا كان عقاباً من غير بيان من طرف المولى مع كونه من شأن المولى ووظيفته، ومجرّد العلم بكون المأمور به بالحقيقة عنواناً إجماليّاً لا يفيد في وجوب الاحتياط فيه بدون</w:t>
      </w:r>
      <w:r>
        <w:rPr>
          <w:rStyle w:val="FootnoteAnchor"/>
          <w:rtl w:val="true"/>
        </w:rPr>
        <w:footnoteReference w:id="601"/>
      </w:r>
      <w:r>
        <w:rPr>
          <w:rFonts w:ascii="Amiri" w:hAnsi="Amiri" w:eastAsia="Amiri" w:cs="Amiri"/>
          <w:color w:val="111111"/>
          <w:sz w:val="28"/>
          <w:sz w:val="28"/>
          <w:szCs w:val="28"/>
          <w:rtl w:val="true"/>
          <w:lang w:bidi="ar-SA"/>
        </w:rPr>
        <w:t>البيان الواصل من المولى، ولذا قلنا في الطهارات الثلاثة إنَّ الواجب ولو كان حصول الطهارة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الوضوء والغسل محصّلة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لكون البيان فيه وظيفة للشارع فكلّ ما لم يتمّ البيان فيه لا يصحّ العقاب عليه لمجرّد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853567_2870459653"/>
      <w:bookmarkStart w:id="487" w:name="_Toc178"/>
      <w:bookmarkEnd w:id="486"/>
      <w:r>
        <w:rPr>
          <w:rtl w:val="true"/>
        </w:rPr>
        <w:t>المناقشة في جريان أصالة البراءة في دوران الأمر بين الأقلّ والأكثر من جهة لزوم تحصيل المصالح الملزمة المولويّة والجواب عنها</w:t>
      </w:r>
      <w:bookmarkEnd w:id="487"/>
    </w:p>
    <w:p>
      <w:pPr>
        <w:pStyle w:val="BookText"/>
        <w:rPr/>
      </w:pPr>
      <w:r>
        <w:rPr>
          <w:rFonts w:ascii="Amiri" w:hAnsi="Amiri" w:eastAsia="Amiri" w:cs="Amiri"/>
          <w:color w:val="111111"/>
          <w:sz w:val="28"/>
          <w:sz w:val="28"/>
          <w:szCs w:val="28"/>
          <w:rtl w:val="true"/>
          <w:lang w:bidi="ar-SA"/>
        </w:rPr>
        <w:t>وبذلك ظهر الجواب عمّا يقال</w:t>
      </w:r>
      <w:r>
        <w:rPr>
          <w:rStyle w:val="FootnoteAnchor"/>
          <w:rtl w:val="true"/>
        </w:rPr>
        <w:footnoteReference w:id="602"/>
      </w:r>
      <w:r>
        <w:rPr>
          <w:rFonts w:ascii="Amiri" w:hAnsi="Amiri" w:eastAsia="Amiri" w:cs="Amiri"/>
          <w:color w:val="111111"/>
          <w:sz w:val="28"/>
          <w:sz w:val="28"/>
          <w:szCs w:val="28"/>
          <w:rtl w:val="true"/>
          <w:lang w:bidi="ar-SA"/>
        </w:rPr>
        <w:t>من أنَّ الأحكام تابعة للمصالح الملزمة الكافية وحينئذٍ فإذا شكّ في زيادة مركّب أو نقصانه فقد شكّ في ترتّب المصلحة المقصودة من الأمر بالمركّب على الناقص، فيجب الإتيان بالزيادة تحصيلاً للغرض المقصود من الأمر بالمركّب، فإنَّه لو سلّم 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أقوى من كون المأمور به بالحقيقة هو العنوان الوحدانيّ، فإنَّ المصالح الملزمة لو كانت فليست متعلّقة للأمر بل الغرض المترتّب عليه، والعنوان المذكور لو كان فهو نفس متعلّق الأمر، ومع ذلك قلنا إنَّه بعد ما كان بيان ما يكون محصّلاً له من وظيفة الشارع يكون العقاب على ما لم يصل فيه بيان إلى العبد قبيحاً، كذلك في ما لو كان الغرض من الأمر هو المصلحة الملزمة لكنّ الواجبات الموصلة إلى </w:t>
      </w:r>
      <w:bookmarkStart w:id="488" w:name="pg9111_108313"/>
    </w:p>
    <w:p>
      <w:pPr>
        <w:pStyle w:val="BookText"/>
        <w:rPr/>
      </w:pPr>
      <w:bookmarkEnd w:id="488"/>
      <w:r>
        <w:rPr>
          <w:rFonts w:ascii="Amiri" w:hAnsi="Amiri" w:eastAsia="Amiri" w:cs="Amiri"/>
          <w:color w:val="111111"/>
          <w:sz w:val="28"/>
          <w:sz w:val="28"/>
          <w:szCs w:val="28"/>
          <w:rtl w:val="true"/>
          <w:lang w:bidi="ar-SA"/>
        </w:rPr>
        <w:t>تلك المصلحة بيانها بيد الشارع فيكون العقاب على ما لا بيان فيه من الشارع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الدليل القائم على اشتمال الأحكام على المصالح الكامنة ليس زيادة على أنَّ النظام الكامل</w:t>
      </w:r>
      <w:r>
        <w:rPr>
          <w:rStyle w:val="FootnoteAnchor"/>
          <w:rtl w:val="true"/>
        </w:rPr>
        <w:footnoteReference w:id="603"/>
      </w:r>
      <w:r>
        <w:rPr>
          <w:rFonts w:ascii="Amiri" w:hAnsi="Amiri" w:eastAsia="Amiri" w:cs="Amiri"/>
          <w:color w:val="111111"/>
          <w:sz w:val="28"/>
          <w:sz w:val="28"/>
          <w:szCs w:val="28"/>
          <w:rtl w:val="true"/>
          <w:lang w:bidi="ar-SA"/>
        </w:rPr>
        <w:t>يقتضي جعل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منافٍ لما هو المقصود من النظام العامّ الكامل</w:t>
      </w:r>
      <w:r>
        <w:rPr>
          <w:rStyle w:val="FootnoteAnchor"/>
          <w:rtl w:val="true"/>
        </w:rPr>
        <w:footnoteReference w:id="604"/>
      </w:r>
      <w:r>
        <w:rPr>
          <w:rFonts w:ascii="Amiri" w:hAnsi="Amiri" w:eastAsia="Amiri" w:cs="Amiri"/>
          <w:color w:val="111111"/>
          <w:sz w:val="28"/>
          <w:sz w:val="28"/>
          <w:szCs w:val="28"/>
          <w:rtl w:val="true"/>
          <w:lang w:bidi="ar-SA"/>
        </w:rPr>
        <w:t xml:space="preserve">، وأمَّا أنَّ كلّ حكم في حقّ كلّ مكلّف مشتمل على مصلحة تامّة حتى عند الجهل به، بحيث يكون فوته منه من قبيل تناوله السمّ حتى يُلزمه عقله بإحرازه حذراً من الوقوع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النوعيّة العامّة تقتضي جعل تلك الأحكام بحسب صلاح النوع، وأمَّا الأشخاص فلا كلّيّة بالنسبة إليهم،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حكمة للجعل لا علّته في كلّ فردٍ فردٍ</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853569_2870459653"/>
      <w:bookmarkStart w:id="490" w:name="_Toc179"/>
      <w:bookmarkEnd w:id="489"/>
      <w:r>
        <w:rPr>
          <w:rtl w:val="true"/>
        </w:rPr>
        <w:t>هل خلوّ اللباس من أجزاء ما لا يؤكل لحمه شرط في الصلاة أو اشتماله عليها مانع؟</w:t>
      </w:r>
      <w:bookmarkEnd w:id="490"/>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مفاد أدلّة الموانع هو اشتراط خلوّ الصلاة عن الاشتمال عليها والاحتفاف بها، ففي الحقيقة ما هو الواجب في الصلاة من هذه الجهة هو عراء الصلاة وخلائها عن تلك الأمور، وحينئذٍ فلا بدَّ من إحراز هذا العنوان في الصلاة الحاصل بترك مشكوك المانعيّة، وإلّا فلو أتى بالمانع المشكوك وتلبّس بلباس يحتمل أنَّه من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بخلوّ الصلاة وعرائها عمّا علم باشتراط خلوّها عنها اللّهم إلّا بالاحتياط وترك كلّ مشكوك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المتأمّل في أدلّة الموانع بكلّها لا يستريب في أنَّ وجود تلك الأمور مضرّ في </w:t>
      </w:r>
      <w:bookmarkStart w:id="491" w:name="pg9111_108314"/>
    </w:p>
    <w:p>
      <w:pPr>
        <w:pStyle w:val="BookText"/>
        <w:rPr/>
      </w:pPr>
      <w:bookmarkEnd w:id="491"/>
      <w:r>
        <w:rPr>
          <w:rFonts w:ascii="Amiri" w:hAnsi="Amiri" w:eastAsia="Amiri" w:cs="Amiri"/>
          <w:color w:val="111111"/>
          <w:sz w:val="28"/>
          <w:sz w:val="28"/>
          <w:szCs w:val="28"/>
          <w:rtl w:val="true"/>
          <w:lang w:bidi="ar-SA"/>
        </w:rPr>
        <w:t>الصلاة ومفسد لها، لا أنَّ عدمها والخلوّ عنها اعتبر صفة في الصلاة من قبيل الأوصاف الوجوديّة المأخوذة في الصلاة الواجب إحرازها فيها مثل الطهارة عن الحدث واستقبال القبلة وغيرهما، بل لا يكون عنوان الخلاء وما يرادفه من العناوين إلّا عناوين منتزعة من النهي عن الإتيان بها في الصلاة، فينتزع منها خلوّ الصلاة عنها، ونظير هذا التوهّم تخيّل أنَّ اللباس إن كان من أجزاء الحيوان يشترط فيه أن يكون لحمه حلالاً، فحلّيّة لحمه شرط في اللباس لا أنَّ حرمة اللّحم مانع فيه، فإذا كانت الحلّيّة شرطاً وجوديّاً في اللباس يجب إحرازها كباقي الشرائط، فلا يجوز حينئذٍ التلبّس بمشكوك الحلّيّة والحرمة إحرازاً لهذا الشرط المعلوم وجوبه، ويوهم هذا المعنى ما في منظومة العلامة الطباطبائي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إن كان من حيوان محلّل اللّحم على الإنسان</w:t>
      </w:r>
    </w:p>
    <w:p>
      <w:pPr>
        <w:pStyle w:val="BookText"/>
        <w:rPr/>
      </w:pPr>
      <w:r>
        <w:rPr>
          <w:rFonts w:ascii="Amiri" w:hAnsi="Amiri" w:eastAsia="Amiri" w:cs="Amiri"/>
          <w:color w:val="111111"/>
          <w:sz w:val="28"/>
          <w:sz w:val="28"/>
          <w:szCs w:val="28"/>
          <w:rtl w:val="true"/>
          <w:lang w:bidi="ar-SA"/>
        </w:rPr>
        <w:t>لكنّ الظاهر أنَّ هذا ليس إلّا من باب المسامحة في التعبير، وإلّا فاحتمال كون حلّيّة اللّحم شرطاً وجوديّاً لا الحرمة مانعة ممّا لا يليق بالأذهان المستقيمة، ولا يستريب المتأمّل في الأدلّة أنَّ هذا المعنى منتزع عن مانعيّة حرمة اللّحم المنساق من ظاهر الأدلّة من غير ارتياب</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853571_2870459653"/>
      <w:bookmarkStart w:id="493" w:name="_Toc180"/>
      <w:bookmarkEnd w:id="492"/>
      <w:r>
        <w:rPr>
          <w:rtl w:val="true"/>
        </w:rPr>
        <w:t>حول جريان أصالة الحِلّ في الشبهة المصداقيّة للمانع</w:t>
      </w:r>
      <w:bookmarkEnd w:id="49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يستدل بالبراءة في صغرى المانع المشكوك بخصوص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فيه حلال وحرام فهو لك حلال حتّى تعرف الحرام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494" w:name="pg9111_108315"/>
    </w:p>
    <w:p>
      <w:pPr>
        <w:pStyle w:val="BookText"/>
        <w:rPr/>
      </w:pPr>
      <w:bookmarkEnd w:id="494"/>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التلبّس بأجزاء الحيوان في الصلاة فيه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بمأكول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بغير 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اشتبه الحلال منه بالحرام فهو لك حلال بحكم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الظاهر من الحلال والحرام في الرواية هو ما كان حلالاً أو حراماً بنفسه، وهو الظاهر من إطلاق الحلال والحرام لا الحلّيّة والحرمة الغيريّة التبعيّة المنتزعة من المانعيّة وعدمها، فإنَّهما في الحقيقة عبارة أخرى عن المانعيّة والعدم وإلّا فمع قطع النظر عنهما لا حلّيّة ولا حرمة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الناظر في لسان الأخبار يرى من غير ارتياب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المحرّمات والمباحات الغيريّة، على حذو إطلاقها على النفسيّة على حدّ سواء، 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المأكول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المأكول شائع في الأخبار، وحينئذٍ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أجزاء الحيوان فيها ما تجوز الصلاة فيها وفيها ما لا تجوز، فإذا اشتبه عليك فهو لك جائز حتى تعرف ما يجوز ممَّا لا يجوز، وهذا التعبير عين ما هو المنساق من الرواية المذكورة من غير ارتياب</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853573_2870459653"/>
      <w:bookmarkStart w:id="496" w:name="_Toc181"/>
      <w:bookmarkEnd w:id="495"/>
      <w:r>
        <w:rPr>
          <w:rtl w:val="true"/>
        </w:rPr>
        <w:t>حول التمسّك بحديث الرفع في الشبهة المصداقيّة للمانع</w:t>
      </w:r>
      <w:bookmarkEnd w:id="49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من اختار البراءة في صغرى المانع المشكوك تمسّك في خيرته بظاهر حديث الرفع</w:t>
      </w:r>
      <w:r>
        <w:rPr>
          <w:rStyle w:val="FootnoteAnchor"/>
          <w:rtl w:val="true"/>
        </w:rPr>
        <w:footnoteReference w:id="607"/>
      </w:r>
      <w:r>
        <w:rPr>
          <w:rFonts w:ascii="Amiri" w:hAnsi="Amiri" w:eastAsia="Amiri" w:cs="Amiri"/>
          <w:color w:val="111111"/>
          <w:sz w:val="28"/>
          <w:sz w:val="28"/>
          <w:szCs w:val="28"/>
          <w:rtl w:val="true"/>
          <w:lang w:bidi="ar-SA"/>
        </w:rPr>
        <w:t>، فإنَّ المشكوك كونه من غير المأكول ممَّا لا يعلم بحرمته في الصلاة فيكون داخلاً في عموم ما لا يعلمون المرفوع عن الأمّة</w:t>
      </w:r>
      <w:r>
        <w:rPr>
          <w:rFonts w:eastAsia="Amiri" w:cs="Amiri" w:ascii="Amiri" w:hAnsi="Amiri"/>
          <w:color w:val="111111"/>
          <w:sz w:val="28"/>
          <w:szCs w:val="28"/>
          <w:rtl w:val="true"/>
          <w:lang w:bidi="ar-SA"/>
        </w:rPr>
        <w:t xml:space="preserve">. </w:t>
      </w:r>
      <w:bookmarkStart w:id="497" w:name="pg9111_108316"/>
    </w:p>
    <w:p>
      <w:pPr>
        <w:pStyle w:val="BookText"/>
        <w:rPr/>
      </w:pPr>
      <w:bookmarkEnd w:id="49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المانع من الأخذ بالبراءة في ما نحن فيه هو تخيّل أنَّ الشكّ هنا لكونه غيريّاً يرجع إلى الشكّ في امتثال ذلك الغير بعد القطع بوجوبه المقتضي للعلم بالفراغ عنه،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الفراغ بعد القطع بالتكليف، ولو كان الأمر كذلك فلا مجال للتمسّك بأخبار البراءة مطلقاً، لا حديث الرفع ولا غيره لورودها في الشكّ في أصل الوجوب لا الشكّ في الامتثال بعد القطع بالوجوب، فصحّة الاستدلال بأخبار البراءة متوقّفة على إبطال هذا التوهّم وأنَّ الشكّ ليس في الامتثال بعد القطع بالوجوب بل الشكّ في أصل الوجوب بحسب هذا المورد، وإذا كان كذلك فتجري فيه أخبار البراءة مطلقاً من دون اختصاص بحديث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الشكّ في ما نحن فيه إن كان في الامتثال بعد القطع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يزعمه القائل بالاحتياط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لأخبار البراءة مطلقاً، وإن كان الشكّ في أصل الوجوب فلا اختصاص بحديث الرفع، مثلاً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حتّى تعرف أنّه 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في صغرى المانع المشكوك، فإنَّه لم يعرف أنَّه حرام بعينه فهو لك حلال، وهكذا باقي الأخبار</w:t>
      </w:r>
      <w:r>
        <w:rPr>
          <w:rFonts w:eastAsia="IRNazanin" w:cs="IRNazanin"/>
          <w:color w:val="111111"/>
          <w:sz w:val="28"/>
          <w:szCs w:val="28"/>
          <w:rtl w:val="true"/>
          <w:lang w:bidi="fa-IR"/>
        </w:rPr>
        <w:t>.</w:t>
      </w:r>
    </w:p>
    <w:p>
      <w:pPr>
        <w:pStyle w:val="Heading4"/>
        <w:numPr>
          <w:ilvl w:val="3"/>
          <w:numId w:val="1"/>
        </w:numPr>
        <w:rPr/>
      </w:pPr>
      <w:bookmarkStart w:id="498" w:name="__RefHeading___Toc2853575_2870459653"/>
      <w:bookmarkStart w:id="499" w:name="_Toc182"/>
      <w:bookmarkEnd w:id="498"/>
      <w:r>
        <w:rPr>
          <w:rtl w:val="true"/>
        </w:rPr>
        <w:t>عدم جريان أصالة البراءة في الشبهة المصداقيّة للمانع إذا كان الشكّ فيها مسبّباً عن الشكّ في حكم آخر</w:t>
      </w:r>
      <w:bookmarkEnd w:id="49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كلاماً آخر، وهو أنَّ التمسّك بالبراءة في المانعيّة الصغرويّة المشكوكة إنَّما هو فيما إذا لم تكن المانعيّة في الصلاة وعدمها متفرّعاً على حكم آخر، كما في مانعيّة لباس الحرير للرجال فإنَّه متفرّع على حرمة التلبّس به لهم مطلقاً، فلذلك جعل مانعاً عن الصلاة، وهكذا في لباس النجس فإنَّ مانعيّته فرع نجاسته، وحينئذٍ فإذا شكّ في صغرى الحرير أو النجس فلا يصحّ التمسّك بالبراءة في نفس حرمتهما الغيريّة والمانعيّة المشكوكة، </w:t>
      </w:r>
    </w:p>
    <w:p>
      <w:pPr>
        <w:pStyle w:val="BookText"/>
        <w:rPr/>
      </w:pPr>
      <w:r>
        <w:rPr>
          <w:rFonts w:ascii="Amiri" w:hAnsi="Amiri" w:eastAsia="Amiri" w:cs="Amiri"/>
          <w:color w:val="111111"/>
          <w:sz w:val="28"/>
          <w:sz w:val="28"/>
          <w:szCs w:val="28"/>
          <w:rtl w:val="true"/>
          <w:lang w:bidi="ar-SA"/>
        </w:rPr>
        <w:t>بل لا بدَّ من ملاحظة مقتضى الأصل في الحكم الذي جعلت المانعيّة متفرّعة عليه، فنأخذ بمقتضاه فيه ويتفرّع عليه حكم الشكّ في المانعيّة قهراً، كما هو الحال في كلّ شكّ سبّب عن الشكّ الآخر، ففي الشكّ في النجاسة مقتضى الأصل هو الطهارة، وبعد ما صار المشكوك طاهراً بحكم الأصل خرج عن كونه مانعاً عن الصلاة، وفي الشكّ في الحرير يحكم بالبراءة من حيث أصل التلبّس به للرجل الشاكّ في حريريّته، فمشكوك الحريريّة مثل مشكوك الخمريّة محكوم بالإباحة الظاهريّة، فإذا صار التلبّس به مباحاً في حال الشكّ يخرج عن كونه مانعاً في الصلاة لتفرّع المانعيّة على حرمة التلبّس المنفيّة بالأصل، وحينئذٍ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مانعيّة أجزاء الحيوان غير المأكول في الصلاة لا بنفسه بل من حيث حرمة أكل لحمه، فإذا شككنا في لباس أنَّه من المأكول أو غير المأكول فلا بدَّ من ملاحظة مقتضى الأصل في الشكّ في حرمة أكله، لا من حيث الشكّ في تذكيته أو قابليّته لها، فإنَّ الشكّ حينئذٍ يرجع إلى الشكّ في كونه ميتة أم لا، والأصل فيه عدم التذكية فيكون محكوماً بالنجاسة والميتة في مرحلة الظاهر فلا تجوز الصلاة فيه لذلك، بل إذا كانت قابليّته للتذكية وكذلك فعليّة تذكيته محرزة لكن نشكّ في أنَّه من الحيوان الذي يحرم أكل لحمه أم لا، كما إذا شاهدنا قطعة من اللّحم الذي نعلم بأنّه مذكّى فيكون طاهراً قطعاً لكن لا ندري أنَّه من الغنم مثلاً أو من الحيوان المذكّى الذي يحرم أكل لحمه، فتكون هذه القطعة مشكوكة الحرمة بنفسها لا من حيث الشكّ في تذكيتها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فإن عملنا فيه بالإباحة وحكمنا بإباحة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 بسائر الموضوعات المشتبهة مثل الخمر المشكوك والنجاسة المشكوكة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استصحاب أجزائه في الصلاة مباحاً ويخرج عن كونه مانعاً للصلاة، لا من جهة إجراء البراءة في حرمتها الغيريّة بنفسها، بل لأجل كون حرمته في الصلاة ومانعيّته لها متفرّعتان على حرمة أكله </w:t>
      </w:r>
    </w:p>
    <w:p>
      <w:pPr>
        <w:pStyle w:val="BookText"/>
        <w:rPr/>
      </w:pPr>
      <w:r>
        <w:rPr>
          <w:rFonts w:ascii="Amiri" w:hAnsi="Amiri" w:eastAsia="Amiri" w:cs="Amiri"/>
          <w:color w:val="111111"/>
          <w:sz w:val="28"/>
          <w:sz w:val="28"/>
          <w:szCs w:val="28"/>
          <w:rtl w:val="true"/>
          <w:lang w:bidi="ar-SA"/>
        </w:rPr>
        <w:t>المنفيّة بالأصل فترتفع مانعيّته تبعاً لهما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نلحقه بالشبهات الموضوعيّة الجارية فيها البراءة كما عرفت من المثال بل حكمنا فيه بالحرمة إلحاقاً له بالموضوعات التي حكموا فيها بالحرمة إلى أن يعلم الإباحة كما ذكروا في الأموال والأعراض والنفوس أنَّ الأصل فيها الحرمة عند الشكّ إلى أن يعلم الإباحة كذلك في اللحوم كما هو الجاري على ألسنتهم أنَّ الأصل فيها الحرمة، وحينئذٍ فإذا صار حراماً في مرحلة الظاهر فيصير مانعاً عن الصلاة كذلك، لا من جهة الشغل القطعي بالصلاة المقتضي للقطع بالبراءة الحاصلة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القائل بوجوب الاحتياط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تفرّع المانعيّة على حرمة الأكل وبعدما ثبتت الحرمة ولو بحكم الأصل ثبتت المانعيّة المتفرّعة عليها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فليس القول بالمانعيّة في صغرى الحيوان المشكوك في حلّيّته وحرمته وعدمها مبتنياً على أنَّ الشكّ في حرمته الغيريّة بل هو شكّ في التكليف الزائد في هذا المورد الخاصّ فتجري فيه البراءة أو لكونه راجعاً إلى الغير فيرجع الشكّ إلى الشكّ في امتثال ذلك الغير بعد القطع بوجوبه فيقتضي الاحتياط،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البراءة أو الاشتغال في نفس الحرمة الغيريّة والمانعيّة المشكوكة كما عرفت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مبنى المانعيّة والعدم هو ملاحظة مقتضى الأصل في حرمة ذلك الحيوان المشكوك في حلّيّته وحرمته، فإن قلنا بكونه من الشبهات الموضوعيّة التي تجري البراءة في حرمتها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حلالاً ظاهراً ويتبعه عدم مانعيّته كذلك، وإن ألحقناه بالشبهات الموضوعيّة التي يقتضي الأصل فيها الحرمة إلى أن تثبت الإباحة يصير حراماً ظاهراً ومانعاً كذلك تبعاً لحرمتها الظاهريّة، وحيث إنَّ الظاهر فيه هو الوجه الثاني يكون الظاهر هو المانعيّة الظاهريّة الموجبة للتحرّز عنه في الصلاة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في الشبهات الموضوعيّة التي يقتضي الأصل فيها الحرمة </w:t>
      </w:r>
      <w:bookmarkStart w:id="500" w:name="pg9111_108319"/>
    </w:p>
    <w:p>
      <w:pPr>
        <w:pStyle w:val="BookText"/>
        <w:rPr/>
      </w:pPr>
      <w:bookmarkEnd w:id="500"/>
      <w:r>
        <w:rPr>
          <w:rFonts w:ascii="Amiri" w:hAnsi="Amiri" w:eastAsia="Amiri" w:cs="Amiri"/>
          <w:color w:val="111111"/>
          <w:sz w:val="28"/>
          <w:sz w:val="28"/>
          <w:szCs w:val="28"/>
          <w:rtl w:val="true"/>
          <w:lang w:bidi="ar-SA"/>
        </w:rPr>
        <w:t>هو أن يكون حكمها الأصليّ الأوَّليّ هو الحرمة وتكون حلّيّتها بموجب عارض اقتضى الحلّيّة</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853577_2870459653"/>
      <w:bookmarkStart w:id="502" w:name="_Toc183"/>
      <w:bookmarkEnd w:id="501"/>
      <w:r>
        <w:rPr>
          <w:rtl w:val="true"/>
        </w:rPr>
        <w:t>أصالة الحرمة في أعراض المسلمين ودمائهم وأموالهم</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أعراض المسلمين فإنَّها في أنفسها مصونة يحرم هتكها، فإذا شككت في جواز هتكها من جهة الشكّ في صدق عنوان مبيح عليها فقد شككت في عروض ما يوجب ذلك، وبمجرّد احتمال وجود المبيح لا ترفع اليد عن حرمتها الأوَّليّة المعلومة في أنفسها،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عروض سبب الإباحة لا يوجب الأخذ بها بصرف الاحتمال إلّا إذا 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الدماء مصونة إلّا لعارض القصاص، فمجرّد احتمال عروض سبب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أنَّك تحتمل أنَّ زيداً قاتل أبيك فلذلك يجوز لك قتله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الأخذ به وترتيب آثاره إلّا بعد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الأموال، فإنَّ جواز التصرّف لأحد في الأملاك فرع كونه ملكاً له، فإن أحرز ذلك ولو بأصل أو أمارة فلا إشكال، وإلّا فبمجرد الاحتمال لا يجوز ترتيب آثار ملكيّته عليه،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تصرّفك في الأموال التي خرجت عن إباحتها الأصليّة ودخلت في ملك أحد إنَّما هو مقصور على كونه ملكاً لك ولا يثبت ذلك بمجرّد الاحتمال</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853579_2870459653"/>
      <w:bookmarkStart w:id="504" w:name="_Toc184"/>
      <w:bookmarkEnd w:id="503"/>
      <w:r>
        <w:rPr>
          <w:rtl w:val="true"/>
        </w:rPr>
        <w:t>أصالة الحرمة في اللحوم</w:t>
      </w:r>
      <w:bookmarkEnd w:id="50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لحوم الحيوان فحيث إنَّ قتل الحيوان والتغذّي بلحمه ظلم قبيح عقلاً في نفسه، إلّا إذا كان بإذن من خالقه ومالكه الحقيقي، فيخرج بذلك عن كونه كذلك، فيكون في نفسه قبيحاً حراماً إلّا لعارض الإذن والترخيص من المولى الحقيقي، وحينئذٍ </w:t>
      </w:r>
      <w:bookmarkStart w:id="505" w:name="pg9111_108320"/>
    </w:p>
    <w:p>
      <w:pPr>
        <w:pStyle w:val="BookText"/>
        <w:rPr/>
      </w:pPr>
      <w:bookmarkEnd w:id="505"/>
      <w:r>
        <w:rPr>
          <w:rFonts w:ascii="Amiri" w:hAnsi="Amiri" w:eastAsia="Amiri" w:cs="Amiri"/>
          <w:color w:val="111111"/>
          <w:sz w:val="28"/>
          <w:sz w:val="28"/>
          <w:szCs w:val="28"/>
          <w:rtl w:val="true"/>
          <w:lang w:bidi="ar-SA"/>
        </w:rPr>
        <w:t xml:space="preserve">فإذا شككت في صغرى الإذن في مورد فلا يجوز لك رفع اليد عن قبحه الثابت في نفسه بمجرّد احتمال عروض الرافع الخارجيّ، وحينئذٍ فالقطعة من اللّحم المشكوك كونه من الغنم أو من حيوان محرّم ثبتت تذكيته لا يجوز ارتكابه مع كونه قبيحاً نفسيّاً بمجرّد احتمال حدوث عارض الإذن الموجب لخروجه عن القبح، ولعلَّ هذا هو الوجه في ما تداول في 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أنَّ الأصل في اللّحوم هو الحرمة إلّا إذا ثبت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ظهر لك أنَّ المانعيّة في الصلاة إذا كانت متفرّعة على موضوع آخر وكان الشكّ في المانعيّة مسبّباً عن الشكّ في ذلك الموضوع،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الأصل في الشكّ في ذلك الموضوع وتتفرّع المانعيّة وعدمها عليه قهراً، وحينئذٍ فلا بدَّ لنا من استقصاء موارد المنع في الصلاة كي يعلم أنَّ المانعيّة في الكلّ متفرّعة على موضوع آخر أم في بعض دون بعض، وفي مورد التفرّع ما هو مقتضى الأصل في الشكّ السببي حتى يتفرّع عليه حكم الشكّ في المسبّب قهراً،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موارد المنع في الصلاة بعضها في خصوص اللباس، وهو كونه من الميتة أو ممَّا لا يؤكل لحمه أو حريراً محضاً أو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لخصوص الرجال الذين يحرم عليهم التلبّس بهما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في الأعمّ من المكان واللباس وهو الغصبية، وبعضها في البدن واللباس معاً وهو النجاسة، وكلّ ذلك لو تأمّلت هوينا ترى أنَّ المانعيّة فيها متفرّعة على موضوع آخر</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853581_2870459653"/>
      <w:bookmarkStart w:id="507" w:name="_Toc185"/>
      <w:bookmarkEnd w:id="506"/>
      <w:r>
        <w:rPr>
          <w:rtl w:val="true"/>
        </w:rPr>
        <w:t>مقتضى الأصل في الشكّ السببي في كون اللباس من الميتة</w:t>
      </w:r>
      <w:bookmarkEnd w:id="50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متفرّعة على كون اللباس من الميتة، فإذا شككت في كونه كذلك فتشكّ في كونه مانعاً، وحيث إنَّ الأصل عند الشكّ في كون شيء ميتة أم لا هو الحكم بعدم </w:t>
      </w:r>
      <w:bookmarkStart w:id="508" w:name="pg9111_108321"/>
    </w:p>
    <w:p>
      <w:pPr>
        <w:pStyle w:val="BookText"/>
        <w:rPr/>
      </w:pPr>
      <w:bookmarkEnd w:id="508"/>
      <w:r>
        <w:rPr>
          <w:rFonts w:ascii="Amiri" w:hAnsi="Amiri" w:eastAsia="Amiri" w:cs="Amiri"/>
          <w:color w:val="111111"/>
          <w:sz w:val="28"/>
          <w:sz w:val="28"/>
          <w:szCs w:val="28"/>
          <w:rtl w:val="true"/>
          <w:lang w:bidi="ar-SA"/>
        </w:rPr>
        <w:t>التذكية تترتّب عليه آثار الميتة في مرحلة الظاهر التي منها المانعيّة في الصلاة</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853583_2870459653"/>
      <w:bookmarkStart w:id="510" w:name="_Toc186"/>
      <w:bookmarkEnd w:id="509"/>
      <w:r>
        <w:rPr>
          <w:rtl w:val="true"/>
        </w:rPr>
        <w:t>مقتضى الأصل في الشكّ السببي في كون اللباس ممَّا يحرم أكل لحمه</w:t>
      </w:r>
      <w:bookmarkEnd w:id="510"/>
    </w:p>
    <w:p>
      <w:pPr>
        <w:pStyle w:val="BookText"/>
        <w:rPr/>
      </w:pPr>
      <w:r>
        <w:rPr>
          <w:rFonts w:ascii="Amiri" w:hAnsi="Amiri" w:eastAsia="Amiri" w:cs="Amiri"/>
          <w:color w:val="111111"/>
          <w:sz w:val="28"/>
          <w:sz w:val="28"/>
          <w:szCs w:val="28"/>
          <w:rtl w:val="true"/>
          <w:lang w:bidi="ar-SA"/>
        </w:rPr>
        <w:t>وفي الثاني متفرّعة على حرمة أكل لحمه المتفرّع على الشكّ فيها الشكّ في مانعيّته، وقد عرفت أنَّ مقتضى الأصل عند الشكّ في حرمة أكل اللّحم هو البناء على المنع إلى أن يثبت الجواز، فيكون مشكوك الحرمة محرّماً في مرحلة الظاهر المترتّبة عليه المانعيّة قهراً</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853585_2870459653"/>
      <w:bookmarkStart w:id="512" w:name="_Toc187"/>
      <w:bookmarkEnd w:id="511"/>
      <w:r>
        <w:rPr>
          <w:rtl w:val="true"/>
        </w:rPr>
        <w:t>مقتضى الأصل في الشكّ السببي في كون اللباس من الحرير أو الذهب</w:t>
      </w:r>
      <w:bookmarkEnd w:id="512"/>
    </w:p>
    <w:p>
      <w:pPr>
        <w:pStyle w:val="BookText"/>
        <w:rPr/>
      </w:pPr>
      <w:r>
        <w:rPr>
          <w:rFonts w:ascii="Amiri" w:hAnsi="Amiri" w:eastAsia="Amiri" w:cs="Amiri"/>
          <w:color w:val="111111"/>
          <w:sz w:val="28"/>
          <w:sz w:val="28"/>
          <w:szCs w:val="28"/>
          <w:rtl w:val="true"/>
          <w:lang w:bidi="ar-SA"/>
        </w:rPr>
        <w:t xml:space="preserve">وفي الثالث والرابع متفرّعة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تلبّسها على الرجال، فمانعيّتها في الصلاة لأجل حرمة تلبّسها عليهم، وحينئذٍ فإذا شككت في لباس أنَّه من صغرى الذهب أو الحرير حتى يحرم عليك تلبّسه فمقتضى الأصل هو الإباحة كالخمر المشكوك وغيره من المحرّمات المشكوكة، فإذا صار تلبّسه مباحاً خرج عن كونه مانعاً تبعاً للإباحة الظاهريّة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بكون كلٍّ من الحرير والذهب مانعاً بما هما في أنفسهما مع قطع النظر عن حرمة تلبّسهما تكون حرمة التلبّس أجنبية عن حيثيّة مانعيّتهما، وحينئذٍ فإباحة تلبّسهما ظاهراً لكونهما مشكوكين لا تفيد في رفع مانعيّتهما عن الصلاة، فلا بدَّ من ملاحظة مقتضى الأصل في حيثيّة الشكّ في مانعيّتهما من دون نظر إلى حرمة تلبّسهما أو إباحته، وحينئذٍ فمن يقول بأنَّ الشكّ في صغرى المانعيّة لكونه غيريّاً يرجع إلى الشكّ في امتثال ذلك الغير المعلوم وجوبه فلا بدَّ له من الاحتياط بترك تلبّسهما في الصلاة وإن جاز له ذلك في غير حال الصلاة للشكّ في حرمتهما النفسيّة المحكوم فيه بالبراءة، ومن يقول في الشكّ في صغرى المانعيّة بأنَّه راجع إلى الشكّ في التكليف الزائد في المورد المشكوك فلازمه البراءة في صغرى الحرمة الغيريّة والمانعيّة الصغرويّة المشكوكة، فيجوز </w:t>
      </w:r>
      <w:bookmarkStart w:id="513" w:name="pg9111_108322"/>
    </w:p>
    <w:p>
      <w:pPr>
        <w:pStyle w:val="BookText"/>
        <w:rPr/>
      </w:pPr>
      <w:bookmarkEnd w:id="513"/>
      <w:r>
        <w:rPr>
          <w:rFonts w:ascii="Amiri" w:hAnsi="Amiri" w:eastAsia="Amiri" w:cs="Amiri"/>
          <w:color w:val="111111"/>
          <w:sz w:val="28"/>
          <w:sz w:val="28"/>
          <w:szCs w:val="28"/>
          <w:rtl w:val="true"/>
          <w:lang w:bidi="ar-SA"/>
        </w:rPr>
        <w:t>له التلبّس بهما في الصلاة عملاً بالبراءة في حرمتهما الغيريّة المشكوكة</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853587_2870459653"/>
      <w:bookmarkStart w:id="515" w:name="_Toc188"/>
      <w:bookmarkEnd w:id="514"/>
      <w:r>
        <w:rPr>
          <w:rtl w:val="true"/>
        </w:rPr>
        <w:t>مقتضى الأصل في الشكّ السببي في كون المكان أو اللباس مغصوباً</w:t>
      </w:r>
      <w:bookmarkEnd w:id="515"/>
    </w:p>
    <w:p>
      <w:pPr>
        <w:pStyle w:val="BookText"/>
        <w:rPr/>
      </w:pPr>
      <w:r>
        <w:rPr>
          <w:rFonts w:ascii="Amiri" w:hAnsi="Amiri" w:eastAsia="Amiri" w:cs="Amiri"/>
          <w:color w:val="111111"/>
          <w:sz w:val="28"/>
          <w:sz w:val="28"/>
          <w:szCs w:val="28"/>
          <w:rtl w:val="true"/>
          <w:lang w:bidi="ar-SA"/>
        </w:rPr>
        <w:t>وفي الخامس تتفرّع المانعيّة على كونه ملك الغير، وحينئذٍ فإذا شككت في مكان أو لباس أنَّه لك أو لغيرك فإن ثبت بأصلٍ أو أمارة كونه لك فلا إشكال، وإلّا فلا يجوز لك التصرّف المتفرّع عليه مانعيّته للصلاة،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إباحة التصرّف في الملك إنَّما هي متفرّعة على كونه لك وإلّا فلا إباحة فيه أصلاً؛ لأنَّ الإباحة الأصليّة الأوَّليّة في الأشياء لا تكون في الأملاك، والإباحة الثابتة فيها متفرّعة على كونها ملكاً لك، فإن ثبت كونه لك وتحت سلطانك فتتفرّع عليه إباحة تصرّفك لكونه من لوازم سلطانك، وإن لم يثبت سلطانك عليه فلا تثبت فروعه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ذلك من قبيل الشبهة البدويّة التحريميّة، فكما أنَّك إذا شككت في حرمة شيء من جهة الشكّ في موضوعه كالمائع المشكوك كونه خمراً فيحكم بإباحته، كذلك في كون شيء ملكاً لك أو لغيرك، فقد شككت في حرمة التصرف وإباحته فيحكم بالإباحة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تحتاج في الحكم عليها بإثبات موضوعها في مرحلة الظاهر وإلّا فبمجرد الاحتمال لا يحكم عليه، بخلاف الإباحة فإنَّه لا تحتاج في الحكم عليها بإثبات موضوعها في الظاهر، بل يكفي احتمال وجوده في الحكم بإباحته، ولذلك يحكم في المائع المشكوك كونه خمراً أو مائعاً آخر بإباحته لاحتمال وجود المائع الآخر، كذلك يحكم في ما نحن فيه بإباحة التصرّف بمجرّد احتمال وجود موضوعه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فساد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الأشياء التي على الإباحة الأوَّليّة والرخصة العقليّة الأصليّة لو شككت في ورود منع فيها عن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شككت في كبرى </w:t>
      </w:r>
    </w:p>
    <w:p>
      <w:pPr>
        <w:pStyle w:val="BookText"/>
        <w:rPr/>
      </w:pPr>
      <w:r>
        <w:rPr>
          <w:rFonts w:ascii="Amiri" w:hAnsi="Amiri" w:eastAsia="Amiri" w:cs="Amiri"/>
          <w:color w:val="111111"/>
          <w:sz w:val="28"/>
          <w:sz w:val="28"/>
          <w:szCs w:val="28"/>
          <w:rtl w:val="true"/>
          <w:lang w:bidi="ar-SA"/>
        </w:rPr>
        <w:t xml:space="preserve">المنع أو بعد العلم بالكبرى شككت في صغراه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ترفع اليد عن إباحته الأوَّليّة الثابتة فيها في نفسها بمجرّد احتمال ورود المنع إلّا إذا ثبت فتأخذ به دون 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طرفي الاحتمال في الشبهة إن كان هو الإباحة الأوَّليّة الثابتة في نفسها والحرمة العرضيّة الثانويّة الواردة عليها من قبل الشارع، فلا تدري أنَّ الإباحة الأوَّليّة محفوظة باقية على حالها أو ارتفعت بورود المنع الثانوي عليها، فحينئذٍ لا ترفع اليد عن الإباحة الأوَّليّة الثابتة في نفسها بمجرّد احتمال ورود المنع إلّا إذا ثبت، وهذا هو الملاك في جريان البراءة في الشبهات التحريميّة بل الوجوبيّة صغرويّة أو كبرويّة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الحكم الأوَّلي الثابت في موردٍ هو الحرمة في نفسها إلّا لأسباب خاصَّة موجبة لعروض الجواز لأجل تلك الأسباب فحينئذٍ لا ترفع اليد عن الحرمة الأوَّليّة الثابتة فيها في نفسها بمجرّد احتمال عروض سبب الجواز على العكس من المفروض الأوَّل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الوجه في عدم إجرائهم البراءة عند الشكّ في التحريم في كلّ ما هو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الأعراض والنفوس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الإباحة الثابتة فيها ليست من باب الإباحة الأوَّليّة النفسيّة حتى تكون الحرمة الثابتة فيها حرمة عرضيّة ثانويّة واردة على الإباحة الأوَّليّة، بل الأمر على العكس من ذلك وكون الحرمة ثابتة فيها في نفسها والإباحة عارضة عليها لأسباب خاصَّة، فحينئذٍ لا ترفع اليد عن الحرمة الأوَّليّة الأصليّة بمجرّد احتمال عروض سبب الجواز، فالملك بما هو ملك إنَّما هو داخل في حريم مالكه وتحت سلطانه ليس لأحدٍ التصرّف فيه إلّا بإذن مالكه كائناً من يكون، فإن ثبت كونك مالكاً له يكون داخلاً في حريمك وتحت سلطانك، وإلّا فلا يجوز لك الدخول في حريم المالك بمجرّد احتمال كونك هو المالك</w:t>
      </w:r>
      <w:r>
        <w:rPr>
          <w:rFonts w:eastAsia="Amiri" w:cs="Amiri" w:ascii="Amiri" w:hAnsi="Amiri"/>
          <w:color w:val="111111"/>
          <w:sz w:val="28"/>
          <w:szCs w:val="28"/>
          <w:rtl w:val="true"/>
          <w:lang w:bidi="ar-SA"/>
        </w:rPr>
        <w:t xml:space="preserve">. </w:t>
      </w:r>
      <w:bookmarkStart w:id="516" w:name="pg9111_108324"/>
    </w:p>
    <w:p>
      <w:pPr>
        <w:pStyle w:val="Heading4"/>
        <w:numPr>
          <w:ilvl w:val="3"/>
          <w:numId w:val="1"/>
        </w:numPr>
        <w:rPr/>
      </w:pPr>
      <w:bookmarkStart w:id="517" w:name="__RefHeading___Toc2853589_2870459653"/>
      <w:bookmarkStart w:id="518" w:name="_Toc189"/>
      <w:bookmarkEnd w:id="516"/>
      <w:bookmarkEnd w:id="517"/>
      <w:r>
        <w:rPr>
          <w:rtl w:val="true"/>
        </w:rPr>
        <w:t>مقتضى الأصل في الشكّ السببي في كون البدن أو اللباس متنجساً</w:t>
      </w:r>
      <w:bookmarkEnd w:id="518"/>
    </w:p>
    <w:p>
      <w:pPr>
        <w:pStyle w:val="BookText"/>
        <w:rPr/>
      </w:pPr>
      <w:r>
        <w:rPr>
          <w:rFonts w:ascii="Amiri" w:hAnsi="Amiri" w:eastAsia="Amiri" w:cs="Amiri"/>
          <w:color w:val="111111"/>
          <w:sz w:val="28"/>
          <w:sz w:val="28"/>
          <w:szCs w:val="28"/>
          <w:rtl w:val="true"/>
          <w:lang w:bidi="ar-SA"/>
        </w:rPr>
        <w:t xml:space="preserve">وأمَّا السادس فالمانعيّة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متفرّعة على النجاسة، وحيث إنَّ الأصل فيها الطهارة إذا لم يكن استصحاب موضوعيّ في البين فالمانعيّة مرتفعة ظاهراً بارتفاع النجاسة في الظاهر</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853591_2870459653"/>
      <w:bookmarkStart w:id="520" w:name="_Toc190"/>
      <w:bookmarkEnd w:id="519"/>
      <w:r>
        <w:rPr>
          <w:rtl w:val="true"/>
        </w:rPr>
        <w:t>عدم جريان أصالة البراءة في الشبهة المصداقيّة للقاطع</w:t>
      </w:r>
      <w:bookmarkEnd w:id="520"/>
    </w:p>
    <w:p>
      <w:pPr>
        <w:pStyle w:val="BookText"/>
        <w:rPr/>
      </w:pPr>
      <w:r>
        <w:rPr>
          <w:rFonts w:ascii="Amiri" w:hAnsi="Amiri" w:eastAsia="Amiri" w:cs="Amiri"/>
          <w:color w:val="111111"/>
          <w:sz w:val="28"/>
          <w:sz w:val="28"/>
          <w:szCs w:val="28"/>
          <w:rtl w:val="true"/>
          <w:lang w:bidi="ar-SA"/>
        </w:rPr>
        <w:t xml:space="preserve">هذا كلّه في النواهي الغيريّة المعبّر عنها في لسان الفقهاء بالموانع، وأمَّا ما يعبّرون عنها بالقواطع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كالضحك وكلام الآدمي والفعل الكثير والأكل والشرب و البكاء على الدنيا والحدث والاستدبار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في الكلّ أنَّ كونها قاطعة إنَّما هو من جهة اعتبار صفة وجوديّة في الصلاة يكون وجود كلّ واحد من تلك الأمور مضاداً معها، فتكون مبطلة من جهة منافاتها مع تلك الصفة كما هو واضح في الحدث والاستدبار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شككت في صغرى القهقهة أو كلام الآدمي وهكذا في البواقي فمقتضى العلم باعتبار تلك الصفة الخاصَّة شرطاً أو جزءً وجوديّاً في الصلاة في كلّ قاطع بحسب ما يقابله هو إحراز وجودها، ولا يحصل إلّا بترك كلّ ما يحتمل أن يكون من مصاديق تلك الأمور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القواطع من قبيل الموانع محرّمات غيريّة في الصلاة لا من جهة كون كلّ واحد منها مضاداً مع صفة وجوديّة اعتبرت في قوام الصلاة شرطاً أو جزءاً، بل كان قوام الصلاة في وجودها وتماميّتها في نفسها بأجزائها وشرائطها الوجوديّة من غير مدخليّته لتلك القواطع في تقوّم الصلاة وتأثيرها في نفسها أصلاً، كما هو الحال في كلّ </w:t>
      </w:r>
    </w:p>
    <w:p>
      <w:pPr>
        <w:pStyle w:val="BookText"/>
        <w:rPr/>
      </w:pPr>
      <w:r>
        <w:rPr>
          <w:rFonts w:ascii="Amiri" w:hAnsi="Amiri" w:eastAsia="Amiri" w:cs="Amiri"/>
          <w:color w:val="111111"/>
          <w:sz w:val="28"/>
          <w:sz w:val="28"/>
          <w:szCs w:val="28"/>
          <w:rtl w:val="true"/>
          <w:lang w:bidi="ar-SA"/>
        </w:rPr>
        <w:t>مانع بالقياس إلى المقتضي الذي يقابله، فإنَّ قوام المقتضي إنَّما هو بنفس وجوده وما يكون دخيلاً في وجوده من الأجزاء والشرائط الوجوديّة من دون أن يكون لكلّ مانع مدخليّة في تقوّم المقتضي وما يترتّب عليه من الآثار وإنَّما هو مضرّ ومخلّ في ترتّب أثر المقتضي عليه، فلذلك اعتبر عدمها لا من جهة كون عدمها مؤثراً في قوام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فالقواطع أيضاً كالموانع أمور يكون كلّ واحد منها مخلّا ً في ترتّب أثر الصلاة عليها، فلذلك اعتبر عدمها لا من جهة أنَّ عدمها مقارن مع صفة وجوديّة اعتبرت قيداً وجوديّاً في الصلاة، وعلى هذا تكون الصلاة عبارة عن أمور وجوديّة شرطاً أو شطراً بها قوام الصلاة، وعن أمور أخرى يكون وجودها منافراً ومخلّا ً لترتّب أثرها عليها فاعتبر عدمها، وحينئذٍ يكون التكليف بالصلاة عبارة عن أوامر خاصَّة متعلّقة بتلك الوجوديّات التي بها قوام المركّب وعن نواهٍ متعلّقة بكلّ ما يخلّها وينافرها من غير فرق في ذلك بين الموانع والقواطع، وحينئذٍ يكون الشكّ في صغرى كلّ واحد منهما شكّاً في تعلّق النهي بها في الصلاة على حذو الشكّ في جميع الشبهات الموضوعيّة المحكوم فيها بالبراءة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أنَّ القواطع ليست من قبيل الموانع، والتفصيل في كلِّ واحد منها واستفادة الصفة الوجوديّة الخاصَّة المعتبرة في الصلاة التي يضادها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521" w:name="pg9111_108326"/>
    </w:p>
    <w:p>
      <w:pPr>
        <w:pStyle w:val="Heading3"/>
        <w:numPr>
          <w:ilvl w:val="2"/>
          <w:numId w:val="1"/>
        </w:numPr>
        <w:rPr/>
      </w:pPr>
      <w:bookmarkStart w:id="522" w:name="__RefHeading___Toc2853593_2870459653"/>
      <w:bookmarkStart w:id="523" w:name="_Toc191"/>
      <w:bookmarkEnd w:id="521"/>
      <w:bookmarkEnd w:id="522"/>
      <w:r>
        <w:rPr>
          <w:rtl w:val="true"/>
        </w:rPr>
        <w:t>مصادر المقدّمة والتحقيق</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وإخراج السيد حسن الأمين، دار التعارف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إسماعيل المحلّاتي، ط حجر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الأبحاث عن أحكام النفقات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إسماعيل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المؤلّف بقلم السيد هاشم الرسولي المحلّاتي، مطبعة الحكمة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السيد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الحبل المتين، الشيخ بهاء الدين محمَّد بن الحسين بن عبد الصمد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 مؤسسة النشر الإسلامي التابعة لجماعة المدرسين في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المطبعة العلميّة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الناشر مجمع الفكر الإسلامي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حكم الصلاة في اللباس المشكوك بقلم أحد تلامذة الميرزا محمَّد حسن المجدّد الشيرازي المطبوع منضمّاً إلى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المكاسب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المحقّق النائيني للعلّامة الشيخ محمد تقي الآملي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الشيخ ميرزا محمَّد باقر الزنجاني، بقلم السيّد مرتضى النجومي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گفتارخوش يارقلي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بن إسماعيل محلاتي غروي تصحيح هدايت الله مسترحمي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السيد شهاب الدين المرعشي النجفي منشورات فرهاني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ﻫ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أبرار مجموعة في تراجم علماء الإسلام باللغة الفارسية بقلم جمع من المحققين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شيخ إسماعيل محلّاتي بقلم نور الدين علي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اللباس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حسين الغروي النائيني، نسخة مخطوطة مصحّحة بقلمه الشريف من مقتنيات مكتبة السيد علي الحسيني السيستاني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أحمد بن محمَّد الأردبيلي،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الناشر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حسين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الحسن بن يوسف بن مطهر الحلي،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عباس القوجاني،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وسيلة الوصول إلى حقائق الأصول، تقرير السيد أبو الحسن الموسوي الأصفهاني، بقلم الميرزا حسن السيادتي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القياس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الجمع بين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الفارق الإثباتي بين علّة الحكم وحكمة التشريع، وهناك فارق ثبوتي تركنا الخوض فيه إلى محله، ومن أراد فليراجع أصول الفقه للشيخ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التيمّم،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العناوين الواردة في الروايات متعددة،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المسكر والنبيذ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والنبيذ والمسكر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النبيذ يكسرونه بالماء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نجاسة الخمر والنبيذ والفقاع وكل مسكر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أبي 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الحرّ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الموجود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عنها 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مصححة الحسن بن أبي سارة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المستمسك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 الحسن بن أبي سارة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مصباح المنهاج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 الحسن بن أبي سارة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أصح سنداً وأوضح دلالة حيث إنَّها صريحة في الخمر وفي قبل الغسل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روى عن أبي جعفر وأبي عبد الله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أبو جعفر العطار الأشعري من مشايخ الكليني يروي عنه كثيراً، وأما الصدوق فيروي عنه بواسطة أحد مشايخه، وأما الطوسي فطريقه إليه في مشيخة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عبيد الله، وأبو الحسين ابن أبي جيد جميعاً عن أحمد بن محمد بن يحيى عن أبيه محمد ين يحيى العطار، وله أيضاً طرق أخرى بإسناده عن محمد بن يعقوب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ترجمة يعقوب أنه من أصحاب الكاظم والرضا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في ترجمة محمد بن أبي عمير، الرقم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ولا يخفى أنه هو وصفوان والبزنطي من الطبقة السادسة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عند ذكر عنوان محمد بن أبي عمير، الرقم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الشيخ من أنه لم يروِ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 ما ذكره النجاشي من أنّه سمع منه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أنّه يؤيد قول النجاشي رواية له 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افتتاح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الرواية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أبي سارة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قرب الإسناد، وهي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معتبرة بناءً على أنّ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سند معتبر إلى الشيخ الطوسي، والشيخ له سند معتبر إلى كتب عبد الله بن جعفر كما هو المعروف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عند 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موسى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ابن أبي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جِيد من مشايخ النجاشي، وأيضاً من مشايخ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كون الشخص من مشايخ الإجازة المعروفين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كانوا يُقصدون من الرواة ليُجاز لهم في دفع الكتاب والرواية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يولّد اطمئناناً بكونه ثقة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موسى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موسى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معمّر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مسلم وطبقتهم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بكتابه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الثياب وغيرها من النجاسات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يبعد إرادة النبيذ الغير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هذه الرواية على خلاف المطلوب أدل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من المكنين بأبي بكر الحضرمي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اللواط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اللواط على الفاعل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رجال تفسير القميّ حيث ورد في رواية في تفسير سورة المائدة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عَلَّمْتُمْ مِنَ الْجَوَارِحِ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وكامل الزيارات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الحرّ في ذيلها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العلل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الحسين وعلي بن إسماعيل ويعقوب بن يزيد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الصباح وأبي سعيد والحسن النبّال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الرخصة في الصلاة في ثوب أصابه خمر وودك 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وسئل أبو جعفر وأبو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يقتضي سقوط الرواية في تمام المدلول عن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لعدم تعقّل التبعيض في الحجية في أمثال المقام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لكون ذلك أمارة نوعية على وجود خلل في الرواية بنحو يسلب الوثوق بها ويخرجها عن دليل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معتبرة لاسيمّا أنَّ الأربعة الذين يروون الرواية فيهم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في اتفاق أربعة لم يثبت ضعف واحد منهم من تعزيز لسند الرواية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صاحب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يستثنى ممّا لا يؤكل الخز الخالص غير المغشوش بوبر الأرانب والثعالب وكذا 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علّقه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بحثه عن جلد ووبر السنجاب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سقوط الرواية عن الحجيّة في بعض مدلولها لمانع مختصّ به لا يلازم سقوطها في البعض الآخر؛ فإنَّ التفكيك في مفاد الدليل غير عزيز في الفقه، والسرّ أنَّ الرواية المشتملة على حكمين تنحلّ في الحقيقة إلى 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الراوي روى مرة جواز الصلاة في 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 جوازها في 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للأولى معارض أوجب سقوطها عن الحجيّة فلا مقتضي لرفع اليد عن الثانية السليمة عنه، نظير ما أخبرت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الشبهات الموضوعية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طهارة الثوب والإناء، وقد علمنا بنجاسة الثوب فإنَّ سقوطها فيه لا يستوجب السقوط عن الحجيّة في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12/194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الفقيه، وكذلك رواها الشيخ في 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لطرق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والعمركي بن علي البوفكي النيسابوري وثّقه النجاشي، وهو من 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في خدمة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بن جعفر في التهذيب واحدٌ،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مشايخ النجاشي، وشيخ إجازة، وكثير الرواية،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ممَّن ترضّى عنه الصدوق، 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ذكرته عن علي بن جعفر أخبرني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عن أحمد بن محمد بن يحيى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وللشيخ طريقان في الفهرست عند الرقم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معتبر، والثاني معتبر بناءً على أنَّ المراد بأحمد بن محمد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الفهرست في بداية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كتاب المناسك ومسائل لأخيه موسى الكاظم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عنها أخبرنا بذلك جماعة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هو المرجع في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المتيقن رجوعه إلى المسائل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عن محمد بن أحمد بن يحيى عن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لقرب احتمال أنْ تكون شبهتها في حليّة الانتفاع بالخمر وجواز التمشط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الرواية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 علي الواسطي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أنَّ الأرض لا تخلو من حجة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تامّ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حسان الواسطي أبو الحسن القصير المعروف بالمنمس عمّر أكثر من مائة سنة، وكان لا بأس به،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سعدان بن مسلم له كتاب يرويه عدة من أصحابنا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جميلة المفضل بن صالح هو محل كلام وخلاف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وهي 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الرقاق تعمل بسابور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إليها السابري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الأشعري القمي هو من الطبقة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جلّهم من أصحاب الجواد والهادي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كتب وهو من أصحاب الرضا والجواد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عن الشيخ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ويروي عنه كثيراً محمد بن يحيى، ويروي هو كثيراً عن الحسين بن سعيد الأهوازي كما في المقام حيث المراد من الحسين هو ابن سعيد الأهوازي ويتضح ذلك بمراجعة أسانيد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السيد البروجردي في حاشية مقدمته على جامع الرواة أنَّ ما رواه الشيخ عن أحمد بن محمد بن عيسى يقرب من مائتين وألف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قرب الإسناد فقط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الحسن بن مالك بن جامع الحميري، أبو العباس القمي، وثّقه الشيخ، وعن النجاشي أنَّه شيخ القميين ووجههم، من أصحاب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أنَّه ليس له رواية عن الرضا والجواد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وثّقه الشيخ،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كليب بن معاوية بن جبلة الصيداوي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وإن لم يذكر بشيء، ولكن الظاهر أنَّه ثقة لأكثر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روى عنه ابن أبي عمير بسند تامّ كما في الكافي باب في ترك دعاء الناس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وكذلك بسند تامّ في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وكذلك عنه صفوان بسند تامّ كما في الكافي باب التسمية والتحميد والدعاء في الطعام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وكذلك بسند تامّ في باب أن رسول الله حرّم كل مسكر قليله وكثيره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الأكل في أواني الكفار مع العلم بتنجيسهم لها لا مع 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وفي هامش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 على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فيه 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توجيهه بأن عين الخمر هنا موجودة بخلاف إصابة الثوب منها فربّما كان للعين أثر لا يكون للأثر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وتعليقاً على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يجوز الصلاة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أخبارٌ بالنهي عن الصلاة في بيت فيه خمر وحملها الأصحاب على الكراهة لاستعمالهم عدم الجواز في الكراهة كثيراً والأحوط أنْ لا يصلي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مقتضى دليل حجيّة الخبر، ويراد من الأصل الثانوي الأخبار العلاجيّة للموقف بين المتعارضين الذاكرة للمرجّحات العامة حتى يتضح ما هو الحجّة فعلاً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يشملهما ثُمّ يتساقطان كما يوهمه لفظ التساقط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سندها سهل بن زياد، فإنْ بنينا على وثاقته كانت معتبرة وإلاّ فهي رواية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النصوص الواردة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في بيان الحكم الواقعي الشرعي الأولي الثابت في أصل التشريع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القابل للتغيير في فرض عدم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فالأصل الأولي أنَّ الرواية تصدر بداعي بيان الحكم الواقعي، وليس الأصل الأولي هو الحكم الفعلي للمكلف الثابت لأجل التقيّة ونحوها القابل للتغيير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للمحقق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ذكر هذا الوجه علماء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مصباح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8/396</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صحيح علي بن مهزيار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خيران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يدلان على تحقّق المعارضة بين نصوص الطهارة وطائفة من نصوص النجاسة، وهي الناهية عن الصلاة في الثوب الذي أصابته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 دلالتها على النجاسة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وتقديم تلك النصوص على نصوص الطهارة وعليه فلا مجال للعمل 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وفي القواعد الفقهية للسيد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فبملاحظة هاتين الروايتين يتعيّن الأخذ بأخبار النجاسة وترك الطائفة الأخرى وردّ علمها إلى أهلها أو حملها على 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واقتصر الشيخ حسن صاحب المعالم في كتابه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الخمر على ذكر معتبرة ابن مهزيار فقط ولم يذكر غيرها، وقال صاحب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اختار حمل الأخبار الدالة على الطهارة على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ردّه على الوجه الثاني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ما ذكره الفاضل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يمكن أنْ يكون المراد بقول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الذي مع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التعبير بهذه العبارة المشتبهة للتقيّة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ممّا لا يروج إلّا على الصبيان العادمي الأفهام والأذهان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مقتضى الجمع العرفي لمّا لم يكن واقعياً قطعياً، بل كان ظاهرياً ظنياً فهو لا يمنع من السؤال الموصل للحكم الواقعي وليس هو كالسؤال عن أخبار التعارض العامة؛ لأنَّ الغرض منها لمّا كان هو معرفة الوظيفة الظاهرية كان منصرفاً عمّا إذا كانت معلومة بطريقة الجمع العرفي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المحكم في أصول الفقه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رواية الطهارة المنقولة عن زرارة هي الأقرب للحكم الواقعي، وما رواه غير زرارة هو الذي يحمل على وجوه أخرى من تقيّة ونحوها، لأجل فقاهة زرارة، ومعرفته بوجوه الكلام، واختصاصه بالإمام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يطلعه على ما يخفيه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المواريث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الولد مع أبويه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خيران أوضح في النظر إلى الحكم الواقعي وفي أنَّها ليست من الأخبار العلاجية؛ لأنَّ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صار في مقام بيان الحكم الواقعي معللاً ذلك بأنَّه رجس، ومعه فعدم الحكومة في المقام أوضح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رواه زرارة من عدم البأس هو روايتان مستقلتان؛ لأنَّ زرارة لم يروِ ذلك عنهما معاً في مجلس واحد، بل عن كلٍّ مستقلاً وبالتالي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بقول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قرينة على أنّه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منفرداً الذي رواه غير زرارة، بل يكون مجملاً بين النقلين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وليفهم السائل الأخذ بقول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فإنَّ الحكم حتى لو كان هو الطهارة لكن الاجتناب فيه تنزيه واحتياط، وليكن إجمال الجواب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لمصلحة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تفريط بالحكم الشرعي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كالتنفير من الخمر وعدم الاقتراب منها بأي شكل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الأمر بإعادة الصلاة من ناحية كونه مانعاً من الصحة ولا يتعيّن حمله على النجاسة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الوجه إنَّما تصل النوبة إليه بناءً على بطلان وعدم تمامية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تقتضي الصناعة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صراحة أو نصّ في أخبار النجاسة حتى في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يبل الميل ينجس حباً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يمكن حمله على النجاسة التنزيهية الاستحبابية بخلاف أخبار الطهارة، ولو قبلنا صراحتها فهي ضعيفة سنداً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رواية أو معتبرة علي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فيه إلّا أنْ تقذره فتغسل منه موضع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الحسين بن أبي سارة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إلّا أنْ تشتهي أنْ تغسله لأثره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النيّرة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والجمع العرفي يقتضي حمل الأولى على الاستحباب، ولو فرض تعذره فالترجيح مع نصوص الطهارة لمخالفتها للمشهور بين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الاردبيلي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والجمع بحمل ما يدل على وجوب الغسل على الاستحباب أولى من حمل ما يدل على عدمه على التقيّة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ذكره لأخبار متعارضة في مبحث وقت نافلة الظهر والعصر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والأظهر عندي أنَّ منشأ هذا الاختلاف في الأخبار إنَّما هو التقيّة التي هي أصل كل محنة في الدين وبلية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الوجه الرابع الآتي وهو حمل الأخبار على التقيّة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لاحظ كلامه في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قدّمنا في غير موضع أنَّه وإن اشتهر هذا الجمع بين الأصحاب إلّا أنَّه لا دليل عليه من سُنّة ولا كتاب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غير المستقر هو ما يجمع العرف بينهما لو عرضا عليه، كما هو الحال في العامّ والخاصّ فالعرف يرى الخاصّ قرينة مفسرة للمراد من العام ولئنْ كان بينهما تعارض فهو غير 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قاعدة الجمع العرفي هو أنّ كل ظهور حجّة ويؤخذ به ما لم يصدر من المتكلم ظهور ثانٍ أعدّه مفسراً للظهور الأول، وإلّا أخذ العقلاء بالظهور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بالقرينة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الظهور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القمرينة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المرجّح الصدوري هو ما يوجب قوة الظن بصدور الخبر كالأوثقية والشهرة في الرواية وقلة الوسائط، وأمّا المرجح الجهتي فهو ما يوجب الظن بصدور الكلام لبيان الحكم الواقعي والمراد الجدي في مقابل صدوره لغرض آخر من تقيّة أو نحوها كمخالفة العامة على بعض الوجوه، وأما المرجّح المضموني فهو ما يوجب قوة الظن بتحقّق مضمون الخبر ممّا هو خارج عنه سواء كان معتبراً في نفسه كعموم الكتاب، أم فيه كلام كالشهرة في الفتوى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تقدّم فكرة إعمال الجمع العرفي على إعمال المرجحات لم تكن واضحة كوضوحها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فتحكيم نصوص العلاج في موارد الجمع العرفي قاضٍ بإلغائه رأساً وعدم كون قوة الدلالة مرجحاً لو بني على الاقتصار على المرجحات المنصوصة، وإنْ بني على التعدي عنها فلا وجه لتأخره عن بقية المرجحات، بل يكون في عرضها أو مقدماً عليها لتقدمه طبعاً بنظر العرف، فلاحظ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هذا بعد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لا يمكننا علاج المعارضة بموافقة الكتاب ومخالفة العامّة؛ لأنّ الكتاب لا يدل على النجاسة أو الطهارة، وأمّا مخالفة العامّة فلأنَّ كُلّا ً من الطائفتين موافقة للعامّة من جهة، ومخالفة لهم من جهة أخرى، فإنَّ العامّة على ما نسب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ملتزمون بنجاستها، وعليه فروايات الطهارة متقدمة لمخالفتها مع العامّة، إلّا أنَّ ربيعة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من أحد حكامهم وقضاتهم المعاصرين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يرى طهارتها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أخبار النجاسة مخالفة للعامّة من حيث عملهم، كما أن أخبار الطهارة مخالفة لهم من حيث حكمهم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الجمع العرفي الدلالي المقبول أنْ يفرض الدليلان المنفصلان متصلين ومجتمعين في كلام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في نظر العرف بمثابة القرينة وذيّها فكان أحدهما مانعاً من انعقاد الظهور الحجّة في الآخر بأنْ كان شارحاً للمراد منه لم تكن 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عدّا في نظر العرف متباينين وكان الصدر والذيل متهافتين فتستقر المعارضة ولا يمكن الجمع الدلالي فيصل الأمر إلى إعمال المرجّحات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 لو جُمعا وفرضناهما متصلين كان ذلك في نظر العرف من قبيل المتنافيين والمتناقضين والمتدافعين والمتباينين، وكذلك الحال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فيه 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عن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فيه 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فالصدر ينافي ويضادّ الذيل بحسب الفهم العرفي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يجمع بالحمل على الاستحباب فالتنافي والتدافع بين اللسانين موجود في نظر العرف بحيث لا قرينية لأحدهما على الآخر فلا جمع عرفي فلا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زكاة وليس فيه 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صريح في الجواز والثاني صريح في عدم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صريحان في الحكمين المتناقضين،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أكل الغراب ليس بحرام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أكل شيء من الغربان زاغٍ ولا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فالتعارض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تعارض مستقر،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أنكحها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نكاحه وإنْ كانت كارهة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ذلك برضاها فإنَّ لها في نفسها 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نصّ في استقلال الأب والثاني نص في التشريك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هو ظاهر فيه فنرفع اليد عنه لصراحة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رواية إسماعيل بن جابر من كتاب 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تدعه تحريماً له ولكن دعه تنزهاً له وتنجساً له؛ إنّ في آنيتهم الخمر ولحم الخنزير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يدعى أن مقتضى الجمع العرفي حمل نصوص النجاسة على استحباب الغسل المطهر أو كراهة الاستعمال لكنه لا يناسب بعض نصوص الطائفة الأولى كحديث يونس المقتضي غسل الثوب كله عند الجهل بموضع الملاقاة وإعادة الصلاة إذا وقعت معه وصحيح عبد الله بن سنان وخبر أبي بصير المتضمنين التعبير بالنجس ومعتبر ابن حنظلة الظاهر في شدة أمر الخمر، ولا بعض نصوص الطائفة الثانية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علي بن رئاب إلا أن تقذره فتغسل منه موضع الأثر لظهوره في أن الغسل لاستقذار المكلف لاستقذار الشارع له ولو بمرتبة يقتضي كراهة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يمكن المناقشة من خلال ملاحظة الروايات المشار إليها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السيد الحكيم في المستمسك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يوهن الجمع العرفي هو رجوع ابن مهزيار إلى الإمام فهو يبيّن عجزه عن الجمع العرفي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فالتعارض بين روايتي الطهارة والنجاسة مستحكم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جديدة، وأيضاً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الاستدلالي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العرف يفهم المراتب المشككة في الأحكام الإرشادية الوضعية عندما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البول يحتاج إلى غسل عدد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تكن النجاسة بولاً فيحتاج إلى الغسل بعدد كذا أو يكفي كذا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الفقه الاستدلالي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اقتصادنا الملحق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الملاحق المذكورة في نهاية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دامت بركاته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 روحاً يتحد مع الوجه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الفقه الاستدلالي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نسبها إلى الشيطان وهي أجسام من فعل الله لما يأمر به الشيطان فيها من الفساد فيأمر بشرب المسكر ليزيل العقل، ويأمر بالقمار ليستعمل فيه الأخلاق الدنيّة، ويأمر بعبادة الأصنام لما فيها من الشرك بالله، ويأمر بالأزلام لما فيها من ضعف الرأي، والاتكال على الإنفاق، وقال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في الميسر اللعب بالشطرنج، والنرد، وغير ذلك من أنواع القمار، حتى أن لعب الصبيان بالجوز من القمار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الترجيح بالكتاب في محل الكلام يتمّ بناءً على أنَّ إطلاق الكتاب مرجّح أيضاً كعموم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بناءً على أنَّ الترجيح مخصوص بما إذا كان هناك عموم للكتاب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رأي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الكتاب مرجّحاً حينئذ</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ح</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ثم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معتبرة ابن مهزيار وحمل قولهما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على التقية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لعبد الله بن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الجامع لأحكام القرآن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وعن جامع الأحكام الفقهية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 لمحمد الشربيني الخطيب من علماء الشافعية في القرن العاشر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والجامع لأحكام القرآن للقرطبي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لمحي الدين النووي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عبارته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ربيعة شيخ مالك وداود أنَّهما قالا هي طاهرة وإنْ كانت محرّمة كالسمّ الذي هو نبات وكالحشيش المسكر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افترضنا بعض نصوص الطهارة من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عدم تعقل اتقائه من ليث في غاية الوضوح؛ لأنَّ ليثاً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عمره حين وفاة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عشرين عاماً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الحبل المتين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نصوص النجاسة تحمل على التقية لأنَّها موافقة لمشهور فقهاء العامّة إلاّ ما شذّ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نصوص الطهارة فمخالفة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خالف العامّة ففيه الرشاد كما في مقبولة عمر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يلاحظ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أخبار النجاسة فيها نوع من التأكيد البالغ والحث الشديد على التجنب والأمر بغسل الملاقي ثلاث مرات، ولو كان الأمر كذلك لما ذهب المشهور إلى النجاسة، مضافاً إلى أنَّه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 القليل من العامّة بالطهارة لا يقتضي نسبة صدق مخالفة العامة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الروايات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الخمر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والمحمول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ومشتريها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وآكل ثمنها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لا يتقون في 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معتبرة زرارة عن غير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المسح على الخفين تقية؟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يتقى في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الخمر أو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والمسح على الخفين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ومتعة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المسكر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 المستحدثة للسيد محمد صادق الروحاني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نجاسة الخمر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مع ذلك كله يتعيّن تقديم نصوص النجاسة للشهرة؛ فإنَّ أول المرجّحات هي الشهرة الفتوائية على ما حُقّق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نجاسة الخمر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أشكل على ذلك السيد الحكيم في المحكم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إشكالات وانتهى إلى أنَّ الشهرة الروائية مرجّح بين الحجّتين، وقال في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تحصّل من جميع ما ذكرنا أنَّ المرجحات المنصوصة تنحصر بالشهرة في الرواية، وموافقة الكتاب والسُّنة ومخالفة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اقتصر عليها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في ما سبق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ما عداها مما تعرضت له النصوص إمَّا لا تنهض نصوصه بإثباته لضعفها سنداً ودلالةً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يرجع للترجيح بين الحجّتين المتعارضتين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إلى وجوب العمل بالحجّة منهما فلاحظ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من ذهب إلى أنَّ المراد الشهرة الفتوائية وممّا استدل به على أنَّ الشهرة ليست شهرة روائية محضة، بل هي الشهرة الفتوائية الموافقة للرواية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أنَّها بيّنة الرشد فإنَّ مجرد اشتهار الرواية مجردة عن الفتوى من دون الاعتماد عليها والعمل بها لا يجعلها ممّا لا ريب فيه، بل يكون من الإعراض الذي يزيد في الريب، فما هو المرجّح للرواية عند التعارض هو الشهرة العملية، فالذي يوصف بأنَّه لاريب فيه هو الذي عليه الشهرة الفتوائية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ذهب إلى أنَّ المراد بالمقبولة الشهرة الفتوائية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وأنَّها أحد المرجّحات المنصوصة عند التعارض بين الخبرين الواجدين لشرائط الحجية الشيخ المنتظري وأستاذه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للشيخ المنتظري،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البدر الزاهر في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عرفت مراراً أنَّ الشهرة الفتوائية كانت بمرتبة من الأهمية عند الشيعة بحيث كانوا يطرحون لأجلها الأخبار المخالفة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ويحملونها على التقية أو محامل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أيضاً 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يظهر منه ذلك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نجاسة الخمر، وفي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فالشهرة الفتوائية بقيامها تمتاز الحجّة عن اللاحجّة وأن المشتهر بين الأصحاب فتوىً بَيِّن رشده فيتبع والشاذ النادر بَيِّن غيّه فيجتنب،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من إعمال قواعد التعارض فيها من الأخذ بما هو الموافق للكتاب أولاً، ومع فقده الأخذ بما يخالف العامّة، وهذان الترجيحان للمجوّز على ما حكي من كون المنع مذهب أكثر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الرجوع إلى المرجّح إنَّما هو بعد عدم إحراز الشهرة الفتوائية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قُرِّر في محله من أنَّها لتميز الحجّة من غيرها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ما نحن فيه من نجاسة الخمر ليس من الإجماعات القطعية التي لا كلام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المسألة ليست محلّ شهرة واضحة بين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يظهر من معتبرة ابن مهزيار ورواية خيران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الشهرة نشأت بين المتأخرين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ظهر لي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متى تعارض الخبران على وجه لا يمكن ردّ أحدهما إلى الآخر فالواجب أولاً العرض على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الترجيح بالعرض على مذهب القوم والأخذ بخلافهم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مع عدم إمكان العرض على مذهبهم فالأخذ بالمُجمع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فهذه القواعد الثلاث لا يمكن الاختلاف فيها بعد إعطاء التأمل حقه في الأخبار في مقام الاختلاف، وإعطاء النظر حقه من التحقيق والإنصاف، ومع عدم إمكان الترجيح بالقواعد الثلاث فالأرجح الوقوف على ساحل الاحتياط، وإنْ كان ما اختاره شيخنا الكليني ثقة الإسلام من التخيير لا يخلو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أخبار الاحتياط عموماً وخصوصاً أكثر عدداً وأوضح سنداً وأظهر 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الترجيح بالأوثقية والأعدلية فالظاهر أنَّه لا ثمرة له بعد الحكم بصحّة أخبارنا التي عليها مدار ديننا وشريعتنا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أبي جمهور الإحسائي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العلامة مرفوعاً إلى زرارة بن أعين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بحثه عن اختلاف مقبولة عمر بن حنظلة ومرفوعة زرارة في الترتيب بين طرق الترجيح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الأخذ بالمتأخر زماناً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تمامية هذا المرجّح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لو كانت إحدى الروايتين صادرة من إمام والثانية من إمام آخر فنأخذ بالمتأخر وإلاّ إذا كانتا صادرتين من إمام واحد فلا يمكن إعمال هذا المرجّح إذ لا نعلم أيّهما المتأخر ولا بدّ من الأخذ بالمرجحات الأخرى</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لاحظ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المعلّى بن خنيس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مرسل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بالأحدث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تعدّد الحكم ثبوتاً بلحاظ العناوين الثانوية القابلة للتبدّل، وحينئذٍ يلزم الأخذ بالأحدث والجري عليه حتى يصدر خلافه؛ لأنّ إمام الوقت أعرف 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سيرة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التصدّي لبيان الأحكام الأوّلية بعد تشخيصها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مقتضى الوضع الطبيعي المناسب للأمر بالأخذ بخلاف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وإيكال تشخيص الوظيفة الثانوية من حيثية التقية في حق كلّ شخص إليه كما يشخّصها من سائر الجهات كالحرج والضرر لاختلافها باختلاف الأشخاص والظروف غير المنضبطة عادة، وإنّما صدر منهم تشخيص الوظيفة الثانوية في مناسبات في حق بعض الأشخاص وخطابهم على طبقها كقصة علي بن يقطين ونحوها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الأوَّل صادراً للتقية والثاني صادراً لبيان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فيتعيّن الأخذ بالثاني في جميع الأزمنة باعتبار وروده لبيان الواقع، فإذاً يبقى الأخذ بالمتأخر أمراً لازماً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الفوقاني الذي يُرجَع إليه بعد التساقط للمتعارضين يشترط فيه أنْ لا يصلح كونه طرفاً للمعارضة في المرتبة الأولى، وإلّا إذا كان ضمن إحدى الطائفتين فيكون طرفاً في المعارضة وبالتالي هو ساقط، وفي مقامنا إنْ فرض استحكام التعارض وعدم المرجّح تصل النوبة إلى التساقط وحيث لا يوجد مرجع عام فوقاني اجتهادي يُرجَع إليه تصل النوبة إلى الأصل الجاري في المقام، وهو أصالة الطهارة في نفس الخمر أو في ملاقيه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تكن للملاقي حالة سابقة وإلّا جرى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النتيجة هي نفس نتيجة الوجه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الجمع العرفي، ولكن هذا كلّه بحسب الصناعة العلمية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وكذلك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فكرة التصنيف إلى الرتب في مسائل أخرى كمسألة انفصال الماء الراكد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كمعتبرة الحلبي،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كمعتبرة عبد الله بن سنان،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على فكرة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ستتغير نتائج فقهيّة عندما تكون هناك روايات مختلفة الدلالة والرتب خلافاً لنتائج المشهور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وقع كلامٌ في وجه تقديم ظهور الخاصّ على العامّ في باب الخاصّ والعامّ من أصول الفقه، فهل هو بملاك القرينية أو الأظهرية؟ وعلى الأوَّل يكون الخاصّ بنظر العرف والعقلاء معد للقرينية دون العكس، ومن المعلوم أنَّ الطريق المتّبع عند الشارع في باب الألفاظ هو الطريق والأسلوب المتّبع لدى العرف والعقلاء في هذا الباب، وليس للشارع طريق وأسلوب جديد فيه يختلف عن طريقتهم، فيُقدّم الخاصّ على هذا حتى وإنْ كان أضعف منه دلالة بلا فرق في ذلك بين أنْ يكون الخاص متّصلاً أو منفصلاً، وعلى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يتقدّم حيث إنَّه أظهر وأقوى من العامّ فيتقدَّم عليه لقاعدة حمل الظاهر على الأظهر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انفعال الماء الراكد القليل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كان دليل الحجيّة لفظياً فلا يشمل أيّ طرف سواء عامّاً أو خاصّاً للعلم بكذب أحدهما وهو غير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بغض النظر عن وجود مناقشات صغروية أو عدم وجودها فيما استدل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نوع دلالة للروايات وأنَّها صريحة فلعلَّه يُناقش في الصراحة أو الظهور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عن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المنطقية للاستقراء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هذا التقسيم والذي بعده 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ونهاية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 في أحكام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 على 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تنقيح مباني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ولاحظ تنقيح 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القضاء والشهادة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ورد في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وبقي أبو حمزة إلى أيام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يعني بقاءه بعد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ابن فضال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أبا حمزة وزرارة ومحمد بن مسلم ماتوا سنة واحدة بعد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بسنة أو بنحو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يعني أنه توفّي بعد وفاة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بسنة أو نحوه، وفي اختيار معرفة الرجال أنه توفي قبل وفاة الصادق بإخباره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أي أنه توفي قبل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وهذا خطأ وسيأتي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أنه توفي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ﻫ، في موضعين من رجاله رجال الشيخ،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وهو القوي والمناسب لقول ابن فضال، وهو أيضاً ما اعتمده النجاشي في رجاله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طبقات المكثرين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أسانيد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المتن كما في المطبوع، وهي مربكة، ولكن في نسخة السيد العلامة الكركي المخطوطة في الهامش زيادة فقلت له، فتنسجم هذه الزيادة مع الرواية؛ فتكون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شيعتكم؟ معكم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خاف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الرواية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في تحقيق أسناد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السيد البروجردي في القبلة والستر ومكان المصلي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المقال في خمس الرسول والآل </w:t>
      </w:r>
      <w:r>
        <w:rPr>
          <w:rFonts w:eastAsia="IRNazanin" w:cs="IRNazanin"/>
          <w:b w:val="false"/>
          <w:bCs w:val="false"/>
          <w:i w:val="false"/>
          <w:iCs w:val="false"/>
          <w:color w:val="333333"/>
          <w:sz w:val="20"/>
          <w:szCs w:val="20"/>
        </w:rPr>
        <w:t>57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عيسى، وكذا في ترجمة الحسن بن محبوب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لا الحصر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لا الحصر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في تحقيق أسناد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نسبه في جمهرة أنساب العرب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رسالة أبي غالب الزراري مع شرح العلامة الأبطحي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بالغلوّ ولكن لم يرتضِ ذلك ابن الغضائري والنجاشي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ولكن ضعّفه الشيخ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قبول روايته إلّا ما كان مضموناً مريباً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لم يذكر في رجال العامّة والخاصّة، وهو ليس المعروف بهذا العنوان الذي كان والياً على الكوفة من قبل معاوية ثمّ ابنه يزيد عند دخول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إذ قتل هذا الرجل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مرج راهط حين كان زبيرياً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أخاريج وأخرجة والخرج اسم موضع بالمدينة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في طريق مكة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ملك هشام بن عبد الملك في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وهلك في العاشر من ربيع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وولّى هشام خالد بن عبد الله القسري العراق عند تسنّمه للخلافة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ثمّ ولّى يوسف بن عمر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منصور بن جمهور الكلبي ولّاه يزيد بن الوليد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الناقص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عند تسنّمه الخلافة بعد عزله ليوسف بن عمر الثقفي في أوَّل رجب من سنة ست وعشرين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 تأتيهم فيسألونهم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شجاع بن الوليد بن قيس السكوني، وكانت له سن قد جاوز التسعين، وكان كثير الصلاة، ورعاً، وتوفي ببغداد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عبد الرحمن الأشجعي، 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ويلاحظ شعب الإيمان للبيهقي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برواية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الكامل في ضعفاء الرجال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وميزان الاعتدال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مختصر الدول لابن العبري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فأحيط على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الأنباء في طبقات الأطباء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أكثم بن محمَّد بن قطن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ذي الحجة سنة</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ﻫ، وكان عمره نيفاً وثمانين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مختلف فيه وهو متهم بإتيان الغلمان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الجراح بن مليح بن عدي الرؤاسي، والد وكيع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من العلامات قبل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شبابة بن سوار المدائني أصله من خراسان يقال كان اسمه مروان مولى بني فزارة،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ورقاء بن عمر بن كليب اليشكري ويقال الشيباني أبو بشر الكوفي نزيل المدائن يقال أصله من مرو، من الطبقة السابعة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السابق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نسخة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خيار العباد وأولياء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 الصواب، وفي نسخة الكشّي تحقيق حسن المصطفوي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دانشكاه مشهد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وعهده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وبتحقيق الداماد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الكلام في هذا الذيل في الجهة اللاحقة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موجود في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موجود 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وأنساب الأشراف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وتهذيب الكمال في أكثر من موضع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موجود في كتاب التشريف بالمنن في التعريف بالفتن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جابر بن يزيد الجعفي لسعيد مسرور طاووسي باللغة 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القرص الفقهي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نسخة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خيار العباد وأولياء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 الكشّي تحقيق حسن المصطفوي</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الأرض تطوى لهم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أمير المؤمنين قسيم الجنة والنار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من العلامات قبل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 فيَّ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ومبغضٌ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التوصيف المذكور لعقائد الفرق الغالية يمثّل الأصول التاريخية الواضحة للغلاة وعقائدهم وهو قد لا ينطبق بالضرورة انطباقاً تامّاً على عامّتهم في العصور الأخيرة، فقد يكون بعض وجوه هذه الفرق ممَّن يقرّون بالإسلام على وجهه العامّ عند المسلمين، كما قد يكون كثير من عوامّهم الذين يقرّون بالإسلام ممَّن لم يطّلعوا أو يعتقدوا قلباً بالتنظيرات التي بنى عليها خواصّهم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الصورة والمثال، في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قلة عدد المؤمنين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كانت موجودة عندهم كما يظهر بتتبع أخبار الرجال والفهارس كما قال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ورأيت في بعض كتب الغلاة وهو كتاب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عن الحسن بن شعيب،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 نصر بن الصباح الذي وصفه الكشّي بالغلوّ مكرراً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مثلاً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له كتاب معرفة الناقلين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كتابه من مصادر الكشّي، لاسيّما في شأن الغلاة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وفي مشارق أنوار اليقين للحافظ رجب البُرسي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حدود</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خطبة بألفاظ مقاربة جداً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التطنجية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أبو موسى والشيخ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لأجل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الرسالة الراستباشية للخصيبي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الهداية الكبرى في 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الثاني في الأبواب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كلَّ مَن كان من الأوائل مثل أبي الخطّاب، وبيان، وصائد، والمغيرة، وحمزة بن عمارة وبزيع، والسري، ومحمَّد بن بشير، هم أنبياء أبواب بتغيير الجسم وتبديل الاسم، وأنَّ المعنى واحد وهو سلمان وهو الباب الرسول يظهر مع محمَّد في كلّ حال من الأحوال، في العرب والعجم فهذه الأبواب يظهر مع محمَّد أبداً في أي صورة ظهر وظهروا فأقاموا معه الأبواب، والأيتام، والنجباء، والنقباء، والمصطفين، والمختصّين، والممتحنين، والمؤمنين، فمعنى الباب هو سلمان وهو رسول محمَّد متصل به ومحمَّد الربّ، ومعنى اليتيم المقداد سمّي يتيماً لقربه من الباب وتفرّده بالاتصال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انتشارات علمي وفرهنگي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سلسلة التراث العلوي،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أرجع في نهاية الباب إلى ما ذكره حول مآثر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جاء في هامش الهداية الكبرى عن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التراث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كلام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 تربو على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أنّها تربو على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فهي كثيرة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من مصباح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عدم الجزم بذلك ومنشؤه أنَّ المذكور في المطبوع من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عبد الله بن أحمد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الصحيح كما ورد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ابن أحمد عن عبد الله بن أحمد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ومحمَّد بن أحمد هو ابن يحيى صاحب نوادر الحكمة التي استثنيت روايات عبد الله بن أحمد الرازي من كتابه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أنَّه ورد في المطبوع من كتاب الرجال لابن الغضائري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كتاباً من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القميّين في براءته ممَّا قذف به وحسن عقيدته وقرب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وأشير في الهامش إلى اختلاف النسخ في ذيل هذه العبارة، والملاحظ خلوّ ما نقله العلّامة في خلاصة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داود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الغضائري من تمام ما في الذيل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قذف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وتجدر الإشارة إلى أنَّ المذكور فيه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عن 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حيث إنَّ الراوي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تعثر له رواية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قرينة على كون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سقوط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العبارة بأن كانت في الأصل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صالح الرواية يعرف منها وينكر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السند المذكور، فالمروي عنه هو علي بن أبي حمزة والمتوفّى هو سالم والده، والرواية عن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فيندفع الإشكال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مستند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منها جملة من روايات عبد الله بن عبد الرحمن الأصمّ، ولا سيّما بعض ما روي في باب نوادر الزيارات، فراجعها إن شئت، والظاهر أنَّها مقتبسة من كتابه في الزيارات الذي قال عنه ابن الغضائري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 على خبث عظيم ومذهب متهافت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ورد في النسخة المخطوطة من رسالة المحقّق النائيني التي هي مصحَّحة بخطّه الشريف وكانت في مكتبة آية الله السيّد ميرزا علي آقا نجل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العلّامة الطهراني في 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المطبوع منها مع منية الطالب سابقاً وبصورة مستقلّة مؤخّراً يختلف عن المخطوطة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عليها تغييرات وتعديلات لاحقاً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المصادر التي استقينا منها هذه الترجمة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محسن الأمين، أنوار العلم والمعرفة للشيخ محمَّد إسماعيل المحلّاتي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للشيخ آغا بزرك الطهراني، طبقات أعلام الشيعة للشيخ آغا بزرك الطهراني، تنقيح الأبحاث عن أحكام النفقات الثلاث للشيخ محمَّد إسماعيل المحلّاتي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المؤلف بقلم السيّد هاشم الرسولي المحلّاتي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ميرزا حسين النوري، گفتارخوش يارقلي للشيخ محمَّد المحلّاتي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المؤلف بقلم السيّد شهاب الدين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الاستصحاب للسيّد مرتضى النجومي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گلشن 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شيخ إسماعيل محلّاتي بقلم نور الدين علي لو</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كتبه بقلمه في ترجمة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أنَّ تلك المدرسة خراب في الوقت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 مراده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ما يعرف في زماننا بالمدرسة الغرويّة التي أُعيد تعميرها في السنوات الأخيرة وأصبحت مدرساً لإلقاء الدروس الحوزويّة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عدمها بما هو تلك الأعدام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ما أثبتناه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ما أثبتناه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بأعدامها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من إفادات المجدّد الشيرازي في حكم اللباس المشكوك بقلم أحد تلامذته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المحقّق النائيني للعلّامة الآملي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الصغرى، والصحيح ما أثبتناه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ما أثبتناه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صحيح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لك حلال أبداً حتى أن تعرف الحرام منه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حريز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 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ونحوه مرفوعة محمَّد بن أحمد النهدي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ورواية إسماعيل الجعفي في نوادر أحمد بن محمَّد بن عيسى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أضفناه ليستقيم الكلام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أضفناه لاقتضاء السياق ذلك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ولكن حُكي عن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يكرّر في أذكاره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على الفتح والختم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يلاحظ وسيلة الوصول إلى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ذكرها مناسباً لختام الرسالة فالمظنون سقوطها عن قلم الناسخ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3.jpeg"/><Relationship Id="rId394" Type="http://schemas.openxmlformats.org/officeDocument/2006/relationships/image" Target="media/image3.jpeg"/><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image" Target="media/image4.jpeg"/><Relationship Id="rId409" Type="http://schemas.openxmlformats.org/officeDocument/2006/relationships/image" Target="media/image4.jpeg"/><Relationship Id="rId410" Type="http://schemas.openxmlformats.org/officeDocument/2006/relationships/footer" Target="footer401.xml"/><Relationship Id="rId411" Type="http://schemas.openxmlformats.org/officeDocument/2006/relationships/image" Target="media/image5.jpeg"/><Relationship Id="rId412" Type="http://schemas.openxmlformats.org/officeDocument/2006/relationships/image" Target="media/image5.jpeg"/><Relationship Id="rId413" Type="http://schemas.openxmlformats.org/officeDocument/2006/relationships/footer" Target="footer402.xml"/><Relationship Id="rId414" Type="http://schemas.openxmlformats.org/officeDocument/2006/relationships/image" Target="media/image6.jpeg"/><Relationship Id="rId415" Type="http://schemas.openxmlformats.org/officeDocument/2006/relationships/image" Target="media/image6.jpeg"/><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37.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83998</Words>
  <Characters>371578</Characters>
  <CharactersWithSpaces>453323</CharactersWithSpaces>
  <Paragraphs>2618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2026-08-20T09:23:17Z</dcterms:created>
  <dc:creator>ghaemiyeh.com</dc:creator>
  <dc:description/>
  <dc:language>en-US</dc:language>
  <cp:lastModifiedBy/>
  <dcterms:modified xsi:type="dcterms:W3CDTF">2026-08-20T12:53:30Z</dcterms:modified>
  <cp:revision>1</cp:revision>
  <dc:subject/>
  <dc:title>دراسات علمیة - 8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