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دراسات علمیة </w:t>
      </w:r>
      <w:r>
        <w:rPr>
          <w:rtl w:val="true"/>
        </w:rPr>
        <w:t xml:space="preserve">- </w:t>
      </w:r>
      <w:r>
        <w:rPr/>
        <w:t>15</w:t>
      </w:r>
      <w:r>
        <w:rPr>
          <w:rtl w:val="true"/>
        </w:rPr>
        <w:t xml:space="preserve"> </w:t>
      </w:r>
      <w:r>
        <w:rPr>
          <w:rtl w:val="true"/>
        </w:rPr>
        <w:t>مجلة نصف سنویة تعنى بالأبحاث التخصصیة فی الحوزة العلمیة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79058_2870459653">
            <w:r>
              <w:rPr>
                <w:webHidden/>
                <w:rStyle w:val="IndexLink"/>
                <w:rtl w:val="true"/>
              </w:rPr>
              <w:t>هوية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79060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79062_2870459653">
            <w:r>
              <w:rPr>
                <w:webHidden/>
                <w:rStyle w:val="IndexLink"/>
                <w:rtl w:val="true"/>
              </w:rPr>
              <w:t>الأسس المعتمدة للنشر</w:t>
            </w:r>
            <w:r>
              <w:rPr>
                <w:rStyle w:val="IndexLink"/>
                <w:rtl w:val="true"/>
              </w:rPr>
              <w:tab/>
            </w:r>
            <w:r>
              <w:rPr>
                <w:rStyle w:val="IndexLink"/>
              </w:rPr>
              <w:t>9</w:t>
            </w:r>
          </w:hyperlink>
        </w:p>
        <w:p>
          <w:pPr>
            <w:pStyle w:val="Contents2"/>
            <w:tabs>
              <w:tab w:val="clear" w:pos="8743"/>
              <w:tab w:val="right" w:pos="9026" w:leader="dot"/>
            </w:tabs>
            <w:rPr/>
          </w:pPr>
          <w:hyperlink w:anchor="__RefHeading___Toc1279064_2870459653">
            <w:r>
              <w:rPr>
                <w:webHidden/>
                <w:rStyle w:val="IndexLink"/>
                <w:rtl w:val="true"/>
              </w:rPr>
              <w:t>كلمة العدد</w:t>
            </w:r>
            <w:r>
              <w:rPr>
                <w:rStyle w:val="IndexLink"/>
                <w:rtl w:val="true"/>
              </w:rPr>
              <w:tab/>
            </w:r>
            <w:r>
              <w:rPr>
                <w:rStyle w:val="IndexLink"/>
              </w:rPr>
              <w:t>10</w:t>
            </w:r>
          </w:hyperlink>
        </w:p>
        <w:p>
          <w:pPr>
            <w:pStyle w:val="Contents2"/>
            <w:tabs>
              <w:tab w:val="clear" w:pos="8743"/>
              <w:tab w:val="right" w:pos="9026" w:leader="dot"/>
            </w:tabs>
            <w:rPr/>
          </w:pPr>
          <w:hyperlink w:anchor="__RefHeading___Toc1279066_2870459653">
            <w:r>
              <w:rPr>
                <w:webHidden/>
                <w:rStyle w:val="IndexLink"/>
                <w:rtl w:val="true"/>
              </w:rPr>
              <w:t>المقدمة</w:t>
            </w:r>
            <w:r>
              <w:rPr>
                <w:rStyle w:val="IndexLink"/>
                <w:rtl w:val="true"/>
              </w:rPr>
              <w:tab/>
            </w:r>
            <w:r>
              <w:rPr>
                <w:rStyle w:val="IndexLink"/>
              </w:rPr>
              <w:t>12</w:t>
            </w:r>
          </w:hyperlink>
        </w:p>
        <w:p>
          <w:pPr>
            <w:pStyle w:val="Contents2"/>
            <w:tabs>
              <w:tab w:val="clear" w:pos="8743"/>
              <w:tab w:val="right" w:pos="9026" w:leader="dot"/>
            </w:tabs>
            <w:rPr/>
          </w:pPr>
          <w:hyperlink w:anchor="__RefHeading___Toc1279068_2870459653">
            <w:r>
              <w:rPr>
                <w:webHidden/>
                <w:rStyle w:val="IndexLink"/>
                <w:rtl w:val="true"/>
              </w:rPr>
              <w:t>القاعدة الأولية في حكم</w:t>
            </w:r>
            <w:r>
              <w:rPr>
                <w:rStyle w:val="IndexLink"/>
                <w:rtl w:val="true"/>
              </w:rPr>
              <w:tab/>
            </w:r>
            <w:r>
              <w:rPr>
                <w:rStyle w:val="IndexLink"/>
              </w:rPr>
              <w:t>16</w:t>
            </w:r>
          </w:hyperlink>
        </w:p>
        <w:p>
          <w:pPr>
            <w:pStyle w:val="Contents3"/>
            <w:tabs>
              <w:tab w:val="clear" w:pos="8459"/>
              <w:tab w:val="right" w:pos="9026" w:leader="dot"/>
            </w:tabs>
            <w:rPr/>
          </w:pPr>
          <w:hyperlink w:anchor="__RefHeading___Toc1279070_2870459653">
            <w:r>
              <w:rPr>
                <w:webHidden/>
                <w:rStyle w:val="IndexLink"/>
                <w:rtl w:val="true"/>
              </w:rPr>
              <w:t>قضاء ما فات من الصوم الواجب</w:t>
            </w:r>
            <w:r>
              <w:rPr>
                <w:rStyle w:val="IndexLink"/>
                <w:rtl w:val="true"/>
              </w:rPr>
              <w:tab/>
            </w:r>
            <w:r>
              <w:rPr>
                <w:rStyle w:val="IndexLink"/>
              </w:rPr>
              <w:t>16</w:t>
            </w:r>
          </w:hyperlink>
        </w:p>
        <w:p>
          <w:pPr>
            <w:pStyle w:val="Contents3"/>
            <w:tabs>
              <w:tab w:val="clear" w:pos="8459"/>
              <w:tab w:val="right" w:pos="9026" w:leader="dot"/>
            </w:tabs>
            <w:rPr/>
          </w:pPr>
          <w:hyperlink w:anchor="__RefHeading___Toc1279072_2870459653">
            <w:r>
              <w:rPr>
                <w:webHidden/>
                <w:rStyle w:val="IndexLink"/>
                <w:rtl w:val="true"/>
              </w:rPr>
              <w:t>ما يمكن أن يكون مستنداً للقاعدة</w:t>
            </w:r>
            <w:r>
              <w:rPr>
                <w:rStyle w:val="IndexLink"/>
                <w:rtl w:val="true"/>
              </w:rPr>
              <w:tab/>
            </w:r>
            <w:r>
              <w:rPr>
                <w:rStyle w:val="IndexLink"/>
              </w:rPr>
              <w:t>22</w:t>
            </w:r>
          </w:hyperlink>
        </w:p>
        <w:p>
          <w:pPr>
            <w:pStyle w:val="Contents3"/>
            <w:tabs>
              <w:tab w:val="clear" w:pos="8459"/>
              <w:tab w:val="right" w:pos="9026" w:leader="dot"/>
            </w:tabs>
            <w:rPr/>
          </w:pPr>
          <w:hyperlink w:anchor="__RefHeading___Toc1279074_2870459653">
            <w:r>
              <w:rPr>
                <w:webHidden/>
                <w:rStyle w:val="IndexLink"/>
                <w:rtl w:val="true"/>
              </w:rPr>
              <w:t>إشکال وثلاثة أجوبة</w:t>
            </w:r>
            <w:r>
              <w:rPr>
                <w:rStyle w:val="IndexLink"/>
                <w:rtl w:val="true"/>
              </w:rPr>
              <w:tab/>
            </w:r>
            <w:r>
              <w:rPr>
                <w:rStyle w:val="IndexLink"/>
              </w:rPr>
              <w:t>33</w:t>
            </w:r>
          </w:hyperlink>
        </w:p>
        <w:p>
          <w:pPr>
            <w:pStyle w:val="Contents3"/>
            <w:tabs>
              <w:tab w:val="clear" w:pos="8459"/>
              <w:tab w:val="right" w:pos="9026" w:leader="dot"/>
            </w:tabs>
            <w:rPr/>
          </w:pPr>
          <w:hyperlink w:anchor="__RefHeading___Toc1279076_2870459653">
            <w:r>
              <w:rPr>
                <w:webHidden/>
                <w:rStyle w:val="IndexLink"/>
                <w:rtl w:val="true"/>
              </w:rPr>
              <w:t>وعلى كل حال فالظاهر أنّ الطريق الأوّل تام يمكن الاعتماد عليه</w:t>
            </w:r>
            <w:r>
              <w:rPr>
                <w:rStyle w:val="IndexLink"/>
                <w:rtl w:val="true"/>
              </w:rPr>
              <w:t>.</w:t>
              <w:tab/>
            </w:r>
            <w:r>
              <w:rPr>
                <w:rStyle w:val="IndexLink"/>
              </w:rPr>
              <w:t>45</w:t>
            </w:r>
          </w:hyperlink>
        </w:p>
        <w:p>
          <w:pPr>
            <w:pStyle w:val="Contents3"/>
            <w:tabs>
              <w:tab w:val="clear" w:pos="8459"/>
              <w:tab w:val="right" w:pos="9026" w:leader="dot"/>
            </w:tabs>
            <w:rPr/>
          </w:pPr>
          <w:hyperlink w:anchor="__RefHeading___Toc1279078_2870459653">
            <w:r>
              <w:rPr>
                <w:webHidden/>
                <w:rStyle w:val="IndexLink"/>
                <w:rtl w:val="true"/>
              </w:rPr>
              <w:t>ثلاثة تقريبات لدلالة الرواية على المطلوب</w:t>
            </w:r>
            <w:r>
              <w:rPr>
                <w:rStyle w:val="IndexLink"/>
                <w:rtl w:val="true"/>
              </w:rPr>
              <w:tab/>
            </w:r>
            <w:r>
              <w:rPr>
                <w:rStyle w:val="IndexLink"/>
              </w:rPr>
              <w:t>55</w:t>
            </w:r>
          </w:hyperlink>
        </w:p>
        <w:p>
          <w:pPr>
            <w:pStyle w:val="Contents3"/>
            <w:tabs>
              <w:tab w:val="clear" w:pos="8459"/>
              <w:tab w:val="right" w:pos="9026" w:leader="dot"/>
            </w:tabs>
            <w:rPr/>
          </w:pPr>
          <w:hyperlink w:anchor="__RefHeading___Toc1279080_2870459653">
            <w:r>
              <w:rPr>
                <w:webHidden/>
                <w:rStyle w:val="IndexLink"/>
                <w:rtl w:val="true"/>
              </w:rPr>
              <w:t>مناقشة مضمونية لرواية العلل</w:t>
            </w:r>
            <w:r>
              <w:rPr>
                <w:rStyle w:val="IndexLink"/>
                <w:rtl w:val="true"/>
              </w:rPr>
              <w:tab/>
            </w:r>
            <w:r>
              <w:rPr>
                <w:rStyle w:val="IndexLink"/>
              </w:rPr>
              <w:t>57</w:t>
            </w:r>
          </w:hyperlink>
        </w:p>
        <w:p>
          <w:pPr>
            <w:pStyle w:val="Contents3"/>
            <w:tabs>
              <w:tab w:val="clear" w:pos="8459"/>
              <w:tab w:val="right" w:pos="9026" w:leader="dot"/>
            </w:tabs>
            <w:rPr/>
          </w:pPr>
          <w:hyperlink w:anchor="__RefHeading___Toc1279082_2870459653">
            <w:r>
              <w:rPr>
                <w:webHidden/>
                <w:rStyle w:val="IndexLink"/>
                <w:rtl w:val="true"/>
              </w:rPr>
              <w:t>وبهذا ننتهي إلى وجوب القضاء على كلّ من فاته الصوم</w:t>
            </w:r>
            <w:r>
              <w:rPr>
                <w:rStyle w:val="IndexLink"/>
                <w:rtl w:val="true"/>
              </w:rPr>
              <w:t>.</w:t>
              <w:tab/>
            </w:r>
            <w:r>
              <w:rPr>
                <w:rStyle w:val="IndexLink"/>
              </w:rPr>
              <w:t>66</w:t>
            </w:r>
          </w:hyperlink>
        </w:p>
        <w:p>
          <w:pPr>
            <w:pStyle w:val="Contents2"/>
            <w:tabs>
              <w:tab w:val="clear" w:pos="8743"/>
              <w:tab w:val="right" w:pos="9026" w:leader="dot"/>
            </w:tabs>
            <w:rPr/>
          </w:pPr>
          <w:hyperlink w:anchor="__RefHeading___Toc1279084_2870459653">
            <w:r>
              <w:rPr>
                <w:webHidden/>
                <w:rStyle w:val="IndexLink"/>
                <w:rtl w:val="true"/>
              </w:rPr>
              <w:t>مفطّريّة الارتماس للصائم</w:t>
            </w:r>
            <w:r>
              <w:rPr>
                <w:rStyle w:val="IndexLink"/>
                <w:rtl w:val="true"/>
              </w:rPr>
              <w:tab/>
            </w:r>
            <w:r>
              <w:rPr>
                <w:rStyle w:val="IndexLink"/>
              </w:rPr>
              <w:t>74</w:t>
            </w:r>
          </w:hyperlink>
        </w:p>
        <w:p>
          <w:pPr>
            <w:pStyle w:val="Contents3"/>
            <w:tabs>
              <w:tab w:val="clear" w:pos="8459"/>
              <w:tab w:val="right" w:pos="9026" w:leader="dot"/>
            </w:tabs>
            <w:rPr/>
          </w:pPr>
          <w:hyperlink w:anchor="__RefHeading___Toc1279086_2870459653">
            <w:r>
              <w:rPr>
                <w:webHidden/>
                <w:rStyle w:val="IndexLink"/>
                <w:rtl w:val="true"/>
              </w:rPr>
              <w:t>الشيخ حسن البشيري دام عزة</w:t>
            </w:r>
            <w:r>
              <w:rPr>
                <w:rStyle w:val="IndexLink"/>
                <w:rtl w:val="true"/>
              </w:rPr>
              <w:tab/>
            </w:r>
            <w:r>
              <w:rPr>
                <w:rStyle w:val="IndexLink"/>
              </w:rPr>
              <w:t>74</w:t>
            </w:r>
          </w:hyperlink>
        </w:p>
        <w:p>
          <w:pPr>
            <w:pStyle w:val="Contents3"/>
            <w:tabs>
              <w:tab w:val="clear" w:pos="8459"/>
              <w:tab w:val="right" w:pos="9026" w:leader="dot"/>
            </w:tabs>
            <w:rPr/>
          </w:pPr>
          <w:hyperlink w:anchor="__RefHeading___Toc1279088_2870459653">
            <w:r>
              <w:rPr>
                <w:webHidden/>
                <w:rStyle w:val="IndexLink"/>
                <w:rtl w:val="true"/>
              </w:rPr>
              <w:t>أقوال الفقهاء</w:t>
            </w:r>
            <w:r>
              <w:rPr>
                <w:rStyle w:val="IndexLink"/>
                <w:rtl w:val="true"/>
              </w:rPr>
              <w:tab/>
            </w:r>
            <w:r>
              <w:rPr>
                <w:rStyle w:val="IndexLink"/>
              </w:rPr>
              <w:t>77</w:t>
            </w:r>
          </w:hyperlink>
        </w:p>
        <w:p>
          <w:pPr>
            <w:pStyle w:val="Contents3"/>
            <w:tabs>
              <w:tab w:val="clear" w:pos="8459"/>
              <w:tab w:val="right" w:pos="9026" w:leader="dot"/>
            </w:tabs>
            <w:rPr/>
          </w:pPr>
          <w:hyperlink w:anchor="__RefHeading___Toc1279090_2870459653">
            <w:r>
              <w:rPr>
                <w:webHidden/>
                <w:rStyle w:val="IndexLink"/>
                <w:rtl w:val="true"/>
              </w:rPr>
              <w:t>أدلّة الأقوال</w:t>
            </w:r>
            <w:r>
              <w:rPr>
                <w:rStyle w:val="IndexLink"/>
                <w:rtl w:val="true"/>
              </w:rPr>
              <w:tab/>
            </w:r>
            <w:r>
              <w:rPr>
                <w:rStyle w:val="IndexLink"/>
              </w:rPr>
              <w:t>80</w:t>
            </w:r>
          </w:hyperlink>
        </w:p>
        <w:p>
          <w:pPr>
            <w:pStyle w:val="Contents4"/>
            <w:tabs>
              <w:tab w:val="clear" w:pos="8176"/>
              <w:tab w:val="right" w:pos="9026" w:leader="dot"/>
            </w:tabs>
            <w:rPr/>
          </w:pPr>
          <w:hyperlink w:anchor="__RefHeading___Toc1279092_2870459653">
            <w:r>
              <w:rPr>
                <w:webHidden/>
                <w:rStyle w:val="IndexLink"/>
                <w:rtl w:val="true"/>
              </w:rPr>
              <w:t>أدلّة القول الأوّل</w:t>
            </w:r>
            <w:r>
              <w:rPr>
                <w:rStyle w:val="IndexLink"/>
                <w:rtl w:val="true"/>
              </w:rPr>
              <w:tab/>
            </w:r>
            <w:r>
              <w:rPr>
                <w:rStyle w:val="IndexLink"/>
              </w:rPr>
              <w:t>80</w:t>
            </w:r>
          </w:hyperlink>
        </w:p>
        <w:p>
          <w:pPr>
            <w:pStyle w:val="Contents4"/>
            <w:tabs>
              <w:tab w:val="clear" w:pos="8176"/>
              <w:tab w:val="right" w:pos="9026" w:leader="dot"/>
            </w:tabs>
            <w:rPr/>
          </w:pPr>
          <w:hyperlink w:anchor="__RefHeading___Toc1279094_2870459653">
            <w:r>
              <w:rPr>
                <w:webHidden/>
                <w:rStyle w:val="IndexLink"/>
                <w:rtl w:val="true"/>
              </w:rPr>
              <w:t>دليل القول الثاني</w:t>
            </w:r>
            <w:r>
              <w:rPr>
                <w:rStyle w:val="IndexLink"/>
                <w:rtl w:val="true"/>
              </w:rPr>
              <w:tab/>
            </w:r>
            <w:r>
              <w:rPr>
                <w:rStyle w:val="IndexLink"/>
              </w:rPr>
              <w:t>86</w:t>
            </w:r>
          </w:hyperlink>
        </w:p>
        <w:p>
          <w:pPr>
            <w:pStyle w:val="Contents4"/>
            <w:tabs>
              <w:tab w:val="clear" w:pos="8176"/>
              <w:tab w:val="right" w:pos="9026" w:leader="dot"/>
            </w:tabs>
            <w:rPr/>
          </w:pPr>
          <w:hyperlink w:anchor="__RefHeading___Toc1279096_2870459653">
            <w:r>
              <w:rPr>
                <w:webHidden/>
                <w:rStyle w:val="IndexLink"/>
                <w:rtl w:val="true"/>
              </w:rPr>
              <w:t>أدلّة القول الثالث</w:t>
            </w:r>
            <w:r>
              <w:rPr>
                <w:rStyle w:val="IndexLink"/>
                <w:rtl w:val="true"/>
              </w:rPr>
              <w:tab/>
            </w:r>
            <w:r>
              <w:rPr>
                <w:rStyle w:val="IndexLink"/>
              </w:rPr>
              <w:t>87</w:t>
            </w:r>
          </w:hyperlink>
        </w:p>
        <w:p>
          <w:pPr>
            <w:pStyle w:val="Contents4"/>
            <w:tabs>
              <w:tab w:val="clear" w:pos="8176"/>
              <w:tab w:val="right" w:pos="9026" w:leader="dot"/>
            </w:tabs>
            <w:rPr/>
          </w:pPr>
          <w:hyperlink w:anchor="__RefHeading___Toc1279098_2870459653">
            <w:r>
              <w:rPr>
                <w:webHidden/>
                <w:rStyle w:val="IndexLink"/>
                <w:rtl w:val="true"/>
              </w:rPr>
              <w:t>أدلّة القول الرابع</w:t>
            </w:r>
            <w:r>
              <w:rPr>
                <w:rStyle w:val="IndexLink"/>
                <w:rtl w:val="true"/>
              </w:rPr>
              <w:tab/>
            </w:r>
            <w:r>
              <w:rPr>
                <w:rStyle w:val="IndexLink"/>
              </w:rPr>
              <w:t>93</w:t>
            </w:r>
          </w:hyperlink>
        </w:p>
        <w:p>
          <w:pPr>
            <w:pStyle w:val="Contents4"/>
            <w:tabs>
              <w:tab w:val="clear" w:pos="8176"/>
              <w:tab w:val="right" w:pos="9026" w:leader="dot"/>
            </w:tabs>
            <w:rPr/>
          </w:pPr>
          <w:hyperlink w:anchor="__RefHeading___Toc1279100_2870459653">
            <w:r>
              <w:rPr>
                <w:webHidden/>
                <w:rStyle w:val="IndexLink"/>
                <w:rtl w:val="true"/>
              </w:rPr>
              <w:t>نتيجة البحث</w:t>
            </w:r>
            <w:r>
              <w:rPr>
                <w:rStyle w:val="IndexLink"/>
                <w:rtl w:val="true"/>
              </w:rPr>
              <w:tab/>
            </w:r>
            <w:r>
              <w:rPr>
                <w:rStyle w:val="IndexLink"/>
              </w:rPr>
              <w:t>96</w:t>
            </w:r>
          </w:hyperlink>
        </w:p>
        <w:p>
          <w:pPr>
            <w:pStyle w:val="Contents2"/>
            <w:tabs>
              <w:tab w:val="clear" w:pos="8743"/>
              <w:tab w:val="right" w:pos="9026" w:leader="dot"/>
            </w:tabs>
            <w:rPr/>
          </w:pPr>
          <w:hyperlink w:anchor="__RefHeading___Toc1279102_2870459653">
            <w:r>
              <w:rPr>
                <w:webHidden/>
                <w:rStyle w:val="IndexLink"/>
                <w:rtl w:val="true"/>
              </w:rPr>
              <w:t>التبعيض في الحجية وفي ذيله قرينيّة وحدة السِّياق</w:t>
            </w:r>
            <w:r>
              <w:rPr>
                <w:rStyle w:val="IndexLink"/>
                <w:rtl w:val="true"/>
              </w:rPr>
              <w:tab/>
            </w:r>
            <w:r>
              <w:rPr>
                <w:rStyle w:val="IndexLink"/>
              </w:rPr>
              <w:t>104</w:t>
            </w:r>
          </w:hyperlink>
        </w:p>
        <w:p>
          <w:pPr>
            <w:pStyle w:val="Contents3"/>
            <w:tabs>
              <w:tab w:val="clear" w:pos="8459"/>
              <w:tab w:val="right" w:pos="9026" w:leader="dot"/>
            </w:tabs>
            <w:rPr/>
          </w:pPr>
          <w:hyperlink w:anchor="__RefHeading___Toc1279104_2870459653">
            <w:r>
              <w:rPr>
                <w:webHidden/>
                <w:rStyle w:val="IndexLink"/>
                <w:rtl w:val="true"/>
              </w:rPr>
              <w:t>اشارة</w:t>
            </w:r>
            <w:r>
              <w:rPr>
                <w:rStyle w:val="IndexLink"/>
                <w:rtl w:val="true"/>
              </w:rPr>
              <w:tab/>
            </w:r>
            <w:r>
              <w:rPr>
                <w:rStyle w:val="IndexLink"/>
              </w:rPr>
              <w:t>104</w:t>
            </w:r>
          </w:hyperlink>
        </w:p>
        <w:p>
          <w:pPr>
            <w:pStyle w:val="Contents3"/>
            <w:tabs>
              <w:tab w:val="clear" w:pos="8459"/>
              <w:tab w:val="right" w:pos="9026" w:leader="dot"/>
            </w:tabs>
            <w:rPr/>
          </w:pPr>
          <w:hyperlink w:anchor="__RefHeading___Toc1279106_2870459653">
            <w:r>
              <w:rPr>
                <w:webHidden/>
                <w:rStyle w:val="IndexLink"/>
                <w:rtl w:val="true"/>
              </w:rPr>
              <w:t>المورد الأوّل</w:t>
            </w:r>
            <w:r>
              <w:rPr>
                <w:rStyle w:val="IndexLink"/>
                <w:rtl w:val="true"/>
              </w:rPr>
              <w:tab/>
            </w:r>
            <w:r>
              <w:rPr>
                <w:rStyle w:val="IndexLink"/>
              </w:rPr>
              <w:t>108</w:t>
            </w:r>
          </w:hyperlink>
        </w:p>
        <w:p>
          <w:pPr>
            <w:pStyle w:val="Contents3"/>
            <w:tabs>
              <w:tab w:val="clear" w:pos="8459"/>
              <w:tab w:val="right" w:pos="9026" w:leader="dot"/>
            </w:tabs>
            <w:rPr/>
          </w:pPr>
          <w:hyperlink w:anchor="__RefHeading___Toc1279108_2870459653">
            <w:r>
              <w:rPr>
                <w:webHidden/>
                <w:rStyle w:val="IndexLink"/>
                <w:rtl w:val="true"/>
              </w:rPr>
              <w:t>المورد الثاني</w:t>
            </w:r>
            <w:r>
              <w:rPr>
                <w:rStyle w:val="IndexLink"/>
                <w:rtl w:val="true"/>
              </w:rPr>
              <w:tab/>
            </w:r>
            <w:r>
              <w:rPr>
                <w:rStyle w:val="IndexLink"/>
              </w:rPr>
              <w:t>116</w:t>
            </w:r>
          </w:hyperlink>
        </w:p>
        <w:p>
          <w:pPr>
            <w:pStyle w:val="Contents3"/>
            <w:tabs>
              <w:tab w:val="clear" w:pos="8459"/>
              <w:tab w:val="right" w:pos="9026" w:leader="dot"/>
            </w:tabs>
            <w:rPr/>
          </w:pPr>
          <w:hyperlink w:anchor="__RefHeading___Toc1279110_2870459653">
            <w:r>
              <w:rPr>
                <w:webHidden/>
                <w:rStyle w:val="IndexLink"/>
                <w:rtl w:val="true"/>
              </w:rPr>
              <w:t>المورد الثالث</w:t>
            </w:r>
            <w:r>
              <w:rPr>
                <w:rStyle w:val="IndexLink"/>
                <w:rtl w:val="true"/>
              </w:rPr>
              <w:tab/>
            </w:r>
            <w:r>
              <w:rPr>
                <w:rStyle w:val="IndexLink"/>
              </w:rPr>
              <w:t>126</w:t>
            </w:r>
          </w:hyperlink>
        </w:p>
        <w:p>
          <w:pPr>
            <w:pStyle w:val="Contents3"/>
            <w:tabs>
              <w:tab w:val="clear" w:pos="8459"/>
              <w:tab w:val="right" w:pos="9026" w:leader="dot"/>
            </w:tabs>
            <w:rPr/>
          </w:pPr>
          <w:hyperlink w:anchor="__RefHeading___Toc1279112_2870459653">
            <w:r>
              <w:rPr>
                <w:webHidden/>
                <w:rStyle w:val="IndexLink"/>
                <w:rtl w:val="true"/>
              </w:rPr>
              <w:t>المورد الرابع</w:t>
            </w:r>
            <w:r>
              <w:rPr>
                <w:rStyle w:val="IndexLink"/>
                <w:rtl w:val="true"/>
              </w:rPr>
              <w:tab/>
            </w:r>
            <w:r>
              <w:rPr>
                <w:rStyle w:val="IndexLink"/>
              </w:rPr>
              <w:t>137</w:t>
            </w:r>
          </w:hyperlink>
        </w:p>
        <w:p>
          <w:pPr>
            <w:pStyle w:val="Contents3"/>
            <w:tabs>
              <w:tab w:val="clear" w:pos="8459"/>
              <w:tab w:val="right" w:pos="9026" w:leader="dot"/>
            </w:tabs>
            <w:rPr/>
          </w:pPr>
          <w:hyperlink w:anchor="__RefHeading___Toc1279114_2870459653">
            <w:r>
              <w:rPr>
                <w:webHidden/>
                <w:rStyle w:val="IndexLink"/>
                <w:rtl w:val="true"/>
              </w:rPr>
              <w:t>قرينية وحدة السياق</w:t>
            </w:r>
            <w:r>
              <w:rPr>
                <w:rStyle w:val="IndexLink"/>
                <w:rtl w:val="true"/>
              </w:rPr>
              <w:tab/>
            </w:r>
            <w:r>
              <w:rPr>
                <w:rStyle w:val="IndexLink"/>
              </w:rPr>
              <w:t>146</w:t>
            </w:r>
          </w:hyperlink>
        </w:p>
        <w:p>
          <w:pPr>
            <w:pStyle w:val="Contents4"/>
            <w:tabs>
              <w:tab w:val="clear" w:pos="8176"/>
              <w:tab w:val="right" w:pos="9026" w:leader="dot"/>
            </w:tabs>
            <w:rPr/>
          </w:pPr>
          <w:hyperlink w:anchor="__RefHeading___Toc1279116_2870459653">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1279118_2870459653">
            <w:r>
              <w:rPr>
                <w:webHidden/>
                <w:rStyle w:val="IndexLink"/>
                <w:rtl w:val="true"/>
              </w:rPr>
              <w:t>تنبيه</w:t>
            </w:r>
            <w:r>
              <w:rPr>
                <w:rStyle w:val="IndexLink"/>
                <w:rtl w:val="true"/>
              </w:rPr>
              <w:tab/>
            </w:r>
            <w:r>
              <w:rPr>
                <w:rStyle w:val="IndexLink"/>
              </w:rPr>
              <w:t>154</w:t>
            </w:r>
          </w:hyperlink>
        </w:p>
        <w:p>
          <w:pPr>
            <w:pStyle w:val="Contents4"/>
            <w:tabs>
              <w:tab w:val="clear" w:pos="8176"/>
              <w:tab w:val="right" w:pos="9026" w:leader="dot"/>
            </w:tabs>
            <w:rPr/>
          </w:pPr>
          <w:hyperlink w:anchor="__RefHeading___Toc1279120_2870459653">
            <w:r>
              <w:rPr>
                <w:webHidden/>
                <w:rStyle w:val="IndexLink"/>
                <w:rtl w:val="true"/>
              </w:rPr>
              <w:t>النتائج</w:t>
            </w:r>
            <w:r>
              <w:rPr>
                <w:rStyle w:val="IndexLink"/>
                <w:rtl w:val="true"/>
              </w:rPr>
              <w:tab/>
            </w:r>
            <w:r>
              <w:rPr>
                <w:rStyle w:val="IndexLink"/>
              </w:rPr>
              <w:t>156</w:t>
            </w:r>
          </w:hyperlink>
        </w:p>
        <w:p>
          <w:pPr>
            <w:pStyle w:val="Contents4"/>
            <w:tabs>
              <w:tab w:val="clear" w:pos="8176"/>
              <w:tab w:val="right" w:pos="9026" w:leader="dot"/>
            </w:tabs>
            <w:rPr/>
          </w:pPr>
          <w:hyperlink w:anchor="__RefHeading___Toc1279122_2870459653">
            <w:r>
              <w:rPr>
                <w:webHidden/>
                <w:rStyle w:val="IndexLink"/>
                <w:rtl w:val="true"/>
              </w:rPr>
              <w:t>نتائج قرينية وحدة السياق</w:t>
            </w:r>
            <w:r>
              <w:rPr>
                <w:rStyle w:val="IndexLink"/>
                <w:rtl w:val="true"/>
              </w:rPr>
              <w:tab/>
            </w:r>
            <w:r>
              <w:rPr>
                <w:rStyle w:val="IndexLink"/>
              </w:rPr>
              <w:t>157</w:t>
            </w:r>
          </w:hyperlink>
        </w:p>
        <w:p>
          <w:pPr>
            <w:pStyle w:val="Contents2"/>
            <w:tabs>
              <w:tab w:val="clear" w:pos="8743"/>
              <w:tab w:val="right" w:pos="9026" w:leader="dot"/>
            </w:tabs>
            <w:rPr/>
          </w:pPr>
          <w:hyperlink w:anchor="__RefHeading___Toc1279124_2870459653">
            <w:r>
              <w:rPr>
                <w:webHidden/>
                <w:rStyle w:val="IndexLink"/>
                <w:rtl w:val="true"/>
              </w:rPr>
              <w:t>رجال الجواهر</w:t>
            </w:r>
            <w:r>
              <w:rPr>
                <w:rStyle w:val="IndexLink"/>
                <w:rtl w:val="true"/>
              </w:rPr>
              <w:tab/>
            </w:r>
            <w:r>
              <w:rPr>
                <w:rStyle w:val="IndexLink"/>
              </w:rPr>
              <w:t>162</w:t>
            </w:r>
          </w:hyperlink>
        </w:p>
        <w:p>
          <w:pPr>
            <w:pStyle w:val="Contents3"/>
            <w:tabs>
              <w:tab w:val="clear" w:pos="8459"/>
              <w:tab w:val="right" w:pos="9026" w:leader="dot"/>
            </w:tabs>
            <w:rPr/>
          </w:pPr>
          <w:hyperlink w:anchor="__RefHeading___Toc1279126_2870459653">
            <w:r>
              <w:rPr>
                <w:webHidden/>
                <w:rStyle w:val="IndexLink"/>
                <w:rtl w:val="true"/>
              </w:rPr>
              <w:t>القسم الأول</w:t>
            </w:r>
            <w:r>
              <w:rPr>
                <w:rStyle w:val="IndexLink"/>
                <w:rtl w:val="true"/>
              </w:rPr>
              <w:tab/>
            </w:r>
            <w:r>
              <w:rPr>
                <w:rStyle w:val="IndexLink"/>
              </w:rPr>
              <w:t>162</w:t>
            </w:r>
          </w:hyperlink>
        </w:p>
        <w:p>
          <w:pPr>
            <w:pStyle w:val="Contents3"/>
            <w:tabs>
              <w:tab w:val="clear" w:pos="8459"/>
              <w:tab w:val="right" w:pos="9026" w:leader="dot"/>
            </w:tabs>
            <w:rPr/>
          </w:pPr>
          <w:hyperlink w:anchor="__RefHeading___Toc1279128_2870459653">
            <w:r>
              <w:rPr>
                <w:webHidden/>
                <w:rStyle w:val="IndexLink"/>
                <w:rtl w:val="true"/>
              </w:rPr>
              <w:t>تمهيد</w:t>
            </w:r>
            <w:r>
              <w:rPr>
                <w:rStyle w:val="IndexLink"/>
                <w:rtl w:val="true"/>
              </w:rPr>
              <w:tab/>
            </w:r>
            <w:r>
              <w:rPr>
                <w:rStyle w:val="IndexLink"/>
              </w:rPr>
              <w:t>167</w:t>
            </w:r>
          </w:hyperlink>
        </w:p>
        <w:p>
          <w:pPr>
            <w:pStyle w:val="Contents4"/>
            <w:tabs>
              <w:tab w:val="clear" w:pos="8176"/>
              <w:tab w:val="right" w:pos="9026" w:leader="dot"/>
            </w:tabs>
            <w:rPr/>
          </w:pPr>
          <w:hyperlink w:anchor="__RefHeading___Toc1279130_2870459653">
            <w:r>
              <w:rPr>
                <w:webHidden/>
                <w:rStyle w:val="IndexLink"/>
                <w:rtl w:val="true"/>
              </w:rPr>
              <w:t>اشارة</w:t>
            </w:r>
            <w:r>
              <w:rPr>
                <w:rStyle w:val="IndexLink"/>
                <w:rtl w:val="true"/>
              </w:rPr>
              <w:tab/>
            </w:r>
            <w:r>
              <w:rPr>
                <w:rStyle w:val="IndexLink"/>
              </w:rPr>
              <w:t>167</w:t>
            </w:r>
          </w:hyperlink>
        </w:p>
        <w:p>
          <w:pPr>
            <w:pStyle w:val="Contents4"/>
            <w:tabs>
              <w:tab w:val="clear" w:pos="8176"/>
              <w:tab w:val="right" w:pos="9026" w:leader="dot"/>
            </w:tabs>
            <w:rPr/>
          </w:pPr>
          <w:hyperlink w:anchor="__RefHeading___Toc1279132_2870459653">
            <w:r>
              <w:rPr>
                <w:webHidden/>
                <w:rStyle w:val="IndexLink"/>
                <w:rtl w:val="true"/>
              </w:rPr>
              <w:t>الأمر الأوّل</w:t>
            </w:r>
            <w:r>
              <w:rPr>
                <w:rStyle w:val="IndexLink"/>
                <w:rtl w:val="true"/>
              </w:rPr>
              <w:t xml:space="preserve">: </w:t>
            </w:r>
            <w:r>
              <w:rPr>
                <w:rStyle w:val="IndexLink"/>
                <w:rtl w:val="true"/>
              </w:rPr>
              <w:t>مشروعيّة علم الرجال</w:t>
            </w:r>
            <w:r>
              <w:rPr>
                <w:rStyle w:val="IndexLink"/>
                <w:rtl w:val="true"/>
              </w:rPr>
              <w:tab/>
            </w:r>
            <w:r>
              <w:rPr>
                <w:rStyle w:val="IndexLink"/>
              </w:rPr>
              <w:t>167</w:t>
            </w:r>
          </w:hyperlink>
        </w:p>
        <w:p>
          <w:pPr>
            <w:pStyle w:val="Contents4"/>
            <w:tabs>
              <w:tab w:val="clear" w:pos="8176"/>
              <w:tab w:val="right" w:pos="9026" w:leader="dot"/>
            </w:tabs>
            <w:rPr/>
          </w:pPr>
          <w:hyperlink w:anchor="__RefHeading___Toc1279134_2870459653">
            <w:r>
              <w:rPr>
                <w:webHidden/>
                <w:rStyle w:val="IndexLink"/>
                <w:rtl w:val="true"/>
              </w:rPr>
              <w:t xml:space="preserve">الأمر الثاني </w:t>
            </w:r>
            <w:r>
              <w:rPr>
                <w:rStyle w:val="IndexLink"/>
                <w:rtl w:val="true"/>
              </w:rPr>
              <w:t xml:space="preserve">: </w:t>
            </w:r>
            <w:r>
              <w:rPr>
                <w:rStyle w:val="IndexLink"/>
                <w:rtl w:val="true"/>
              </w:rPr>
              <w:t>منشأ حجيّة قول الرجالي</w:t>
            </w:r>
            <w:r>
              <w:rPr>
                <w:rStyle w:val="IndexLink"/>
                <w:rtl w:val="true"/>
              </w:rPr>
              <w:tab/>
            </w:r>
            <w:r>
              <w:rPr>
                <w:rStyle w:val="IndexLink"/>
              </w:rPr>
              <w:t>170</w:t>
            </w:r>
          </w:hyperlink>
        </w:p>
        <w:p>
          <w:pPr>
            <w:pStyle w:val="Contents4"/>
            <w:tabs>
              <w:tab w:val="clear" w:pos="8176"/>
              <w:tab w:val="right" w:pos="9026" w:leader="dot"/>
            </w:tabs>
            <w:rPr/>
          </w:pPr>
          <w:hyperlink w:anchor="__RefHeading___Toc1279136_2870459653">
            <w:r>
              <w:rPr>
                <w:webHidden/>
                <w:rStyle w:val="IndexLink"/>
                <w:rtl w:val="true"/>
              </w:rPr>
              <w:t xml:space="preserve">الأمر الثالث </w:t>
            </w:r>
            <w:r>
              <w:rPr>
                <w:rStyle w:val="IndexLink"/>
                <w:rtl w:val="true"/>
              </w:rPr>
              <w:t xml:space="preserve">: </w:t>
            </w:r>
            <w:r>
              <w:rPr>
                <w:rStyle w:val="IndexLink"/>
                <w:rtl w:val="true"/>
              </w:rPr>
              <w:t>تقديم الجرح على التعديل</w:t>
            </w:r>
            <w:r>
              <w:rPr>
                <w:rStyle w:val="IndexLink"/>
                <w:rtl w:val="true"/>
              </w:rPr>
              <w:tab/>
            </w:r>
            <w:r>
              <w:rPr>
                <w:rStyle w:val="IndexLink"/>
              </w:rPr>
              <w:t>173</w:t>
            </w:r>
          </w:hyperlink>
        </w:p>
        <w:p>
          <w:pPr>
            <w:pStyle w:val="Contents4"/>
            <w:tabs>
              <w:tab w:val="clear" w:pos="8176"/>
              <w:tab w:val="right" w:pos="9026" w:leader="dot"/>
            </w:tabs>
            <w:rPr/>
          </w:pPr>
          <w:hyperlink w:anchor="__RefHeading___Toc1279138_2870459653">
            <w:r>
              <w:rPr>
                <w:webHidden/>
                <w:rStyle w:val="IndexLink"/>
                <w:rtl w:val="true"/>
              </w:rPr>
              <w:t>الأمر الرابع</w:t>
            </w:r>
            <w:r>
              <w:rPr>
                <w:rStyle w:val="IndexLink"/>
                <w:rtl w:val="true"/>
              </w:rPr>
              <w:t xml:space="preserve">: </w:t>
            </w:r>
            <w:r>
              <w:rPr>
                <w:rStyle w:val="IndexLink"/>
                <w:rtl w:val="true"/>
              </w:rPr>
              <w:t>مصادر الجواهر الرجالية</w:t>
            </w:r>
            <w:r>
              <w:rPr>
                <w:rStyle w:val="IndexLink"/>
                <w:rtl w:val="true"/>
              </w:rPr>
              <w:tab/>
            </w:r>
            <w:r>
              <w:rPr>
                <w:rStyle w:val="IndexLink"/>
              </w:rPr>
              <w:t>175</w:t>
            </w:r>
          </w:hyperlink>
        </w:p>
        <w:p>
          <w:pPr>
            <w:pStyle w:val="Contents3"/>
            <w:tabs>
              <w:tab w:val="clear" w:pos="8459"/>
              <w:tab w:val="right" w:pos="9026" w:leader="dot"/>
            </w:tabs>
            <w:rPr/>
          </w:pPr>
          <w:hyperlink w:anchor="__RefHeading___Toc1279140_2870459653">
            <w:r>
              <w:rPr>
                <w:webHidden/>
                <w:rStyle w:val="IndexLink"/>
                <w:rtl w:val="true"/>
              </w:rPr>
              <w:t>القسم الأوَّل</w:t>
            </w:r>
            <w:r>
              <w:rPr>
                <w:rStyle w:val="IndexLink"/>
                <w:rtl w:val="true"/>
              </w:rPr>
              <w:tab/>
            </w:r>
            <w:r>
              <w:rPr>
                <w:rStyle w:val="IndexLink"/>
              </w:rPr>
              <w:t>181</w:t>
            </w:r>
          </w:hyperlink>
        </w:p>
        <w:p>
          <w:pPr>
            <w:pStyle w:val="Contents4"/>
            <w:tabs>
              <w:tab w:val="clear" w:pos="8176"/>
              <w:tab w:val="right" w:pos="9026" w:leader="dot"/>
            </w:tabs>
            <w:rPr/>
          </w:pPr>
          <w:hyperlink w:anchor="__RefHeading___Toc1279142_2870459653">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1279144_2870459653">
            <w:r>
              <w:rPr>
                <w:webHidden/>
                <w:rStyle w:val="IndexLink"/>
                <w:rtl w:val="true"/>
              </w:rPr>
              <w:t xml:space="preserve">الأولى مقصود الرجالي من قوله </w:t>
            </w:r>
            <w:r>
              <w:rPr>
                <w:rStyle w:val="IndexLink"/>
                <w:rtl w:val="true"/>
              </w:rPr>
              <w:t>(</w:t>
            </w:r>
            <w:r>
              <w:rPr>
                <w:rStyle w:val="IndexLink"/>
                <w:rtl w:val="true"/>
              </w:rPr>
              <w:t>ثقة</w:t>
            </w:r>
            <w:r>
              <w:rPr>
                <w:rStyle w:val="IndexLink"/>
                <w:rtl w:val="true"/>
              </w:rPr>
              <w:t>)</w:t>
              <w:tab/>
            </w:r>
            <w:r>
              <w:rPr>
                <w:rStyle w:val="IndexLink"/>
              </w:rPr>
              <w:t>182</w:t>
            </w:r>
          </w:hyperlink>
        </w:p>
        <w:p>
          <w:pPr>
            <w:pStyle w:val="Contents4"/>
            <w:tabs>
              <w:tab w:val="clear" w:pos="8176"/>
              <w:tab w:val="right" w:pos="9026" w:leader="dot"/>
            </w:tabs>
            <w:rPr/>
          </w:pPr>
          <w:hyperlink w:anchor="__RefHeading___Toc1279146_2870459653">
            <w:r>
              <w:rPr>
                <w:webHidden/>
                <w:rStyle w:val="IndexLink"/>
                <w:rtl w:val="true"/>
              </w:rPr>
              <w:t>الثانية</w:t>
            </w:r>
            <w:r>
              <w:rPr>
                <w:rStyle w:val="IndexLink"/>
                <w:rtl w:val="true"/>
              </w:rPr>
              <w:t xml:space="preserve">: </w:t>
            </w:r>
            <w:r>
              <w:rPr>
                <w:rStyle w:val="IndexLink"/>
                <w:rtl w:val="true"/>
              </w:rPr>
              <w:t>هل ترجع متعلّقات الكلام في ترجمة الراوي إلى المقصود بالأصالة؟</w:t>
            </w:r>
            <w:r>
              <w:rPr>
                <w:rStyle w:val="IndexLink"/>
                <w:rtl w:val="true"/>
              </w:rPr>
              <w:tab/>
            </w:r>
            <w:r>
              <w:rPr>
                <w:rStyle w:val="IndexLink"/>
              </w:rPr>
              <w:t>185</w:t>
            </w:r>
          </w:hyperlink>
        </w:p>
        <w:p>
          <w:pPr>
            <w:pStyle w:val="Contents4"/>
            <w:tabs>
              <w:tab w:val="clear" w:pos="8176"/>
              <w:tab w:val="right" w:pos="9026" w:leader="dot"/>
            </w:tabs>
            <w:rPr/>
          </w:pPr>
          <w:hyperlink w:anchor="__RefHeading___Toc1279148_2870459653">
            <w:r>
              <w:rPr>
                <w:webHidden/>
                <w:rStyle w:val="IndexLink"/>
                <w:rtl w:val="true"/>
              </w:rPr>
              <w:t>الثالثة</w:t>
            </w:r>
            <w:r>
              <w:rPr>
                <w:rStyle w:val="IndexLink"/>
                <w:rtl w:val="true"/>
              </w:rPr>
              <w:t xml:space="preserve">: </w:t>
            </w:r>
            <w:r>
              <w:rPr>
                <w:rStyle w:val="IndexLink"/>
                <w:rtl w:val="true"/>
              </w:rPr>
              <w:t>كون مدح الراوي وارداً من طريقه</w:t>
            </w:r>
            <w:r>
              <w:rPr>
                <w:rStyle w:val="IndexLink"/>
                <w:rtl w:val="true"/>
              </w:rPr>
              <w:tab/>
            </w:r>
            <w:r>
              <w:rPr>
                <w:rStyle w:val="IndexLink"/>
              </w:rPr>
              <w:t>187</w:t>
            </w:r>
          </w:hyperlink>
        </w:p>
        <w:p>
          <w:pPr>
            <w:pStyle w:val="Contents4"/>
            <w:tabs>
              <w:tab w:val="clear" w:pos="8176"/>
              <w:tab w:val="right" w:pos="9026" w:leader="dot"/>
            </w:tabs>
            <w:rPr/>
          </w:pPr>
          <w:hyperlink w:anchor="__RefHeading___Toc1279150_2870459653">
            <w:r>
              <w:rPr>
                <w:webHidden/>
                <w:rStyle w:val="IndexLink"/>
                <w:rtl w:val="true"/>
              </w:rPr>
              <w:t>الرابعة</w:t>
            </w:r>
            <w:r>
              <w:rPr>
                <w:rStyle w:val="IndexLink"/>
                <w:rtl w:val="true"/>
              </w:rPr>
              <w:t xml:space="preserve">: </w:t>
            </w:r>
            <w:r>
              <w:rPr>
                <w:rStyle w:val="IndexLink"/>
                <w:rtl w:val="true"/>
              </w:rPr>
              <w:t>كون الراوي كثير الرواية</w:t>
            </w:r>
            <w:r>
              <w:rPr>
                <w:rStyle w:val="IndexLink"/>
                <w:rtl w:val="true"/>
              </w:rPr>
              <w:tab/>
            </w:r>
            <w:r>
              <w:rPr>
                <w:rStyle w:val="IndexLink"/>
              </w:rPr>
              <w:t>188</w:t>
            </w:r>
          </w:hyperlink>
        </w:p>
        <w:p>
          <w:pPr>
            <w:pStyle w:val="Contents4"/>
            <w:tabs>
              <w:tab w:val="clear" w:pos="8176"/>
              <w:tab w:val="right" w:pos="9026" w:leader="dot"/>
            </w:tabs>
            <w:rPr/>
          </w:pPr>
          <w:hyperlink w:anchor="__RefHeading___Toc1279152_2870459653">
            <w:r>
              <w:rPr>
                <w:webHidden/>
                <w:rStyle w:val="IndexLink"/>
                <w:rtl w:val="true"/>
              </w:rPr>
              <w:t xml:space="preserve">الخامسة </w:t>
            </w:r>
            <w:r>
              <w:rPr>
                <w:rStyle w:val="IndexLink"/>
                <w:rtl w:val="true"/>
              </w:rPr>
              <w:t xml:space="preserve">: </w:t>
            </w:r>
            <w:r>
              <w:rPr>
                <w:rStyle w:val="IndexLink"/>
                <w:rtl w:val="true"/>
              </w:rPr>
              <w:t>كون الراوي وكيلاً للمعصوم</w:t>
            </w:r>
            <w:r>
              <w:rPr>
                <w:rStyle w:val="IndexLink"/>
                <w:rtl w:val="true"/>
              </w:rPr>
              <w:t>(</w:t>
            </w:r>
            <w:r>
              <w:rPr>
                <w:rStyle w:val="IndexLink"/>
                <w:rtl w:val="true"/>
              </w:rPr>
              <w:t>علیه السّلام</w:t>
            </w:r>
            <w:r>
              <w:rPr>
                <w:rStyle w:val="IndexLink"/>
                <w:rtl w:val="true"/>
              </w:rPr>
              <w:t>)</w:t>
              <w:tab/>
            </w:r>
            <w:r>
              <w:rPr>
                <w:rStyle w:val="IndexLink"/>
              </w:rPr>
              <w:t>191</w:t>
            </w:r>
          </w:hyperlink>
        </w:p>
        <w:p>
          <w:pPr>
            <w:pStyle w:val="Contents4"/>
            <w:tabs>
              <w:tab w:val="clear" w:pos="8176"/>
              <w:tab w:val="right" w:pos="9026" w:leader="dot"/>
            </w:tabs>
            <w:rPr/>
          </w:pPr>
          <w:hyperlink w:anchor="__RefHeading___Toc1279154_2870459653">
            <w:r>
              <w:rPr>
                <w:webHidden/>
                <w:rStyle w:val="IndexLink"/>
                <w:rtl w:val="true"/>
              </w:rPr>
              <w:t>السادسة</w:t>
            </w:r>
            <w:r>
              <w:rPr>
                <w:rStyle w:val="IndexLink"/>
                <w:rtl w:val="true"/>
              </w:rPr>
              <w:t xml:space="preserve">: </w:t>
            </w:r>
            <w:r>
              <w:rPr>
                <w:rStyle w:val="IndexLink"/>
                <w:rtl w:val="true"/>
              </w:rPr>
              <w:t>كون الراوي ممن للصدوق طريق إليه</w:t>
            </w:r>
            <w:r>
              <w:rPr>
                <w:rStyle w:val="IndexLink"/>
                <w:rtl w:val="true"/>
              </w:rPr>
              <w:tab/>
            </w:r>
            <w:r>
              <w:rPr>
                <w:rStyle w:val="IndexLink"/>
              </w:rPr>
              <w:t>192</w:t>
            </w:r>
          </w:hyperlink>
        </w:p>
        <w:p>
          <w:pPr>
            <w:pStyle w:val="Contents4"/>
            <w:tabs>
              <w:tab w:val="clear" w:pos="8176"/>
              <w:tab w:val="right" w:pos="9026" w:leader="dot"/>
            </w:tabs>
            <w:rPr/>
          </w:pPr>
          <w:hyperlink w:anchor="__RefHeading___Toc1279156_2870459653">
            <w:r>
              <w:rPr>
                <w:webHidden/>
                <w:rStyle w:val="IndexLink"/>
                <w:rtl w:val="true"/>
              </w:rPr>
              <w:t xml:space="preserve">السابعة </w:t>
            </w:r>
            <w:r>
              <w:rPr>
                <w:rStyle w:val="IndexLink"/>
                <w:rtl w:val="true"/>
              </w:rPr>
              <w:t xml:space="preserve">: </w:t>
            </w:r>
            <w:r>
              <w:rPr>
                <w:rStyle w:val="IndexLink"/>
                <w:rtl w:val="true"/>
              </w:rPr>
              <w:t>كون الراوي ممن نقل الشيخ عمل الطائفة برواياته</w:t>
            </w:r>
            <w:r>
              <w:rPr>
                <w:rStyle w:val="IndexLink"/>
                <w:rtl w:val="true"/>
              </w:rPr>
              <w:tab/>
            </w:r>
            <w:r>
              <w:rPr>
                <w:rStyle w:val="IndexLink"/>
              </w:rPr>
              <w:t>194</w:t>
            </w:r>
          </w:hyperlink>
        </w:p>
        <w:p>
          <w:pPr>
            <w:pStyle w:val="Contents4"/>
            <w:tabs>
              <w:tab w:val="clear" w:pos="8176"/>
              <w:tab w:val="right" w:pos="9026" w:leader="dot"/>
            </w:tabs>
            <w:rPr/>
          </w:pPr>
          <w:hyperlink w:anchor="__RefHeading___Toc1279158_2870459653">
            <w:r>
              <w:rPr>
                <w:webHidden/>
                <w:rStyle w:val="IndexLink"/>
                <w:rtl w:val="true"/>
              </w:rPr>
              <w:t xml:space="preserve">الثامنة </w:t>
            </w:r>
            <w:r>
              <w:rPr>
                <w:rStyle w:val="IndexLink"/>
                <w:rtl w:val="true"/>
              </w:rPr>
              <w:t xml:space="preserve">: </w:t>
            </w:r>
            <w:r>
              <w:rPr>
                <w:rStyle w:val="IndexLink"/>
                <w:rtl w:val="true"/>
              </w:rPr>
              <w:t>استثناء ابن الوليد من كتاب نوادر الحكمة</w:t>
            </w:r>
            <w:r>
              <w:rPr>
                <w:rStyle w:val="IndexLink"/>
                <w:rtl w:val="true"/>
              </w:rPr>
              <w:tab/>
            </w:r>
            <w:r>
              <w:rPr>
                <w:rStyle w:val="IndexLink"/>
              </w:rPr>
              <w:t>196</w:t>
            </w:r>
          </w:hyperlink>
        </w:p>
        <w:p>
          <w:pPr>
            <w:pStyle w:val="Contents4"/>
            <w:tabs>
              <w:tab w:val="clear" w:pos="8176"/>
              <w:tab w:val="right" w:pos="9026" w:leader="dot"/>
            </w:tabs>
            <w:rPr/>
          </w:pPr>
          <w:hyperlink w:anchor="__RefHeading___Toc1279160_2870459653">
            <w:r>
              <w:rPr>
                <w:webHidden/>
                <w:rStyle w:val="IndexLink"/>
                <w:rtl w:val="true"/>
              </w:rPr>
              <w:t>التاسعة</w:t>
            </w:r>
            <w:r>
              <w:rPr>
                <w:rStyle w:val="IndexLink"/>
                <w:rtl w:val="true"/>
              </w:rPr>
              <w:t xml:space="preserve">: </w:t>
            </w:r>
            <w:r>
              <w:rPr>
                <w:rStyle w:val="IndexLink"/>
                <w:rtl w:val="true"/>
              </w:rPr>
              <w:t>رواية أصحاب الإجماع</w:t>
            </w:r>
            <w:r>
              <w:rPr>
                <w:rStyle w:val="IndexLink"/>
                <w:rtl w:val="true"/>
              </w:rPr>
              <w:tab/>
            </w:r>
            <w:r>
              <w:rPr>
                <w:rStyle w:val="IndexLink"/>
              </w:rPr>
              <w:t>201</w:t>
            </w:r>
          </w:hyperlink>
        </w:p>
        <w:p>
          <w:pPr>
            <w:pStyle w:val="Contents4"/>
            <w:tabs>
              <w:tab w:val="clear" w:pos="8176"/>
              <w:tab w:val="right" w:pos="9026" w:leader="dot"/>
            </w:tabs>
            <w:rPr/>
          </w:pPr>
          <w:hyperlink w:anchor="__RefHeading___Toc1279162_2870459653">
            <w:r>
              <w:rPr>
                <w:webHidden/>
                <w:rStyle w:val="IndexLink"/>
                <w:rtl w:val="true"/>
              </w:rPr>
              <w:t xml:space="preserve">العاشرة </w:t>
            </w:r>
            <w:r>
              <w:rPr>
                <w:rStyle w:val="IndexLink"/>
                <w:rtl w:val="true"/>
              </w:rPr>
              <w:t xml:space="preserve">: </w:t>
            </w:r>
            <w:r>
              <w:rPr>
                <w:rStyle w:val="IndexLink"/>
                <w:rtl w:val="true"/>
              </w:rPr>
              <w:t>رواية المشايخ الثلاثة</w:t>
            </w:r>
            <w:r>
              <w:rPr>
                <w:rStyle w:val="IndexLink"/>
                <w:rtl w:val="true"/>
              </w:rPr>
              <w:tab/>
            </w:r>
            <w:r>
              <w:rPr>
                <w:rStyle w:val="IndexLink"/>
              </w:rPr>
              <w:t>206</w:t>
            </w:r>
          </w:hyperlink>
        </w:p>
        <w:p>
          <w:pPr>
            <w:pStyle w:val="Contents4"/>
            <w:tabs>
              <w:tab w:val="clear" w:pos="8176"/>
              <w:tab w:val="right" w:pos="9026" w:leader="dot"/>
            </w:tabs>
            <w:rPr/>
          </w:pPr>
          <w:hyperlink w:anchor="__RefHeading___Toc1279164_2870459653">
            <w:r>
              <w:rPr>
                <w:webHidden/>
                <w:rStyle w:val="IndexLink"/>
                <w:rtl w:val="true"/>
              </w:rPr>
              <w:t>الحادية عشر</w:t>
            </w:r>
            <w:r>
              <w:rPr>
                <w:rStyle w:val="IndexLink"/>
                <w:rtl w:val="true"/>
              </w:rPr>
              <w:t xml:space="preserve">: </w:t>
            </w:r>
            <w:r>
              <w:rPr>
                <w:rStyle w:val="IndexLink"/>
                <w:rtl w:val="true"/>
              </w:rPr>
              <w:t>رواية الأجلاء</w:t>
            </w:r>
            <w:r>
              <w:rPr>
                <w:rStyle w:val="IndexLink"/>
                <w:rtl w:val="true"/>
              </w:rPr>
              <w:tab/>
            </w:r>
            <w:r>
              <w:rPr>
                <w:rStyle w:val="IndexLink"/>
              </w:rPr>
              <w:t>207</w:t>
            </w:r>
          </w:hyperlink>
        </w:p>
        <w:p>
          <w:pPr>
            <w:pStyle w:val="Contents4"/>
            <w:tabs>
              <w:tab w:val="clear" w:pos="8176"/>
              <w:tab w:val="right" w:pos="9026" w:leader="dot"/>
            </w:tabs>
            <w:rPr/>
          </w:pPr>
          <w:hyperlink w:anchor="__RefHeading___Toc1279166_2870459653">
            <w:r>
              <w:rPr>
                <w:webHidden/>
                <w:rStyle w:val="IndexLink"/>
                <w:rtl w:val="true"/>
              </w:rPr>
              <w:t xml:space="preserve">الثانية عشر </w:t>
            </w:r>
            <w:r>
              <w:rPr>
                <w:rStyle w:val="IndexLink"/>
                <w:rtl w:val="true"/>
              </w:rPr>
              <w:t xml:space="preserve">: </w:t>
            </w:r>
            <w:r>
              <w:rPr>
                <w:rStyle w:val="IndexLink"/>
                <w:rtl w:val="true"/>
              </w:rPr>
              <w:t>إكثار الكليني</w:t>
            </w:r>
            <w:r>
              <w:rPr>
                <w:rStyle w:val="IndexLink"/>
                <w:rtl w:val="true"/>
              </w:rPr>
              <w:tab/>
            </w:r>
            <w:r>
              <w:rPr>
                <w:rStyle w:val="IndexLink"/>
              </w:rPr>
              <w:t>212</w:t>
            </w:r>
          </w:hyperlink>
        </w:p>
        <w:p>
          <w:pPr>
            <w:pStyle w:val="Contents4"/>
            <w:tabs>
              <w:tab w:val="clear" w:pos="8176"/>
              <w:tab w:val="right" w:pos="9026" w:leader="dot"/>
            </w:tabs>
            <w:rPr/>
          </w:pPr>
          <w:hyperlink w:anchor="__RefHeading___Toc1279168_2870459653">
            <w:r>
              <w:rPr>
                <w:webHidden/>
                <w:rStyle w:val="IndexLink"/>
                <w:rtl w:val="true"/>
              </w:rPr>
              <w:t>الثالثة عشر</w:t>
            </w:r>
            <w:r>
              <w:rPr>
                <w:rStyle w:val="IndexLink"/>
                <w:rtl w:val="true"/>
              </w:rPr>
              <w:t xml:space="preserve">: </w:t>
            </w:r>
            <w:r>
              <w:rPr>
                <w:rStyle w:val="IndexLink"/>
                <w:rtl w:val="true"/>
              </w:rPr>
              <w:t>مشيخة الإجازة</w:t>
            </w:r>
            <w:r>
              <w:rPr>
                <w:rStyle w:val="IndexLink"/>
                <w:rtl w:val="true"/>
              </w:rPr>
              <w:tab/>
            </w:r>
            <w:r>
              <w:rPr>
                <w:rStyle w:val="IndexLink"/>
              </w:rPr>
              <w:t>213</w:t>
            </w:r>
          </w:hyperlink>
        </w:p>
        <w:p>
          <w:pPr>
            <w:pStyle w:val="Contents4"/>
            <w:tabs>
              <w:tab w:val="clear" w:pos="8176"/>
              <w:tab w:val="right" w:pos="9026" w:leader="dot"/>
            </w:tabs>
            <w:rPr/>
          </w:pPr>
          <w:hyperlink w:anchor="__RefHeading___Toc1279170_2870459653">
            <w:r>
              <w:rPr>
                <w:webHidden/>
                <w:rStyle w:val="IndexLink"/>
                <w:rtl w:val="true"/>
              </w:rPr>
              <w:t xml:space="preserve">خاتمة </w:t>
            </w:r>
            <w:r>
              <w:rPr>
                <w:rStyle w:val="IndexLink"/>
                <w:rtl w:val="true"/>
              </w:rPr>
              <w:t xml:space="preserve">.. </w:t>
            </w:r>
            <w:r>
              <w:rPr>
                <w:rStyle w:val="IndexLink"/>
                <w:rtl w:val="true"/>
              </w:rPr>
              <w:t>التحشيد</w:t>
            </w:r>
            <w:r>
              <w:rPr>
                <w:rStyle w:val="IndexLink"/>
                <w:rtl w:val="true"/>
              </w:rPr>
              <w:tab/>
            </w:r>
            <w:r>
              <w:rPr>
                <w:rStyle w:val="IndexLink"/>
              </w:rPr>
              <w:t>216</w:t>
            </w:r>
          </w:hyperlink>
        </w:p>
        <w:p>
          <w:pPr>
            <w:pStyle w:val="Contents2"/>
            <w:tabs>
              <w:tab w:val="clear" w:pos="8743"/>
              <w:tab w:val="right" w:pos="9026" w:leader="dot"/>
            </w:tabs>
            <w:rPr/>
          </w:pPr>
          <w:hyperlink w:anchor="__RefHeading___Toc1279172_2870459653">
            <w:r>
              <w:rPr>
                <w:webHidden/>
                <w:rStyle w:val="IndexLink"/>
                <w:rtl w:val="true"/>
              </w:rPr>
              <w:t>دراسة في أحوال رجال نوادر الحكمة</w:t>
            </w:r>
            <w:r>
              <w:rPr>
                <w:rStyle w:val="IndexLink"/>
                <w:rtl w:val="true"/>
              </w:rPr>
              <w:tab/>
            </w:r>
            <w:r>
              <w:rPr>
                <w:rStyle w:val="IndexLink"/>
              </w:rPr>
              <w:t>220</w:t>
            </w:r>
          </w:hyperlink>
        </w:p>
        <w:p>
          <w:pPr>
            <w:pStyle w:val="Contents3"/>
            <w:tabs>
              <w:tab w:val="clear" w:pos="8459"/>
              <w:tab w:val="right" w:pos="9026" w:leader="dot"/>
            </w:tabs>
            <w:rPr/>
          </w:pPr>
          <w:hyperlink w:anchor="__RefHeading___Toc1279174_2870459653">
            <w:r>
              <w:rPr>
                <w:webHidden/>
                <w:rStyle w:val="IndexLink"/>
                <w:rtl w:val="true"/>
              </w:rPr>
              <w:t>الشيخ إسكندر الجعفري</w:t>
            </w:r>
            <w:r>
              <w:rPr>
                <w:rStyle w:val="IndexLink"/>
                <w:rtl w:val="true"/>
              </w:rPr>
              <w:t>(</w:t>
            </w:r>
            <w:r>
              <w:rPr>
                <w:rStyle w:val="IndexLink"/>
                <w:rtl w:val="true"/>
              </w:rPr>
              <w:t>دام ظله</w:t>
            </w:r>
            <w:r>
              <w:rPr>
                <w:rStyle w:val="IndexLink"/>
                <w:rtl w:val="true"/>
              </w:rPr>
              <w:t>)</w:t>
              <w:tab/>
            </w:r>
            <w:r>
              <w:rPr>
                <w:rStyle w:val="IndexLink"/>
              </w:rPr>
              <w:t>220</w:t>
            </w:r>
          </w:hyperlink>
        </w:p>
        <w:p>
          <w:pPr>
            <w:pStyle w:val="Contents3"/>
            <w:tabs>
              <w:tab w:val="clear" w:pos="8459"/>
              <w:tab w:val="right" w:pos="9026" w:leader="dot"/>
            </w:tabs>
            <w:rPr/>
          </w:pPr>
          <w:hyperlink w:anchor="__RefHeading___Toc1279176_2870459653">
            <w:r>
              <w:rPr>
                <w:webHidden/>
                <w:rStyle w:val="IndexLink"/>
                <w:rtl w:val="true"/>
              </w:rPr>
              <w:t>تمهيد في ترجمة المؤلّف وأقوال الرجاليين في حقه</w:t>
            </w:r>
            <w:r>
              <w:rPr>
                <w:rStyle w:val="IndexLink"/>
                <w:rtl w:val="true"/>
              </w:rPr>
              <w:tab/>
            </w:r>
            <w:r>
              <w:rPr>
                <w:rStyle w:val="IndexLink"/>
              </w:rPr>
              <w:t>225</w:t>
            </w:r>
          </w:hyperlink>
        </w:p>
        <w:p>
          <w:pPr>
            <w:pStyle w:val="Contents3"/>
            <w:tabs>
              <w:tab w:val="clear" w:pos="8459"/>
              <w:tab w:val="right" w:pos="9026" w:leader="dot"/>
            </w:tabs>
            <w:rPr/>
          </w:pPr>
          <w:hyperlink w:anchor="__RefHeading___Toc1279178_2870459653">
            <w:r>
              <w:rPr>
                <w:webHidden/>
                <w:rStyle w:val="IndexLink"/>
                <w:rtl w:val="true"/>
              </w:rPr>
              <w:t>أقوال الرجاليين في حقه</w:t>
            </w:r>
            <w:r>
              <w:rPr>
                <w:rStyle w:val="IndexLink"/>
                <w:rtl w:val="true"/>
              </w:rPr>
              <w:tab/>
            </w:r>
            <w:r>
              <w:rPr>
                <w:rStyle w:val="IndexLink"/>
              </w:rPr>
              <w:t>226</w:t>
            </w:r>
          </w:hyperlink>
        </w:p>
        <w:p>
          <w:pPr>
            <w:pStyle w:val="Contents3"/>
            <w:tabs>
              <w:tab w:val="clear" w:pos="8459"/>
              <w:tab w:val="right" w:pos="9026" w:leader="dot"/>
            </w:tabs>
            <w:rPr/>
          </w:pPr>
          <w:hyperlink w:anchor="__RefHeading___Toc1279180_2870459653">
            <w:r>
              <w:rPr>
                <w:webHidden/>
                <w:rStyle w:val="IndexLink"/>
                <w:rtl w:val="true"/>
              </w:rPr>
              <w:t>طبقته في الحديث</w:t>
            </w:r>
            <w:r>
              <w:rPr>
                <w:rStyle w:val="IndexLink"/>
                <w:rtl w:val="true"/>
              </w:rPr>
              <w:tab/>
            </w:r>
            <w:r>
              <w:rPr>
                <w:rStyle w:val="IndexLink"/>
              </w:rPr>
              <w:t>229</w:t>
            </w:r>
          </w:hyperlink>
        </w:p>
        <w:p>
          <w:pPr>
            <w:pStyle w:val="Contents3"/>
            <w:tabs>
              <w:tab w:val="clear" w:pos="8459"/>
              <w:tab w:val="right" w:pos="9026" w:leader="dot"/>
            </w:tabs>
            <w:rPr/>
          </w:pPr>
          <w:hyperlink w:anchor="__RefHeading___Toc1279182_2870459653">
            <w:r>
              <w:rPr>
                <w:webHidden/>
                <w:rStyle w:val="IndexLink"/>
                <w:rtl w:val="true"/>
              </w:rPr>
              <w:t>التعريف بكتابه</w:t>
            </w:r>
            <w:r>
              <w:rPr>
                <w:rStyle w:val="IndexLink"/>
                <w:rtl w:val="true"/>
              </w:rPr>
              <w:tab/>
            </w:r>
            <w:r>
              <w:rPr>
                <w:rStyle w:val="IndexLink"/>
              </w:rPr>
              <w:t>230</w:t>
            </w:r>
          </w:hyperlink>
        </w:p>
        <w:p>
          <w:pPr>
            <w:pStyle w:val="Contents3"/>
            <w:tabs>
              <w:tab w:val="clear" w:pos="8459"/>
              <w:tab w:val="right" w:pos="9026" w:leader="dot"/>
            </w:tabs>
            <w:rPr/>
          </w:pPr>
          <w:hyperlink w:anchor="__RefHeading___Toc1279184_2870459653">
            <w:r>
              <w:rPr>
                <w:webHidden/>
                <w:rStyle w:val="IndexLink"/>
                <w:rtl w:val="true"/>
              </w:rPr>
              <w:t>المطلب الأوّل</w:t>
            </w:r>
            <w:r>
              <w:rPr>
                <w:rStyle w:val="IndexLink"/>
                <w:rtl w:val="true"/>
              </w:rPr>
              <w:tab/>
            </w:r>
            <w:r>
              <w:rPr>
                <w:rStyle w:val="IndexLink"/>
              </w:rPr>
              <w:t>232</w:t>
            </w:r>
          </w:hyperlink>
        </w:p>
        <w:p>
          <w:pPr>
            <w:pStyle w:val="Contents3"/>
            <w:tabs>
              <w:tab w:val="clear" w:pos="8459"/>
              <w:tab w:val="right" w:pos="9026" w:leader="dot"/>
            </w:tabs>
            <w:rPr/>
          </w:pPr>
          <w:hyperlink w:anchor="__RefHeading___Toc1279186_2870459653">
            <w:r>
              <w:rPr>
                <w:webHidden/>
                <w:rStyle w:val="IndexLink"/>
                <w:rtl w:val="true"/>
              </w:rPr>
              <w:t>ترجمة المستثنين في كلام ابن الوليد</w:t>
            </w:r>
            <w:r>
              <w:rPr>
                <w:rStyle w:val="IndexLink"/>
                <w:rtl w:val="true"/>
              </w:rPr>
              <w:tab/>
            </w:r>
            <w:r>
              <w:rPr>
                <w:rStyle w:val="IndexLink"/>
              </w:rPr>
              <w:t>235</w:t>
            </w:r>
          </w:hyperlink>
        </w:p>
        <w:p>
          <w:pPr>
            <w:pStyle w:val="Contents3"/>
            <w:tabs>
              <w:tab w:val="clear" w:pos="8459"/>
              <w:tab w:val="right" w:pos="9026" w:leader="dot"/>
            </w:tabs>
            <w:rPr/>
          </w:pPr>
          <w:hyperlink w:anchor="__RefHeading___Toc1279188_2870459653">
            <w:r>
              <w:rPr>
                <w:webHidden/>
                <w:rStyle w:val="IndexLink"/>
                <w:rtl w:val="true"/>
              </w:rPr>
              <w:t>الأقوال في هذا الاستثناء</w:t>
            </w:r>
            <w:r>
              <w:rPr>
                <w:rStyle w:val="IndexLink"/>
                <w:rtl w:val="true"/>
              </w:rPr>
              <w:tab/>
            </w:r>
            <w:r>
              <w:rPr>
                <w:rStyle w:val="IndexLink"/>
              </w:rPr>
              <w:t>241</w:t>
            </w:r>
          </w:hyperlink>
        </w:p>
        <w:p>
          <w:pPr>
            <w:pStyle w:val="Contents3"/>
            <w:tabs>
              <w:tab w:val="clear" w:pos="8459"/>
              <w:tab w:val="right" w:pos="9026" w:leader="dot"/>
            </w:tabs>
            <w:rPr/>
          </w:pPr>
          <w:hyperlink w:anchor="__RefHeading___Toc1279190_2870459653">
            <w:r>
              <w:rPr>
                <w:webHidden/>
                <w:rStyle w:val="IndexLink"/>
                <w:rtl w:val="true"/>
              </w:rPr>
              <w:t>الإشكالات وما يرد عليها</w:t>
            </w:r>
            <w:r>
              <w:rPr>
                <w:rStyle w:val="IndexLink"/>
                <w:rtl w:val="true"/>
              </w:rPr>
              <w:tab/>
            </w:r>
            <w:r>
              <w:rPr>
                <w:rStyle w:val="IndexLink"/>
              </w:rPr>
              <w:t>244</w:t>
            </w:r>
          </w:hyperlink>
        </w:p>
        <w:p>
          <w:pPr>
            <w:pStyle w:val="Contents3"/>
            <w:tabs>
              <w:tab w:val="clear" w:pos="8459"/>
              <w:tab w:val="right" w:pos="9026" w:leader="dot"/>
            </w:tabs>
            <w:rPr/>
          </w:pPr>
          <w:hyperlink w:anchor="__RefHeading___Toc1279192_2870459653">
            <w:r>
              <w:rPr>
                <w:webHidden/>
                <w:rStyle w:val="IndexLink"/>
                <w:rtl w:val="true"/>
              </w:rPr>
              <w:t>المطلب الآخر</w:t>
            </w:r>
            <w:r>
              <w:rPr>
                <w:rStyle w:val="IndexLink"/>
                <w:rtl w:val="true"/>
              </w:rPr>
              <w:tab/>
            </w:r>
            <w:r>
              <w:rPr>
                <w:rStyle w:val="IndexLink"/>
              </w:rPr>
              <w:t>251</w:t>
            </w:r>
          </w:hyperlink>
        </w:p>
        <w:p>
          <w:pPr>
            <w:pStyle w:val="Contents3"/>
            <w:tabs>
              <w:tab w:val="clear" w:pos="8459"/>
              <w:tab w:val="right" w:pos="9026" w:leader="dot"/>
            </w:tabs>
            <w:rPr/>
          </w:pPr>
          <w:hyperlink w:anchor="__RefHeading___Toc1279194_2870459653">
            <w:r>
              <w:rPr>
                <w:webHidden/>
                <w:rStyle w:val="IndexLink"/>
                <w:rtl w:val="true"/>
              </w:rPr>
              <w:t>أقوال الأعلام</w:t>
            </w:r>
            <w:r>
              <w:rPr>
                <w:rStyle w:val="IndexLink"/>
                <w:rtl w:val="true"/>
              </w:rPr>
              <w:tab/>
            </w:r>
            <w:r>
              <w:rPr>
                <w:rStyle w:val="IndexLink"/>
              </w:rPr>
              <w:t>251</w:t>
            </w:r>
          </w:hyperlink>
        </w:p>
        <w:p>
          <w:pPr>
            <w:pStyle w:val="Contents3"/>
            <w:tabs>
              <w:tab w:val="clear" w:pos="8459"/>
              <w:tab w:val="right" w:pos="9026" w:leader="dot"/>
            </w:tabs>
            <w:rPr/>
          </w:pPr>
          <w:hyperlink w:anchor="__RefHeading___Toc1279196_2870459653">
            <w:r>
              <w:rPr>
                <w:webHidden/>
                <w:rStyle w:val="IndexLink"/>
                <w:rtl w:val="true"/>
              </w:rPr>
              <w:t>الإشكالات الواردة على هذا التقريب وما يرد عليها</w:t>
            </w:r>
            <w:r>
              <w:rPr>
                <w:rStyle w:val="IndexLink"/>
                <w:rtl w:val="true"/>
              </w:rPr>
              <w:tab/>
            </w:r>
            <w:r>
              <w:rPr>
                <w:rStyle w:val="IndexLink"/>
              </w:rPr>
              <w:t>254</w:t>
            </w:r>
          </w:hyperlink>
        </w:p>
        <w:p>
          <w:pPr>
            <w:pStyle w:val="Contents3"/>
            <w:tabs>
              <w:tab w:val="clear" w:pos="8459"/>
              <w:tab w:val="right" w:pos="9026" w:leader="dot"/>
            </w:tabs>
            <w:rPr/>
          </w:pPr>
          <w:hyperlink w:anchor="__RefHeading___Toc1279198_2870459653">
            <w:r>
              <w:rPr>
                <w:webHidden/>
                <w:rStyle w:val="IndexLink"/>
                <w:rtl w:val="true"/>
              </w:rPr>
              <w:t>المصادر</w:t>
            </w:r>
            <w:r>
              <w:rPr>
                <w:rStyle w:val="IndexLink"/>
                <w:rtl w:val="true"/>
              </w:rPr>
              <w:tab/>
            </w:r>
            <w:r>
              <w:rPr>
                <w:rStyle w:val="IndexLink"/>
              </w:rPr>
              <w:t>260</w:t>
            </w:r>
          </w:hyperlink>
        </w:p>
        <w:p>
          <w:pPr>
            <w:pStyle w:val="Contents2"/>
            <w:tabs>
              <w:tab w:val="clear" w:pos="8743"/>
              <w:tab w:val="right" w:pos="9026" w:leader="dot"/>
            </w:tabs>
            <w:rPr/>
          </w:pPr>
          <w:hyperlink w:anchor="__RefHeading___Toc1279200_2870459653">
            <w:r>
              <w:rPr>
                <w:webHidden/>
                <w:rStyle w:val="IndexLink"/>
                <w:rtl w:val="true"/>
              </w:rPr>
              <w:t>حاشية شرح القواعد</w:t>
            </w:r>
            <w:r>
              <w:rPr>
                <w:rStyle w:val="IndexLink"/>
                <w:rtl w:val="true"/>
              </w:rPr>
              <w:tab/>
            </w:r>
            <w:r>
              <w:rPr>
                <w:rStyle w:val="IndexLink"/>
              </w:rPr>
              <w:t>266</w:t>
            </w:r>
          </w:hyperlink>
        </w:p>
        <w:p>
          <w:pPr>
            <w:pStyle w:val="Contents3"/>
            <w:tabs>
              <w:tab w:val="clear" w:pos="8459"/>
              <w:tab w:val="right" w:pos="9026" w:leader="dot"/>
            </w:tabs>
            <w:rPr/>
          </w:pPr>
          <w:hyperlink w:anchor="__RefHeading___Toc1279202_2870459653">
            <w:r>
              <w:rPr>
                <w:webHidden/>
                <w:rStyle w:val="IndexLink"/>
                <w:rtl w:val="true"/>
              </w:rPr>
              <w:t>للفقيه المدقق</w:t>
            </w:r>
            <w:r>
              <w:rPr>
                <w:rStyle w:val="IndexLink"/>
                <w:rtl w:val="true"/>
              </w:rPr>
              <w:tab/>
            </w:r>
            <w:r>
              <w:rPr>
                <w:rStyle w:val="IndexLink"/>
              </w:rPr>
              <w:t>266</w:t>
            </w:r>
          </w:hyperlink>
        </w:p>
        <w:p>
          <w:pPr>
            <w:pStyle w:val="Contents3"/>
            <w:tabs>
              <w:tab w:val="clear" w:pos="8459"/>
              <w:tab w:val="right" w:pos="9026" w:leader="dot"/>
            </w:tabs>
            <w:rPr/>
          </w:pPr>
          <w:hyperlink w:anchor="__RefHeading___Toc1279204_2870459653">
            <w:r>
              <w:rPr>
                <w:webHidden/>
                <w:rStyle w:val="IndexLink"/>
                <w:rtl w:val="true"/>
              </w:rPr>
              <w:t xml:space="preserve">ترجمة الشيخ عبد العالي الكركي </w:t>
            </w:r>
            <w:r>
              <w:rPr>
                <w:rStyle w:val="IndexLink"/>
                <w:rtl w:val="true"/>
              </w:rPr>
              <w:t>(</w:t>
            </w:r>
            <w:r>
              <w:rPr>
                <w:rStyle w:val="IndexLink"/>
                <w:rtl w:val="true"/>
              </w:rPr>
              <w:t>طاب ثراه</w:t>
            </w:r>
            <w:r>
              <w:rPr>
                <w:rStyle w:val="IndexLink"/>
                <w:rtl w:val="true"/>
              </w:rPr>
              <w:t>)</w:t>
              <w:tab/>
            </w:r>
            <w:r>
              <w:rPr>
                <w:rStyle w:val="IndexLink"/>
              </w:rPr>
              <w:t>269</w:t>
            </w:r>
          </w:hyperlink>
        </w:p>
        <w:p>
          <w:pPr>
            <w:pStyle w:val="Contents3"/>
            <w:tabs>
              <w:tab w:val="clear" w:pos="8459"/>
              <w:tab w:val="right" w:pos="9026" w:leader="dot"/>
            </w:tabs>
            <w:rPr/>
          </w:pPr>
          <w:hyperlink w:anchor="__RefHeading___Toc1279206_2870459653">
            <w:r>
              <w:rPr>
                <w:webHidden/>
                <w:rStyle w:val="IndexLink"/>
                <w:rtl w:val="true"/>
              </w:rPr>
              <w:t>اسمه ومولده</w:t>
            </w:r>
            <w:r>
              <w:rPr>
                <w:rStyle w:val="IndexLink"/>
                <w:rtl w:val="true"/>
              </w:rPr>
              <w:tab/>
            </w:r>
            <w:r>
              <w:rPr>
                <w:rStyle w:val="IndexLink"/>
              </w:rPr>
              <w:t>269</w:t>
            </w:r>
          </w:hyperlink>
        </w:p>
        <w:p>
          <w:pPr>
            <w:pStyle w:val="Contents3"/>
            <w:tabs>
              <w:tab w:val="clear" w:pos="8459"/>
              <w:tab w:val="right" w:pos="9026" w:leader="dot"/>
            </w:tabs>
            <w:rPr/>
          </w:pPr>
          <w:hyperlink w:anchor="__RefHeading___Toc1279208_2870459653">
            <w:r>
              <w:rPr>
                <w:webHidden/>
                <w:rStyle w:val="IndexLink"/>
                <w:rtl w:val="true"/>
              </w:rPr>
              <w:t>مكان مولده</w:t>
            </w:r>
            <w:r>
              <w:rPr>
                <w:rStyle w:val="IndexLink"/>
                <w:rtl w:val="true"/>
              </w:rPr>
              <w:tab/>
            </w:r>
            <w:r>
              <w:rPr>
                <w:rStyle w:val="IndexLink"/>
              </w:rPr>
              <w:t>269</w:t>
            </w:r>
          </w:hyperlink>
        </w:p>
        <w:p>
          <w:pPr>
            <w:pStyle w:val="Contents3"/>
            <w:tabs>
              <w:tab w:val="clear" w:pos="8459"/>
              <w:tab w:val="right" w:pos="9026" w:leader="dot"/>
            </w:tabs>
            <w:rPr/>
          </w:pPr>
          <w:hyperlink w:anchor="__RefHeading___Toc1279210_2870459653">
            <w:r>
              <w:rPr>
                <w:webHidden/>
                <w:rStyle w:val="IndexLink"/>
                <w:rtl w:val="true"/>
              </w:rPr>
              <w:t>مشايخه في الرّواية</w:t>
            </w:r>
            <w:r>
              <w:rPr>
                <w:rStyle w:val="IndexLink"/>
                <w:rtl w:val="true"/>
              </w:rPr>
              <w:tab/>
            </w:r>
            <w:r>
              <w:rPr>
                <w:rStyle w:val="IndexLink"/>
              </w:rPr>
              <w:t>270</w:t>
            </w:r>
          </w:hyperlink>
        </w:p>
        <w:p>
          <w:pPr>
            <w:pStyle w:val="Contents3"/>
            <w:tabs>
              <w:tab w:val="clear" w:pos="8459"/>
              <w:tab w:val="right" w:pos="9026" w:leader="dot"/>
            </w:tabs>
            <w:rPr/>
          </w:pPr>
          <w:hyperlink w:anchor="__RefHeading___Toc1279212_2870459653">
            <w:r>
              <w:rPr>
                <w:webHidden/>
                <w:rStyle w:val="IndexLink"/>
                <w:rtl w:val="true"/>
              </w:rPr>
              <w:t>تلامذته والرّاوون عنه</w:t>
            </w:r>
            <w:r>
              <w:rPr>
                <w:rStyle w:val="IndexLink"/>
                <w:rtl w:val="true"/>
              </w:rPr>
              <w:tab/>
            </w:r>
            <w:r>
              <w:rPr>
                <w:rStyle w:val="IndexLink"/>
              </w:rPr>
              <w:t>270</w:t>
            </w:r>
          </w:hyperlink>
        </w:p>
        <w:p>
          <w:pPr>
            <w:pStyle w:val="Contents3"/>
            <w:tabs>
              <w:tab w:val="clear" w:pos="8459"/>
              <w:tab w:val="right" w:pos="9026" w:leader="dot"/>
            </w:tabs>
            <w:rPr/>
          </w:pPr>
          <w:hyperlink w:anchor="__RefHeading___Toc1279214_2870459653">
            <w:r>
              <w:rPr>
                <w:webHidden/>
                <w:rStyle w:val="IndexLink"/>
                <w:rtl w:val="true"/>
              </w:rPr>
              <w:t>أقوال العلماء في حقه</w:t>
            </w:r>
            <w:r>
              <w:rPr>
                <w:rStyle w:val="IndexLink"/>
                <w:rtl w:val="true"/>
              </w:rPr>
              <w:tab/>
            </w:r>
            <w:r>
              <w:rPr>
                <w:rStyle w:val="IndexLink"/>
              </w:rPr>
              <w:t>272</w:t>
            </w:r>
          </w:hyperlink>
        </w:p>
        <w:p>
          <w:pPr>
            <w:pStyle w:val="Contents3"/>
            <w:tabs>
              <w:tab w:val="clear" w:pos="8459"/>
              <w:tab w:val="right" w:pos="9026" w:leader="dot"/>
            </w:tabs>
            <w:rPr/>
          </w:pPr>
          <w:hyperlink w:anchor="__RefHeading___Toc1279216_2870459653">
            <w:r>
              <w:rPr>
                <w:webHidden/>
                <w:rStyle w:val="IndexLink"/>
                <w:rtl w:val="true"/>
              </w:rPr>
              <w:t>مؤلفاته</w:t>
            </w:r>
            <w:r>
              <w:rPr>
                <w:rStyle w:val="IndexLink"/>
                <w:rtl w:val="true"/>
              </w:rPr>
              <w:tab/>
            </w:r>
            <w:r>
              <w:rPr>
                <w:rStyle w:val="IndexLink"/>
              </w:rPr>
              <w:t>274</w:t>
            </w:r>
          </w:hyperlink>
        </w:p>
        <w:p>
          <w:pPr>
            <w:pStyle w:val="Contents3"/>
            <w:tabs>
              <w:tab w:val="clear" w:pos="8459"/>
              <w:tab w:val="right" w:pos="9026" w:leader="dot"/>
            </w:tabs>
            <w:rPr/>
          </w:pPr>
          <w:hyperlink w:anchor="__RefHeading___Toc1279218_2870459653">
            <w:r>
              <w:rPr>
                <w:webHidden/>
                <w:rStyle w:val="IndexLink"/>
                <w:rtl w:val="true"/>
              </w:rPr>
              <w:t>نشاطه العلمي والاجتماعي</w:t>
            </w:r>
            <w:r>
              <w:rPr>
                <w:rStyle w:val="IndexLink"/>
                <w:rtl w:val="true"/>
              </w:rPr>
              <w:tab/>
            </w:r>
            <w:r>
              <w:rPr>
                <w:rStyle w:val="IndexLink"/>
              </w:rPr>
              <w:t>276</w:t>
            </w:r>
          </w:hyperlink>
        </w:p>
        <w:p>
          <w:pPr>
            <w:pStyle w:val="Contents3"/>
            <w:tabs>
              <w:tab w:val="clear" w:pos="8459"/>
              <w:tab w:val="right" w:pos="9026" w:leader="dot"/>
            </w:tabs>
            <w:rPr/>
          </w:pPr>
          <w:hyperlink w:anchor="__RefHeading___Toc1279220_2870459653">
            <w:r>
              <w:rPr>
                <w:webHidden/>
                <w:rStyle w:val="IndexLink"/>
                <w:rtl w:val="true"/>
              </w:rPr>
              <w:t>محاولة اغتياله</w:t>
            </w:r>
            <w:r>
              <w:rPr>
                <w:rStyle w:val="IndexLink"/>
                <w:rtl w:val="true"/>
              </w:rPr>
              <w:tab/>
            </w:r>
            <w:r>
              <w:rPr>
                <w:rStyle w:val="IndexLink"/>
              </w:rPr>
              <w:t>276</w:t>
            </w:r>
          </w:hyperlink>
        </w:p>
        <w:p>
          <w:pPr>
            <w:pStyle w:val="Contents3"/>
            <w:tabs>
              <w:tab w:val="clear" w:pos="8459"/>
              <w:tab w:val="right" w:pos="9026" w:leader="dot"/>
            </w:tabs>
            <w:rPr/>
          </w:pPr>
          <w:hyperlink w:anchor="__RefHeading___Toc1279222_2870459653">
            <w:r>
              <w:rPr>
                <w:webHidden/>
                <w:rStyle w:val="IndexLink"/>
                <w:rtl w:val="true"/>
              </w:rPr>
              <w:t>وفاته</w:t>
            </w:r>
            <w:r>
              <w:rPr>
                <w:rStyle w:val="IndexLink"/>
                <w:rtl w:val="true"/>
              </w:rPr>
              <w:tab/>
            </w:r>
            <w:r>
              <w:rPr>
                <w:rStyle w:val="IndexLink"/>
              </w:rPr>
              <w:t>277</w:t>
            </w:r>
          </w:hyperlink>
        </w:p>
        <w:p>
          <w:pPr>
            <w:pStyle w:val="Contents3"/>
            <w:tabs>
              <w:tab w:val="clear" w:pos="8459"/>
              <w:tab w:val="right" w:pos="9026" w:leader="dot"/>
            </w:tabs>
            <w:rPr/>
          </w:pPr>
          <w:hyperlink w:anchor="__RefHeading___Toc1279224_2870459653">
            <w:r>
              <w:rPr>
                <w:webHidden/>
                <w:rStyle w:val="IndexLink"/>
                <w:rtl w:val="true"/>
              </w:rPr>
              <w:t>مدفنه</w:t>
            </w:r>
            <w:r>
              <w:rPr>
                <w:rStyle w:val="IndexLink"/>
                <w:rtl w:val="true"/>
              </w:rPr>
              <w:tab/>
            </w:r>
            <w:r>
              <w:rPr>
                <w:rStyle w:val="IndexLink"/>
              </w:rPr>
              <w:t>277</w:t>
            </w:r>
          </w:hyperlink>
        </w:p>
        <w:p>
          <w:pPr>
            <w:pStyle w:val="Contents3"/>
            <w:tabs>
              <w:tab w:val="clear" w:pos="8459"/>
              <w:tab w:val="right" w:pos="9026" w:leader="dot"/>
            </w:tabs>
            <w:rPr/>
          </w:pPr>
          <w:hyperlink w:anchor="__RefHeading___Toc1279226_2870459653">
            <w:r>
              <w:rPr>
                <w:webHidden/>
                <w:rStyle w:val="IndexLink"/>
                <w:rtl w:val="true"/>
              </w:rPr>
              <w:t>لقبه</w:t>
            </w:r>
            <w:r>
              <w:rPr>
                <w:rStyle w:val="IndexLink"/>
                <w:rtl w:val="true"/>
              </w:rPr>
              <w:tab/>
            </w:r>
            <w:r>
              <w:rPr>
                <w:rStyle w:val="IndexLink"/>
              </w:rPr>
              <w:t>278</w:t>
            </w:r>
          </w:hyperlink>
        </w:p>
        <w:p>
          <w:pPr>
            <w:pStyle w:val="Contents3"/>
            <w:tabs>
              <w:tab w:val="clear" w:pos="8459"/>
              <w:tab w:val="right" w:pos="9026" w:leader="dot"/>
            </w:tabs>
            <w:rPr/>
          </w:pPr>
          <w:hyperlink w:anchor="__RefHeading___Toc1279228_2870459653">
            <w:r>
              <w:rPr>
                <w:webHidden/>
                <w:rStyle w:val="IndexLink"/>
                <w:rtl w:val="true"/>
              </w:rPr>
              <w:t>أساتذته</w:t>
            </w:r>
            <w:r>
              <w:rPr>
                <w:rStyle w:val="IndexLink"/>
                <w:rtl w:val="true"/>
              </w:rPr>
              <w:tab/>
            </w:r>
            <w:r>
              <w:rPr>
                <w:rStyle w:val="IndexLink"/>
              </w:rPr>
              <w:t>278</w:t>
            </w:r>
          </w:hyperlink>
        </w:p>
        <w:p>
          <w:pPr>
            <w:pStyle w:val="Contents3"/>
            <w:tabs>
              <w:tab w:val="clear" w:pos="8459"/>
              <w:tab w:val="right" w:pos="9026" w:leader="dot"/>
            </w:tabs>
            <w:rPr/>
          </w:pPr>
          <w:hyperlink w:anchor="__RefHeading___Toc1279230_2870459653">
            <w:r>
              <w:rPr>
                <w:webHidden/>
                <w:rStyle w:val="IndexLink"/>
                <w:rtl w:val="true"/>
              </w:rPr>
              <w:t>إجازاته</w:t>
            </w:r>
            <w:r>
              <w:rPr>
                <w:rStyle w:val="IndexLink"/>
                <w:rtl w:val="true"/>
              </w:rPr>
              <w:tab/>
            </w:r>
            <w:r>
              <w:rPr>
                <w:rStyle w:val="IndexLink"/>
              </w:rPr>
              <w:t>278</w:t>
            </w:r>
          </w:hyperlink>
        </w:p>
        <w:p>
          <w:pPr>
            <w:pStyle w:val="Contents3"/>
            <w:tabs>
              <w:tab w:val="clear" w:pos="8459"/>
              <w:tab w:val="right" w:pos="9026" w:leader="dot"/>
            </w:tabs>
            <w:rPr/>
          </w:pPr>
          <w:hyperlink w:anchor="__RefHeading___Toc1279232_2870459653">
            <w:r>
              <w:rPr>
                <w:webHidden/>
                <w:rStyle w:val="IndexLink"/>
                <w:rtl w:val="true"/>
              </w:rPr>
              <w:t>نشاطه العلمي</w:t>
            </w:r>
            <w:r>
              <w:rPr>
                <w:rStyle w:val="IndexLink"/>
                <w:rtl w:val="true"/>
              </w:rPr>
              <w:tab/>
            </w:r>
            <w:r>
              <w:rPr>
                <w:rStyle w:val="IndexLink"/>
              </w:rPr>
              <w:t>282</w:t>
            </w:r>
          </w:hyperlink>
        </w:p>
        <w:p>
          <w:pPr>
            <w:pStyle w:val="Contents3"/>
            <w:tabs>
              <w:tab w:val="clear" w:pos="8459"/>
              <w:tab w:val="right" w:pos="9026" w:leader="dot"/>
            </w:tabs>
            <w:rPr/>
          </w:pPr>
          <w:hyperlink w:anchor="__RefHeading___Toc1279234_2870459653">
            <w:r>
              <w:rPr>
                <w:webHidden/>
                <w:rStyle w:val="IndexLink"/>
                <w:rtl w:val="true"/>
              </w:rPr>
              <w:t>المولى حاجي بابا واحد أم اثنان؟</w:t>
            </w:r>
            <w:r>
              <w:rPr>
                <w:rStyle w:val="IndexLink"/>
                <w:rtl w:val="true"/>
              </w:rPr>
              <w:tab/>
            </w:r>
            <w:r>
              <w:rPr>
                <w:rStyle w:val="IndexLink"/>
              </w:rPr>
              <w:t>283</w:t>
            </w:r>
          </w:hyperlink>
        </w:p>
        <w:p>
          <w:pPr>
            <w:pStyle w:val="Contents3"/>
            <w:tabs>
              <w:tab w:val="clear" w:pos="8459"/>
              <w:tab w:val="right" w:pos="9026" w:leader="dot"/>
            </w:tabs>
            <w:rPr/>
          </w:pPr>
          <w:hyperlink w:anchor="__RefHeading___Toc1279236_2870459653">
            <w:r>
              <w:rPr>
                <w:webHidden/>
                <w:rStyle w:val="IndexLink"/>
                <w:rtl w:val="true"/>
              </w:rPr>
              <w:t>وصف النسخة المعتمدة في التحقيق</w:t>
            </w:r>
            <w:r>
              <w:rPr>
                <w:rStyle w:val="IndexLink"/>
                <w:rtl w:val="true"/>
              </w:rPr>
              <w:tab/>
            </w:r>
            <w:r>
              <w:rPr>
                <w:rStyle w:val="IndexLink"/>
              </w:rPr>
              <w:t>288</w:t>
            </w:r>
          </w:hyperlink>
        </w:p>
        <w:p>
          <w:pPr>
            <w:pStyle w:val="Contents3"/>
            <w:tabs>
              <w:tab w:val="clear" w:pos="8459"/>
              <w:tab w:val="right" w:pos="9026" w:leader="dot"/>
            </w:tabs>
            <w:rPr/>
          </w:pPr>
          <w:hyperlink w:anchor="__RefHeading___Toc1279238_2870459653">
            <w:r>
              <w:rPr>
                <w:webHidden/>
                <w:rStyle w:val="IndexLink"/>
                <w:rtl w:val="true"/>
              </w:rPr>
              <w:t>العمل في التحقيق</w:t>
            </w:r>
            <w:r>
              <w:rPr>
                <w:rStyle w:val="IndexLink"/>
                <w:rtl w:val="true"/>
              </w:rPr>
              <w:t>:</w:t>
              <w:tab/>
            </w:r>
            <w:r>
              <w:rPr>
                <w:rStyle w:val="IndexLink"/>
              </w:rPr>
              <w:t>289</w:t>
            </w:r>
          </w:hyperlink>
        </w:p>
        <w:p>
          <w:pPr>
            <w:pStyle w:val="Contents3"/>
            <w:tabs>
              <w:tab w:val="clear" w:pos="8459"/>
              <w:tab w:val="right" w:pos="9026" w:leader="dot"/>
            </w:tabs>
            <w:rPr/>
          </w:pPr>
          <w:hyperlink w:anchor="__RefHeading___Toc1279240_2870459653">
            <w:r>
              <w:rPr>
                <w:webHidden/>
                <w:rStyle w:val="IndexLink"/>
                <w:rtl w:val="true"/>
              </w:rPr>
              <w:t>شكر وتقدير</w:t>
            </w:r>
            <w:r>
              <w:rPr>
                <w:rStyle w:val="IndexLink"/>
                <w:rtl w:val="true"/>
              </w:rPr>
              <w:t>:</w:t>
              <w:tab/>
            </w:r>
            <w:r>
              <w:rPr>
                <w:rStyle w:val="IndexLink"/>
              </w:rPr>
              <w:t>289</w:t>
            </w:r>
          </w:hyperlink>
        </w:p>
        <w:p>
          <w:pPr>
            <w:pStyle w:val="Contents2"/>
            <w:tabs>
              <w:tab w:val="clear" w:pos="8743"/>
              <w:tab w:val="right" w:pos="9026" w:leader="dot"/>
            </w:tabs>
            <w:rPr/>
          </w:pPr>
          <w:hyperlink w:anchor="__RefHeading___Toc1279242_2870459653">
            <w:r>
              <w:rPr>
                <w:webHidden/>
                <w:rStyle w:val="IndexLink"/>
                <w:rtl w:val="true"/>
              </w:rPr>
              <w:t>حاشية شرح القواعد</w:t>
            </w:r>
            <w:r>
              <w:rPr>
                <w:rStyle w:val="IndexLink"/>
                <w:rtl w:val="true"/>
              </w:rPr>
              <w:tab/>
            </w:r>
            <w:r>
              <w:rPr>
                <w:rStyle w:val="IndexLink"/>
              </w:rPr>
              <w:t>294</w:t>
            </w:r>
          </w:hyperlink>
        </w:p>
        <w:p>
          <w:pPr>
            <w:pStyle w:val="Contents3"/>
            <w:tabs>
              <w:tab w:val="clear" w:pos="8459"/>
              <w:tab w:val="right" w:pos="9026" w:leader="dot"/>
            </w:tabs>
            <w:rPr/>
          </w:pPr>
          <w:hyperlink w:anchor="__RefHeading___Toc1279244_2870459653">
            <w:r>
              <w:rPr>
                <w:webHidden/>
                <w:rStyle w:val="IndexLink"/>
                <w:rtl w:val="true"/>
              </w:rPr>
              <w:t>للفقيه المدقق</w:t>
            </w:r>
            <w:r>
              <w:rPr>
                <w:rStyle w:val="IndexLink"/>
                <w:rtl w:val="true"/>
              </w:rPr>
              <w:tab/>
            </w:r>
            <w:r>
              <w:rPr>
                <w:rStyle w:val="IndexLink"/>
              </w:rPr>
              <w:t>294</w:t>
            </w:r>
          </w:hyperlink>
        </w:p>
        <w:p>
          <w:pPr>
            <w:pStyle w:val="Contents3"/>
            <w:tabs>
              <w:tab w:val="clear" w:pos="8459"/>
              <w:tab w:val="right" w:pos="9026" w:leader="dot"/>
            </w:tabs>
            <w:rPr/>
          </w:pPr>
          <w:hyperlink w:anchor="__RefHeading___Toc1279246_2870459653">
            <w:r>
              <w:rPr>
                <w:webHidden/>
                <w:rStyle w:val="IndexLink"/>
                <w:rtl w:val="true"/>
              </w:rPr>
              <w:t>[</w:t>
            </w:r>
            <w:r>
              <w:rPr>
                <w:rStyle w:val="IndexLink"/>
                <w:rtl w:val="true"/>
              </w:rPr>
              <w:t>الأغسال الواجبة والمستحبّة</w:t>
            </w:r>
            <w:r>
              <w:rPr>
                <w:rStyle w:val="IndexLink"/>
                <w:rtl w:val="true"/>
              </w:rPr>
              <w:t>]</w:t>
              <w:tab/>
            </w:r>
            <w:r>
              <w:rPr>
                <w:rStyle w:val="IndexLink"/>
              </w:rPr>
              <w:t>299</w:t>
            </w:r>
          </w:hyperlink>
        </w:p>
        <w:p>
          <w:pPr>
            <w:pStyle w:val="Contents3"/>
            <w:tabs>
              <w:tab w:val="clear" w:pos="8459"/>
              <w:tab w:val="right" w:pos="9026" w:leader="dot"/>
            </w:tabs>
            <w:rPr/>
          </w:pPr>
          <w:hyperlink w:anchor="__RefHeading___Toc1279248_2870459653">
            <w:r>
              <w:rPr>
                <w:webHidden/>
                <w:rStyle w:val="IndexLink"/>
                <w:rtl w:val="true"/>
              </w:rPr>
              <w:t>[</w:t>
            </w:r>
            <w:r>
              <w:rPr>
                <w:rStyle w:val="IndexLink"/>
                <w:rtl w:val="true"/>
              </w:rPr>
              <w:t>التيمم</w:t>
            </w:r>
            <w:r>
              <w:rPr>
                <w:rStyle w:val="IndexLink"/>
                <w:rtl w:val="true"/>
              </w:rPr>
              <w:t>]</w:t>
              <w:tab/>
            </w:r>
            <w:r>
              <w:rPr>
                <w:rStyle w:val="IndexLink"/>
              </w:rPr>
              <w:t>304</w:t>
            </w:r>
          </w:hyperlink>
        </w:p>
        <w:p>
          <w:pPr>
            <w:pStyle w:val="Contents3"/>
            <w:tabs>
              <w:tab w:val="clear" w:pos="8459"/>
              <w:tab w:val="right" w:pos="9026" w:leader="dot"/>
            </w:tabs>
            <w:rPr/>
          </w:pPr>
          <w:hyperlink w:anchor="__RefHeading___Toc1279250_2870459653">
            <w:r>
              <w:rPr>
                <w:webHidden/>
                <w:rStyle w:val="IndexLink"/>
                <w:rtl w:val="true"/>
              </w:rPr>
              <w:t>[</w:t>
            </w:r>
            <w:r>
              <w:rPr>
                <w:rStyle w:val="IndexLink"/>
                <w:rtl w:val="true"/>
              </w:rPr>
              <w:t>موجبات الوضوء</w:t>
            </w:r>
            <w:r>
              <w:rPr>
                <w:rStyle w:val="IndexLink"/>
                <w:rtl w:val="true"/>
              </w:rPr>
              <w:t>]</w:t>
              <w:tab/>
            </w:r>
            <w:r>
              <w:rPr>
                <w:rStyle w:val="IndexLink"/>
              </w:rPr>
              <w:t>306</w:t>
            </w:r>
          </w:hyperlink>
        </w:p>
        <w:p>
          <w:pPr>
            <w:pStyle w:val="Contents3"/>
            <w:tabs>
              <w:tab w:val="clear" w:pos="8459"/>
              <w:tab w:val="right" w:pos="9026" w:leader="dot"/>
            </w:tabs>
            <w:rPr/>
          </w:pPr>
          <w:hyperlink w:anchor="__RefHeading___Toc1279252_2870459653">
            <w:r>
              <w:rPr>
                <w:webHidden/>
                <w:rStyle w:val="IndexLink"/>
                <w:rtl w:val="true"/>
              </w:rPr>
              <w:t>[</w:t>
            </w:r>
            <w:r>
              <w:rPr>
                <w:rStyle w:val="IndexLink"/>
                <w:rtl w:val="true"/>
              </w:rPr>
              <w:t>الأغسال الواجبة</w:t>
            </w:r>
            <w:r>
              <w:rPr>
                <w:rStyle w:val="IndexLink"/>
                <w:rtl w:val="true"/>
              </w:rPr>
              <w:t>]</w:t>
              <w:tab/>
            </w:r>
            <w:r>
              <w:rPr>
                <w:rStyle w:val="IndexLink"/>
              </w:rPr>
              <w:t>309</w:t>
            </w:r>
          </w:hyperlink>
        </w:p>
        <w:p>
          <w:pPr>
            <w:pStyle w:val="Contents3"/>
            <w:tabs>
              <w:tab w:val="clear" w:pos="8459"/>
              <w:tab w:val="right" w:pos="9026" w:leader="dot"/>
            </w:tabs>
            <w:rPr/>
          </w:pPr>
          <w:hyperlink w:anchor="__RefHeading___Toc1279254_2870459653">
            <w:r>
              <w:rPr>
                <w:webHidden/>
                <w:rStyle w:val="IndexLink"/>
                <w:rtl w:val="true"/>
              </w:rPr>
              <w:t>[</w:t>
            </w:r>
            <w:r>
              <w:rPr>
                <w:rStyle w:val="IndexLink"/>
                <w:rtl w:val="true"/>
              </w:rPr>
              <w:t>آداب الخلوة وكيفية الاستنجاء</w:t>
            </w:r>
            <w:r>
              <w:rPr>
                <w:rStyle w:val="IndexLink"/>
                <w:rtl w:val="true"/>
              </w:rPr>
              <w:t>]</w:t>
              <w:tab/>
            </w:r>
            <w:r>
              <w:rPr>
                <w:rStyle w:val="IndexLink"/>
              </w:rPr>
              <w:t>318</w:t>
            </w:r>
          </w:hyperlink>
        </w:p>
        <w:p>
          <w:pPr>
            <w:pStyle w:val="Contents3"/>
            <w:tabs>
              <w:tab w:val="clear" w:pos="8459"/>
              <w:tab w:val="right" w:pos="9026" w:leader="dot"/>
            </w:tabs>
            <w:rPr/>
          </w:pPr>
          <w:hyperlink w:anchor="__RefHeading___Toc1279256_2870459653">
            <w:r>
              <w:rPr>
                <w:webHidden/>
                <w:rStyle w:val="IndexLink"/>
                <w:rtl w:val="true"/>
              </w:rPr>
              <w:t>[</w:t>
            </w:r>
            <w:r>
              <w:rPr>
                <w:rStyle w:val="IndexLink"/>
                <w:rtl w:val="true"/>
              </w:rPr>
              <w:t>أحكام التخلي</w:t>
            </w:r>
            <w:r>
              <w:rPr>
                <w:rStyle w:val="IndexLink"/>
                <w:rtl w:val="true"/>
              </w:rPr>
              <w:t>]</w:t>
              <w:tab/>
            </w:r>
            <w:r>
              <w:rPr>
                <w:rStyle w:val="IndexLink"/>
              </w:rPr>
              <w:t>325</w:t>
            </w:r>
          </w:hyperlink>
        </w:p>
        <w:p>
          <w:pPr>
            <w:pStyle w:val="Contents3"/>
            <w:tabs>
              <w:tab w:val="clear" w:pos="8459"/>
              <w:tab w:val="right" w:pos="9026" w:leader="dot"/>
            </w:tabs>
            <w:rPr/>
          </w:pPr>
          <w:hyperlink w:anchor="__RefHeading___Toc1279258_2870459653">
            <w:r>
              <w:rPr>
                <w:webHidden/>
                <w:rStyle w:val="IndexLink"/>
                <w:rtl w:val="true"/>
              </w:rPr>
              <w:t>[</w:t>
            </w:r>
            <w:r>
              <w:rPr>
                <w:rStyle w:val="IndexLink"/>
                <w:rtl w:val="true"/>
              </w:rPr>
              <w:t>فروع في الطهارات</w:t>
            </w:r>
            <w:r>
              <w:rPr>
                <w:rStyle w:val="IndexLink"/>
                <w:rtl w:val="true"/>
              </w:rPr>
              <w:t>]</w:t>
              <w:tab/>
            </w:r>
            <w:r>
              <w:rPr>
                <w:rStyle w:val="IndexLink"/>
              </w:rPr>
              <w:t>329</w:t>
            </w:r>
          </w:hyperlink>
        </w:p>
        <w:p>
          <w:pPr>
            <w:pStyle w:val="Contents3"/>
            <w:tabs>
              <w:tab w:val="clear" w:pos="8459"/>
              <w:tab w:val="right" w:pos="9026" w:leader="dot"/>
            </w:tabs>
            <w:rPr/>
          </w:pPr>
          <w:hyperlink w:anchor="__RefHeading___Toc1279260_2870459653">
            <w:r>
              <w:rPr>
                <w:webHidden/>
                <w:rStyle w:val="IndexLink"/>
                <w:rtl w:val="true"/>
              </w:rPr>
              <w:t xml:space="preserve">[ </w:t>
            </w:r>
            <w:r>
              <w:rPr>
                <w:rStyle w:val="IndexLink"/>
                <w:rtl w:val="true"/>
              </w:rPr>
              <w:t>فروع الماء المطلق</w:t>
            </w:r>
            <w:r>
              <w:rPr>
                <w:rStyle w:val="IndexLink"/>
                <w:rtl w:val="true"/>
              </w:rPr>
              <w:t>]</w:t>
              <w:tab/>
            </w:r>
            <w:r>
              <w:rPr>
                <w:rStyle w:val="IndexLink"/>
              </w:rPr>
              <w:t>336</w:t>
            </w:r>
          </w:hyperlink>
        </w:p>
        <w:p>
          <w:pPr>
            <w:pStyle w:val="Contents3"/>
            <w:tabs>
              <w:tab w:val="clear" w:pos="8459"/>
              <w:tab w:val="right" w:pos="9026" w:leader="dot"/>
            </w:tabs>
            <w:rPr/>
          </w:pPr>
          <w:hyperlink w:anchor="__RefHeading___Toc1279262_2870459653">
            <w:r>
              <w:rPr>
                <w:webHidden/>
                <w:rStyle w:val="IndexLink"/>
                <w:rtl w:val="true"/>
              </w:rPr>
              <w:t>[</w:t>
            </w:r>
            <w:r>
              <w:rPr>
                <w:rStyle w:val="IndexLink"/>
                <w:rtl w:val="true"/>
              </w:rPr>
              <w:t>مقدار الكر</w:t>
            </w:r>
            <w:r>
              <w:rPr>
                <w:rStyle w:val="IndexLink"/>
                <w:rtl w:val="true"/>
              </w:rPr>
              <w:t>]</w:t>
              <w:tab/>
            </w:r>
            <w:r>
              <w:rPr>
                <w:rStyle w:val="IndexLink"/>
              </w:rPr>
              <w:t>340</w:t>
            </w:r>
          </w:hyperlink>
        </w:p>
        <w:p>
          <w:pPr>
            <w:pStyle w:val="Contents3"/>
            <w:tabs>
              <w:tab w:val="clear" w:pos="8459"/>
              <w:tab w:val="right" w:pos="9026" w:leader="dot"/>
            </w:tabs>
            <w:rPr/>
          </w:pPr>
          <w:hyperlink w:anchor="__RefHeading___Toc1279264_2870459653">
            <w:r>
              <w:rPr>
                <w:webHidden/>
                <w:rStyle w:val="IndexLink"/>
                <w:rtl w:val="true"/>
              </w:rPr>
              <w:t>[</w:t>
            </w:r>
            <w:r>
              <w:rPr>
                <w:rStyle w:val="IndexLink"/>
                <w:rtl w:val="true"/>
              </w:rPr>
              <w:t>تعريف البئر</w:t>
            </w:r>
            <w:r>
              <w:rPr>
                <w:rStyle w:val="IndexLink"/>
                <w:rtl w:val="true"/>
              </w:rPr>
              <w:t>]</w:t>
              <w:tab/>
            </w:r>
            <w:r>
              <w:rPr>
                <w:rStyle w:val="IndexLink"/>
              </w:rPr>
              <w:t>343</w:t>
            </w:r>
          </w:hyperlink>
        </w:p>
        <w:p>
          <w:pPr>
            <w:pStyle w:val="Contents3"/>
            <w:tabs>
              <w:tab w:val="clear" w:pos="8459"/>
              <w:tab w:val="right" w:pos="9026" w:leader="dot"/>
            </w:tabs>
            <w:rPr/>
          </w:pPr>
          <w:hyperlink w:anchor="__RefHeading___Toc1279266_2870459653">
            <w:r>
              <w:rPr>
                <w:webHidden/>
                <w:rStyle w:val="IndexLink"/>
                <w:rtl w:val="true"/>
              </w:rPr>
              <w:t>[</w:t>
            </w:r>
            <w:r>
              <w:rPr>
                <w:rStyle w:val="IndexLink"/>
                <w:rtl w:val="true"/>
              </w:rPr>
              <w:t>نزح البئر</w:t>
            </w:r>
            <w:r>
              <w:rPr>
                <w:rStyle w:val="IndexLink"/>
                <w:rtl w:val="true"/>
              </w:rPr>
              <w:t>]</w:t>
              <w:tab/>
            </w:r>
            <w:r>
              <w:rPr>
                <w:rStyle w:val="IndexLink"/>
              </w:rPr>
              <w:t>344</w:t>
            </w:r>
          </w:hyperlink>
        </w:p>
        <w:p>
          <w:pPr>
            <w:pStyle w:val="Contents3"/>
            <w:tabs>
              <w:tab w:val="clear" w:pos="8459"/>
              <w:tab w:val="right" w:pos="9026" w:leader="dot"/>
            </w:tabs>
            <w:rPr/>
          </w:pPr>
          <w:hyperlink w:anchor="__RefHeading___Toc1279268_2870459653">
            <w:r>
              <w:rPr>
                <w:webHidden/>
                <w:rStyle w:val="IndexLink"/>
                <w:rtl w:val="true"/>
              </w:rPr>
              <w:t>[</w:t>
            </w:r>
            <w:r>
              <w:rPr>
                <w:rStyle w:val="IndexLink"/>
                <w:rtl w:val="true"/>
              </w:rPr>
              <w:t>الماء المضاف</w:t>
            </w:r>
            <w:r>
              <w:rPr>
                <w:rStyle w:val="IndexLink"/>
                <w:rtl w:val="true"/>
              </w:rPr>
              <w:t>]</w:t>
              <w:tab/>
            </w:r>
            <w:r>
              <w:rPr>
                <w:rStyle w:val="IndexLink"/>
              </w:rPr>
              <w:t>346</w:t>
            </w:r>
          </w:hyperlink>
        </w:p>
        <w:p>
          <w:pPr>
            <w:pStyle w:val="Contents3"/>
            <w:tabs>
              <w:tab w:val="clear" w:pos="8459"/>
              <w:tab w:val="right" w:pos="9026" w:leader="dot"/>
            </w:tabs>
            <w:rPr/>
          </w:pPr>
          <w:hyperlink w:anchor="__RefHeading___Toc1279270_2870459653">
            <w:r>
              <w:rPr>
                <w:webHidden/>
                <w:rStyle w:val="IndexLink"/>
                <w:rtl w:val="true"/>
              </w:rPr>
              <w:t>[</w:t>
            </w:r>
            <w:r>
              <w:rPr>
                <w:rStyle w:val="IndexLink"/>
                <w:rtl w:val="true"/>
              </w:rPr>
              <w:t>مزج الماء المضاف مع الماء المطلق</w:t>
            </w:r>
            <w:r>
              <w:rPr>
                <w:rStyle w:val="IndexLink"/>
                <w:rtl w:val="true"/>
              </w:rPr>
              <w:t>]</w:t>
              <w:tab/>
            </w:r>
            <w:r>
              <w:rPr>
                <w:rStyle w:val="IndexLink"/>
              </w:rPr>
              <w:t>348</w:t>
            </w:r>
          </w:hyperlink>
        </w:p>
        <w:p>
          <w:pPr>
            <w:pStyle w:val="Contents3"/>
            <w:tabs>
              <w:tab w:val="clear" w:pos="8459"/>
              <w:tab w:val="right" w:pos="9026" w:leader="dot"/>
            </w:tabs>
            <w:rPr/>
          </w:pPr>
          <w:hyperlink w:anchor="__RefHeading___Toc1279272_2870459653">
            <w:r>
              <w:rPr>
                <w:webHidden/>
                <w:rStyle w:val="IndexLink"/>
                <w:rtl w:val="true"/>
              </w:rPr>
              <w:t>[</w:t>
            </w:r>
            <w:r>
              <w:rPr>
                <w:rStyle w:val="IndexLink"/>
                <w:rtl w:val="true"/>
              </w:rPr>
              <w:t>سؤر الحيوان</w:t>
            </w:r>
            <w:r>
              <w:rPr>
                <w:rStyle w:val="IndexLink"/>
                <w:rtl w:val="true"/>
              </w:rPr>
              <w:t>]</w:t>
              <w:tab/>
            </w:r>
            <w:r>
              <w:rPr>
                <w:rStyle w:val="IndexLink"/>
              </w:rPr>
              <w:t>348</w:t>
            </w:r>
          </w:hyperlink>
        </w:p>
        <w:p>
          <w:pPr>
            <w:pStyle w:val="Contents3"/>
            <w:tabs>
              <w:tab w:val="clear" w:pos="8459"/>
              <w:tab w:val="right" w:pos="9026" w:leader="dot"/>
            </w:tabs>
            <w:rPr/>
          </w:pPr>
          <w:hyperlink w:anchor="__RefHeading___Toc1279274_2870459653">
            <w:r>
              <w:rPr>
                <w:webHidden/>
                <w:rStyle w:val="IndexLink"/>
                <w:rtl w:val="true"/>
              </w:rPr>
              <w:t>[</w:t>
            </w:r>
            <w:r>
              <w:rPr>
                <w:rStyle w:val="IndexLink"/>
                <w:rtl w:val="true"/>
              </w:rPr>
              <w:t>امتزاج المضاف النجس بالمطلق الكثير</w:t>
            </w:r>
            <w:r>
              <w:rPr>
                <w:rStyle w:val="IndexLink"/>
                <w:rtl w:val="true"/>
              </w:rPr>
              <w:t>]</w:t>
              <w:tab/>
            </w:r>
            <w:r>
              <w:rPr>
                <w:rStyle w:val="IndexLink"/>
              </w:rPr>
              <w:t>349</w:t>
            </w:r>
          </w:hyperlink>
        </w:p>
        <w:p>
          <w:pPr>
            <w:pStyle w:val="Contents3"/>
            <w:tabs>
              <w:tab w:val="clear" w:pos="8459"/>
              <w:tab w:val="right" w:pos="9026" w:leader="dot"/>
            </w:tabs>
            <w:rPr/>
          </w:pPr>
          <w:hyperlink w:anchor="__RefHeading___Toc1279276_2870459653">
            <w:r>
              <w:rPr>
                <w:webHidden/>
                <w:rStyle w:val="IndexLink"/>
                <w:rtl w:val="true"/>
              </w:rPr>
              <w:t>[</w:t>
            </w:r>
            <w:r>
              <w:rPr>
                <w:rStyle w:val="IndexLink"/>
                <w:rtl w:val="true"/>
              </w:rPr>
              <w:t>الماء المستعمل</w:t>
            </w:r>
            <w:r>
              <w:rPr>
                <w:rStyle w:val="IndexLink"/>
                <w:rtl w:val="true"/>
              </w:rPr>
              <w:t>]</w:t>
              <w:tab/>
            </w:r>
            <w:r>
              <w:rPr>
                <w:rStyle w:val="IndexLink"/>
              </w:rPr>
              <w:t>351</w:t>
            </w:r>
          </w:hyperlink>
        </w:p>
        <w:p>
          <w:pPr>
            <w:pStyle w:val="Contents3"/>
            <w:tabs>
              <w:tab w:val="clear" w:pos="8459"/>
              <w:tab w:val="right" w:pos="9026" w:leader="dot"/>
            </w:tabs>
            <w:rPr/>
          </w:pPr>
          <w:hyperlink w:anchor="__RefHeading___Toc1279278_2870459653">
            <w:r>
              <w:rPr>
                <w:webHidden/>
                <w:rStyle w:val="IndexLink"/>
                <w:rtl w:val="true"/>
              </w:rPr>
              <w:t>[</w:t>
            </w:r>
            <w:r>
              <w:rPr>
                <w:rStyle w:val="IndexLink"/>
                <w:rtl w:val="true"/>
              </w:rPr>
              <w:t>مكروهات الطهارة</w:t>
            </w:r>
            <w:r>
              <w:rPr>
                <w:rStyle w:val="IndexLink"/>
                <w:rtl w:val="true"/>
              </w:rPr>
              <w:t>]</w:t>
              <w:tab/>
            </w:r>
            <w:r>
              <w:rPr>
                <w:rStyle w:val="IndexLink"/>
              </w:rPr>
              <w:t>353</w:t>
            </w:r>
          </w:hyperlink>
        </w:p>
        <w:p>
          <w:pPr>
            <w:pStyle w:val="Contents3"/>
            <w:tabs>
              <w:tab w:val="clear" w:pos="8459"/>
              <w:tab w:val="right" w:pos="9026" w:leader="dot"/>
            </w:tabs>
            <w:rPr/>
          </w:pPr>
          <w:hyperlink w:anchor="__RefHeading___Toc1279280_2870459653">
            <w:r>
              <w:rPr>
                <w:webHidden/>
                <w:rStyle w:val="IndexLink"/>
                <w:rtl w:val="true"/>
              </w:rPr>
              <w:t>[</w:t>
            </w:r>
            <w:r>
              <w:rPr>
                <w:rStyle w:val="IndexLink"/>
                <w:rtl w:val="true"/>
              </w:rPr>
              <w:t>تطهير المياه النجسة</w:t>
            </w:r>
            <w:r>
              <w:rPr>
                <w:rStyle w:val="IndexLink"/>
                <w:rtl w:val="true"/>
              </w:rPr>
              <w:t>]</w:t>
              <w:tab/>
            </w:r>
            <w:r>
              <w:rPr>
                <w:rStyle w:val="IndexLink"/>
              </w:rPr>
              <w:t>357</w:t>
            </w:r>
          </w:hyperlink>
        </w:p>
        <w:p>
          <w:pPr>
            <w:pStyle w:val="Contents3"/>
            <w:tabs>
              <w:tab w:val="clear" w:pos="8459"/>
              <w:tab w:val="right" w:pos="9026" w:leader="dot"/>
            </w:tabs>
            <w:rPr/>
          </w:pPr>
          <w:hyperlink w:anchor="__RefHeading___Toc1279282_2870459653">
            <w:r>
              <w:rPr>
                <w:webHidden/>
                <w:rStyle w:val="IndexLink"/>
                <w:rtl w:val="true"/>
              </w:rPr>
              <w:t>[</w:t>
            </w:r>
            <w:r>
              <w:rPr>
                <w:rStyle w:val="IndexLink"/>
                <w:rtl w:val="true"/>
              </w:rPr>
              <w:t>منزوحات البئر</w:t>
            </w:r>
            <w:r>
              <w:rPr>
                <w:rStyle w:val="IndexLink"/>
                <w:rtl w:val="true"/>
              </w:rPr>
              <w:t>]</w:t>
              <w:tab/>
            </w:r>
            <w:r>
              <w:rPr>
                <w:rStyle w:val="IndexLink"/>
              </w:rPr>
              <w:t>362</w:t>
            </w:r>
          </w:hyperlink>
        </w:p>
        <w:p>
          <w:pPr>
            <w:pStyle w:val="Contents3"/>
            <w:tabs>
              <w:tab w:val="clear" w:pos="8459"/>
              <w:tab w:val="right" w:pos="9026" w:leader="dot"/>
            </w:tabs>
            <w:rPr/>
          </w:pPr>
          <w:hyperlink w:anchor="__RefHeading___Toc1279284_2870459653">
            <w:r>
              <w:rPr>
                <w:webHidden/>
                <w:rStyle w:val="IndexLink"/>
                <w:rtl w:val="true"/>
              </w:rPr>
              <w:t>[</w:t>
            </w:r>
            <w:r>
              <w:rPr>
                <w:rStyle w:val="IndexLink"/>
                <w:rtl w:val="true"/>
              </w:rPr>
              <w:t>أحكام الماء النجس</w:t>
            </w:r>
            <w:r>
              <w:rPr>
                <w:rStyle w:val="IndexLink"/>
                <w:rtl w:val="true"/>
              </w:rPr>
              <w:t>]</w:t>
              <w:tab/>
            </w:r>
            <w:r>
              <w:rPr>
                <w:rStyle w:val="IndexLink"/>
              </w:rPr>
              <w:t>375</w:t>
            </w:r>
          </w:hyperlink>
        </w:p>
        <w:p>
          <w:pPr>
            <w:pStyle w:val="Contents3"/>
            <w:tabs>
              <w:tab w:val="clear" w:pos="8459"/>
              <w:tab w:val="right" w:pos="9026" w:leader="dot"/>
            </w:tabs>
            <w:rPr/>
          </w:pPr>
          <w:hyperlink w:anchor="__RefHeading___Toc1279286_2870459653">
            <w:r>
              <w:rPr>
                <w:webHidden/>
                <w:rStyle w:val="IndexLink"/>
                <w:rtl w:val="true"/>
              </w:rPr>
              <w:t>[</w:t>
            </w:r>
            <w:r>
              <w:rPr>
                <w:rStyle w:val="IndexLink"/>
                <w:rtl w:val="true"/>
              </w:rPr>
              <w:t>التباعد بين البئر والبالوعة</w:t>
            </w:r>
            <w:r>
              <w:rPr>
                <w:rStyle w:val="IndexLink"/>
                <w:rtl w:val="true"/>
              </w:rPr>
              <w:t>]</w:t>
              <w:tab/>
            </w:r>
            <w:r>
              <w:rPr>
                <w:rStyle w:val="IndexLink"/>
              </w:rPr>
              <w:t>386</w:t>
            </w:r>
          </w:hyperlink>
        </w:p>
        <w:p>
          <w:pPr>
            <w:pStyle w:val="Contents3"/>
            <w:tabs>
              <w:tab w:val="clear" w:pos="8459"/>
              <w:tab w:val="right" w:pos="9026" w:leader="dot"/>
            </w:tabs>
            <w:rPr/>
          </w:pPr>
          <w:hyperlink w:anchor="__RefHeading___Toc1279288_2870459653">
            <w:r>
              <w:rPr>
                <w:webHidden/>
                <w:rStyle w:val="IndexLink"/>
                <w:rtl w:val="true"/>
              </w:rPr>
              <w:t>[</w:t>
            </w:r>
            <w:r>
              <w:rPr>
                <w:rStyle w:val="IndexLink"/>
                <w:rtl w:val="true"/>
              </w:rPr>
              <w:t>أنواع النّجاسات</w:t>
            </w:r>
            <w:r>
              <w:rPr>
                <w:rStyle w:val="IndexLink"/>
                <w:rtl w:val="true"/>
              </w:rPr>
              <w:t xml:space="preserve">: </w:t>
            </w:r>
            <w:r>
              <w:rPr>
                <w:rStyle w:val="IndexLink"/>
                <w:rtl w:val="true"/>
              </w:rPr>
              <w:t>الدّم</w:t>
            </w:r>
            <w:r>
              <w:rPr>
                <w:rStyle w:val="IndexLink"/>
                <w:rtl w:val="true"/>
              </w:rPr>
              <w:t>]</w:t>
              <w:tab/>
            </w:r>
            <w:r>
              <w:rPr>
                <w:rStyle w:val="IndexLink"/>
              </w:rPr>
              <w:t>390</w:t>
            </w:r>
          </w:hyperlink>
        </w:p>
        <w:p>
          <w:pPr>
            <w:pStyle w:val="Contents3"/>
            <w:tabs>
              <w:tab w:val="clear" w:pos="8459"/>
              <w:tab w:val="right" w:pos="9026" w:leader="dot"/>
            </w:tabs>
            <w:rPr/>
          </w:pPr>
          <w:hyperlink w:anchor="__RefHeading___Toc1279290_2870459653">
            <w:r>
              <w:rPr>
                <w:webHidden/>
                <w:rStyle w:val="IndexLink"/>
                <w:rtl w:val="true"/>
              </w:rPr>
              <w:t>[</w:t>
            </w:r>
            <w:r>
              <w:rPr>
                <w:rStyle w:val="IndexLink"/>
                <w:rtl w:val="true"/>
              </w:rPr>
              <w:t>نجاسة المتولد من الكلب والخنزير</w:t>
            </w:r>
            <w:r>
              <w:rPr>
                <w:rStyle w:val="IndexLink"/>
                <w:rtl w:val="true"/>
              </w:rPr>
              <w:t>]</w:t>
              <w:tab/>
            </w:r>
            <w:r>
              <w:rPr>
                <w:rStyle w:val="IndexLink"/>
              </w:rPr>
              <w:t>390</w:t>
            </w:r>
          </w:hyperlink>
        </w:p>
        <w:p>
          <w:pPr>
            <w:pStyle w:val="Contents3"/>
            <w:tabs>
              <w:tab w:val="clear" w:pos="8459"/>
              <w:tab w:val="right" w:pos="9026" w:leader="dot"/>
            </w:tabs>
            <w:rPr/>
          </w:pPr>
          <w:hyperlink w:anchor="__RefHeading___Toc1279292_2870459653">
            <w:r>
              <w:rPr>
                <w:webHidden/>
                <w:rStyle w:val="IndexLink"/>
                <w:rtl w:val="true"/>
              </w:rPr>
              <w:t>[</w:t>
            </w:r>
            <w:r>
              <w:rPr>
                <w:rStyle w:val="IndexLink"/>
                <w:rtl w:val="true"/>
              </w:rPr>
              <w:t>أجزاء الكلب والخنزير</w:t>
            </w:r>
            <w:r>
              <w:rPr>
                <w:rStyle w:val="IndexLink"/>
                <w:rtl w:val="true"/>
              </w:rPr>
              <w:t>]</w:t>
              <w:tab/>
            </w:r>
            <w:r>
              <w:rPr>
                <w:rStyle w:val="IndexLink"/>
              </w:rPr>
              <w:t>391</w:t>
            </w:r>
          </w:hyperlink>
        </w:p>
        <w:p>
          <w:pPr>
            <w:pStyle w:val="Contents3"/>
            <w:tabs>
              <w:tab w:val="clear" w:pos="8459"/>
              <w:tab w:val="right" w:pos="9026" w:leader="dot"/>
            </w:tabs>
            <w:rPr/>
          </w:pPr>
          <w:hyperlink w:anchor="__RefHeading___Toc1279294_2870459653">
            <w:r>
              <w:rPr>
                <w:webHidden/>
                <w:rStyle w:val="IndexLink"/>
                <w:rtl w:val="true"/>
              </w:rPr>
              <w:t>[</w:t>
            </w:r>
            <w:r>
              <w:rPr>
                <w:rStyle w:val="IndexLink"/>
                <w:rtl w:val="true"/>
              </w:rPr>
              <w:t>المسكرات</w:t>
            </w:r>
            <w:r>
              <w:rPr>
                <w:rStyle w:val="IndexLink"/>
                <w:rtl w:val="true"/>
              </w:rPr>
              <w:t>]</w:t>
              <w:tab/>
            </w:r>
            <w:r>
              <w:rPr>
                <w:rStyle w:val="IndexLink"/>
              </w:rPr>
              <w:t>391</w:t>
            </w:r>
          </w:hyperlink>
        </w:p>
        <w:p>
          <w:pPr>
            <w:pStyle w:val="Contents3"/>
            <w:tabs>
              <w:tab w:val="clear" w:pos="8459"/>
              <w:tab w:val="right" w:pos="9026" w:leader="dot"/>
            </w:tabs>
            <w:rPr/>
          </w:pPr>
          <w:hyperlink w:anchor="__RefHeading___Toc1279296_2870459653">
            <w:r>
              <w:rPr>
                <w:webHidden/>
                <w:rStyle w:val="IndexLink"/>
                <w:rtl w:val="true"/>
              </w:rPr>
              <w:t>[</w:t>
            </w:r>
            <w:r>
              <w:rPr>
                <w:rStyle w:val="IndexLink"/>
                <w:rtl w:val="true"/>
              </w:rPr>
              <w:t>العصير العنبي</w:t>
            </w:r>
            <w:r>
              <w:rPr>
                <w:rStyle w:val="IndexLink"/>
                <w:rtl w:val="true"/>
              </w:rPr>
              <w:t>]</w:t>
              <w:tab/>
            </w:r>
            <w:r>
              <w:rPr>
                <w:rStyle w:val="IndexLink"/>
              </w:rPr>
              <w:t>392</w:t>
            </w:r>
          </w:hyperlink>
        </w:p>
        <w:p>
          <w:pPr>
            <w:pStyle w:val="Contents3"/>
            <w:tabs>
              <w:tab w:val="clear" w:pos="8459"/>
              <w:tab w:val="right" w:pos="9026" w:leader="dot"/>
            </w:tabs>
            <w:rPr/>
          </w:pPr>
          <w:hyperlink w:anchor="__RefHeading___Toc1279298_2870459653">
            <w:r>
              <w:rPr>
                <w:webHidden/>
                <w:rStyle w:val="IndexLink"/>
                <w:rtl w:val="true"/>
              </w:rPr>
              <w:t>[</w:t>
            </w:r>
            <w:r>
              <w:rPr>
                <w:rStyle w:val="IndexLink"/>
                <w:rtl w:val="true"/>
              </w:rPr>
              <w:t>نجاسة الكافر</w:t>
            </w:r>
            <w:r>
              <w:rPr>
                <w:rStyle w:val="IndexLink"/>
                <w:rtl w:val="true"/>
              </w:rPr>
              <w:t>]</w:t>
              <w:tab/>
            </w:r>
            <w:r>
              <w:rPr>
                <w:rStyle w:val="IndexLink"/>
              </w:rPr>
              <w:t>393</w:t>
            </w:r>
          </w:hyperlink>
        </w:p>
        <w:p>
          <w:pPr>
            <w:pStyle w:val="Contents3"/>
            <w:tabs>
              <w:tab w:val="clear" w:pos="8459"/>
              <w:tab w:val="right" w:pos="9026" w:leader="dot"/>
            </w:tabs>
            <w:rPr/>
          </w:pPr>
          <w:hyperlink w:anchor="__RefHeading___Toc1279300_2870459653">
            <w:r>
              <w:rPr>
                <w:webHidden/>
                <w:rStyle w:val="IndexLink"/>
                <w:rtl w:val="true"/>
              </w:rPr>
              <w:t>[</w:t>
            </w:r>
            <w:r>
              <w:rPr>
                <w:rStyle w:val="IndexLink"/>
                <w:rtl w:val="true"/>
              </w:rPr>
              <w:t>الإنفحة</w:t>
            </w:r>
            <w:r>
              <w:rPr>
                <w:rStyle w:val="IndexLink"/>
                <w:rtl w:val="true"/>
              </w:rPr>
              <w:t>]</w:t>
              <w:tab/>
            </w:r>
            <w:r>
              <w:rPr>
                <w:rStyle w:val="IndexLink"/>
              </w:rPr>
              <w:t>394</w:t>
            </w:r>
          </w:hyperlink>
        </w:p>
        <w:p>
          <w:pPr>
            <w:pStyle w:val="Contents3"/>
            <w:tabs>
              <w:tab w:val="clear" w:pos="8459"/>
              <w:tab w:val="right" w:pos="9026" w:leader="dot"/>
            </w:tabs>
            <w:rPr/>
          </w:pPr>
          <w:hyperlink w:anchor="__RefHeading___Toc1279302_2870459653">
            <w:r>
              <w:rPr>
                <w:webHidden/>
                <w:rStyle w:val="IndexLink"/>
                <w:rtl w:val="true"/>
              </w:rPr>
              <w:t>[</w:t>
            </w:r>
            <w:r>
              <w:rPr>
                <w:rStyle w:val="IndexLink"/>
                <w:rtl w:val="true"/>
              </w:rPr>
              <w:t>الكفار</w:t>
            </w:r>
            <w:r>
              <w:rPr>
                <w:rStyle w:val="IndexLink"/>
                <w:rtl w:val="true"/>
              </w:rPr>
              <w:t>]</w:t>
              <w:tab/>
            </w:r>
            <w:r>
              <w:rPr>
                <w:rStyle w:val="IndexLink"/>
              </w:rPr>
              <w:t>395</w:t>
            </w:r>
          </w:hyperlink>
        </w:p>
        <w:p>
          <w:pPr>
            <w:pStyle w:val="Contents3"/>
            <w:tabs>
              <w:tab w:val="clear" w:pos="8459"/>
              <w:tab w:val="right" w:pos="9026" w:leader="dot"/>
            </w:tabs>
            <w:rPr/>
          </w:pPr>
          <w:hyperlink w:anchor="__RefHeading___Toc1279304_2870459653">
            <w:r>
              <w:rPr>
                <w:webHidden/>
                <w:rStyle w:val="IndexLink"/>
                <w:rtl w:val="true"/>
              </w:rPr>
              <w:t>[</w:t>
            </w:r>
            <w:r>
              <w:rPr>
                <w:rStyle w:val="IndexLink"/>
                <w:rtl w:val="true"/>
              </w:rPr>
              <w:t>الفأرة والوزغة</w:t>
            </w:r>
            <w:r>
              <w:rPr>
                <w:rStyle w:val="IndexLink"/>
                <w:rtl w:val="true"/>
              </w:rPr>
              <w:t>]</w:t>
              <w:tab/>
            </w:r>
            <w:r>
              <w:rPr>
                <w:rStyle w:val="IndexLink"/>
              </w:rPr>
              <w:t>396</w:t>
            </w:r>
          </w:hyperlink>
        </w:p>
        <w:p>
          <w:pPr>
            <w:pStyle w:val="Contents3"/>
            <w:tabs>
              <w:tab w:val="clear" w:pos="8459"/>
              <w:tab w:val="right" w:pos="9026" w:leader="dot"/>
            </w:tabs>
            <w:rPr/>
          </w:pPr>
          <w:hyperlink w:anchor="__RefHeading___Toc1279306_2870459653">
            <w:r>
              <w:rPr>
                <w:webHidden/>
                <w:rStyle w:val="IndexLink"/>
                <w:rtl w:val="true"/>
              </w:rPr>
              <w:t>[</w:t>
            </w:r>
            <w:r>
              <w:rPr>
                <w:rStyle w:val="IndexLink"/>
                <w:rtl w:val="true"/>
              </w:rPr>
              <w:t>ميتة الآدمي</w:t>
            </w:r>
            <w:r>
              <w:rPr>
                <w:rStyle w:val="IndexLink"/>
                <w:rtl w:val="true"/>
              </w:rPr>
              <w:t>]</w:t>
              <w:tab/>
            </w:r>
            <w:r>
              <w:rPr>
                <w:rStyle w:val="IndexLink"/>
              </w:rPr>
              <w:t>400</w:t>
            </w:r>
          </w:hyperlink>
        </w:p>
        <w:p>
          <w:pPr>
            <w:pStyle w:val="Contents3"/>
            <w:tabs>
              <w:tab w:val="clear" w:pos="8459"/>
              <w:tab w:val="right" w:pos="9026" w:leader="dot"/>
            </w:tabs>
            <w:rPr/>
          </w:pPr>
          <w:hyperlink w:anchor="__RefHeading___Toc1279308_2870459653">
            <w:r>
              <w:rPr>
                <w:webHidden/>
                <w:rStyle w:val="IndexLink"/>
                <w:rtl w:val="true"/>
              </w:rPr>
              <w:t>[</w:t>
            </w:r>
            <w:r>
              <w:rPr>
                <w:rStyle w:val="IndexLink"/>
                <w:rtl w:val="true"/>
              </w:rPr>
              <w:t>العلقة</w:t>
            </w:r>
            <w:r>
              <w:rPr>
                <w:rStyle w:val="IndexLink"/>
                <w:rtl w:val="true"/>
              </w:rPr>
              <w:t>]</w:t>
              <w:tab/>
            </w:r>
            <w:r>
              <w:rPr>
                <w:rStyle w:val="IndexLink"/>
              </w:rPr>
              <w:t>400</w:t>
            </w:r>
          </w:hyperlink>
        </w:p>
        <w:p>
          <w:pPr>
            <w:pStyle w:val="Contents3"/>
            <w:tabs>
              <w:tab w:val="clear" w:pos="8459"/>
              <w:tab w:val="right" w:pos="9026" w:leader="dot"/>
            </w:tabs>
            <w:rPr/>
          </w:pPr>
          <w:hyperlink w:anchor="__RefHeading___Toc1279310_2870459653">
            <w:r>
              <w:rPr>
                <w:webHidden/>
                <w:rStyle w:val="IndexLink"/>
                <w:rtl w:val="true"/>
              </w:rPr>
              <w:t>[</w:t>
            </w:r>
            <w:r>
              <w:rPr>
                <w:rStyle w:val="IndexLink"/>
                <w:rtl w:val="true"/>
              </w:rPr>
              <w:t>الإنفحة</w:t>
            </w:r>
            <w:r>
              <w:rPr>
                <w:rStyle w:val="IndexLink"/>
                <w:rtl w:val="true"/>
              </w:rPr>
              <w:t>]</w:t>
              <w:tab/>
            </w:r>
            <w:r>
              <w:rPr>
                <w:rStyle w:val="IndexLink"/>
              </w:rPr>
              <w:t>401</w:t>
            </w:r>
          </w:hyperlink>
        </w:p>
        <w:p>
          <w:pPr>
            <w:pStyle w:val="Contents3"/>
            <w:tabs>
              <w:tab w:val="clear" w:pos="8459"/>
              <w:tab w:val="right" w:pos="9026" w:leader="dot"/>
            </w:tabs>
            <w:rPr/>
          </w:pPr>
          <w:hyperlink w:anchor="__RefHeading___Toc1279312_2870459653">
            <w:r>
              <w:rPr>
                <w:webHidden/>
                <w:rStyle w:val="IndexLink"/>
                <w:rtl w:val="true"/>
              </w:rPr>
              <w:t>[</w:t>
            </w:r>
            <w:r>
              <w:rPr>
                <w:rStyle w:val="IndexLink"/>
                <w:rtl w:val="true"/>
              </w:rPr>
              <w:t>مقدار العفو عن الدّم</w:t>
            </w:r>
            <w:r>
              <w:rPr>
                <w:rStyle w:val="IndexLink"/>
                <w:rtl w:val="true"/>
              </w:rPr>
              <w:t>]</w:t>
              <w:tab/>
            </w:r>
            <w:r>
              <w:rPr>
                <w:rStyle w:val="IndexLink"/>
              </w:rPr>
              <w:t>401</w:t>
            </w:r>
          </w:hyperlink>
        </w:p>
        <w:p>
          <w:pPr>
            <w:pStyle w:val="Contents3"/>
            <w:tabs>
              <w:tab w:val="clear" w:pos="8459"/>
              <w:tab w:val="right" w:pos="9026" w:leader="dot"/>
            </w:tabs>
            <w:rPr/>
          </w:pPr>
          <w:hyperlink w:anchor="__RefHeading___Toc1279314_2870459653">
            <w:r>
              <w:rPr>
                <w:webHidden/>
                <w:rStyle w:val="IndexLink"/>
                <w:rtl w:val="true"/>
              </w:rPr>
              <w:t>(</w:t>
            </w:r>
            <w:r>
              <w:rPr>
                <w:rStyle w:val="IndexLink"/>
                <w:rtl w:val="true"/>
              </w:rPr>
              <w:t>عدم العفو عن الدّماء الثلاثة ودم نجس العين</w:t>
            </w:r>
            <w:r>
              <w:rPr>
                <w:rStyle w:val="IndexLink"/>
                <w:rtl w:val="true"/>
              </w:rPr>
              <w:t>]</w:t>
              <w:tab/>
            </w:r>
            <w:r>
              <w:rPr>
                <w:rStyle w:val="IndexLink"/>
              </w:rPr>
              <w:t>402</w:t>
            </w:r>
          </w:hyperlink>
        </w:p>
        <w:p>
          <w:pPr>
            <w:pStyle w:val="Contents3"/>
            <w:tabs>
              <w:tab w:val="clear" w:pos="8459"/>
              <w:tab w:val="right" w:pos="9026" w:leader="dot"/>
            </w:tabs>
            <w:rPr/>
          </w:pPr>
          <w:hyperlink w:anchor="__RefHeading___Toc1279316_2870459653">
            <w:r>
              <w:rPr>
                <w:webHidden/>
                <w:rStyle w:val="IndexLink"/>
                <w:rtl w:val="true"/>
              </w:rPr>
              <w:t>[</w:t>
            </w:r>
            <w:r>
              <w:rPr>
                <w:rStyle w:val="IndexLink"/>
                <w:rtl w:val="true"/>
              </w:rPr>
              <w:t>ما عُفي عنه من النّجاسات في الصّلاة</w:t>
            </w:r>
            <w:r>
              <w:rPr>
                <w:rStyle w:val="IndexLink"/>
                <w:rtl w:val="true"/>
              </w:rPr>
              <w:t>]</w:t>
              <w:tab/>
            </w:r>
            <w:r>
              <w:rPr>
                <w:rStyle w:val="IndexLink"/>
              </w:rPr>
              <w:t>403</w:t>
            </w:r>
          </w:hyperlink>
        </w:p>
        <w:p>
          <w:pPr>
            <w:pStyle w:val="Contents3"/>
            <w:tabs>
              <w:tab w:val="clear" w:pos="8459"/>
              <w:tab w:val="right" w:pos="9026" w:leader="dot"/>
            </w:tabs>
            <w:rPr/>
          </w:pPr>
          <w:hyperlink w:anchor="__RefHeading___Toc1279318_2870459653">
            <w:r>
              <w:rPr>
                <w:webHidden/>
                <w:rStyle w:val="IndexLink"/>
                <w:rtl w:val="true"/>
              </w:rPr>
              <w:t>[</w:t>
            </w:r>
            <w:r>
              <w:rPr>
                <w:rStyle w:val="IndexLink"/>
                <w:rtl w:val="true"/>
              </w:rPr>
              <w:t>تطهير التياب من البول</w:t>
            </w:r>
            <w:r>
              <w:rPr>
                <w:rStyle w:val="IndexLink"/>
                <w:rtl w:val="true"/>
              </w:rPr>
              <w:t>]</w:t>
              <w:tab/>
            </w:r>
            <w:r>
              <w:rPr>
                <w:rStyle w:val="IndexLink"/>
              </w:rPr>
              <w:t>405</w:t>
            </w:r>
          </w:hyperlink>
        </w:p>
        <w:p>
          <w:pPr>
            <w:pStyle w:val="Contents3"/>
            <w:tabs>
              <w:tab w:val="clear" w:pos="8459"/>
              <w:tab w:val="right" w:pos="9026" w:leader="dot"/>
            </w:tabs>
            <w:rPr/>
          </w:pPr>
          <w:hyperlink w:anchor="__RefHeading___Toc1279320_2870459653">
            <w:r>
              <w:rPr>
                <w:webHidden/>
                <w:rStyle w:val="IndexLink"/>
                <w:rtl w:val="true"/>
              </w:rPr>
              <w:t>[</w:t>
            </w:r>
            <w:r>
              <w:rPr>
                <w:rStyle w:val="IndexLink"/>
                <w:rtl w:val="true"/>
              </w:rPr>
              <w:t>الصّلاة مع الجهل بالنّجاسة</w:t>
            </w:r>
            <w:r>
              <w:rPr>
                <w:rStyle w:val="IndexLink"/>
                <w:rtl w:val="true"/>
              </w:rPr>
              <w:t>]</w:t>
              <w:tab/>
            </w:r>
            <w:r>
              <w:rPr>
                <w:rStyle w:val="IndexLink"/>
              </w:rPr>
              <w:t>407</w:t>
            </w:r>
          </w:hyperlink>
        </w:p>
        <w:p>
          <w:pPr>
            <w:pStyle w:val="Contents3"/>
            <w:tabs>
              <w:tab w:val="clear" w:pos="8459"/>
              <w:tab w:val="right" w:pos="9026" w:leader="dot"/>
            </w:tabs>
            <w:rPr/>
          </w:pPr>
          <w:hyperlink w:anchor="__RefHeading___Toc1279322_2870459653">
            <w:r>
              <w:rPr>
                <w:webHidden/>
                <w:rStyle w:val="IndexLink"/>
                <w:rtl w:val="true"/>
              </w:rPr>
              <w:t>[</w:t>
            </w:r>
            <w:r>
              <w:rPr>
                <w:rStyle w:val="IndexLink"/>
                <w:rtl w:val="true"/>
              </w:rPr>
              <w:t>نجاسة ثوب المربية للصبي</w:t>
            </w:r>
            <w:r>
              <w:rPr>
                <w:rStyle w:val="IndexLink"/>
                <w:rtl w:val="true"/>
              </w:rPr>
              <w:t>]</w:t>
              <w:tab/>
            </w:r>
            <w:r>
              <w:rPr>
                <w:rStyle w:val="IndexLink"/>
              </w:rPr>
              <w:t>408</w:t>
            </w:r>
          </w:hyperlink>
        </w:p>
        <w:p>
          <w:pPr>
            <w:pStyle w:val="Contents3"/>
            <w:tabs>
              <w:tab w:val="clear" w:pos="8459"/>
              <w:tab w:val="right" w:pos="9026" w:leader="dot"/>
            </w:tabs>
            <w:rPr/>
          </w:pPr>
          <w:hyperlink w:anchor="__RefHeading___Toc1279324_2870459653">
            <w:r>
              <w:rPr>
                <w:webHidden/>
                <w:rStyle w:val="IndexLink"/>
                <w:rtl w:val="true"/>
              </w:rPr>
              <w:t>[</w:t>
            </w:r>
            <w:r>
              <w:rPr>
                <w:rStyle w:val="IndexLink"/>
                <w:rtl w:val="true"/>
              </w:rPr>
              <w:t>انحصار الثّوب بالنّجس</w:t>
            </w:r>
            <w:r>
              <w:rPr>
                <w:rStyle w:val="IndexLink"/>
                <w:rtl w:val="true"/>
              </w:rPr>
              <w:t>]</w:t>
              <w:tab/>
            </w:r>
            <w:r>
              <w:rPr>
                <w:rStyle w:val="IndexLink"/>
              </w:rPr>
              <w:t>409</w:t>
            </w:r>
          </w:hyperlink>
        </w:p>
        <w:p>
          <w:pPr>
            <w:pStyle w:val="Contents3"/>
            <w:tabs>
              <w:tab w:val="clear" w:pos="8459"/>
              <w:tab w:val="right" w:pos="9026" w:leader="dot"/>
            </w:tabs>
            <w:rPr/>
          </w:pPr>
          <w:hyperlink w:anchor="__RefHeading___Toc1279326_2870459653">
            <w:r>
              <w:rPr>
                <w:webHidden/>
                <w:rStyle w:val="IndexLink"/>
                <w:rtl w:val="true"/>
              </w:rPr>
              <w:t>[</w:t>
            </w:r>
            <w:r>
              <w:rPr>
                <w:rStyle w:val="IndexLink"/>
                <w:rtl w:val="true"/>
              </w:rPr>
              <w:t>تطهير الحصر والبواري والأرض</w:t>
            </w:r>
            <w:r>
              <w:rPr>
                <w:rStyle w:val="IndexLink"/>
                <w:rtl w:val="true"/>
              </w:rPr>
              <w:t>..]</w:t>
              <w:tab/>
            </w:r>
            <w:r>
              <w:rPr>
                <w:rStyle w:val="IndexLink"/>
              </w:rPr>
              <w:t>410</w:t>
            </w:r>
          </w:hyperlink>
        </w:p>
        <w:p>
          <w:pPr>
            <w:pStyle w:val="Contents3"/>
            <w:tabs>
              <w:tab w:val="clear" w:pos="8459"/>
              <w:tab w:val="right" w:pos="9026" w:leader="dot"/>
            </w:tabs>
            <w:rPr/>
          </w:pPr>
          <w:hyperlink w:anchor="__RefHeading___Toc1279328_2870459653">
            <w:r>
              <w:rPr>
                <w:webHidden/>
                <w:rStyle w:val="IndexLink"/>
                <w:rtl w:val="true"/>
              </w:rPr>
              <w:t>[</w:t>
            </w:r>
            <w:r>
              <w:rPr>
                <w:rStyle w:val="IndexLink"/>
                <w:rtl w:val="true"/>
              </w:rPr>
              <w:t>طهورية الانقلاب</w:t>
            </w:r>
            <w:r>
              <w:rPr>
                <w:rStyle w:val="IndexLink"/>
                <w:rtl w:val="true"/>
              </w:rPr>
              <w:t>]</w:t>
              <w:tab/>
            </w:r>
            <w:r>
              <w:rPr>
                <w:rStyle w:val="IndexLink"/>
              </w:rPr>
              <w:t>412</w:t>
            </w:r>
          </w:hyperlink>
        </w:p>
        <w:p>
          <w:pPr>
            <w:pStyle w:val="Contents3"/>
            <w:tabs>
              <w:tab w:val="clear" w:pos="8459"/>
              <w:tab w:val="right" w:pos="9026" w:leader="dot"/>
            </w:tabs>
            <w:rPr/>
          </w:pPr>
          <w:hyperlink w:anchor="__RefHeading___Toc1279330_2870459653">
            <w:r>
              <w:rPr>
                <w:webHidden/>
                <w:rStyle w:val="IndexLink"/>
                <w:rtl w:val="true"/>
              </w:rPr>
              <w:t>[</w:t>
            </w:r>
            <w:r>
              <w:rPr>
                <w:rStyle w:val="IndexLink"/>
                <w:rtl w:val="true"/>
              </w:rPr>
              <w:t>طهورية الاستحالة</w:t>
            </w:r>
            <w:r>
              <w:rPr>
                <w:rStyle w:val="IndexLink"/>
                <w:rtl w:val="true"/>
              </w:rPr>
              <w:t>]</w:t>
              <w:tab/>
            </w:r>
            <w:r>
              <w:rPr>
                <w:rStyle w:val="IndexLink"/>
              </w:rPr>
              <w:t>412</w:t>
            </w:r>
          </w:hyperlink>
        </w:p>
        <w:p>
          <w:pPr>
            <w:pStyle w:val="Contents3"/>
            <w:tabs>
              <w:tab w:val="clear" w:pos="8459"/>
              <w:tab w:val="right" w:pos="9026" w:leader="dot"/>
            </w:tabs>
            <w:rPr/>
          </w:pPr>
          <w:hyperlink w:anchor="__RefHeading___Toc1279332_2870459653">
            <w:r>
              <w:rPr>
                <w:webHidden/>
                <w:rStyle w:val="IndexLink"/>
                <w:rtl w:val="true"/>
              </w:rPr>
              <w:t>[</w:t>
            </w:r>
            <w:r>
              <w:rPr>
                <w:rStyle w:val="IndexLink"/>
                <w:rtl w:val="true"/>
              </w:rPr>
              <w:t>تطهير المائعات</w:t>
            </w:r>
            <w:r>
              <w:rPr>
                <w:rStyle w:val="IndexLink"/>
                <w:rtl w:val="true"/>
              </w:rPr>
              <w:t>]</w:t>
              <w:tab/>
            </w:r>
            <w:r>
              <w:rPr>
                <w:rStyle w:val="IndexLink"/>
              </w:rPr>
              <w:t>415</w:t>
            </w:r>
          </w:hyperlink>
        </w:p>
        <w:p>
          <w:pPr>
            <w:pStyle w:val="Contents2"/>
            <w:tabs>
              <w:tab w:val="clear" w:pos="8743"/>
              <w:tab w:val="right" w:pos="9026" w:leader="dot"/>
            </w:tabs>
            <w:rPr/>
          </w:pPr>
          <w:hyperlink w:anchor="__RefHeading___Toc1279334_2870459653">
            <w:r>
              <w:rPr>
                <w:webHidden/>
                <w:rStyle w:val="IndexLink"/>
                <w:rtl w:val="true"/>
              </w:rPr>
              <w:t>مصادر التحقيق والترجمة</w:t>
            </w:r>
            <w:r>
              <w:rPr>
                <w:rStyle w:val="IndexLink"/>
                <w:rtl w:val="true"/>
              </w:rPr>
              <w:tab/>
            </w:r>
            <w:r>
              <w:rPr>
                <w:rStyle w:val="IndexLink"/>
              </w:rPr>
              <w:t>416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27_84257"/>
      <w:bookmarkStart w:id="1" w:name="pg8927_84257"/>
      <w:bookmarkEnd w:id="1"/>
    </w:p>
    <w:p>
      <w:pPr>
        <w:pStyle w:val="Heading2"/>
        <w:numPr>
          <w:ilvl w:val="1"/>
          <w:numId w:val="1"/>
        </w:numPr>
        <w:rPr/>
      </w:pPr>
      <w:bookmarkStart w:id="2" w:name="pg8927_84257"/>
      <w:bookmarkStart w:id="3" w:name="__RefHeading___Toc1279058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مجلة نصف سنوية تصدر عن المدرسة العلمية لاخوند الصغرى في النجف الأشرف</w:t>
      </w:r>
    </w:p>
    <w:p>
      <w:pPr>
        <w:pStyle w:val="BookText"/>
        <w:rPr/>
      </w:pPr>
      <w:r>
        <w:rPr>
          <w:rFonts w:ascii="Amiri" w:hAnsi="Amiri" w:eastAsia="Amiri" w:cs="Amiri"/>
          <w:color w:val="111111"/>
          <w:sz w:val="28"/>
          <w:sz w:val="28"/>
          <w:szCs w:val="28"/>
          <w:rtl w:val="true"/>
          <w:lang w:bidi="ar-SA"/>
        </w:rPr>
        <w:t>تعنى بالابْحَاتِ التَّخَصُصِيَةُ فِي الْجَوْزَةِ العِلْمِيَة</w:t>
      </w:r>
    </w:p>
    <w:p>
      <w:pPr>
        <w:pStyle w:val="BookText"/>
        <w:rPr/>
      </w:pPr>
      <w:r>
        <w:rPr>
          <w:rFonts w:ascii="Amiri" w:hAnsi="Amiri" w:eastAsia="Amiri" w:cs="Amiri"/>
          <w:color w:val="111111"/>
          <w:sz w:val="28"/>
          <w:sz w:val="28"/>
          <w:szCs w:val="28"/>
          <w:rtl w:val="true"/>
          <w:lang w:bidi="ar-SA"/>
        </w:rPr>
        <w:t xml:space="preserve">العدد 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المبارك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الهيئة العلمية</w:t>
      </w:r>
    </w:p>
    <w:p>
      <w:pPr>
        <w:pStyle w:val="BookText"/>
        <w:rPr/>
      </w:pPr>
      <w:r>
        <w:rPr>
          <w:rFonts w:ascii="Amiri" w:hAnsi="Amiri" w:eastAsia="Amiri" w:cs="Amiri"/>
          <w:color w:val="111111"/>
          <w:sz w:val="28"/>
          <w:sz w:val="28"/>
          <w:szCs w:val="28"/>
          <w:rtl w:val="true"/>
          <w:lang w:bidi="ar-SA"/>
        </w:rPr>
        <w:t>نخبة من أساتذة الحوزة العلمية</w:t>
      </w:r>
    </w:p>
    <w:p>
      <w:pPr>
        <w:pStyle w:val="BookText"/>
        <w:rPr/>
      </w:pPr>
      <w:r>
        <w:rPr>
          <w:rFonts w:ascii="Amiri" w:hAnsi="Amiri" w:eastAsia="Amiri" w:cs="Amiri"/>
          <w:color w:val="111111"/>
          <w:sz w:val="28"/>
          <w:sz w:val="28"/>
          <w:szCs w:val="28"/>
          <w:rtl w:val="true"/>
          <w:lang w:bidi="ar-SA"/>
        </w:rPr>
        <w:t>في النجف الأشرف</w:t>
      </w:r>
    </w:p>
    <w:p>
      <w:pPr>
        <w:pStyle w:val="BookText"/>
        <w:rPr/>
      </w:pPr>
      <w:r>
        <w:rPr>
          <w:rFonts w:ascii="Amiri" w:hAnsi="Amiri" w:eastAsia="Amiri" w:cs="Amiri"/>
          <w:color w:val="111111"/>
          <w:sz w:val="28"/>
          <w:sz w:val="28"/>
          <w:szCs w:val="28"/>
          <w:rtl w:val="true"/>
          <w:lang w:bidi="ar-SA"/>
        </w:rPr>
        <w:t>رئيس التحرير</w:t>
      </w:r>
    </w:p>
    <w:p>
      <w:pPr>
        <w:pStyle w:val="BookText"/>
        <w:rPr/>
      </w:pPr>
      <w:r>
        <w:rPr>
          <w:rFonts w:ascii="Amiri" w:hAnsi="Amiri" w:eastAsia="Amiri" w:cs="Amiri"/>
          <w:color w:val="111111"/>
          <w:sz w:val="28"/>
          <w:sz w:val="28"/>
          <w:szCs w:val="28"/>
          <w:rtl w:val="true"/>
          <w:lang w:bidi="ar-SA"/>
        </w:rPr>
        <w:t>السيد جواد الموسوي الغريفي</w:t>
      </w:r>
    </w:p>
    <w:p>
      <w:pPr>
        <w:pStyle w:val="BookText"/>
        <w:rPr/>
      </w:pPr>
      <w:r>
        <w:rPr>
          <w:rFonts w:ascii="Amiri" w:hAnsi="Amiri" w:eastAsia="Amiri" w:cs="Amiri"/>
          <w:color w:val="111111"/>
          <w:sz w:val="28"/>
          <w:sz w:val="28"/>
          <w:szCs w:val="28"/>
          <w:rtl w:val="true"/>
          <w:lang w:bidi="ar-SA"/>
        </w:rPr>
        <w:t>هيئة التحرير</w:t>
      </w:r>
    </w:p>
    <w:p>
      <w:pPr>
        <w:pStyle w:val="BookText"/>
        <w:rPr/>
      </w:pPr>
      <w:r>
        <w:rPr>
          <w:rFonts w:ascii="Amiri" w:hAnsi="Amiri" w:eastAsia="Amiri" w:cs="Amiri"/>
          <w:color w:val="111111"/>
          <w:sz w:val="28"/>
          <w:sz w:val="28"/>
          <w:szCs w:val="28"/>
          <w:rtl w:val="true"/>
          <w:lang w:bidi="ar-SA"/>
        </w:rPr>
        <w:t>السيد علي البعاج</w:t>
      </w:r>
    </w:p>
    <w:p>
      <w:pPr>
        <w:pStyle w:val="BookText"/>
        <w:rPr/>
      </w:pPr>
      <w:r>
        <w:rPr>
          <w:rFonts w:ascii="Amiri" w:hAnsi="Amiri" w:eastAsia="Amiri" w:cs="Amiri"/>
          <w:color w:val="111111"/>
          <w:sz w:val="28"/>
          <w:sz w:val="28"/>
          <w:szCs w:val="28"/>
          <w:rtl w:val="true"/>
          <w:lang w:bidi="ar-SA"/>
        </w:rPr>
        <w:t>الشيخ محمد الجعفري</w:t>
      </w:r>
    </w:p>
    <w:p>
      <w:pPr>
        <w:pStyle w:val="BookText"/>
        <w:rPr/>
      </w:pPr>
      <w:r>
        <w:rPr>
          <w:rFonts w:ascii="Amiri" w:hAnsi="Amiri" w:eastAsia="Amiri" w:cs="Amiri"/>
          <w:color w:val="111111"/>
          <w:sz w:val="28"/>
          <w:sz w:val="28"/>
          <w:szCs w:val="28"/>
          <w:rtl w:val="true"/>
          <w:lang w:bidi="ar-SA"/>
        </w:rPr>
        <w:t>الشيخ قاسم الطائي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79060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دراسات علمية</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الخامس عشر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p>
    <w:p>
      <w:pPr>
        <w:pStyle w:val="BookText"/>
        <w:rPr/>
      </w:pPr>
      <w:r>
        <w:rPr>
          <w:rFonts w:ascii="Amiri" w:hAnsi="Amiri" w:eastAsia="Amiri" w:cs="Amiri"/>
          <w:color w:val="111111"/>
          <w:sz w:val="28"/>
          <w:sz w:val="28"/>
          <w:szCs w:val="28"/>
          <w:rtl w:val="true"/>
          <w:lang w:bidi="ar-SA"/>
        </w:rPr>
        <w:t xml:space="preserve">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p>
    <w:p>
      <w:pPr>
        <w:pStyle w:val="BookText"/>
        <w:rPr/>
      </w:pPr>
      <w:r>
        <w:rPr>
          <w:rFonts w:ascii="Amiri" w:hAnsi="Amiri" w:eastAsia="Amiri" w:cs="Amiri"/>
          <w:color w:val="111111"/>
          <w:sz w:val="28"/>
          <w:sz w:val="28"/>
          <w:szCs w:val="28"/>
          <w:rtl w:val="true"/>
          <w:lang w:bidi="ar-SA"/>
        </w:rPr>
        <w:t xml:space="preserve">رقم الإيداع في دار الكتب والوثائق ببغداد </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صورة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شرح القواعد للشيخ عبد العالي ابن المحقق الكركي بخط المولى حاجي بابا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والمنشورة في هذا العدد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وَمَا كَانَ الْمُؤْمِنُونَ لِيَنفِرُوا كَافَّةً</w:t>
      </w:r>
    </w:p>
    <w:p>
      <w:pPr>
        <w:pStyle w:val="BookText"/>
        <w:rPr/>
      </w:pPr>
      <w:r>
        <w:rPr>
          <w:rFonts w:ascii="Amiri" w:hAnsi="Amiri" w:eastAsia="Amiri" w:cs="Amiri"/>
          <w:color w:val="111111"/>
          <w:sz w:val="28"/>
          <w:sz w:val="28"/>
          <w:szCs w:val="28"/>
          <w:rtl w:val="true"/>
          <w:lang w:bidi="ar-SA"/>
        </w:rPr>
        <w:t>فَلَوْلَا نَفَرَ مِن كُلَّ فِرْقَةٍ مِنْهُمْ طَائِفَةٌ لِيَتَفَقَهُوا</w:t>
      </w:r>
    </w:p>
    <w:p>
      <w:pPr>
        <w:pStyle w:val="BookText"/>
        <w:rPr/>
      </w:pPr>
      <w:r>
        <w:rPr>
          <w:rFonts w:ascii="Amiri" w:hAnsi="Amiri" w:eastAsia="Amiri" w:cs="Amiri"/>
          <w:color w:val="111111"/>
          <w:sz w:val="28"/>
          <w:sz w:val="28"/>
          <w:szCs w:val="28"/>
          <w:rtl w:val="true"/>
          <w:lang w:bidi="ar-SA"/>
        </w:rPr>
        <w:t>في الدِّينِ وَلِيُنذِرُوا قَوْمَهُمْ إِذَا رَجَعُوا إِلَيْهِمْ</w:t>
      </w:r>
    </w:p>
    <w:p>
      <w:pPr>
        <w:pStyle w:val="BookText"/>
        <w:rPr/>
      </w:pPr>
      <w:r>
        <w:rPr>
          <w:rFonts w:ascii="Amiri" w:hAnsi="Amiri" w:eastAsia="Amiri" w:cs="Amiri"/>
          <w:color w:val="111111"/>
          <w:sz w:val="28"/>
          <w:sz w:val="28"/>
          <w:szCs w:val="28"/>
          <w:rtl w:val="true"/>
          <w:lang w:bidi="ar-SA"/>
        </w:rPr>
        <w:t>لَعَلَّهُمْ يَحْذَرُونَ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۱۲۲</w:t>
      </w:r>
      <w:r>
        <w:rPr>
          <w:rFonts w:eastAsia="Amiri" w:cs="Amiri" w:ascii="Amiri" w:hAnsi="Amiri"/>
          <w:color w:val="111111"/>
          <w:sz w:val="28"/>
          <w:szCs w:val="28"/>
          <w:rtl w:val="true"/>
          <w:lang w:bidi="ar-SA"/>
        </w:rPr>
        <w:t xml:space="preserve">) </w:t>
      </w:r>
      <w:bookmarkStart w:id="7" w:name="pg8927_84260"/>
    </w:p>
    <w:p>
      <w:pPr>
        <w:pStyle w:val="Heading2"/>
        <w:numPr>
          <w:ilvl w:val="1"/>
          <w:numId w:val="1"/>
        </w:numPr>
        <w:rPr/>
      </w:pPr>
      <w:bookmarkStart w:id="8" w:name="__RefHeading___Toc1279062_2870459653"/>
      <w:bookmarkStart w:id="9" w:name="_Toc3"/>
      <w:bookmarkEnd w:id="7"/>
      <w:bookmarkEnd w:id="8"/>
      <w:r>
        <w:rPr>
          <w:rtl w:val="true"/>
        </w:rPr>
        <w:t>الأسس المعتمدة للنشر</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ترحّب المجلة بإسهامات الباحثين الأفاضل في مختلف المجالات التي تهم طالب الأبحاث العليا في الحوزة العلمية، من الفقه والأصول والرّجال والحديث ونحوها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يُشترط في المادة المراد نشرها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مستوفية لأُصول البحث العلمي على مختلف المستويات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الفنّيّة والعلميّة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المنهجية والتوثيق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الأبحاث مكتوبة بخط واضح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منضدة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توضع الهوامش في أسفل الصفحة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يتراوح حجم البحث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الوزيري بخط متوسط الحجم، وما يزيد على ذلك يمكن جعله في حلقتين أو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نظر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شريطة استلام البحث كاملاً، ويمكن للمجلة في ما زاد عن ذلك أن تنشره مستقلّاً مع نشر قسم منه في بعض أعدادها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البحث قد نُشر أو أُرسل للنشر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يُذيَّل البحث بذكر المصادر التي اعتمدها الباحث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البحث لمراجعة هيئة علمية، ولا يُعاد إلى صاحبه سواء أنشر أم لم يُنشر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للمجلة وحدها حق إعادة نشر البحوث التي نشرتها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يخضع ترتيب البحوث المنشورة في المجلة لاعتبارات فنّيّة لا علاقة لها بمكانة الكاتب أو أهمّيّة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يُنشر في المجلة لا يعدو كونه مطارحات علمية صرفة، ولا يُعبر بالضرورة عن رأي المجلة</w:t>
      </w:r>
      <w:r>
        <w:rPr>
          <w:rFonts w:eastAsia="Amiri" w:cs="Amiri" w:ascii="Amiri" w:hAnsi="Amiri"/>
          <w:color w:val="111111"/>
          <w:sz w:val="28"/>
          <w:szCs w:val="28"/>
          <w:rtl w:val="true"/>
          <w:lang w:bidi="ar-SA"/>
        </w:rPr>
        <w:t xml:space="preserve">. </w:t>
      </w:r>
      <w:bookmarkStart w:id="10" w:name="pg8927_84261"/>
    </w:p>
    <w:p>
      <w:pPr>
        <w:pStyle w:val="Heading2"/>
        <w:numPr>
          <w:ilvl w:val="1"/>
          <w:numId w:val="1"/>
        </w:numPr>
        <w:rPr/>
      </w:pPr>
      <w:bookmarkStart w:id="11" w:name="__RefHeading___Toc1279064_2870459653"/>
      <w:bookmarkStart w:id="12" w:name="_Toc4"/>
      <w:bookmarkEnd w:id="10"/>
      <w:bookmarkEnd w:id="11"/>
      <w:r>
        <w:rPr>
          <w:rtl w:val="true"/>
        </w:rPr>
        <w:t>كلمة العدد</w:t>
      </w:r>
      <w:bookmarkEnd w:id="12"/>
    </w:p>
    <w:p>
      <w:pPr>
        <w:pStyle w:val="BookText"/>
        <w:rPr/>
      </w:pPr>
      <w:r>
        <w:rPr>
          <w:rFonts w:ascii="Amiri" w:hAnsi="Amiri" w:eastAsia="Amiri" w:cs="Amiri"/>
          <w:color w:val="111111"/>
          <w:sz w:val="28"/>
          <w:sz w:val="28"/>
          <w:szCs w:val="28"/>
          <w:rtl w:val="true"/>
          <w:lang w:bidi="ar-SA"/>
        </w:rPr>
        <w:t xml:space="preserve">إدارة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w:t>
      </w:r>
    </w:p>
    <w:p>
      <w:pPr>
        <w:pStyle w:val="BookText"/>
        <w:rPr/>
      </w:pPr>
      <w:r>
        <w:rPr>
          <w:rFonts w:ascii="Amiri" w:hAnsi="Amiri" w:eastAsia="Amiri" w:cs="Amiri"/>
          <w:color w:val="111111"/>
          <w:sz w:val="28"/>
          <w:sz w:val="28"/>
          <w:szCs w:val="28"/>
          <w:rtl w:val="true"/>
          <w:lang w:bidi="ar-SA"/>
        </w:rPr>
        <w:t>القاعدة الأوّليّة في حكم قضاء ما فات من الصوم الواجب</w:t>
      </w:r>
    </w:p>
    <w:p>
      <w:pPr>
        <w:pStyle w:val="BookText"/>
        <w:rPr/>
      </w:pPr>
      <w:r>
        <w:rPr>
          <w:rFonts w:ascii="Amiri" w:hAnsi="Amiri" w:eastAsia="Amiri" w:cs="Amiri"/>
          <w:color w:val="111111"/>
          <w:sz w:val="28"/>
          <w:sz w:val="28"/>
          <w:szCs w:val="28"/>
          <w:rtl w:val="true"/>
          <w:lang w:bidi="ar-SA"/>
        </w:rPr>
        <w:t xml:space="preserve">الشيخ مرتضى المشرفاوي 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۱۱</w:t>
      </w:r>
    </w:p>
    <w:p>
      <w:pPr>
        <w:pStyle w:val="BookText"/>
        <w:rPr/>
      </w:pPr>
      <w:r>
        <w:rPr>
          <w:rFonts w:ascii="Amiri" w:hAnsi="Amiri" w:eastAsia="Amiri" w:cs="Amiri"/>
          <w:color w:val="111111"/>
          <w:sz w:val="28"/>
          <w:sz w:val="28"/>
          <w:szCs w:val="28"/>
          <w:rtl w:val="true"/>
          <w:lang w:bidi="ar-SA"/>
        </w:rPr>
        <w:t>مفطريّة الارتماس للصائم</w:t>
      </w:r>
    </w:p>
    <w:p>
      <w:pPr>
        <w:pStyle w:val="BookText"/>
        <w:rPr/>
      </w:pPr>
      <w:r>
        <w:rPr>
          <w:rFonts w:ascii="Amiri" w:hAnsi="Amiri" w:eastAsia="Amiri" w:cs="Amiri"/>
          <w:color w:val="111111"/>
          <w:sz w:val="28"/>
          <w:sz w:val="28"/>
          <w:szCs w:val="28"/>
          <w:rtl w:val="true"/>
          <w:lang w:bidi="ar-SA"/>
        </w:rPr>
        <w:t xml:space="preserve">الشيخ حسن البشيري 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۶۹</w:t>
      </w:r>
    </w:p>
    <w:p>
      <w:pPr>
        <w:pStyle w:val="BookText"/>
        <w:rPr/>
      </w:pPr>
      <w:r>
        <w:rPr>
          <w:rFonts w:ascii="Amiri" w:hAnsi="Amiri" w:eastAsia="Amiri" w:cs="Amiri"/>
          <w:color w:val="111111"/>
          <w:sz w:val="28"/>
          <w:sz w:val="28"/>
          <w:szCs w:val="28"/>
          <w:rtl w:val="true"/>
          <w:lang w:bidi="ar-SA"/>
        </w:rPr>
        <w:t>التّبعيض في الحجّيّة، 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قرينية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وليد العامري 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w:t>
      </w:r>
    </w:p>
    <w:p>
      <w:pPr>
        <w:pStyle w:val="BookText"/>
        <w:rPr/>
      </w:pPr>
      <w:r>
        <w:rPr>
          <w:rFonts w:ascii="IRNazanin" w:hAnsi="IRNazanin" w:eastAsia="IRNazanin"/>
          <w:color w:val="111111"/>
          <w:sz w:val="28"/>
          <w:sz w:val="28"/>
          <w:szCs w:val="28"/>
          <w:rtl w:val="true"/>
          <w:lang w:bidi="fa-IR"/>
        </w:rPr>
        <w:t xml:space="preserve">رجال الجواهر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الشيخ علي الغزي ظالم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۱۵۷</w:t>
      </w:r>
    </w:p>
    <w:p>
      <w:pPr>
        <w:pStyle w:val="BookText"/>
        <w:rPr/>
      </w:pPr>
      <w:r>
        <w:rPr>
          <w:rFonts w:ascii="Amiri" w:hAnsi="Amiri" w:eastAsia="Amiri" w:cs="Amiri"/>
          <w:color w:val="111111"/>
          <w:sz w:val="28"/>
          <w:sz w:val="28"/>
          <w:szCs w:val="28"/>
          <w:rtl w:val="true"/>
          <w:lang w:bidi="ar-SA"/>
        </w:rPr>
        <w:t xml:space="preserve">دراسة في أحوال 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إسكندر الجعفري 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۲۱۵</w:t>
      </w:r>
    </w:p>
    <w:p>
      <w:pPr>
        <w:pStyle w:val="BookText"/>
        <w:rPr/>
      </w:pPr>
      <w:r>
        <w:rPr>
          <w:rFonts w:ascii="Amiri" w:hAnsi="Amiri" w:eastAsia="Amiri" w:cs="Amiri"/>
          <w:color w:val="111111"/>
          <w:sz w:val="28"/>
          <w:sz w:val="28"/>
          <w:szCs w:val="28"/>
          <w:rtl w:val="true"/>
          <w:lang w:bidi="ar-SA"/>
        </w:rPr>
        <w:t>حاشية شرح القواعد للفقيه الشيخ عبد العالي ابن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الجعفري دام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۲۶۱</w:t>
      </w:r>
      <w:r>
        <w:rPr>
          <w:rFonts w:ascii="Amiri" w:hAnsi="Amiri" w:eastAsia="Amiri" w:cs="Amiri"/>
          <w:color w:val="111111"/>
          <w:sz w:val="28"/>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8927_84263"/>
      <w:bookmarkStart w:id="14" w:name="pg8927_84263"/>
      <w:bookmarkEnd w:id="14"/>
    </w:p>
    <w:p>
      <w:pPr>
        <w:pStyle w:val="Heading2"/>
        <w:numPr>
          <w:ilvl w:val="1"/>
          <w:numId w:val="1"/>
        </w:numPr>
        <w:rPr/>
      </w:pPr>
      <w:bookmarkStart w:id="15" w:name="pg8927_84263"/>
      <w:bookmarkStart w:id="16" w:name="__RefHeading___Toc1279066_2870459653"/>
      <w:bookmarkStart w:id="17" w:name="_Toc5"/>
      <w:bookmarkEnd w:id="15"/>
      <w:bookmarkEnd w:id="16"/>
      <w:r>
        <w:rPr>
          <w:rtl w:val="true"/>
        </w:rPr>
        <w:t>المقدمة</w:t>
      </w:r>
      <w:bookmarkEnd w:id="17"/>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أشرف النبيين، وعلى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 بزوغ فجرِ كلِّ عددٍ تزداد المجلة في رصيدها من العناوين والبحوث، وتمضي قدماً في ميدان التحقيق والتدقيق في التراث الإسلامي، وتنفض الغبار عن أعمال كانت مغمورة في الزمان يكاد يُغيبها ستار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وذاك تُبلوِرُ كل فترةٍ نتاجاً تتضافر عليه العقول والأيدي يكون غذاءً فكرياً لروّاد القراءة والبحث في الموضوعات التي تختص بها من علوم القرآن والفقه والأصول والحديث والرّجال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يتأكد اسم المجلة كرمز ناجح في التجربة التي خاضتها مبادرة قبل غيرها في وقتٍ كان الكثير يتهيب المجازفة فيها خوفاً من عدم اجتماع أسباب النّجاح والقبول أو التعثّر تحت وطأة النّقد وقصور أدوات العمل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لا ترى المجلّة وإدارتها أنها قد بلغت غاية مسعاها، فعلى الرغم من تزايد عدد الباحثين فيها، وتنوّع الموضوعات التي تتناولها في اختصاصها واتساع </w:t>
      </w:r>
    </w:p>
    <w:p>
      <w:pPr>
        <w:pStyle w:val="BookText"/>
        <w:rPr/>
      </w:pPr>
      <w:r>
        <w:rPr>
          <w:rFonts w:ascii="Amiri" w:hAnsi="Amiri" w:eastAsia="Amiri" w:cs="Amiri"/>
          <w:color w:val="111111"/>
          <w:sz w:val="28"/>
          <w:sz w:val="28"/>
          <w:szCs w:val="28"/>
          <w:rtl w:val="true"/>
          <w:lang w:bidi="ar-SA"/>
        </w:rPr>
        <w:t>طيفها، إلّا أنّه ما زال أمامها شوط كبير لتقطعه في التأصيل والإبداع والمبادرة، وتنظرُ إلى تنوع البحوث المطروحة أكثر، وتتطلّع لعرض موضوعات بطيف أوسع وبهامش تحقيق وتدقيق يماهي وقع قدم البحث العلمي في الحوزات العلمية، وفي الوقت ذاته يترجم تلك البحوث إلى تطبيقات علميّة وعمليّة على موضوعات حية من محيط الإنسان المكلّف، فإنّ لذلك أبلغ الأثر في عكس مستوى النضج والثّمرة نتيجةً لاستمرار البحث في العلوم المرتبطة بالاجتماع الإنساني وعلاقته ببعضه من جهة، و بخالقه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عوّدت المجلّةُ قرّاءَها في كلّ عددٍ على بناء عناوينها على محاور متنوعة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الفقه، ومحور الأصول، ومحور الحديث أو رجاله، ومحور التراث القائم على استخراج بعض المخطوطات المهمة في موضوعها، ونشرها بحُلّة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وقع الاختيار هذه المرّة على حاشية الفقيه الشيخ عبد العالي ابن المحقق الكركي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كتاب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نسخة نادرة يتيمة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تلميذه الذي قرأها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 النور من قبل ، كبقية تراثه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نأمل أن نوفّق لنشره بأجمعه بإذنه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محور الفقه الذي يتصدّر المجلّة فيبدو أنّ للصوم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أعتاب شهر رمضان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السّيادة التّامّة فيه؛ إذْ دار ذلك المحور على بحثين، أولهما في حكم قضاء ما فات من الصوم الواجب، والآخر في حكم مفطّريّة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محور أصول الفقه فنطالع في هذا العدد بحثاً حول التبعيض في الحجية مذيلاً ببحث قرينيّة وحدة السّياق وتأثيره في الظهور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يقل محور الحديث ورجاله عن المحورين السابقين إثارة وتشويقاً إلى مخرجاته؛ فإنّ استقصاء طريقة فقيه عظيم في مؤلّف مهم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دارت رحى أجيال من </w:t>
      </w:r>
    </w:p>
    <w:p>
      <w:pPr>
        <w:pStyle w:val="BookText"/>
        <w:rPr/>
      </w:pPr>
      <w:r>
        <w:rPr>
          <w:rFonts w:ascii="Amiri" w:hAnsi="Amiri" w:eastAsia="Amiri" w:cs="Amiri"/>
          <w:color w:val="111111"/>
          <w:sz w:val="28"/>
          <w:sz w:val="28"/>
          <w:szCs w:val="28"/>
          <w:rtl w:val="true"/>
          <w:lang w:bidi="ar-SA"/>
        </w:rPr>
        <w:t>العلماء في الاستنباط والذائقة الفقهيّة لمجهودٌ عظيم يغني، في نتائجه حتماً مكتبة رجال الحديث، ويطالعنا لأوّل مرّة فيما نعلم بالآراء والنظريات الكلية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الرّجال بعد تحليل اتجاهات المؤلّف في آلاف الصفحات في اختياراته في قبول الحديث وردّه أو نقد رجاله، وبالتالي يساعد في إثراء أو تطوير نظريّة معيّنة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تظهر فائدة البحث في رجال كتاب مهم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الثقة الجليل محمّد بن أحمد بن يحيى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 نهايات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صار الكلام في رجال هذا الكتاب مصدراً من مصادر التحقيق في أحوال الرّجال لما استثنى نَقاد رجالي مهمّ كمحمّد بن الحسن بن الوليد عدة من الرّجال والمرويّات في هذا الكتاب وأخرجهم من دائرة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وفي الختام لا يسعنا إلّا أن نتقدم بالشكر لأصحاب السماحة أعضاء اللجنة العلميّة المستمرين في رعاية البحوث ومراجعتها، وكذلك نشكر الأفاضل المساهمين في تنقيح وتصحيح وإعداد البحوث وإخراجها بالضّبط الفنّيّ والمنهجي بالشكل المرضي الذي تظهر به في كلّ عدد، جزاهم الله تعالى جميعاً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الله تعالى التوفيق في استمرار هذا العمل واستكمال عناصر نجاحه، والله من وراء القصد</w:t>
      </w:r>
    </w:p>
    <w:p>
      <w:pPr>
        <w:pStyle w:val="BookText"/>
        <w:rPr/>
      </w:pPr>
      <w:r>
        <w:rPr>
          <w:rFonts w:ascii="Amiri" w:hAnsi="Amiri" w:eastAsia="Amiri" w:cs="Amiri"/>
          <w:color w:val="111111"/>
          <w:sz w:val="28"/>
          <w:sz w:val="28"/>
          <w:szCs w:val="28"/>
          <w:rtl w:val="true"/>
          <w:lang w:bidi="ar-SA"/>
        </w:rPr>
        <w:t>هيئة التحرير</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هـ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927_84267"/>
      <w:bookmarkStart w:id="19" w:name="pg8927_84267"/>
      <w:bookmarkEnd w:id="19"/>
    </w:p>
    <w:p>
      <w:pPr>
        <w:pStyle w:val="Heading2"/>
        <w:numPr>
          <w:ilvl w:val="1"/>
          <w:numId w:val="1"/>
        </w:numPr>
        <w:rPr/>
      </w:pPr>
      <w:bookmarkStart w:id="20" w:name="pg8927_84267"/>
      <w:bookmarkStart w:id="21" w:name="__RefHeading___Toc1279068_2870459653"/>
      <w:bookmarkStart w:id="22" w:name="_Toc6"/>
      <w:bookmarkEnd w:id="20"/>
      <w:bookmarkEnd w:id="21"/>
      <w:r>
        <w:rPr>
          <w:rtl w:val="true"/>
        </w:rPr>
        <w:t>القاعدة الأولية في حكم</w:t>
      </w:r>
      <w:bookmarkEnd w:id="22"/>
    </w:p>
    <w:p>
      <w:pPr>
        <w:pStyle w:val="Heading3"/>
        <w:numPr>
          <w:ilvl w:val="2"/>
          <w:numId w:val="1"/>
        </w:numPr>
        <w:rPr/>
      </w:pPr>
      <w:bookmarkStart w:id="23" w:name="__RefHeading___Toc1279070_2870459653"/>
      <w:bookmarkStart w:id="24" w:name="_Toc7"/>
      <w:bookmarkEnd w:id="23"/>
      <w:r>
        <w:rPr>
          <w:rtl w:val="true"/>
        </w:rPr>
        <w:t>قضاء ما فات من الصوم الواجب</w:t>
      </w:r>
      <w:bookmarkEnd w:id="24"/>
    </w:p>
    <w:p>
      <w:pPr>
        <w:pStyle w:val="BookText"/>
        <w:rPr/>
      </w:pPr>
      <w:r>
        <w:rPr>
          <w:rFonts w:ascii="Amiri" w:hAnsi="Amiri" w:eastAsia="Amiri" w:cs="Amiri"/>
          <w:color w:val="111111"/>
          <w:sz w:val="28"/>
          <w:sz w:val="28"/>
          <w:szCs w:val="28"/>
          <w:rtl w:val="true"/>
          <w:lang w:bidi="ar-SA"/>
        </w:rPr>
        <w:t>الشيخ مرتضى المشرفاوي دام عزه</w:t>
      </w:r>
    </w:p>
    <w:p>
      <w:pPr>
        <w:pStyle w:val="BookText"/>
        <w:rPr/>
      </w:pPr>
      <w:r>
        <w:rPr>
          <w:rFonts w:ascii="Amiri" w:hAnsi="Amiri" w:eastAsia="Amiri" w:cs="Amiri"/>
          <w:color w:val="111111"/>
          <w:sz w:val="28"/>
          <w:sz w:val="28"/>
          <w:szCs w:val="28"/>
          <w:rtl w:val="true"/>
          <w:lang w:bidi="ar-SA"/>
        </w:rPr>
        <w:t>إنّ البحث عن العمومات الفوقانية في أبواب العبادات بما تمثله من قوانين كلّيّة يحظى بأهميّة بالغة؛ إذ يمكن الرجوع إلى هكذا عمومات في حالات فقد الدليل في المورد الخاص</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لاستخراج هكذا عموم لقضاء ما فات المرء في باب الصوم، استقرأتُ فيها ما سطره الأعلام في هذا المقام مع مناقشة وتحليل يتناغمان مع النظريات الحديثة في الفقه والأصول والرجال</w:t>
      </w:r>
      <w:r>
        <w:rPr>
          <w:rFonts w:eastAsia="Amiri" w:cs="Amiri" w:ascii="Amiri" w:hAnsi="Amiri"/>
          <w:color w:val="111111"/>
          <w:sz w:val="28"/>
          <w:szCs w:val="28"/>
          <w:rtl w:val="true"/>
          <w:lang w:bidi="ar-SA"/>
        </w:rPr>
        <w:t xml:space="preserve">.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 xml:space="preserve">إنّ البحث حول العمومات الدالة على وجوب قضاء ما فات من الصوم الواجب نافع في العديد من الموارد؛ إذ يمكن الرجوع إلى هذه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فقد الأدلّة الخاصة في الموارد المختلفة، كما في قضاء المرتدّ ما فاته من الصوم أيام ردّته، وقضاء الكافر ما فاته زمان كفره، وكذا المغمى عليه ومن فاته لسكر وغيرها من الموارد، فلو لم تتمّ الأدلّة في أبوابها على حكم قضاء الصوم فيها أمكن الرجوع إلى هكذا عموم فوقاني دالّ على وجوب قضاء ما فات من الصوم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البحث لا بد من تقديم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الوجوه المحتملة في المقام ثلاثة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القاعدة مطلقاً، وإنكارها مطلقاً، والتفصيل بين من كُلّف بالأداء فتثبت القاعدة في حقه، وبين من لم يجب عليه الأداء فلا تجري القاعدة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والتفريق بين هذه الوجوه له مدخلية في النظر في الأدلة، كما سيتضح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على القول بتبعية القضاء للأداء مطلقاً القاعدة بالنسبة للمكلّفين بالأداء، أما لو لم نقل بتلك القاعدة فإنّ الأصل هو البراءة في المقام؛ باعتبار أنّه من موارد الشكّ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ثبوت وجوب القضاء على من فاته الصوم في عدد من الموارد، فلا بد من ملاحظة هذه الموارد، والحديث حول إمكانية الاستعانة بها لانتزاع القاعدة الكلّيّة، كما أنّ هناك موارد نُص فيها على خلاف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الموارد التي نُص على وجوب القضاء فيها فهي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المريض، والمسافر، وناسي الجنابة، والحائض، والنفساء، ومن أفطر متعمّداً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الالتفات إلى وجود تفاوت في هذه الموارد، فإنّ المريض والمسافر والحائض والنفساء غير مكلفين بالأداء، بخلاف ناسي الجنابة ومن أفطر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الموارد التي نُص فيها على خلاف القاعدة فكالمجنون والصبي والمغمى عليه والكافر إذا أسلم، وهذه الموارد ليست على وتيرة واحدة كسابقتها، فإنّ الكافر مكلّف بالأداء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هو المشهور من تكليف الكفّار بالفروع</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المعاد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الموارد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موارد خلت من النصّ الخاص، فتكون من تطبيقات القاعدة، وفيها تظهر ثمرة البحث، كقضاء المرتدّ ما فاته من الصوم أيام ردّته، والمغمى عليه، ومن فاته لسكر، وغيرها من الموارد إذا لم تتمّ الأدلّة الخاصة في حكم قضاء الصوم في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المسألة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سياق كلمات غير واحد من فقهائنا الأعلام البناءا على أن هناك قاعدة </w:t>
      </w:r>
    </w:p>
    <w:p>
      <w:pPr>
        <w:pStyle w:val="BookText"/>
        <w:rPr/>
      </w:pPr>
      <w:r>
        <w:rPr>
          <w:rFonts w:ascii="Amiri" w:hAnsi="Amiri" w:eastAsia="Amiri" w:cs="Amiri"/>
          <w:color w:val="111111"/>
          <w:sz w:val="28"/>
          <w:sz w:val="28"/>
          <w:szCs w:val="28"/>
          <w:rtl w:val="true"/>
          <w:lang w:bidi="ar-SA"/>
        </w:rPr>
        <w:t>تقضي بوجوب قضاء الصوم على كلّ من فاته، ولعلّ عبارة السيد ابن زهرة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تومئ إلى هذا،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دلّلنا فيما مضى على أنّ الكفّار مخاطبون بالشرائع، ومن جملتها قضاء ما يفوت من العبادات، ولا يلزم على ذلك الكافر الأصلي، لأنا أخرجناه بدليل، وهو إجماع الأمة على أنّه ليس عليه قضاؤه</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 وبضميمة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القول بتبعية القضاء للأداء يمكن أن نحصل على نتيجة مهمة، وهي وجوب القضاء على كلّ مَن فاته الصوم الواجب إلّا ما خرج بدليل، كالكافر الأصلي، كما صرّح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بل لا حاجة إلى ضمّ المقدّمة الثانية للوصول إلى النتيجة؛ فإنّ القضاء من جملة التكاليف والشرائع التي يكون الخطاب فيها شاملاً للمسلم وغيره إلّا ما خرج بدليل بمقتضى الكلام السابق، ولذا نجد السيد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التزامه بهذه النتيجة قد حكم بعدم تبعية القضاء للأداء،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 عبارة عن فعل مثل الفائت بخروج وقته، ولا يتبع في وجوبه وجوب الأداء، ولهذا وجب أداء الجمعة، ولم يجب قضاؤها، ووجب قضاء الصوم على الحائض، ولم يجب عليها أداؤه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إلّا أنّ من فقهائنا من يلتزم بعدم تكليف الكفار بالفروع وإن نسب القول بتكليفهم بها إلى المشهور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حديث التبعية فقد نفاها بعضهم، كما في عبارة السيّد ابن زهرة المتقدّمة، وأثبتها آخرون، كما يفهم من عبارة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مقتضى الدليل وجوب القضاء على كل مكلف بالأداء إذا اجتمعت فيه شرائط الوجوب، تُرِك العمل به في حق الكافر الأصلي، ويعمل به فيما عداه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xml:space="preserve">، ولكن سيأتي في مطاوي الكلام عدم وضوح الملازمة؛ </w:t>
      </w:r>
    </w:p>
    <w:p>
      <w:pPr>
        <w:pStyle w:val="BookText"/>
        <w:rPr/>
      </w:pPr>
      <w:r>
        <w:rPr>
          <w:rFonts w:ascii="Amiri" w:hAnsi="Amiri" w:eastAsia="Amiri" w:cs="Amiri"/>
          <w:color w:val="111111"/>
          <w:sz w:val="28"/>
          <w:sz w:val="28"/>
          <w:szCs w:val="28"/>
          <w:rtl w:val="true"/>
          <w:lang w:bidi="ar-SA"/>
        </w:rPr>
        <w:t>فإنّ المريض والمسافر والحائض والنفساء لا تكليف عليهم بالصوم، ومع عليهم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يجب</w:t>
      </w:r>
    </w:p>
    <w:p>
      <w:pPr>
        <w:pStyle w:val="BookText"/>
        <w:rPr/>
      </w:pPr>
      <w:r>
        <w:rPr>
          <w:rFonts w:ascii="Amiri" w:hAnsi="Amiri" w:eastAsia="Amiri" w:cs="Amiri"/>
          <w:color w:val="111111"/>
          <w:sz w:val="28"/>
          <w:sz w:val="28"/>
          <w:szCs w:val="28"/>
          <w:rtl w:val="true"/>
          <w:lang w:bidi="ar-SA"/>
        </w:rPr>
        <w:t xml:space="preserve">،هذا وللسيّد في مفتاح الكرامة محاولة للاستدلال على ذلك بالروايات، فبعد ذكر فتوى العلامة تتهل بعدم وجوب القضاء على غير المتمكّن من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استدلاله عليه في المختلف بعدم وجوب الأداء، وتوقف وجوب القضاء على أمر جديد، ولم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فللمناقشة فيما استدلّوا به مجال، 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ملازمة بين قضاء العبادة وأدائها جوداً ولا عدماً، وإنّما يتبع سبب الوجوب، وهو حاصل هنا، والأمر الجديد ثابت، وهو قوله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صلاة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خرج منه ما أجمعوا على عدم قضائه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هناك محاولةً من العلّامة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للاستدلال عليه بالآية الشريفة،حيث استدل على وجوب قضاء الصلاة الفائتة بقياسه على وجوب قضاء الصوم الفائت المنصوص عليه في الآية الشريفة؛ فإنّ اهتمام الشارع بالصلاة أهمّ وآكد من الصوم، فهي أولى بالقضاء، قال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ولأنّ الصوم يجب قضاؤه بنص القرآن، والصلاة آكد من الصوم، فهي أولى بوجوب القضاء، وإنّما يجب القضاء تبعاً لوجوب الأداء</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فيمكن القول بأنّ الحكم بوجوب القضاء على كلّ من فاته الصوم الواجب كان مركوزاً في أذهانهم الشريفة، ولذا لم تخلُ كلماتهم من إشارات لذلك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تطوّر الاستدلال على القاعدة بالآية الشريفة وبالروايات في كلمات المتأخرين، فنجد هذا الأمر أشدّ وضوحاً في كلمات سيّد المدارك، وصاحب الجواهر، والسيد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وسيأتي عرض أدلتهم إن شاء الله تعالى، وبيان ما يمكن أن يرد عليها</w:t>
      </w:r>
      <w:r>
        <w:rPr>
          <w:rFonts w:eastAsia="Amiri" w:cs="Amiri" w:ascii="Amiri" w:hAnsi="Amiri"/>
          <w:color w:val="111111"/>
          <w:sz w:val="28"/>
          <w:szCs w:val="28"/>
          <w:rtl w:val="true"/>
          <w:lang w:bidi="ar-SA"/>
        </w:rPr>
        <w:t xml:space="preserve">. </w:t>
      </w:r>
      <w:bookmarkStart w:id="25" w:name="pg8927_84273"/>
    </w:p>
    <w:p>
      <w:pPr>
        <w:pStyle w:val="BookText"/>
        <w:rPr/>
      </w:pPr>
      <w:bookmarkEnd w:id="25"/>
      <w:r>
        <w:rPr>
          <w:rFonts w:ascii="Amiri" w:hAnsi="Amiri" w:eastAsia="Amiri" w:cs="Amiri"/>
          <w:color w:val="111111"/>
          <w:sz w:val="28"/>
          <w:sz w:val="28"/>
          <w:szCs w:val="28"/>
          <w:rtl w:val="true"/>
          <w:lang w:bidi="ar-SA"/>
        </w:rPr>
        <w:t>ويبقى ما ذكر في هذه الوريقات مجرّد محاولة لتسليط الضوء على قاعدة فقهيّة مهمّة وعمليّة في موارد متعدّدة من الفقه</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279072_2870459653"/>
      <w:bookmarkStart w:id="27" w:name="_Toc8"/>
      <w:bookmarkEnd w:id="26"/>
      <w:r>
        <w:rPr>
          <w:rtl w:val="true"/>
        </w:rPr>
        <w:t>ما يمكن أن يكون مستنداً للقاعدة</w:t>
      </w:r>
      <w:bookmarkEnd w:id="27"/>
    </w:p>
    <w:p>
      <w:pPr>
        <w:pStyle w:val="BookText"/>
        <w:rPr/>
      </w:pPr>
      <w:r>
        <w:rPr>
          <w:rFonts w:ascii="Amiri" w:hAnsi="Amiri" w:eastAsia="Amiri" w:cs="Amiri"/>
          <w:color w:val="111111"/>
          <w:sz w:val="28"/>
          <w:sz w:val="28"/>
          <w:szCs w:val="28"/>
          <w:rtl w:val="true"/>
          <w:lang w:bidi="ar-SA"/>
        </w:rPr>
        <w:t>وقد ذكر فقهاؤنا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وجوهاً للاستدلال على وجود هكذا عموم فوقاني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أشير إليه في الجواهر من التمسك بعموم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فاتته فريضة فليقضها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حديث مرسل، بل لم يذكر كرواية في كتب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مذكور في كتاب عوالي اللآلئ</w:t>
      </w:r>
      <w:r>
        <w:rPr>
          <w:rStyle w:val="FootnoteAnchor"/>
          <w:rtl w:val="true"/>
        </w:rPr>
        <w:footnoteReference w:id="10"/>
      </w:r>
      <w:r>
        <w:rPr>
          <w:rFonts w:ascii="Amiri" w:hAnsi="Amiri" w:eastAsia="Amiri" w:cs="Amiri"/>
          <w:color w:val="111111"/>
          <w:sz w:val="28"/>
          <w:sz w:val="28"/>
          <w:szCs w:val="28"/>
          <w:rtl w:val="true"/>
          <w:lang w:bidi="ar-SA"/>
        </w:rPr>
        <w:t>، وفي بعض كتب الاستدلال</w:t>
      </w:r>
      <w:r>
        <w:rPr>
          <w:rStyle w:val="FootnoteAnchor"/>
          <w:rtl w:val="true"/>
        </w:rPr>
        <w:footnoteReference w:id="11"/>
      </w:r>
      <w:r>
        <w:rPr>
          <w:rFonts w:ascii="Amiri" w:hAnsi="Amiri" w:eastAsia="Amiri" w:cs="Amiri"/>
          <w:color w:val="111111"/>
          <w:sz w:val="28"/>
          <w:sz w:val="28"/>
          <w:szCs w:val="28"/>
          <w:rtl w:val="true"/>
          <w:lang w:bidi="ar-SA"/>
        </w:rPr>
        <w:t>، فلا يمكن التعويل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ألا يكون مقصودهم أنه حديث برأسه، بل مرادهم أنها قاعدة متصيّدة من الموارد المتفرّقة التي أوجبت الأدلّة فيها القضاء على من فاته الصوم بسببها، كالحائض، والنفساء، والمسافر، وهكذا، إلّا أنّ عبارة بعضهم لا تساعد على ذلك، ومعه يرجع هذا الوجه إلى الوجه الثاني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 إمكان استفادة القاعدة من الموارد المتفرّقة التي حكمت الأدلّة الخاصة على وجوب القضاء فيها، فقد تكرّر هذا الحكم في موارد عديدة كالمريض والمسافر</w:t>
      </w:r>
      <w:r>
        <w:rPr>
          <w:rStyle w:val="FootnoteAnchor"/>
          <w:rtl w:val="true"/>
        </w:rPr>
        <w:footnoteReference w:id="12"/>
      </w:r>
      <w:r>
        <w:rPr>
          <w:rFonts w:ascii="IRNazanin" w:hAnsi="IRNazanin" w:eastAsia="IRNazanin"/>
          <w:color w:val="111111"/>
          <w:sz w:val="28"/>
          <w:sz w:val="28"/>
          <w:szCs w:val="28"/>
          <w:rtl w:val="true"/>
          <w:lang w:bidi="fa-IR"/>
        </w:rPr>
        <w:t>والحائض</w:t>
      </w:r>
      <w:r>
        <w:rPr>
          <w:rStyle w:val="FootnoteAnchor"/>
          <w:rtl w:val="true"/>
        </w:rPr>
        <w:footnoteReference w:id="13"/>
      </w:r>
      <w:r>
        <w:rPr>
          <w:rFonts w:ascii="IRNazanin" w:hAnsi="IRNazanin" w:eastAsia="IRNazanin"/>
          <w:color w:val="111111"/>
          <w:sz w:val="28"/>
          <w:sz w:val="28"/>
          <w:szCs w:val="28"/>
          <w:rtl w:val="true"/>
          <w:lang w:bidi="fa-IR"/>
        </w:rPr>
        <w:t>، والنفساء</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صوم الحائض والمستحاضة،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وناسي الجنابة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ومَن أفطر متعمّداً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إمكان استفادة قاعدة كلّية مفادها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وجوب القضاء على كلّ من ترك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الموارد المتفرّقة لا يخلو من بعد وإن ادّعى 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إمكان ذلك</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بُعده ثلاثة أمور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وإن وجدت موارد يجب القضاء فيها لكنّها معارضة بما دلّ على نفي القضاء في موارد أخرى</w:t>
      </w:r>
      <w:r>
        <w:rPr>
          <w:rStyle w:val="FootnoteAnchor"/>
          <w:rtl w:val="true"/>
        </w:rPr>
        <w:footnoteReference w:id="16"/>
      </w:r>
      <w:r>
        <w:rPr>
          <w:rFonts w:ascii="Amiri" w:hAnsi="Amiri" w:eastAsia="Amiri" w:cs="Amiri"/>
          <w:color w:val="111111"/>
          <w:sz w:val="28"/>
          <w:sz w:val="28"/>
          <w:szCs w:val="28"/>
          <w:rtl w:val="true"/>
          <w:lang w:bidi="ar-SA"/>
        </w:rPr>
        <w:t>، كالكافر إذا أسلم</w:t>
      </w:r>
      <w:r>
        <w:rPr>
          <w:rStyle w:val="FootnoteAnchor"/>
          <w:rtl w:val="true"/>
        </w:rPr>
        <w:footnoteReference w:id="17"/>
      </w:r>
      <w:r>
        <w:rPr>
          <w:rFonts w:ascii="Amiri" w:hAnsi="Amiri" w:eastAsia="Amiri" w:cs="Amiri"/>
          <w:color w:val="111111"/>
          <w:sz w:val="28"/>
          <w:sz w:val="28"/>
          <w:szCs w:val="28"/>
          <w:rtl w:val="true"/>
          <w:lang w:bidi="ar-SA"/>
        </w:rPr>
        <w:t>، والمغمى عليه إذا أفاق</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الموارد التي دلّت الأدلة على وجوب القضاء فيها تختلف من ناحية وجوب الأداء، فالمريض والمسافر والحائض والنفساء لا تكليف عليهم بالأداء؛ لأنّ عدم المرض والسفر والخلو من الحيض والنفاس من شرائط الوجوب، في حين أنّ ناسي الجنابة ومَن أفطر عمداً مكلّفون بالأداء؛ لوضوح أن عدم نسيان الجنابة، وعدم الإفطار العمدي ليسا من شرائط الوجوب، وعين الاختلاف نجده في الموارد التي دلّت الأدلة على عدم وجوب القضاء فيها، فالمجنون والصبي والمغمى عليه لا يجب عليهم الأداء؛ لأنّ العقل والبلوغ وعدم الإغماء من شرائط التكليف، بينما الكافر إذا أسلم لا يجب عليه القضاء بالرغم من كونه مكلفاً بالأداء، بناءً على ما هو المشهور من تكليف الكفّار بالفروع</w:t>
      </w:r>
      <w:r>
        <w:rPr>
          <w:rStyle w:val="FootnoteAnchor"/>
          <w:rtl w:val="true"/>
        </w:rPr>
        <w:footnoteReference w:id="19"/>
      </w:r>
      <w:r>
        <w:rPr>
          <w:rFonts w:ascii="Amiri" w:hAnsi="Amiri" w:eastAsia="Amiri" w:cs="Amiri"/>
          <w:color w:val="111111"/>
          <w:sz w:val="28"/>
          <w:sz w:val="28"/>
          <w:szCs w:val="28"/>
          <w:rtl w:val="true"/>
          <w:lang w:bidi="ar-SA"/>
        </w:rPr>
        <w:t>ومع  هكذا اختلاف فمن الصعب استنباط قاعدة كلّيّة</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الاختلاف بمجرّده لا يمنع من استفادة القاعدة الكلية، بل هو يساعد على ذلك إلّا إذا كانت الموارد التي حكمت النصوص بوجوب القضاء فيها في خصوص المكلّفين بالأداء كثيرةً، والتي حكمت بوجوب القضاء على غير المكلّفين بالأداء بدرجةٍ من القلة بحيث لا تساعد على استفادة القاعدة الكلية في حقهم، فإنّ هذا يخصص القاعدة بمن وجب عليه الأداء، ولكن بعض الموارد لسانها لسان الخصوصية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أفطر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فيصعب التعميم حينئذ</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أورده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أيضاً ،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الاستقراء المذكور لا يصلح للدلالة على وجوب القضاء على من لم يصم وإن لم يفطر</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التسليم بإمكان استفادة القاعدة من الموارد المتفرّقة ينبغي أن يكون مفادها وجوب القضاء على من أفطر، ولا تشمل من ترك الصوم، فلا تكون شاملة لمثل المرتدّ والكافر؛ لأنّه لا يصدق عليهما أنهما أفطرا عمداً وإن صدق عليهما أنهما تركا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القاعدة حتى تكون مدلولاً لجميع الأخبار فلا بد من أخذ أخص الأخبار مورداً في موضوعها، فإذا كان بعض الأخبار يعلّق وجوب القضاء على الإفطار، وبعضها على ترك الصوم فلا بد من أخذ الإفطار كقيد إضافي في موضوع القاعدة، ومعه لا تشمل من يتناول المفطر لعدم اعتقاده بوجوب الصوم؛إذ لا يصدق عليه أنّه أفطر، بل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معالجة هذا الإيراد بإلغاء الخصوصية؛ فإنّ القضاء هو تدارك ما فات من الواجب، فتكون العبرة بترك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السيد الخوانساري</w:t>
      </w:r>
      <w:r>
        <w:rPr>
          <w:rStyle w:val="FootnoteAnchor"/>
          <w:rtl w:val="true"/>
        </w:rPr>
        <w:footnoteReference w:id="21"/>
      </w:r>
      <w:r>
        <w:rPr>
          <w:rFonts w:ascii="Amiri" w:hAnsi="Amiri" w:eastAsia="Amiri" w:cs="Amiri"/>
          <w:color w:val="111111"/>
          <w:sz w:val="28"/>
          <w:sz w:val="28"/>
          <w:szCs w:val="28"/>
          <w:rtl w:val="true"/>
          <w:lang w:bidi="ar-SA"/>
        </w:rPr>
        <w:t>من وجود روايات صحيحة مفادها أنّ مَن أفطر متعمّداً فعليه القضاء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نقله عن السيد الحكيم نتثل من أنه لو أمكن استفادة القاعدة من هذه الروايات تكون مختصة بمن أفطر، ولا تشمل من ترك الصوم</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أخص من المدعى؛ لاختصاصه بالإفطار العمدي، وهو يقضي بوجوب </w:t>
      </w:r>
    </w:p>
    <w:p>
      <w:pPr>
        <w:pStyle w:val="BookText"/>
        <w:rPr/>
      </w:pPr>
      <w:r>
        <w:rPr>
          <w:rFonts w:ascii="Amiri" w:hAnsi="Amiri" w:eastAsia="Amiri" w:cs="Amiri"/>
          <w:color w:val="111111"/>
          <w:sz w:val="28"/>
          <w:sz w:val="28"/>
          <w:szCs w:val="28"/>
          <w:rtl w:val="true"/>
          <w:lang w:bidi="ar-SA"/>
        </w:rPr>
        <w:t>الصيام على من أفطر متعمداً، فإنّ من لم يجب عليه الصوم ومن لا يعلم بوجوبه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أفطر متعمّداً عند تركه الصيام، فالاستدلال بهذا اللسان لا يساعد على إثبات القاعدة بمستواها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صاحب المدارك</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الاستدلال بصحيحة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على الرجل شيء من صوم شهر رمضان فليقضه في أي شهر شاء أياماً متتابعة، فإن لم يستطع فليقضه كيف شاء، وليحص الأيام، فإن فرّق فحسن، وإن تابع فحسن</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بوجوب القضاء عندما افترض أنّه ترك صوم شيء من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ناظرة إلى التوسعة وجواز القضاء في أي شهر، بعد الفراغ عن ثبوت القضاء في الذمة، فموضوع الحكم فيها هو من وجب عليه القضاء، كما هو واضح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على الرجل شيء من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إلى وجوب القضاء عند تحقق الفوت حتّى يتمسك بها في المقام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صاحب المدارك</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الاستدلال بصحيحة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شيئاً من شهر رمضان في عذر فإن قضاه متتابعاً فهو أفضل، وإن قضاه متفرّقاً فحسن</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 الرواية واردة في مقام بيان الرخصة في تفريق القضاء لمن عليه القضاء، فحكمت باستحباب التتابع بعد الفراغ عن أصل القضاء، لا في مقام بيان وجوب القضاء على من أفطر حتى يتمسك بها في المقام</w:t>
      </w:r>
      <w:r>
        <w:rPr>
          <w:rStyle w:val="FootnoteAnchor"/>
          <w:rtl w:val="true"/>
        </w:rPr>
        <w:footnoteReference w:id="28"/>
      </w:r>
      <w:r>
        <w:rPr>
          <w:rFonts w:ascii="IRNazanin" w:hAnsi="IRNazanin" w:eastAsia="IRNazanin"/>
          <w:color w:val="111111"/>
          <w:sz w:val="28"/>
          <w:sz w:val="28"/>
          <w:szCs w:val="28"/>
          <w:rtl w:val="true"/>
          <w:lang w:bidi="fa-IR"/>
        </w:rPr>
        <w:t>، بدليل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فليقضه، بل تعرّض لكيفية القضاء ابتداءً، فإنّ وجوب القضاء أخذ مفروغاً عنه في الرواية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وحاول الشيخ الأنصاري تل استفادة القاعدة من الرواية بالرغم من التفاته إلى مضمون ما نقلناه عن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الجواب عن الوجه الرابع،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دالّة على التوسعة في القضاء لكلّ من أفطر في عذر، والتوسعة والتخيير بين التتابع والتفريق فرع وجوب أصل القضاء، فيدلّ عليه بالالتزام العرفي</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القول نظر؛ فإنّه يكفي في صدق الملازمة المدّعاة ثبوت القضاء في الموارد التي دلّت الأدلّة الخاصة على وجوب القضاء فيها، فبعد الفراغ عن وجوب القضاء على مَن ترك أداء الصوم بأحد الأسباب التي نص على وجوب القضاء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لصدق الإفطار عليها كالأكل والشرب والجماع ونحوها، أو للدليل الخاص في موردها كالنوم</w:t>
      </w:r>
    </w:p>
    <w:p>
      <w:pPr>
        <w:pStyle w:val="BookText"/>
        <w:rPr/>
      </w:pPr>
      <w:r>
        <w:rPr>
          <w:rFonts w:ascii="Amiri" w:hAnsi="Amiri" w:eastAsia="Amiri" w:cs="Amiri"/>
          <w:color w:val="111111"/>
          <w:sz w:val="28"/>
          <w:sz w:val="28"/>
          <w:szCs w:val="28"/>
          <w:rtl w:val="true"/>
          <w:lang w:bidi="ar-SA"/>
        </w:rPr>
        <w:t xml:space="preserve">الثاني للجنب، وترك غسل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حديث الملازمة التي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يقين بشمول الملازمة المدّعاة لغير هذه الموارد حتى يمكن استفادة القاعدة الكلية منها</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يريد استفادة عموم وجوب القضاء من المدلول الالتزامي للحكم، فإنّه يدلّ على المفروغيّة عن وجوب القضاء، لا أنّه يجعل وجوب القضاء قيداً في الموضوع ، وهذا بخلاف عبارة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المتقدّمة فإنّ ما يفهم منها أنّه أخذ وجوب القضاء قيداً لبيّاً في الموضوع، وأمّا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جعل </w:t>
      </w:r>
    </w:p>
    <w:p>
      <w:pPr>
        <w:pStyle w:val="BookText"/>
        <w:rPr/>
      </w:pPr>
      <w:r>
        <w:rPr>
          <w:rFonts w:ascii="Amiri" w:hAnsi="Amiri" w:eastAsia="Amiri" w:cs="Amiri"/>
          <w:color w:val="111111"/>
          <w:sz w:val="28"/>
          <w:sz w:val="28"/>
          <w:szCs w:val="28"/>
          <w:rtl w:val="true"/>
          <w:lang w:bidi="ar-SA"/>
        </w:rPr>
        <w:t>القضاء لازماً للحكم، لا أنّه مأخوذ كقيد في جانب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ليست بصدد إفادة أصل وجوب القضاء ولو بدلالة الاقتضاء، بل هي بصدد التعرّض لبيان كيفية القضاء بالنسبة إلى من وجب عليه القضاء، فاستفادة وجوب القضاء من الرواية ولو بالدلالة الالتزاميّة بعيد عن المنساق عرفاً من عبارات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اختصاص الرواية بذوي الأعذار، فلا يمكن استفادة القاعدة الكلّية الشاملة لغيرهم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استفادة العموم منها بالفحوى، فإنّ الرواية حكمت بوجوب القضاء على كلّ من أفطر بعذر، وأولى منه الحكم بوجوب القضاء على من أفطر من دون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لو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تجاوز الإشكال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إنّما يعطي عموم القاعدة لكل من أفطر، ولا يعمّ من ترك الصوم وإن لم يفطر؛ لأنّ موضوع الرواية من أفطر، فلا يمكن تعميمه لمن ترك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الخوانساري والسّيّد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التمسك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وَلِتُكْمِلُوا الْعِدَّةَ</w:t>
      </w:r>
      <w:r>
        <w:rPr>
          <w:rStyle w:val="FootnoteAnchor"/>
          <w:rtl w:val="true"/>
        </w:rPr>
        <w:footnoteReference w:id="30"/>
      </w:r>
      <w:r>
        <w:rPr>
          <w:rFonts w:ascii="Amiri" w:hAnsi="Amiri" w:eastAsia="Amiri" w:cs="Amiri"/>
          <w:color w:val="111111"/>
          <w:sz w:val="28"/>
          <w:sz w:val="28"/>
          <w:szCs w:val="28"/>
          <w:rtl w:val="true"/>
          <w:lang w:bidi="ar-SA"/>
        </w:rPr>
        <w:t>لظهوره في تعليل وجوب القضاء على المريض والمسافر بلزوم إكمال العدّة ، فيؤخذ بعمومه في غير مورده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 ما يلي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ليست صريحةً في التعليل؛ إذ يحتمل أن تكون تأكيداً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فَعِدَّةٌ مِّنْ أَيَّامٍ أُخَرَ، وإشارة إلى لزوم إكمالها، فتكون اللام للأمر، لا للتعليل، ويكون </w:t>
      </w:r>
    </w:p>
    <w:p>
      <w:pPr>
        <w:pStyle w:val="BookText"/>
        <w:rPr/>
      </w:pPr>
      <w:r>
        <w:rPr>
          <w:rFonts w:ascii="Amiri" w:hAnsi="Amiri" w:eastAsia="Amiri" w:cs="Amiri"/>
          <w:color w:val="111111"/>
          <w:sz w:val="28"/>
          <w:sz w:val="28"/>
          <w:szCs w:val="28"/>
          <w:rtl w:val="true"/>
          <w:lang w:bidi="ar-SA"/>
        </w:rPr>
        <w:t>المراد بالعدّة العدّة الفائتة لا عدّة الشهر ، أو يكون المراد بها عدّة الشهر، ولكن حيث إنّه على وجه الأمر لا التعليل، فلا يمكن التعدّي عنها للموارد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التعليل بإكمال العدّة كالتعليل بقوله تعالى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 ومن الواضح أنّ التكبير ليس هو العلة الحقيقية للحكم، بل هو أشبه بالحكمة، إلّا أن يقال بأنّ الأصل في لام التعليل إفادة أنّ المذكور بعدها علة، ومن ثَمَّ يؤخذ بمفهومه في التعميم والتخصيص إلا أن تقوم قرينة في مورد ما على خلاف ذلك،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وَلِتُكَبِّرُوا اللَّهَ عَلَى مَا هَدَاكُمْ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تصدير الآيات الشريفة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آمَنُوايجعل شمولها لغير المسلم محل إشكال، إلا أن يقال بالتعميم بقاعدة اشتراك الأحكام بين المسلم والكافر كما عليه المشهور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 دام ظله من استفادة وجود واجبين من الآيات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وجوب صوم قدر أيّام الشهر ، والآخر هو وجوب إيقاع هذا الصوم في شهر رمضان، فإذا فات الثاني يبقى الأوّل يدعوه للامتثال، وذكر بأنّ ذلك مقتضى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فَمَن كَانَ مِنكُم مَّرِيضًا أَوْ عَلَى سَفَرٍ فَعِدَّةٌ مِّنْ أَيَّامٍ أُخَرَ</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شَهْرُ رَمَضَانَ الَّذِي أُنزِلَ فِيهِ الْقُرْآنُ هُدًى لِّلنَّاسِ وَبَيِّنَاتٍ مِّنَ اهْدَى وَالْفُرْقَانِ فَمَن شَهِدَ مِنكُمُ الشَّهْرَ فَلْيَصُمْهُ</w:t>
      </w:r>
      <w:r>
        <w:rPr>
          <w:rStyle w:val="FootnoteAnchor"/>
          <w:rtl w:val="true"/>
        </w:rPr>
        <w:footnoteReference w:id="33"/>
      </w:r>
      <w:r>
        <w:rPr>
          <w:rFonts w:ascii="Amiri" w:hAnsi="Amiri" w:eastAsia="Amiri" w:cs="Amiri"/>
          <w:color w:val="111111"/>
          <w:sz w:val="28"/>
          <w:sz w:val="28"/>
          <w:szCs w:val="28"/>
          <w:rtl w:val="true"/>
          <w:lang w:bidi="ar-SA"/>
        </w:rPr>
        <w:t xml:space="preserve">فلم يتّضح وروده لتقييد إطلاق الأمر </w:t>
      </w:r>
    </w:p>
    <w:p>
      <w:pPr>
        <w:pStyle w:val="BookText"/>
        <w:rPr/>
      </w:pPr>
      <w:r>
        <w:rPr>
          <w:rFonts w:ascii="Amiri" w:hAnsi="Amiri" w:eastAsia="Amiri" w:cs="Amiri"/>
          <w:color w:val="111111"/>
          <w:sz w:val="28"/>
          <w:sz w:val="28"/>
          <w:szCs w:val="28"/>
          <w:rtl w:val="true"/>
          <w:lang w:bidi="ar-SA"/>
        </w:rPr>
        <w:t>الأوّل، ليكون هناك أمر واحد بالصوم في شهر رمضان كي يحتاج وجوب القضاء مع عدم امتثاله للدليل، بل مقتضى الجمود عليه كون إيقاع الصيام في شهر رمضان مطلوباً آخر، فعدم امتثاله لا يوجب سقوط أصل وجوب الصيام المستفاد من الأمر الأوّل</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التأمل في ما ذكره دام ظله ؛ فإنّ الذي يقرأ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Style w:val="FootnoteAnchor"/>
          <w:rtl w:val="true"/>
        </w:rPr>
        <w:footnoteReference w:id="35"/>
      </w:r>
      <w:r>
        <w:rPr>
          <w:rFonts w:ascii="Amiri" w:hAnsi="Amiri" w:eastAsia="Amiri" w:cs="Amiri"/>
          <w:color w:val="111111"/>
          <w:sz w:val="28"/>
          <w:sz w:val="28"/>
          <w:szCs w:val="28"/>
          <w:rtl w:val="true"/>
          <w:lang w:bidi="ar-SA"/>
        </w:rPr>
        <w:t>يجد الارتباط بينها ظاهراً، فهي مسوقة لبيان وجوب صيام شهر رمضان؛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هُدًى لِّلنَّاسِ وَبَيِّنَاتٍ مِّنَ الهُدَى وَالْفُرْقَانِ بيان للأيام المعدودات التي كتب فيها الصيام على الذين آمنوا في الآية السابقة، وقد ذكر المفسرون أنّ المقصود بالأيام المعدودات هو شهر رمضان، قال الطبرسي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ارتفاع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خبر مبتدأ محذوف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بدلاً من الصيام،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شهر رمضان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يرتفع بالابتداء، ويكون خبره الَّذِي أُنزِلَ فِيهِ الْقُرْآنُ</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فعلى الوجهين الأولين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الشريفة محدّداً لبيان الأيام المعدودات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على الوجه الثالث يتم ما ذكره 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استظهر صاحب الميزان تعيّن أحد الوجهين الأولين أو ما هو بمنزلتهما،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سياق الآيات الثلاث يدلّ أوّلاً على أنها جميعاً نازلة معاً، فإنّ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أوّل الآية الثانية ظرف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في الآية الأولى، 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في الآية الثالثة إمّا خبر لمبتدأ محذوف، وهو الضمير الراجع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أَيَّامًا مَّعْدُودَات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شهر رمضان، أو مبتدأ لخبر محذوف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هو الذي كتب عليكم صيامه، أو هو بدل من الصيام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في الآية الأولى، وعلى أي تقدير هو بيان وإيضاح للأيام المعدودات التي كتب فيها الصيام، فالآيات الثلاث جميعاً كلام واحد مسوق لغرض واحد، هو بيان فرض صوم شهر رمضان</w:t>
      </w:r>
      <w:r>
        <w:rPr>
          <w:rFonts w:eastAsia="Amiri" w:cs="Amiri" w:ascii="Amiri" w:hAnsi="Amiri"/>
          <w:color w:val="111111"/>
          <w:sz w:val="28"/>
          <w:szCs w:val="28"/>
          <w:rtl w:val="true"/>
          <w:lang w:bidi="ar-SA"/>
        </w:rPr>
        <w:t>)</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المعنى ذهب صاحب تفسير جامع البيان</w:t>
      </w:r>
      <w:r>
        <w:rPr>
          <w:rStyle w:val="FootnoteAnchor"/>
          <w:rtl w:val="true"/>
        </w:rPr>
        <w:footnoteReference w:id="38"/>
      </w:r>
      <w:r>
        <w:rPr>
          <w:rFonts w:ascii="Amiri" w:hAnsi="Amiri" w:eastAsia="Amiri" w:cs="Amiri"/>
          <w:color w:val="111111"/>
          <w:sz w:val="28"/>
          <w:sz w:val="28"/>
          <w:szCs w:val="28"/>
          <w:rtl w:val="true"/>
          <w:lang w:bidi="ar-SA"/>
        </w:rPr>
        <w:t>، وأبو حيان الأندلسي، وأشار إلى أنّ ذلك قول جمهور المفسرين</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مذاق صاحب الميزان ومَن وافقه من المفسّرين تكون الآيات مسوقة لبيان وجوب واحد متعلّق بصوم شهر رمضان، وهي تدلّ على أنّ المريض والمسافر يجب عليهما القضاء إذا تركا الصوم في الشهر ، وأمّا غيرهما فإيجاب القضاء عليه إذا ترك الصوم بحاجة إلى دليل من خارج الآية الشريفة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استظهرنا ما استظهره صاحب الميزان يتمّ المطلوب، وأما إن احتملنا الوجه الثالث المذكور في كلام الطبرسي فيكون الكلام محفوفا بما يصلح للقرينية، وهذا يكفي إيراداً على ما ذكره السيد دام ظله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الباعث على ما ذكره من استظهار تعدّد المطلوب هو سوق الآيات الشريفة بالنحو المذكور، حيث ذكرت في البداية الأيام المعدودات، ثُمّ ذكرت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سوق الآيات الشريفة بهذا الأسلوب كان لأجل توطين النفس، وتخفيف التكليف الذي يأتي بعد ذلك، وهو صوم شهر في السنة، فبدأت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الصِّيَامُ ، وفي قوله تعالى بعدها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عَلَى الَّذِينَ مِن قَبْلِكُمْ من التلطَّف والتخفيف ما لا يخفى، ثُمّ بيّنتها جملة أَيَّامًا مَّعْدُودَاتٍ فزال بعض الإبهام، مع أنّ الوصف بالعدد يشعر بالقلة، ثُمَّ بيّنت أنّ تلك الأيام هي شَهْرُ رَمَضَانَ</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عدم استفادة تعدّد المطلوب من الآيات الشريفة هو أنّ الأيام المعدودات ليست منضبطة بغضّ النظر عن شهر رمضان؛ لأنّ الشهور تتفاوت باختلاف السنين بل باختلاف الأماكن على القول بتعدد الآفاق، بل إنّ ذكر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  بنفسه قبل ذكر شهر رمضان يدلّ على تعيّن الأيام السابقة، فالأيام المعدودات إشارة إلى أيّام محدّدة لم يفصح عنها بنحو الإهمال والإجمال وإن كانت متعيّنة في الواقع، وليس المقصود هو طبيعي الأيام القابل للانطباق على مجمل أيام السنة</w:t>
      </w:r>
      <w:r>
        <w:rPr>
          <w:rFonts w:eastAsia="Amiri" w:cs="Amiri" w:ascii="Amiri" w:hAnsi="Amiri"/>
          <w:color w:val="111111"/>
          <w:sz w:val="28"/>
          <w:szCs w:val="28"/>
          <w:rtl w:val="true"/>
          <w:lang w:bidi="ar-SA"/>
        </w:rPr>
        <w:t xml:space="preserve">. </w:t>
      </w:r>
      <w:bookmarkStart w:id="28" w:name="pg8927_84284"/>
    </w:p>
    <w:p>
      <w:pPr>
        <w:pStyle w:val="Heading3"/>
        <w:numPr>
          <w:ilvl w:val="2"/>
          <w:numId w:val="1"/>
        </w:numPr>
        <w:rPr/>
      </w:pPr>
      <w:bookmarkStart w:id="29" w:name="__RefHeading___Toc1279074_2870459653"/>
      <w:bookmarkStart w:id="30" w:name="_Toc9"/>
      <w:bookmarkEnd w:id="28"/>
      <w:bookmarkEnd w:id="29"/>
      <w:r>
        <w:rPr>
          <w:rtl w:val="true"/>
        </w:rPr>
        <w:t>إشکال وثلاثة أجوبة</w:t>
      </w:r>
      <w:bookmarkEnd w:id="30"/>
    </w:p>
    <w:p>
      <w:pPr>
        <w:pStyle w:val="BookText"/>
        <w:rPr/>
      </w:pPr>
      <w:r>
        <w:rPr>
          <w:rFonts w:ascii="Amiri" w:hAnsi="Amiri" w:eastAsia="Amiri" w:cs="Amiri"/>
          <w:color w:val="111111"/>
          <w:sz w:val="28"/>
          <w:sz w:val="28"/>
          <w:szCs w:val="28"/>
          <w:rtl w:val="true"/>
          <w:lang w:bidi="ar-SA"/>
        </w:rPr>
        <w:t xml:space="preserve">هذا مضافاً إلى 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جعل تكرار بيان حكم المريض والمسافر دليلاً على وحدة المطلوب؛ حيث ورد وجوب القضاء على المريض والمسافر في الآية الثانية، وكذلك تكرّر ذكره في الآية الثالثة، فبناءً على تعدّد المطلوب يكون المطلوب الأوّل هو وجوب صيام شهر في السنة، ويكون استثناء المريض والمسافر أوّلاً من هذا الحكم، والمطلوب الآخر هو وجوب إيقاع هذا الصوم في شهر رمضان، ويكون استثناؤهما ثانياً من هذا الحكم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بأنّ الواجب عليهما بحكم الاستثناء الأوّل هو القضاء داخل السنة، فلا يكون للاستثناء معنىً محصل؛ لأنّ الإتيان بهذا الواجب داخل السنة في أي وقت يكون أداءً لا قضاءً، لإطلاقه من جهة الوقت بحسب الفرض فلا معنى لخطاب المريض والمسافر بالقضاء حينئذ ؛ لعدم تحقق الفوت ما دام الأداء داخل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المقصود من الاستثناء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 السنة، فمع العلم بأن مفاد الاستثناء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فَعِدَّةٌ مِّنْ أَيَّامٍ أُخَرَ</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 السنة يكون معنى الآيات الشريفة هو وجوب صيام شهر رمضان على المكلّف، وأما المريض والمسافر فيجب عليهما قضاؤه بعده خلال السنة، وإذا فاتهما ذلك بأن استمرّ المرض أو السفر وجب عليهما صيام ذلك المقدار بعد السنة بعنوان القضاء، وهذا قول لم يلتزم به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يقابل هذا الكلام بأنّ الإشكال وارد على كل حال، فحتى على القول </w:t>
      </w:r>
    </w:p>
    <w:p>
      <w:pPr>
        <w:pStyle w:val="BookText"/>
        <w:rPr/>
      </w:pPr>
      <w:r>
        <w:rPr>
          <w:rFonts w:ascii="Amiri" w:hAnsi="Amiri" w:eastAsia="Amiri" w:cs="Amiri"/>
          <w:color w:val="111111"/>
          <w:sz w:val="28"/>
          <w:sz w:val="28"/>
          <w:szCs w:val="28"/>
          <w:rtl w:val="true"/>
          <w:lang w:bidi="ar-SA"/>
        </w:rPr>
        <w:t>بوحدة المطلوب يبقى السؤال عن سبب تكرار الاستثناء قائماً، ومن هنا ذكر القائلون بوحدة المطلوب ثلاث إجابات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الفخر الرازي وهو يرتبط بمباني أصحابه،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الحكم هو التخيير بين الصوم والفدية في بداية الشريعة، وهذا يستفاد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الَّذِينَ يُطِيقُونَهُ فِدْيَةٌَ ، بعد أن فسّروا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بالقدرة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المريض والمسافر رخص لهما في ترك الصوم في شهر رمضان، وبموجب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فَلْيَصُمْهَُصار الصوم فرض عين، وهذا يستوجب توهم شموله للمريض والمسافر ، فلدفع هذا التوهّم احتاج إلى التنبيه وتكرار الرخصة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عن إشكال اتصال الناسخ بالمنسوخ بأنّه اتصال في التلاوة، وهو لا يوجب الاتصال في النزول؛ ولذا نجد في القرآن آية مكيّة متأخّرة في التلاوة عن آية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الوجه موهون في حد نفسه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الصيام فريضة في كل الأديان، كما تشير الآية الشريفة إلى ذلك، ولا تخيير بين الصيام والفدية فيها، كما لم يثبت في السيرة النبوية تخيير المسلمين في ذلك، مع أنّ المؤرّخين قد ذكروا تاريخ تشريع الصيام وبعض الوقائع التي تتعلق بذلك</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يقدرون عليه بمشقة شديدة ، قال أهل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الطَّوْقُ والإطاقة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الشيء، والطَّوْق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الطاقة، وقد طاقه طَوْقاً، وأَطاقَه إطاقةٌ، وأَطاقَ عليه وَهُوَ اسْمٌ لِمِقْدَارِ مَا يُمْكِنُ أَن يَفْعَلَهُ بمشقَة مِنْهُ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من شَهِدَ أن جعل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مِنكُمُ الشَّهْرَ فَلْيَصُمْهُ في آخر الآيات ناسخاً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الَّذِينَ يُطِيقُونَهُ فِدْيَةٌفي وسطها، مع كون المنسوخ غير شامل لحكم العاجز، وكون الناسخ شاملاً بإطلاقه للقادر والعاجز، فيبقى العاجز داخلاً في حكم الناسخ دون المنسوخ، من أفحش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 ما ذهب إليه العلامة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الآيات قبل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تشتمل عليه من 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مسوقة للتوطئة والتمهيد دون بيان الحكم، وإنّما بيّن الحكم في هذه الآية الأخيرة، فليس هناك تكرار، فذكر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سياق الآيات يدلّ على أنّ شطراً من الكلام الموضوع في هذه الآيات الثلاث بمنزلة التوطئة والتمهيد بالنسبة إلى شطر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الموضوع في الآيتين توطئة وتمهيد لقوله تعالى في 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شَهِدَ مِنكُمُ الشَّهْرَ فَلْيَصُمْهُ</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علّل الاحتياج إلى التوطئة في آية الصوم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حكم الصيام يلازم حرمان النفس من أعظم مشتهياتها، ومعظم ما تميل إليه، وهو الأكل والشرب والجماع؛ ولذلك فهو ثقيل على الطبع، كريه عند النفس يحتاج في توجيه حكمه إلى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عامة الناس من المكلفين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تمهيد وتوطئة تطيب بها نفوسهم، وتحن بسببها إلى قبوله وأخذه طباعهم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أورد عليه بعض الأعلام المعاصرين</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بالضرورة أن يكون أيّ </w:t>
      </w:r>
    </w:p>
    <w:p>
      <w:pPr>
        <w:pStyle w:val="BookText"/>
        <w:rPr/>
      </w:pPr>
      <w:r>
        <w:rPr>
          <w:rFonts w:ascii="Amiri" w:hAnsi="Amiri" w:eastAsia="Amiri" w:cs="Amiri"/>
          <w:color w:val="111111"/>
          <w:sz w:val="28"/>
          <w:sz w:val="28"/>
          <w:szCs w:val="28"/>
          <w:rtl w:val="true"/>
          <w:lang w:bidi="ar-SA"/>
        </w:rPr>
        <w:t>حكم شاق بحاجة إلى توطئة أو مقدّمة، فموضوع الجهاد والدفاع صَدَرَ الحكم فيه بدون أية مقدّمة أو تمهيد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عَلَيْكُمُ الْقِتَالُ وَهُوَ كُرْهٌ لَكُمْ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موضوع الجهاد عائد إلى موضوع الدفاع، وهو أمر معقول؛ ولذلك يكون مقبولاً بسهولة خلافاً للصيام الذي يلازمه الحرمان من الملذات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كلّاً من الجهاد والصوم أمران معقولان من خلال التحليل العلمي إلّا أنّ أيّاً منهما ما كان مقبولاً من الناحية العملية، وعندما يقال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كُرْهٌ لَّكُمْ فهو إشارة إلى هذه الجهة، مضافاً إلى أنه إذا كان حكم ما بحاجة إلى مقدمة وتمهيد فبإمكان الآمر الإتيان بالمقدّمة التمهيدية والحكم الإنشائي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ما ما ذكره العلّامة الطباطبائي متين؛ فإنّ الآيات تنادي بأنها بصدد التخفيف وتقريب هذا التكليف الشاق إلى النفوس، فإنّ الحكم بالصيام لا يبدو الوجه فيه والحكمة من تشريعه، بخلاف الأحكام الأخرى، فإنّ الصلاة مثلاً هي خضوع الله سبحانه، وكان الخضوع للآلهة معروفاً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فالحكمة من تشريعه واضحة في أذهانهم لما كان يحيط بهم من مخاطر وغارات مستمرّة من قبل المشركين عليهم، بخلاف الصيام، فالآية تلطّفت أوّلاً ولم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بل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أياماً معدودات، ثُمَّ ذكرت أنّه كان مفروضاً على أمم قبلكم، وذكرت حكم ذوي الأعذار؛ لأنّ الناس عادةً يتشبثون بكل ما يصلح لإبعاد التكاليف الشاقة والمخالفة لمقتضى طبيعة النفس، فبينت الآية حكم المريض والمسافر وكبار السن، فإرادة التخفيف في الآيات واضحة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القطب الراوندي وأوضحه العلّامة الكاظمي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تكرير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وجوب القضاء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كمال الاعتناء به، وأنّه لا </w:t>
      </w:r>
    </w:p>
    <w:p>
      <w:pPr>
        <w:pStyle w:val="BookText"/>
        <w:rPr/>
      </w:pPr>
      <w:r>
        <w:rPr>
          <w:rFonts w:ascii="Amiri" w:hAnsi="Amiri" w:eastAsia="Amiri" w:cs="Amiri"/>
          <w:color w:val="111111"/>
          <w:sz w:val="28"/>
          <w:sz w:val="28"/>
          <w:szCs w:val="28"/>
          <w:rtl w:val="true"/>
          <w:lang w:bidi="ar-SA"/>
        </w:rPr>
        <w:t>ينبغي أن يقع فيه تغيير ولا تبديل، وهو ظاهر في كونه عزيمة لا يجوز تركه، ويؤيده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بِكُمُ الْيُسْرَ، أي يريد أن ييسر عليكم في أحكامكم، وظاهر أنّ إرادة الشيء تستلزم عدم إرادة ضدّه، بل هي عينها، فيكون العسر غير مراد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يُرِيدُ بِكُمُ الْعُسْرَ مؤكّد له، والمراد أنه تعالى أحبّ إليكم إذا كنتم مسافرين أو مرضى الإفطار والقضاء في عدة أيام أُخر، فاللازم عليكم اتباع ذلك</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وناقشه</w:t>
      </w:r>
      <w:r>
        <w:rPr>
          <w:rStyle w:val="FootnoteAnchor"/>
          <w:rtl w:val="true"/>
        </w:rPr>
        <w:footnoteReference w:id="50"/>
      </w:r>
      <w:r>
        <w:rPr>
          <w:rFonts w:ascii="Amiri" w:hAnsi="Amiri" w:eastAsia="Amiri" w:cs="Amiri"/>
          <w:color w:val="111111"/>
          <w:sz w:val="28"/>
          <w:sz w:val="28"/>
          <w:szCs w:val="28"/>
          <w:rtl w:val="true"/>
          <w:lang w:bidi="ar-SA"/>
        </w:rPr>
        <w:t xml:space="preserve">، من الاستدلال بصحيحة زرارة الواردة في قضاء الصلاة، حيث ورد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يقضي ما فاته كما فاته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 وهي مطلقة فيمكن التمسّك بها في باب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المناقشة في هذا الكلام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واردة في باب الصلاة، ولا يمكن التعدّي عنها إلى غيرها، فكأنّه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يقضي ما فاته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في مقام بيان كيفية قضاء ما فات وليست في مقام بيان وجوب القضاء</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يستدلّ على تعدّد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مطلوبية أصل صوم شهر في السنة، وأنّ إيقاعه في شهر رمضان مطلوب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برواية الفضل بن شاذان عن الإمام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 إذا مرض الرجل أو سافر في شهر رمضان فلم يخرج من سفره أو لم يفق </w:t>
      </w:r>
    </w:p>
    <w:p>
      <w:pPr>
        <w:pStyle w:val="BookText"/>
        <w:rPr/>
      </w:pPr>
      <w:r>
        <w:rPr>
          <w:rFonts w:ascii="Amiri" w:hAnsi="Amiri" w:eastAsia="Amiri" w:cs="Amiri"/>
          <w:color w:val="111111"/>
          <w:sz w:val="28"/>
          <w:sz w:val="28"/>
          <w:szCs w:val="28"/>
          <w:rtl w:val="true"/>
          <w:lang w:bidi="ar-SA"/>
        </w:rPr>
        <w:t>من مرضه حتى يدخل عليه شهر رمضان آخر وجب عليه الفداء للأوّل، وسقط القضاء؟ وإذا أفاق بينهما أو أقام ولم يقضه وجب عليه القضاء والفداء؟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الصوم إنّما وجب عليه في تلك السنة في هذا الشهر، فأما الذي لم يفق فإنّه لما مرَّ عليه السنة كلّها، وقد غلب الله عليه فلم يجعل له السبيل إلى أدائها سقط عنه، وكذلك كلّ ما غلب الله عليه،</w:t>
      </w:r>
    </w:p>
    <w:p>
      <w:pPr>
        <w:pStyle w:val="BookText"/>
        <w:rPr/>
      </w:pPr>
      <w:r>
        <w:rPr>
          <w:rFonts w:ascii="IRNazanin" w:hAnsi="IRNazanin" w:eastAsia="IRNazanin"/>
          <w:color w:val="111111"/>
          <w:sz w:val="28"/>
          <w:sz w:val="28"/>
          <w:szCs w:val="28"/>
          <w:rtl w:val="true"/>
          <w:lang w:bidi="fa-IR"/>
        </w:rPr>
        <w:t>مثل المغمى عليه الذي يغمى عليه في يوم وليلة، فلا يجب عليه قضاء الصلوات، كما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غلب الله على العبد فهو أعذر له؛ لأنّه دخل الشهر وهو مريض فلم يجب عليه الصوم في شهره ، ولا سنته للمرض الذي كان فيه ووجب عليه الفداء</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أمكن استفادة تعدّد المطلوب منها أمكن استفادة الكبرى الكلية، وهي وجوب القضاء على كلّ من فاته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سند الرواية</w:t>
      </w:r>
      <w:r>
        <w:rPr>
          <w:rStyle w:val="FootnoteAnchor"/>
          <w:rtl w:val="true"/>
        </w:rPr>
        <w:footnoteReference w:id="53"/>
      </w:r>
      <w:r>
        <w:rPr>
          <w:rFonts w:ascii="Amiri" w:hAnsi="Amiri" w:eastAsia="Amiri" w:cs="Amiri"/>
          <w:color w:val="111111"/>
          <w:sz w:val="28"/>
          <w:sz w:val="28"/>
          <w:szCs w:val="28"/>
          <w:rtl w:val="true"/>
          <w:lang w:bidi="ar-SA"/>
        </w:rPr>
        <w:t>فقد ذكر لها في العيون طريقين، واقتصر في العلل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الواحد بن محمّد بن عبدوس النيسابوري العطار بنيسابور،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محمّد بن قتيبة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الفضل بن شاذان</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بعينه هو طريق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الفضل بن شاذان الذي ذكره في مشيخة الفقيه</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محمد جعفر بن نعيم بن شاذان، عن عمه أبي عبد الله </w:t>
      </w:r>
    </w:p>
    <w:p>
      <w:pPr>
        <w:pStyle w:val="BookText"/>
        <w:rPr/>
      </w:pPr>
      <w:r>
        <w:rPr>
          <w:rFonts w:ascii="IRNazanin" w:hAnsi="IRNazanin" w:eastAsia="IRNazanin"/>
          <w:color w:val="111111"/>
          <w:sz w:val="28"/>
          <w:sz w:val="28"/>
          <w:szCs w:val="28"/>
          <w:rtl w:val="true"/>
          <w:lang w:bidi="fa-IR"/>
        </w:rPr>
        <w:t>محمد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الفضل بن شاذان</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الطريق الأوّل فإنّ فيه عبد الواحد بن محمّد بن عبدوس الذي لم يذكر في كتب الرجال، وعليّ بن محمّد بن قتيبة الذي لم ينص على وثاقته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ومع ذلك فقد استدلّ على وثاقة كل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عبد الواحد بن محمّد بن عبدوس فيمكن الاستدلال على وثاقته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مشايخ الصدوق المباشرين، وقد أكثر النقل عنه مترضياً</w:t>
      </w:r>
      <w:r>
        <w:rPr>
          <w:rStyle w:val="FootnoteAnchor"/>
          <w:rtl w:val="true"/>
        </w:rPr>
        <w:footnoteReference w:id="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419/4</w:t>
      </w:r>
      <w:r>
        <w:rPr>
          <w:rFonts w:ascii="IRNazanin" w:hAnsi="IRNazanin" w:eastAsia="IRNazanin"/>
          <w:color w:val="111111"/>
          <w:sz w:val="28"/>
          <w:sz w:val="28"/>
          <w:szCs w:val="28"/>
          <w:rtl w:val="true"/>
          <w:lang w:bidi="fa-IR"/>
        </w:rPr>
        <w:t>، ح</w:t>
      </w:r>
      <w:r>
        <w:rPr>
          <w:rFonts w:eastAsia="IRNazanin" w:cs="IRNazanin"/>
          <w:color w:val="111111"/>
          <w:sz w:val="28"/>
          <w:szCs w:val="28"/>
          <w:lang w:bidi="fa-IR"/>
        </w:rPr>
        <w:t>5915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ذكر في العيون في باب ما كتبه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المأمون ثلاثة أحاديث، الأوّل رواه عن عبد الواحد، وقال بعد ذكر الحديث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وحديث عبد الواحد بن محمد بن عبدوس الا عندي 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ذكر الحديث الثالث بطريق آخر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حديث عبد الواحد بن محمد بن عبدوس </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كلا الوجهين يمكن تتميمه لإثبات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الوجه الأوّل فإنّ الترضي اصطلاح خاص لا يقال إلّا لمن كان في رتبة عالية من الجلالة، والإكثار منه تأكيد له</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الآخر فقد يناقش فيه بأنّ المقصود بالصحة صحة الرواية، وهي قد تنشأ </w:t>
      </w:r>
    </w:p>
    <w:p>
      <w:pPr>
        <w:pStyle w:val="BookText"/>
        <w:rPr/>
      </w:pPr>
      <w:r>
        <w:rPr>
          <w:rFonts w:ascii="Amiri" w:hAnsi="Amiri" w:eastAsia="Amiri" w:cs="Amiri"/>
          <w:color w:val="111111"/>
          <w:sz w:val="28"/>
          <w:sz w:val="28"/>
          <w:szCs w:val="28"/>
          <w:rtl w:val="true"/>
          <w:lang w:bidi="ar-SA"/>
        </w:rPr>
        <w:t>من تجميع القرائن، فبتجميع القرائن على صحة المضمون يحكم بصحة الرواية من دون النظر إلى رجال السند، وهذا هو معنى الصحة عند القدماء</w:t>
      </w:r>
      <w:r>
        <w:rPr>
          <w:rStyle w:val="FootnoteAnchor"/>
          <w:rtl w:val="true"/>
        </w:rPr>
        <w:footnoteReference w:id="60"/>
      </w:r>
      <w:r>
        <w:rPr>
          <w:rFonts w:ascii="Amiri" w:hAnsi="Amiri" w:eastAsia="Amiri" w:cs="Amiri"/>
          <w:color w:val="111111"/>
          <w:sz w:val="28"/>
          <w:sz w:val="28"/>
          <w:szCs w:val="28"/>
          <w:rtl w:val="true"/>
          <w:lang w:bidi="ar-SA"/>
        </w:rPr>
        <w:t>، فلا دلالة في هذا التعبير على تصحيح رجال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التأمّل في إرادة الصحة بهذا المعنى في محلّل الكلام، والوجه فيه أنّ الموجود في المقام رواية واحدة تعدّدت طرقها، ولا توجد متون متعدّدة حتى تكون الصحّة بمعنى تجميع القرائن على صحة مضمون أحدها ، فلا يبعد أن يكون ناظراً إلى وثاقة الرواة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ولكن 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يقتصر في الحديث الثاني على ما ذكر،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بذلك حمزة بن محمد بن أحمد بن جعفر بن محمد بن زيد بن علي بن الحسين ابن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أبو نصر قنبر بن علي بن شاذان عن أبيه الفضل ابن شاذان عن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أنّه لم يذكر في حديثه أنّه كتب ذلك إلى المأمون، وذكر فيه الفطرة مُدّين من حنطة، وصاعاً من الشعير والتمر والزبيب، وذكر فيه أنّ الوضوء مرّة مرّة فريضة، واثنتان إسباغ، وذكر فيه أن ذنوب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الصغائرهم موهوبة، وذكر فيه أنّ الزكاة على تسعة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الحنطة والشعير والتمر والزبيب والإبل والبقر والغنم والذهب والفضة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وحديث عبد الواحد بن محمد بن عبدوس عندي أصح ولا قوّة إلّا بالله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فهناك فوارق بين الحديثين ولو طفيفة وجزئية، ومن هنا ينشأ احتمال أن تكون الصحّة بلحاظ المضمون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عليّ بن محمّد بن قتيبة فقد يستدلّ على وثاقته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النجاشي في ترجمته باعتماد الكشّيّ عليه في رجاله،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اعتمد أبو عمرو الكشّيّ في كتاب الرجال</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واعتماده عليه واضح بعد مراجعة كتاب الكشّيّ، فقد نقل آراءه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 النجاشي عليه أيضاً، فقد قال في ترجمة محمد بن عيسى بن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عمرو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القتيبي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الفضل بن شاذان يحب العبيدي، ويثني عليه، ويميل إليه، ويقول ليس في أقرانه مثله، وبحسبك هذا الثناء من الفضل</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وهذه الجملة الأخيرة إن كانت من الكشي فالاعتماد فيها واضح؛ لأنّ الثناء لم يثبت عنده إلّا من طريق القتيبي، وإن كانت من كلام النجاشي فهذا يعني أنّ النجاشي يعتمد عليه أيضاً، ومما يؤيّد الاحتمال الثاني أنّ هذه الجملة الأخيرة غير مذكورة في كتاب الكشي</w:t>
      </w:r>
      <w:r>
        <w:rPr>
          <w:rStyle w:val="FootnoteAnchor"/>
          <w:rtl w:val="true"/>
        </w:rPr>
        <w:footnoteReference w:id="64"/>
      </w:r>
      <w:r>
        <w:rPr>
          <w:rFonts w:ascii="Amiri" w:hAnsi="Amiri" w:eastAsia="Amiri" w:cs="Amiri"/>
          <w:color w:val="111111"/>
          <w:sz w:val="28"/>
          <w:sz w:val="28"/>
          <w:szCs w:val="28"/>
          <w:rtl w:val="true"/>
          <w:lang w:bidi="ar-SA"/>
        </w:rPr>
        <w:t>، والاعتماد شيء آخر غير مسألة الرواية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محمد القتيبي تلميذ الفضل بن شاذان نيسابوري فاضل</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ومن الواضح أنّه لا يريد بيان منزلته العلميّة، بل المقصود الفضل </w:t>
      </w:r>
    </w:p>
    <w:p>
      <w:pPr>
        <w:pStyle w:val="BookText"/>
        <w:rPr/>
      </w:pPr>
      <w:r>
        <w:rPr>
          <w:rFonts w:ascii="Amiri" w:hAnsi="Amiri" w:eastAsia="Amiri" w:cs="Amiri"/>
          <w:color w:val="111111"/>
          <w:sz w:val="28"/>
          <w:sz w:val="28"/>
          <w:szCs w:val="28"/>
          <w:rtl w:val="true"/>
          <w:lang w:bidi="ar-SA"/>
        </w:rPr>
        <w:t>المناسب لذكره في كتب الرجال، فإنّ مدح الرجل بمثل ذلك من دون ذكر طعن عليه يشير إلى وثاقته خصوصاً مع ذكره 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بعض الأعلام في دلالة الاعتماد على شخص على توثيقه؛ إذ قد ذكر بشأن غير واحدٍ من الرجال أنّه كان يعتمد المراسيل أو المجاهيل، كأحمد بن محمد بن خالد، وسهل بن زياد، وبكر بن أحمد العصري وغيرهم، فكيف يستغرب اعتماد الكشّيّ على غير الثقة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جوابه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من الاستشهاد يختلف عن محلّ الكلام؛ فإنّ الاعتماد على رواية مرسلة أو مجهولة قد يكون من جهة وجود قرائن تؤيّد مضمون الرواية، وهذا غير الاعتماد على شخص، فإنّ الاعتماد على شخص حينما يذكر في مقام المدح يدلّ ظاهراً على أنه مما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 تقال في مقام الطعن والتضعيف، فهي ظاهرة في لا بدّية الاعتماد على من يصح الاعتماد عليه، وأنّه لا ينبغي الاعتماد على المراسيل والمجاهيل، والنجاشي لم ينقل ذلك عن الكشي من باب الطعن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الاستدلال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بنفس اعتماد الكشي وحينئذ يشكل بأن الأصحاب وإن كانوا من الأجلاء قد يعتمدون على المجاهيل والمراسيل، فربما يكون الكشي من ضمن هؤلاء، إلّا إذا ثبت أنه لا يعتمد إلا على من يصح الاعتماد عليه، والنجاشي حين نقل الاعتماد لم يطعن عليه، وفي هذا نحو ثناء على الرجل</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الاستدلال بذكر النجاشي لاعتماد الكنّي على الرجل بما هو ظاهر </w:t>
      </w:r>
    </w:p>
    <w:p>
      <w:pPr>
        <w:pStyle w:val="BookText"/>
        <w:rPr/>
      </w:pPr>
      <w:r>
        <w:rPr>
          <w:rFonts w:ascii="Amiri" w:hAnsi="Amiri" w:eastAsia="Amiri" w:cs="Amiri"/>
          <w:color w:val="111111"/>
          <w:sz w:val="28"/>
          <w:sz w:val="28"/>
          <w:szCs w:val="28"/>
          <w:rtl w:val="true"/>
          <w:lang w:bidi="ar-SA"/>
        </w:rPr>
        <w:t>في مدحه والثناء عليه، فيكون ظاهراً في مدح ابن قتيبة باعتماد الكشي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الطريق الآخر ففيه جعفر بن نعيم بن شاذان، وهو من مشايخ الصدوق، وقد ترضى عليه</w:t>
      </w:r>
      <w:r>
        <w:rPr>
          <w:rStyle w:val="FootnoteAnchor"/>
          <w:rtl w:val="true"/>
        </w:rPr>
        <w:footnoteReference w:id="67"/>
      </w:r>
      <w:r>
        <w:rPr>
          <w:rFonts w:ascii="Amiri" w:hAnsi="Amiri" w:eastAsia="Amiri" w:cs="Amiri"/>
          <w:color w:val="111111"/>
          <w:sz w:val="28"/>
          <w:sz w:val="28"/>
          <w:szCs w:val="28"/>
          <w:rtl w:val="true"/>
          <w:lang w:bidi="ar-SA"/>
        </w:rPr>
        <w:t>، وهذا كافٍ للاعتماد عليه كما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محمّد بن شاذان، وهو محمد بن أحمد بن نعيم الشاذاني، وقد استظهر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 xml:space="preserve">اتحاده مع محمد بن شاذان بن نعيم بقرينة ما نقله الكثي في ترجمة المغيرة بن سعد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 محمّد بن أحمد بن شاذان،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فيظهر من هذه العبارة أنّ تلميذ الفضل والراوي عنه هو محمّد بن شاذان، والمقصود به محمد بن أحمد بن نعيم الشاذاني، فهو شخص واحد تارةً ينسب إلى الأب، وأخرى إلى الجدّ، وهذا أمر 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وثاقته 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التوقيع الوارد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محمد بن شاذان بن نعيم فإنّه رجل من شيعتنا أهل البيت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التوقيع وإن كان في سنده إسحاق بن يعقوب الذي لم يذكر في كتب الرجال، ولكن يمكن إثبات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اهتمام العلماء به، ونقله في كتبهم</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بإثبات وثاقة إسحاق بن يعقوب، وذلك بتقريبين</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تصدّى لنقل هذا التوقيع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يكون حال إسحاق بن يعقوب معلوماً عنده أو مجهولاً، وعلى الأوّل لا بد أن يكون معلوماً بالوثاقة على الأقل ؛ إذ لو كان معروفاً بعدم الوثاقة فمن البعيد أن ينقل عنه التوقيع، وعلى الثاني فمن البعيد أن يتصدّى الشيخ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لنقل هكذا توقيع يحتوي على معلومات خطيرة لعيون الطائفة، كابن قولويه وأبي غالب الزراري من دون أن يبحث عن حاله، فلا بد أنه قد بحث واطمأن بصدور هذا التوقيع عن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يبعد احتمالية أن يكون نقل الشيخ الكليني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للتوقيع من باب الوثوق هو كثرة المعلومات الواردة فيه، مع استبعاد أن تكون المعلومات المرتبطة بأشخاص معينين مدحاً أو قدحاً مما تساعد عليها الاعتبارات والشواهد، فليست حكماً شرعياً حتى يقال بأنّ مضمونه موجود في رواية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 يقال من أنّ التوقيعات في تلك الفترة لا ترد إلّا على الأصحاب المعتمدين والمعتبرين لدى الطائفة، للظروف التي كانت في عصر الغيبة الصغرى، والحرص الشديد من قبل الأئمة المتقدمين على إخفاء هذا الأمر، وتحريم التصريح باسمه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الإعلان عنه يساوق الذبح، ويدلّ على ذلك ما ذكره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كتاب الغيبة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كان في زمان السفراء المحمودين أقوام ثقات ترد عليهم التوقيعات من قبل المنصوبين للسفارة من الأصل</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 ويقصد بالأصل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غاية ما تفيده العبارة المتقدّمة هو توثيق من ترد عليهم التوقيعات، فهم مقصود الشيخ في عبارته، فلم يكن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بصدد توثيق كل سائل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يقع الكلام في دلالة عبارة التوقيع المتقدّم نقله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الوثاقة، </w:t>
      </w:r>
      <w:bookmarkStart w:id="31" w:name="pg8927_84296"/>
    </w:p>
    <w:p>
      <w:pPr>
        <w:pStyle w:val="BookText"/>
        <w:rPr/>
      </w:pPr>
      <w:bookmarkEnd w:id="31"/>
      <w:r>
        <w:rPr>
          <w:rFonts w:ascii="Amiri" w:hAnsi="Amiri" w:eastAsia="Amiri" w:cs="Amiri"/>
          <w:color w:val="111111"/>
          <w:sz w:val="28"/>
          <w:sz w:val="28"/>
          <w:szCs w:val="28"/>
          <w:rtl w:val="true"/>
          <w:lang w:bidi="ar-SA"/>
        </w:rPr>
        <w:t>فقد يقال بدلالتها على الوثاقة؛ إذ لا معنى لتصدّي الإمام وإخباره أنّه من شيعته لو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وإن دلّ بالالتزام على وثاقة الرجل في مقابل الكذب إلّا أنّ دلالته على كونه ثقة في مقابل المسامحة وعدم الضبط محل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ممن وقف على معجزات صاحب الزمان ورآه وكلّمه</w:t>
      </w:r>
      <w:r>
        <w:rPr>
          <w:rStyle w:val="FootnoteAnchor"/>
          <w:rtl w:val="true"/>
        </w:rPr>
        <w:footnoteReference w:id="73"/>
      </w:r>
      <w:r>
        <w:rPr>
          <w:rFonts w:ascii="Amiri" w:hAnsi="Amiri" w:eastAsia="Amiri" w:cs="Amiri"/>
          <w:color w:val="111111"/>
          <w:sz w:val="28"/>
          <w:sz w:val="28"/>
          <w:szCs w:val="28"/>
          <w:rtl w:val="true"/>
          <w:lang w:bidi="ar-SA"/>
        </w:rPr>
        <w:t>، وصرّح بأنّه من الوكلاء، وهو كافٍ في إثبات الوثاقة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الرواية ضعيفة السند</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1279076_2870459653"/>
      <w:bookmarkStart w:id="33" w:name="_Toc10"/>
      <w:bookmarkEnd w:id="32"/>
      <w:r>
        <w:rPr>
          <w:rtl w:val="true"/>
        </w:rPr>
        <w:t>وعلى كل حال فالظاهر أنّ الطريق الأوّل تام يمكن الاعتماد عليه</w:t>
      </w:r>
      <w:r>
        <w:rPr>
          <w:rtl w:val="true"/>
        </w:rPr>
        <w:t>.</w:t>
      </w:r>
      <w:bookmarkEnd w:id="33"/>
    </w:p>
    <w:p>
      <w:pPr>
        <w:pStyle w:val="BookText"/>
        <w:rPr/>
      </w:pPr>
      <w:r>
        <w:rPr>
          <w:rFonts w:ascii="Amiri" w:hAnsi="Amiri" w:eastAsia="Amiri" w:cs="Amiri"/>
          <w:color w:val="111111"/>
          <w:sz w:val="28"/>
          <w:sz w:val="28"/>
          <w:szCs w:val="28"/>
          <w:rtl w:val="true"/>
          <w:lang w:bidi="ar-SA"/>
        </w:rPr>
        <w:t>بقي هنا أمران يطرحان في شأن 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لم يذكروا في كتب الرجال أنّ الفضل من أصحاب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عده الشيخ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يذكره في أصحاب الإمام الجواد فضلاً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وأما النجاشي فقد ذكر أن الفضل بن شاذان بن الخليل بن محمّد الأزدي النيسابوري كان أبوه من أصحاب يونس، روى عن أبي جعفر الثاني، وقيل الرضا أيضاً، وكان ثقة، أحد أصحابنا الفقهاء والمتكلمين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الأب فالإشكال يستحكم، وإن أرجعناه إلى الابن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صاحب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أبوه من أصحاب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معترضة، </w:t>
      </w:r>
    </w:p>
    <w:p>
      <w:pPr>
        <w:pStyle w:val="BookText"/>
        <w:rPr/>
      </w:pPr>
      <w:r>
        <w:rPr>
          <w:rFonts w:ascii="IRNazanin" w:hAnsi="IRNazanin" w:eastAsia="IRNazanin"/>
          <w:color w:val="111111"/>
          <w:sz w:val="28"/>
          <w:sz w:val="28"/>
          <w:szCs w:val="28"/>
          <w:rtl w:val="true"/>
          <w:lang w:bidi="fa-IR"/>
        </w:rPr>
        <w:t>فيكون مفاد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الشكّ في روايته عن الإمام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يؤيّد الاحتمال الأوّل هو أنّ الفضل لم يرو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رواية واحدة، بينما أبوه يروي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يقرّب الاحتمال الآخر هو أنّ الاستئناف يناسب أن يكون الفاعل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صاحب الترجمة، خصوصاً وأنّه عطف على هذه الجملة 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إلى إمكان روايته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أباه روى عن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فيمكن أن يكون في طبقة من يروي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ولكنّه لا ينفعنا في ما نحن فيه؛ إذ التعويل فيه على الوقوع، لا على الإمكان، فإنّ عدم وجود أية رواية له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يفضي إلى الشك بوجود الإرسال في الرواية، أو أنّها كتاب ألّفه الفضل اعتمد فيه على اجتهاده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مما يبعد كلا الاحتمالين عبارات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العيون</w:t>
      </w:r>
      <w:r>
        <w:rPr>
          <w:rStyle w:val="FootnoteAnchor"/>
          <w:rtl w:val="true"/>
        </w:rPr>
        <w:footnoteReference w:id="79"/>
      </w:r>
      <w:r>
        <w:rPr>
          <w:rFonts w:ascii="IRNazanin" w:hAnsi="IRNazanin" w:eastAsia="IRNazanin"/>
          <w:color w:val="111111"/>
          <w:sz w:val="28"/>
          <w:sz w:val="28"/>
          <w:szCs w:val="28"/>
          <w:rtl w:val="true"/>
          <w:lang w:bidi="fa-IR"/>
        </w:rPr>
        <w:t>والعلل</w:t>
      </w:r>
      <w:r>
        <w:rPr>
          <w:rStyle w:val="FootnoteAnchor"/>
          <w:rtl w:val="true"/>
        </w:rPr>
        <w:footnoteReference w:id="80"/>
      </w:r>
      <w:r>
        <w:rPr>
          <w:rFonts w:ascii="IRNazanin" w:hAnsi="IRNazanin" w:eastAsia="IRNazanin"/>
          <w:color w:val="111111"/>
          <w:sz w:val="28"/>
          <w:sz w:val="28"/>
          <w:szCs w:val="28"/>
          <w:rtl w:val="true"/>
          <w:lang w:bidi="fa-IR"/>
        </w:rPr>
        <w:t>، فقد نقل مكرّراً أنّ الفضل سمعها من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العيون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العلل التي ذكر الفضل بن شاذان في آخرها أنّه سمعها من الرضا مرّة بعد مرة، وشيئاً بعد عد شيء، وأطلق لعليّ بن محمّد بن قتيبة النيسابوري روايتها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ذيل الرواية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عبد الواحد بن محمد بن عبدوس عن عليّ بن محمّد بن قتيبة،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للفضل ابن شاذان لما سمعت منه هذه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عن هذه العلل التي ذكرتها عن الاستنباط </w:t>
      </w:r>
    </w:p>
    <w:p>
      <w:pPr>
        <w:pStyle w:val="BookText"/>
        <w:rPr/>
      </w:pPr>
      <w:r>
        <w:rPr>
          <w:rFonts w:ascii="Amiri" w:hAnsi="Amiri" w:eastAsia="Amiri" w:cs="Amiri"/>
          <w:color w:val="111111"/>
          <w:sz w:val="28"/>
          <w:sz w:val="28"/>
          <w:szCs w:val="28"/>
          <w:rtl w:val="true"/>
          <w:lang w:bidi="ar-SA"/>
        </w:rPr>
        <w:t>والاستخراج وهي من نتائج العقل، أو هي تما سمعته ورويته؟</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كنت لأعلم مراد الله تعالى بما فرض، ولا مراد رسول الله بما شرع وسنّ، ولا أعلل ذلك من ذات نفسي، بل سمعتها من مولاي الرضا المرّة بعد المرّة والشيء بعد الشيء، فجمعتها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فأحدّث بها عنك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فالعبارة صريحة في نفي الإرسال ونفي أنها من مستنبطاته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هذا في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أنّ تأكيد الشيخ الصدوق على هذه المسألة وكذلك القتيبي سببه عدم شبه هذه الرواية بسائر الروايات، فكأنّها تصنيف خاص لنقل العلل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بعد صراحة الكلام المنقول بطريق معتبر في أنه سمعها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والفراغ عن إمكان رواية الفضل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يمكن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الرواية مروية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والقاعدة المتبعة في ذلك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إمكان رواية الراوي عن شخص، ووجدت رواية معتبرة يروي فيها عنه يؤخذ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مسألة طول الرواية فقد ذكر أنّه سمعها في مجالس متعدّدة، بل حتى على تقدير أنّ الرواية لم تكن منقولة عن الإمام بكل خصوصياتها وأسلوبها</w:t>
      </w:r>
      <w:r>
        <w:rPr>
          <w:rStyle w:val="FootnoteAnchor"/>
          <w:rtl w:val="true"/>
        </w:rPr>
        <w:footnoteReference w:id="81"/>
      </w:r>
      <w:r>
        <w:rPr>
          <w:rFonts w:ascii="IRNazanin" w:hAnsi="IRNazanin" w:eastAsia="IRNazanin"/>
          <w:color w:val="111111"/>
          <w:sz w:val="28"/>
          <w:sz w:val="28"/>
          <w:szCs w:val="28"/>
          <w:rtl w:val="true"/>
          <w:lang w:bidi="fa-IR"/>
        </w:rPr>
        <w:t>يمكن القول بأنّ الفضل صاغ المضامين التي سمعها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بأسلوبه، فهو نقل بالمعنى</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يمكن الجمع بين القول بأنّ الرواية مسموعة من الإمام، وبين كونها من تأليفات الفضل </w:t>
      </w:r>
    </w:p>
    <w:p>
      <w:pPr>
        <w:pStyle w:val="BookText"/>
        <w:rPr/>
      </w:pPr>
      <w:r>
        <w:rPr>
          <w:rFonts w:ascii="Amiri" w:hAnsi="Amiri" w:eastAsia="Amiri" w:cs="Amiri"/>
          <w:color w:val="111111"/>
          <w:sz w:val="28"/>
          <w:sz w:val="28"/>
          <w:szCs w:val="28"/>
          <w:rtl w:val="true"/>
          <w:lang w:bidi="ar-SA"/>
        </w:rPr>
        <w:t xml:space="preserve">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قرائن معاكسة ذكرها بعض أعاظم العصر</w:t>
      </w:r>
      <w:r>
        <w:rPr>
          <w:rStyle w:val="FootnoteAnchor"/>
          <w:rtl w:val="true"/>
        </w:rPr>
        <w:footnoteReference w:id="82"/>
      </w:r>
      <w:r>
        <w:rPr>
          <w:rFonts w:ascii="IRNazanin" w:hAnsi="IRNazanin" w:eastAsia="IRNazanin"/>
          <w:color w:val="111111"/>
          <w:sz w:val="28"/>
          <w:sz w:val="28"/>
          <w:szCs w:val="28"/>
          <w:rtl w:val="true"/>
          <w:lang w:bidi="fa-IR"/>
        </w:rPr>
        <w:t>كشواهد على عدم كون الرسالة مروية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ملاحظتها، وقد صنفها إلى قرائن داخلية تشهد بعدم صدورها عن الإمام، وشواهد خارجية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الداخلية فذكر فيها وجود عبارات في الرسالة لا يناسب صدورها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قيل لم غيّرت صلاة الآيات عن أصل الصلاة التي افترضها الله عزّ وجل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صلاة لعلّة تغيّر أمر من الأمور وهو الكسوف، فلما تغيّرت العلة تغيّر المعلول</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فيلاحظ أن هذا النحو من التعليل والتعبير المستخدم فيه مما لا يناسب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وإنّما ينسجم مع ما كان متداولاً عند المتكلّمين في ذلك العصر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قيل فلمَ لا يجب الغسل على من مس شيئاً من الأموات غير الإنسان كالطير والبهائم والسباع وغير ذلك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الأشياء كلّها ملبسة ريشاً وشعراً وصوفاً ووبراً، وهذا كله ذكي لا يموت</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الكلام أيضاً مما لا يناسب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مقتضاه أنه لو مس الإنسان لحم الحيوان الميت لوجب عليه أن يغتسل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 عن بعض الأئمّة،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ميت يموت إلا خرجت </w:t>
      </w:r>
    </w:p>
    <w:p>
      <w:pPr>
        <w:pStyle w:val="BookText"/>
        <w:rPr/>
      </w:pPr>
      <w:r>
        <w:rPr>
          <w:rFonts w:ascii="Amiri" w:hAnsi="Amiri" w:eastAsia="Amiri" w:cs="Amiri"/>
          <w:color w:val="111111"/>
          <w:sz w:val="28"/>
          <w:sz w:val="28"/>
          <w:szCs w:val="28"/>
          <w:rtl w:val="true"/>
          <w:lang w:bidi="ar-SA"/>
        </w:rPr>
        <w:t>منه الجنابة، فلذلك وجب الغسل</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التعبير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روي عن بعض الأئمة غير متعارف في كلامهم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روى شيئاً عن بعض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بالاسم، ولا يعبّر عنه ببعض الأئمّة، بل هذا تعبير الآخرين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مضافاً إلى غرابة المضمون؛ وذلك لأنّ غسل الميت يجب حتى بالنسبة إلى الطفل الصغير، بل والسقط الذي بلغ أربعة أشهر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لم كلّف الخلق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لعلل،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تلك العلل معروفة موجودة أم هي غير معروفة ولا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معروفة موجودة عند أهلها، 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أتعرفونها أنتم أم لا تعرفونها ؟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نعرفه، ومنها ما لا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الكلام لا يحتمل صدوره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من الراسخين في العلم، وإذا لم يكن هو من أهل المعرفة بتلك العلل فمن الذي يعرفها إذاً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الجواب عن هذه القرينة بأنّ حصول الاطمئنان بعدم صدور أربعة موارد من الرواية لا ينافي حجّية الموارد الأخرى؛ إذ الرواية طويلة جداً، وفيها عدد كبير من المطالب، فمن البعيد أن تكون روايةً واحدةً سمعها الفضل في مجلس واحد، بل نفس الفضل يصرّح بأنّه سمعها في مجالس متعدّدة مرّة بعد مرّة وشيئاً بعد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نقل</w:t>
      </w:r>
    </w:p>
    <w:p>
      <w:pPr>
        <w:pStyle w:val="BookText"/>
        <w:rPr/>
      </w:pPr>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هذه التصرفات فيها دلالة على كون النقل بالمعنى، ولا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 كلامه بأنّ الشيخ الصدوق تل قد غلط الفضل في فقرتين من هذه الرواية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صار الاستنجاء بالماء فرضاً؟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للعبد أن </w:t>
      </w:r>
    </w:p>
    <w:p>
      <w:pPr>
        <w:pStyle w:val="BookText"/>
        <w:rPr/>
      </w:pPr>
      <w:r>
        <w:rPr>
          <w:rFonts w:ascii="Amiri" w:hAnsi="Amiri" w:eastAsia="Amiri" w:cs="Amiri"/>
          <w:color w:val="111111"/>
          <w:sz w:val="28"/>
          <w:sz w:val="28"/>
          <w:szCs w:val="28"/>
          <w:rtl w:val="true"/>
          <w:lang w:bidi="ar-SA"/>
        </w:rPr>
        <w:t>يقوم بين يدي الجبّار وشيء من ثيابه وجسده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غلط الفضل؛ وذلك لأنّ الاستنجاء به ليس بفرض، وإنّما هو سنة</w:t>
      </w:r>
      <w:r>
        <w:rPr>
          <w:rFonts w:eastAsia="Amiri" w:cs="Amiri" w:ascii="Amiri" w:hAnsi="Amiri"/>
          <w:color w:val="111111"/>
          <w:sz w:val="28"/>
          <w:szCs w:val="28"/>
          <w:rtl w:val="true"/>
          <w:lang w:bidi="ar-SA"/>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ويقصد بالفرض ما شرع في الكتاب، و السنة ما جاء به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في الاستفتاح سبع تكبيرات؟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الفرض منها واحد وسائرها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غلط الفضل إن تكبيرة الافتتاح فريضة، وإنما هي سنة واجبة</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فيظهر من هذا أنّ الصدوق لم يكن يعتقد أنّ ما ذكره الفضل قد رواه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هو من استنباطاته ، فلهذا كان يخطّئه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تقدّم من اعتقاد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بأنها رواية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أنّه قد نقلها في الفقيه</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وجزّأها على أبواب الفقه فيه، مع التزامه بصحة الأخبار الموجودة فيه، فلا بدّ من حمل عبارته هنا على الغلط في الفهم والسماع، أو أنّ مقصوده الاشتباه بالتعبير، بناءً على ما قلناه من أنّه نقل بالمعنى، والغلط في موردين لا يؤثر على الالتزام بسائر الموارد الكثيرة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حمل عبارة 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آخر من الرواية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جعلت الخطبة في يوم الجمعة في أوّل الصلاة، وجعلت في العيدين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هذا الخبر هكذا والخطبتان في الجمعة </w:t>
      </w:r>
    </w:p>
    <w:p>
      <w:pPr>
        <w:pStyle w:val="BookText"/>
        <w:rPr/>
      </w:pPr>
      <w:r>
        <w:rPr>
          <w:rFonts w:ascii="Amiri" w:hAnsi="Amiri" w:eastAsia="Amiri" w:cs="Amiri"/>
          <w:color w:val="111111"/>
          <w:sz w:val="28"/>
          <w:sz w:val="28"/>
          <w:szCs w:val="28"/>
          <w:rtl w:val="true"/>
          <w:lang w:bidi="ar-SA"/>
        </w:rPr>
        <w:t>والعيدين من بعد الصلاة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القرائن الخارجية فقد ذكر ثلاث قرائن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القرينة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الشّيخ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يحكم بكون الفضل راوياً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أورد حكاية القتيبي وغيره ذلك عن الفضل، ولم يظهر منه تصديقه للحكاية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نقل الرواية في مواضع متفرّقة من الفقيه</w:t>
      </w:r>
      <w:r>
        <w:rPr>
          <w:rStyle w:val="FootnoteAnchor"/>
          <w:rtl w:val="true"/>
        </w:rPr>
        <w:footnoteReference w:id="91"/>
      </w:r>
      <w:r>
        <w:rPr>
          <w:rFonts w:ascii="Amiri" w:hAnsi="Amiri" w:eastAsia="Amiri" w:cs="Amiri"/>
          <w:color w:val="111111"/>
          <w:sz w:val="28"/>
          <w:sz w:val="28"/>
          <w:szCs w:val="28"/>
          <w:rtl w:val="true"/>
          <w:lang w:bidi="ar-SA"/>
        </w:rPr>
        <w:t>الذي ذكر في مقدمته أنّه لا يوجد فيه إلّا ما هو حجّة بينه وبين الله ، يدلّ على أنّه يعتقد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العنوان الذي صدّر به الرواية في العيون</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مرة بعد مرّة وشيئاً بعد شيء وأطلق لعلي بن محمد بن قتيبة النيسابوري روايتها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يشعر بذلك،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العلل التي ذكر الفضل بن شاذان في آخرها أنّه سمعها عن الرضا مرّة بعد مرة وشيئاً بعد شيء، وأطلق لعليّ بن محمّد بن قتيبة النيسابوري روايتها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يبعد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أثبت رواية الفضل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الثانية</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النجاشي</w:t>
      </w:r>
      <w:r>
        <w:rPr>
          <w:rStyle w:val="FootnoteAnchor"/>
          <w:rtl w:val="true"/>
        </w:rPr>
        <w:footnoteReference w:id="94"/>
      </w:r>
      <w:r>
        <w:rPr>
          <w:rFonts w:ascii="IRNazanin" w:hAnsi="IRNazanin" w:eastAsia="IRNazanin"/>
          <w:color w:val="111111"/>
          <w:sz w:val="28"/>
          <w:sz w:val="28"/>
          <w:szCs w:val="28"/>
          <w:rtl w:val="true"/>
          <w:lang w:bidi="fa-IR"/>
        </w:rPr>
        <w:t>أنّه يرى أنّ رواية العلل من استنباطات الفضل؛ لأنّه عدّها من جملة كتبه، ولم يذكر أنّه رواها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 أن من دأبهم التصريح بأنّ الكتاب مروي عن الإمام الفلاني إذا كان المؤلّف يرويه بتمامه عن إمام </w:t>
      </w:r>
    </w:p>
    <w:p>
      <w:pPr>
        <w:pStyle w:val="BookText"/>
        <w:rPr/>
      </w:pPr>
      <w:r>
        <w:rPr>
          <w:rFonts w:ascii="IRNazanin" w:hAnsi="IRNazanin" w:eastAsia="IRNazanin"/>
          <w:color w:val="111111"/>
          <w:sz w:val="28"/>
          <w:sz w:val="28"/>
          <w:szCs w:val="28"/>
          <w:rtl w:val="true"/>
          <w:lang w:bidi="fa-IR"/>
        </w:rPr>
        <w:t>واحد، كما في ترجمة أحمد بن عامر بن سليمان،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الرضا علي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والنسخة حسنة</w:t>
      </w:r>
      <w:r>
        <w:rPr>
          <w:rFonts w:eastAsia="IRNazanin" w:cs="IRNazanin"/>
          <w:color w:val="111111"/>
          <w:sz w:val="28"/>
          <w:szCs w:val="28"/>
          <w:rtl w:val="true"/>
          <w:lang w:bidi="fa-IR"/>
        </w:rPr>
        <w:t>)</w:t>
      </w:r>
      <w:r>
        <w:rPr>
          <w:rStyle w:val="FootnoteAnchor"/>
          <w:rtl w:val="true"/>
        </w:rPr>
        <w:footnoteReference w:id="95"/>
      </w:r>
      <w:r>
        <w:rPr>
          <w:rFonts w:ascii="Amiri" w:hAnsi="Amiri" w:eastAsia="Amiri" w:cs="Amiri"/>
          <w:color w:val="111111"/>
          <w:sz w:val="28"/>
          <w:sz w:val="28"/>
          <w:szCs w:val="28"/>
          <w:rtl w:val="true"/>
          <w:lang w:bidi="ar-SA"/>
        </w:rPr>
        <w:t>، وفي ترجمة عبد الله بن محمّد التميمي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نسخة عن الرضا</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وهكذا في موارد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هو ظاهر عبارة الشيخ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حيث ذكر في ترجمته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كتب كثيرة منها كتاب العلل</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ولم يصرح بأنّه مروي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وجود بناء على أنّه كلّما كان الكتاب عن الإمام فلا بدّ من التصريح بأنّه عن الإمام، ولعلّ السرّ في عدم التصريح بذلك هو ما قلناه من أنّ هذا نقل بالمعنى والمضمون، فهي رواية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ساهم الفضل في صياغتها بأسلوبه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القرينة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استبعاد أن يكون الفضل قد أدرك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 عنه العلم في هذه الفترة الطويلة، مع عدم وجود رواية له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طريق القتيبي وصاحبه، وفي غير هذا المورد رغم كثرة رواياته في جوامع 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أنّنا لا نجد أيّة رواية للفضل عن الإمامين الهادي والعسكري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كونه من أصحابهما بلا إشكال</w:t>
      </w:r>
      <w:r>
        <w:rPr>
          <w:rStyle w:val="FootnoteAnchor"/>
          <w:rtl w:val="true"/>
        </w:rPr>
        <w:footnoteReference w:id="98"/>
      </w:r>
      <w:r>
        <w:rPr>
          <w:rFonts w:ascii="Amiri" w:hAnsi="Amiri" w:eastAsia="Amiri" w:cs="Amiri"/>
          <w:color w:val="111111"/>
          <w:sz w:val="28"/>
          <w:sz w:val="28"/>
          <w:szCs w:val="28"/>
          <w:rtl w:val="true"/>
          <w:lang w:bidi="ar-SA"/>
        </w:rPr>
        <w:t>، فما يُجاب به هناك يُجاب به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أكد عدم إدراك الفضل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الكشتي أورد رواية</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ثم خرجت إليه بعد إلى الكوفة فسمعت منه كتاب ابن بكير وغيره من الأحاديث، وكان يحمل كتابه</w:t>
      </w:r>
    </w:p>
    <w:p>
      <w:pPr>
        <w:pStyle w:val="BookText"/>
        <w:rPr/>
      </w:pPr>
      <w:r>
        <w:rPr>
          <w:rFonts w:ascii="Amiri" w:hAnsi="Amiri" w:eastAsia="Amiri" w:cs="Amiri"/>
          <w:color w:val="111111"/>
          <w:sz w:val="28"/>
          <w:sz w:val="28"/>
          <w:szCs w:val="28"/>
          <w:rtl w:val="true"/>
          <w:lang w:bidi="ar-SA"/>
        </w:rPr>
        <w:t>ويجيء إلى حجرتي فيقرؤه عليّ، فلمّا حجّ ختن طاهر بن الحسين وعظمه الناس لقدره وحاله ومكانه من السلطان، وقد كان وصف له، فلم يصر إليه الحسن، فأرسل إليه أحبّ أن تصير إلي فإنّه لا يمكنني المصير إليك، فأبى، وكلّمه أصحابنا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ولطاهر وآل طاهر، لا أقربهم، ليس بيني وبينهم عمل، فعلمت بعدها أن مجيئه إلي وأنا حدث غلام وهو شيخ لم يكن إلا لجودة النيّة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مصلّاه بالكوفة في المسجد عند الأسطوانة التي يقال لها السابعة، ويقال لها أسطوانة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يجتمع هو وأبو محمد عبد الله الحجّال وعلي بن أسباط ، وكان الحجّال يدعي الكلام، وكان من أجدل الناس، فكان ابن فضال يغري بيني وبينه في الكلام في المعرفة، وكان يحبني حبّاً شديداً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الحسن بن علي بن فضال يظهر فيها أنّ الفضل كان في زمان الحسن بن علي بن فضال حدث السن، بينما كان الحسن شيخاً من أجلاء الأصحاب، علماً أنه قد توفي في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 من أصحاب الإمامين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البعيد جداً أن الفضل كان في عصر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شهادته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أشهر الأقوال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كبيراً له صحبة طويلة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بحيث يتلقى العلم منه مرّة بعد مرة وشيئاً بعد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الذي يبدو من هذه الرواية ومن غيرها أن الفضل كان من المعمّرين، حيث ذكر الكشّي في ترجمته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خلف لمن مضى أدركت محمّد بن أبي عمير وصفوان بن يحيى وغيرهما، وحملت عنهم منذ خمسين سنة، ومضى هشام بن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يونس ابن عبد 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 كان يردّ على المخالفين، ثُمّ مضى يونس بن عبد الرحمن ولم يخلف خلفاً غير السكّاك، فردّ على المخالفين حتى مضى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وأنا خلف لهم من بعدهم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أحد الذين روى عنهم هو صفوان بن يحيى، ووفاته سنة </w:t>
      </w:r>
      <w:r>
        <w:rPr>
          <w:rFonts w:eastAsia="IRNazanin" w:cs="IRNazanin"/>
          <w:color w:val="111111"/>
          <w:sz w:val="28"/>
          <w:szCs w:val="28"/>
          <w:rtl w:val="true"/>
          <w:lang w:bidi="fa-IR"/>
        </w:rPr>
        <w:t>(</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أنّه أخذ منه، وتحمّل الرواية عنه قبل وفاته بمدة، فإذا فرضنا أنّ عمره لا يقل حينذاك عن خمس وعشرين سنة أو ثلاثين سنة فيكون عمره تقريباً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لأن وفاته كانت بحدود سنة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فتكون ولادته سنة </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فيكون عمره حين وفاة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وعشرين سنة، وهو يؤهله للرواية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حتى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تحمّل الحديث في سن الخامسة عشرة فمن المحتمل أنه تحمّل الحديث قبل وفاة صفوان بخمس سنين، فيكون عمره من حين دخول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مروسنة </w:t>
      </w:r>
      <w:r>
        <w:rPr>
          <w:rFonts w:eastAsia="IRNazanin" w:cs="IRNazanin"/>
          <w:color w:val="111111"/>
          <w:sz w:val="28"/>
          <w:szCs w:val="28"/>
          <w:rtl w:val="true"/>
          <w:lang w:bidi="fa-IR"/>
        </w:rPr>
        <w:t>(</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حين شهادته سنة </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يتراوح بين الحادية عشرة والثالثة عشرة، وهذا السن يؤهله لتحمّل الرواية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قضية لقائه بابن فضال فعلى الاحتمال الأوّل 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يمكن فرض أنّ عمره في اللقاء الأوّل كان خمس عشرة سنة، وهو يناسب كونه غلاماً، كما في الرواية، </w:t>
      </w:r>
      <w:bookmarkStart w:id="34" w:name="pg8927_84306"/>
    </w:p>
    <w:p>
      <w:pPr>
        <w:pStyle w:val="BookText"/>
        <w:rPr/>
      </w:pPr>
      <w:bookmarkEnd w:id="34"/>
      <w:r>
        <w:rPr>
          <w:rFonts w:ascii="Amiri" w:hAnsi="Amiri" w:eastAsia="Amiri" w:cs="Amiri"/>
          <w:color w:val="111111"/>
          <w:sz w:val="28"/>
          <w:sz w:val="28"/>
          <w:szCs w:val="28"/>
          <w:rtl w:val="true"/>
          <w:lang w:bidi="ar-SA"/>
        </w:rPr>
        <w:t xml:space="preserve">فتكون سنة اللقاء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قبل وفاة ابن فضال بـ</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حسب الاختلاف في تاريخ وفاة ابن فضال، وأنّه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يخفى بأنّه على الاحتمال الثاني يكون الأمر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القرائن المعاكسة إن أوجبت سلب الوثوق والاطمئنان بصدور الرواية عن المعصوم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الملاك في حجية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التعويل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ولكنك قد عرفت أنّ للمناقشة في بعض ما ذكره مجالاً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أسهبنا في نقاش سند الرواية، وجواب الإيرادات الواردة عليها؛ لأهمية الرواية؛ إذ قد تضمّنت الكثير من الأحكام في العديد من أبواب الفقه</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279078_2870459653"/>
      <w:bookmarkStart w:id="36" w:name="_Toc11"/>
      <w:bookmarkEnd w:id="35"/>
      <w:r>
        <w:rPr>
          <w:rtl w:val="true"/>
        </w:rPr>
        <w:t>ثلاثة تقريبات لدلالة الرواية على المطلوب</w:t>
      </w:r>
      <w:bookmarkEnd w:id="36"/>
    </w:p>
    <w:p>
      <w:pPr>
        <w:pStyle w:val="BookText"/>
        <w:rPr/>
      </w:pPr>
      <w:r>
        <w:rPr>
          <w:rFonts w:ascii="Amiri" w:hAnsi="Amiri" w:eastAsia="Amiri" w:cs="Amiri"/>
          <w:color w:val="111111"/>
          <w:sz w:val="28"/>
          <w:sz w:val="28"/>
          <w:szCs w:val="28"/>
          <w:rtl w:val="true"/>
          <w:lang w:bidi="ar-SA"/>
        </w:rPr>
        <w:t>وأمّا دلالة الرواية على تعدّد المطلوب</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فتارةً يدّعى استفادة ذلك من نفس تعليل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بين صورتي وجوب القضاء وسقوطه،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ذلك الصوم إنّما وجب عليه في تلك السنة في هذا الشهر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لو كان المطلوب واحداً لكان المتعيّن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ـلأنّ ذلك الصوم إنّما وجب عليه في ذلك الشهر</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العبارة تنسجم مع كلا الاحتمالين؛ إذ من الواضح أنّ الصوم لا يجب في السنة في شهرين، كما أنّه لا يجب في غير شهر رمضان،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العبارة ظاهرة في </w:t>
      </w:r>
    </w:p>
    <w:p>
      <w:pPr>
        <w:pStyle w:val="BookText"/>
        <w:rPr/>
      </w:pPr>
      <w:r>
        <w:rPr>
          <w:rFonts w:ascii="Amiri" w:hAnsi="Amiri" w:eastAsia="Amiri" w:cs="Amiri"/>
          <w:color w:val="111111"/>
          <w:sz w:val="28"/>
          <w:sz w:val="28"/>
          <w:szCs w:val="28"/>
          <w:rtl w:val="true"/>
          <w:lang w:bidi="ar-SA"/>
        </w:rPr>
        <w:t>وحدة المطلوب؛ لأنه بناءً على تعدّد المطلوب يكون الواجب شيئين، والعبارة ظاهرة في أنّ الواجب في السنة شيء واحد، ولكن يمكن الخدشة في هذا الاستظهار، فحتى على القول بتعدّد المطلوب التعليل يأمره بإيقاع المطلوب الأوّل في شهر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وتارةً يستدلّ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دخل الشهر وهو مريض، فلم يجب عليه الصوم في شهره ولا سنته للمرض الذي كان فيه ووجب عليه الفداء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وارد في مقام تعليل سقوط القضاء في صورة استمرار المرض إلى شهر رمضان الآخر، وقد يفهم منه أنّ هناك مطلوبين، هما صوم شهر رمضان، وصوم آخر في سنته، وهو عاجز عن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التأمل فيه؛ إذ إنّ هذا التعبير يستخدم حتّى مع القول بوحدة المطلوب، باعتبار أن القائل بوحدة المطلوب يقول إن الواجب هو صوم شهر رمضان، ويجب على المريض القضاء بعد الشهر أثناء السنة إذا لم يصم فيه، فيصح تعليل سقوط القضاء باستمرار المرض طيلة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تعليل الفرق بين صورة سقوط القضاء إذا استمر مرضه إلى رمضان الآخر وعدم سقوطه إذا أفاق أثناء السنة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ذلك الصوم إنَّما وجب عليه في تلك السنة في 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على القول بتعدّد المطلوب؛ إذ عليه يمكن القول بأنّ المكلّف إذا أفاق خلال السنة ولم يصم يكون وجوب القضاء عليه واضحاً؛ لقدرته على امتثال الأمر، فإذا لم يأتِ به لا يسقط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يفق فيسقط عنه القضاء؛ لعجزه عن امتثال كلا الواجبين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يصح التعليل على القول بوحدة المطلوب؛ لأنّ العجز إذا كان هو المناط في سقوط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عاجز عن الإتيان بالواجب في وقته سواء </w:t>
      </w:r>
      <w:bookmarkStart w:id="37" w:name="pg8927_84308"/>
    </w:p>
    <w:p>
      <w:pPr>
        <w:pStyle w:val="BookText"/>
        <w:rPr/>
      </w:pPr>
      <w:bookmarkEnd w:id="37"/>
      <w:r>
        <w:rPr>
          <w:rFonts w:ascii="Amiri" w:hAnsi="Amiri" w:eastAsia="Amiri" w:cs="Amiri"/>
          <w:color w:val="111111"/>
          <w:sz w:val="28"/>
          <w:sz w:val="28"/>
          <w:szCs w:val="28"/>
          <w:rtl w:val="true"/>
          <w:lang w:bidi="ar-SA"/>
        </w:rPr>
        <w:t>أفاق خلال السنة أم استمر مرضه، فلا بدّ من الالتزام بالسقوط في كلا القسمين، ولا معنى للتفصيل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صحّة التعليل بالعبارة المذكورة لا تنحصر بافتراض تعدّد المطلوب حتى يكون دليلاً عليه، بل يصح التعليل على القول بوحدة المطلوب أيضاً؛ باعتبار أنّ وجوب القضاء على المريض والمسافر أمر مسلّم ومفروغ منه، قد دلّت الآية الشريفة عليه، فإذا عجز المكلّف عن الصوم في شهر رمضان لمرض أو سفر وجب عليه القضاء خلال السنة، فإذا تمكّن منه في السنة ولم يأتِ به فلا يسقط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لا يتمكن منه سقط عنه؛ للعجز عن الأداء والقضاء</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1279080_2870459653"/>
      <w:bookmarkStart w:id="39" w:name="_Toc12"/>
      <w:bookmarkEnd w:id="38"/>
      <w:r>
        <w:rPr>
          <w:rtl w:val="true"/>
        </w:rPr>
        <w:t>مناقشة مضمونية لرواية العلل</w:t>
      </w:r>
      <w:bookmarkEnd w:id="39"/>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التعليل بالتمكّن من القضاء خلال السنة وعدمه في مسألة سقوط القضاء واستقراره إنّما يصح بناءً على الالتزام بوجوب الإتيان بالقضاء داخل السنة، وعدم جواز تأخيره عن رمضان الآتي،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أفاق أثناء السنة ولم يصم لم يسقط عنه؛ لقدرته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يفق خلال السنة سقط عنه؛ لعدم قدرته على امتثال</w:t>
      </w:r>
    </w:p>
    <w:p>
      <w:pPr>
        <w:pStyle w:val="BookText"/>
        <w:rPr/>
      </w:pPr>
      <w:r>
        <w:rPr>
          <w:rFonts w:ascii="Amiri" w:hAnsi="Amiri" w:eastAsia="Amiri" w:cs="Amiri"/>
          <w:color w:val="111111"/>
          <w:sz w:val="28"/>
          <w:sz w:val="28"/>
          <w:szCs w:val="28"/>
          <w:rtl w:val="true"/>
          <w:lang w:bidi="ar-SA"/>
        </w:rPr>
        <w:t xml:space="preserve">كلا الواجبين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والقضاء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لو قلنا بأنّ القضاء موسّع، ويجوز تأخيره عن السنة فلا يصح التعليل؛ إذ لا معنى لتعليل سقوط القضاء عنه إذا لم يفق خلال السنة بعدم قدرته على امتثال كلا الواجبين؛ إذ المفروض أنّ القضاء موسع، فباستطاعته الإتيان به بعد السنة، كما لا يصح تعليل ثبوت القضاء بذمته إذا أفاق خلال السنة ولم يقض مع قدرته على القضاء، بل المفروض أنه واجب موسع، فلم يكن وجوبه خارج السنة لأجل تركه خلال السنة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ولكنّهم يصرحون بجواز تأخير القضاء وعدم وجوب المبادرة إليه، ولدفع </w:t>
      </w:r>
    </w:p>
    <w:p>
      <w:pPr>
        <w:pStyle w:val="BookText"/>
        <w:rPr/>
      </w:pPr>
      <w:r>
        <w:rPr>
          <w:rFonts w:ascii="Amiri" w:hAnsi="Amiri" w:eastAsia="Amiri" w:cs="Amiri"/>
          <w:color w:val="111111"/>
          <w:sz w:val="28"/>
          <w:sz w:val="28"/>
          <w:szCs w:val="28"/>
          <w:rtl w:val="true"/>
          <w:lang w:bidi="ar-SA"/>
        </w:rPr>
        <w:t xml:space="preserve">هذا الإشكال لا بدّ من الدخول في مسألة وجوب المبادرة إلى قضاء شهر رمضان قبل انتهاء السنة،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إلى المشهور عدم جواز تأخير القضاء إلى ما بعد رمضان الثاني، بل يظهر أنّه من المسلّمات على ما ذكر 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ونفى المحقق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 فيه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استدلّ لقول المشهور بأدلّة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 والثاني</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الفضل بن شاذان نفسها حيث ورد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 لم يفق فإنّه لما مرّ عليه السنة كلّها وقد غلب الله عليه فلم يجعل له السبيل إلى أدائها سقط عنه</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فعلّلت سقوط فرض الإتيان بالقضاء أثناء السنة بكونه معذوراً، فلو لم يكن معذوراً لما سقط عنه الصوم أثناء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في الرواية نفسها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دخل الشهر وهو مريض فلم يجب عليه الصوم في شهره ولا في سنته للمرض الذي كان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فيظهر منها أنّه لو لم يكن مريضاً لوجب عليه الصوم في سنته، كما أنّه لو لم يكن مريضاً في شهره لوجب عليه الصوم في شهره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معتبرة الفضل نفسها</w:t>
      </w:r>
      <w:r>
        <w:rPr>
          <w:rStyle w:val="FootnoteAnchor"/>
          <w:rtl w:val="true"/>
        </w:rPr>
        <w:footnoteReference w:id="106"/>
      </w:r>
      <w:r>
        <w:rPr>
          <w:rFonts w:ascii="Amiri" w:hAnsi="Amiri" w:eastAsia="Amiri" w:cs="Amiri"/>
          <w:color w:val="111111"/>
          <w:sz w:val="28"/>
          <w:sz w:val="28"/>
          <w:szCs w:val="28"/>
          <w:rtl w:val="true"/>
          <w:lang w:bidi="ar-SA"/>
        </w:rPr>
        <w:t xml:space="preserve">بتقريب تعدّد المطلوب وكون المستفاد من الآية </w:t>
      </w:r>
    </w:p>
    <w:p>
      <w:pPr>
        <w:pStyle w:val="BookText"/>
        <w:rPr/>
      </w:pPr>
      <w:r>
        <w:rPr>
          <w:rFonts w:ascii="Amiri" w:hAnsi="Amiri" w:eastAsia="Amiri" w:cs="Amiri"/>
          <w:color w:val="111111"/>
          <w:sz w:val="28"/>
          <w:sz w:val="28"/>
          <w:szCs w:val="28"/>
          <w:rtl w:val="true"/>
          <w:lang w:bidi="ar-SA"/>
        </w:rPr>
        <w:t>الشريفة مطلوبين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صيام شهر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هذا الواجب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الثالث</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عن تركه بالتهاون والتضييع والتواني، كما في صحيحة محمد بن مسلم، عن أبي جعفر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سألتهما عن رجل مرض فلم يصم حتى أدركه رمضان آخر؟ فقالا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برئ ثُمّ توانى قبل أن يدركه رمضان الآخر صام الذي أدركه، وتصدّق عن كل يوم بمدّ من طعام على مسكين وعليه قضاؤه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صح فيما بين الرمضانين فإنّما عليه أن يقضي الصيام، فإن تهاون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فعليه الصدقة والصيام جميعاً لكلّ يوم مد إذا فرغ من ذلك الرمضان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الفضل بن شاذان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أفاق فيما بينهما ولم يصمه وجب عليه الفداء؛ لتضييعه، والصوم؛ لاستطاعته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صح فيما بين الرمضانين فتوانى أن يقضيه حتى جاء الرمضان الآخر فإنّ عليه الصوم والصدقة جميعاً، يقضي الصوم، ويتصدق من أجل أنه ضيّع ذلك الصيام</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التعبيرات لا تخلو من دلالة على أنه واجب مضيّق، فهي لا تناسب كونه واجباً موسعاً، فلذا لا يقال لمن لم يؤد صلاة الظهر في أوّل وقتها أنّه تهاون أو ضيّع أو توانى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12"/>
      </w:r>
      <w:r>
        <w:rPr>
          <w:rFonts w:ascii="Amiri" w:hAnsi="Amiri" w:eastAsia="Amiri" w:cs="Amiri"/>
          <w:color w:val="111111"/>
          <w:sz w:val="28"/>
          <w:sz w:val="28"/>
          <w:szCs w:val="28"/>
          <w:rtl w:val="true"/>
          <w:lang w:bidi="ar-SA"/>
        </w:rPr>
        <w:t xml:space="preserve">بأنّ غاية ما تدلّ عليه هذه التعبيرات أنّ هناك واجباً موسعاً لم يسارع إلى امتثاله فتوانى وأخر وتهاون وليكن بمعنى تسامح، لكنه تسامح عن التعجيل لا عن أصل الامتثال، وأين هذا من الإشعار بوجوب البدار فضلاً عن الدلالة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كان للمناقشة في دلالة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التواني والتضييع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المبادرة مجال فإنّ التواني بمعنى التأخير، وقد أطلق التضييع في عدة موارد على ترك الأفضل، من قبيل تأخير الصلاة عن أوّل وقتها</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مواقيت الصلاة، 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يبقى التعبير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يصدق على هذا المعنى ظاهراً؛ إذ لا يطلق التهاون على الإتيان بالواجب الشرعي في وقته، فلا بأس بدلالة هذه المفردة على وجوب المبادرة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الاستدلال بمعتبرة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صح فيما بين الرمضانين فإنّما عليه أن يقضي الصيام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يفهم منها أن الواجب عليه هو قضاء الصيام فيما بين الرمضانين، فيكون الشرط قيداً للواجب مضافاً إلى تقييد الوجوب وإن وجد احتمال آخر، وهو أنّ المقصود </w:t>
      </w:r>
    </w:p>
    <w:p>
      <w:pPr>
        <w:pStyle w:val="BookText"/>
        <w:rPr/>
      </w:pPr>
      <w:r>
        <w:rPr>
          <w:rFonts w:ascii="Amiri" w:hAnsi="Amiri" w:eastAsia="Amiri" w:cs="Amiri"/>
          <w:color w:val="111111"/>
          <w:sz w:val="28"/>
          <w:sz w:val="28"/>
          <w:szCs w:val="28"/>
          <w:rtl w:val="true"/>
          <w:lang w:bidi="ar-SA"/>
        </w:rPr>
        <w:t>بيان شرط الوجوب لا شرط الواجب، أي أنّ وجوب القضاء مطلقاً مشروط بأن يصح فيما بين الرمضانين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تفريع التهاون على المعنى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صح فيما بين الرمضانين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القضاء والفداء عليه يكون قرينة على أنّ القيد قيد للواجب؛ إذ مع افتراض التوسعة لا يصدق التهاون على تركه القضاء في السنة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سند الرواية من جهة علي بن أبي حمزة البطائني، وقد تعارض فيه التوثيق والتضعيف الروائي والرجالي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وطريقة الجمع بين ما ذكر من عمل الطائفة برواياته</w:t>
      </w:r>
      <w:r>
        <w:rPr>
          <w:rStyle w:val="FootnoteAnchor"/>
          <w:rtl w:val="true"/>
        </w:rPr>
        <w:footnoteReference w:id="115"/>
      </w:r>
      <w:r>
        <w:rPr>
          <w:rFonts w:ascii="IRNazanin" w:hAnsi="IRNazanin" w:eastAsia="IRNazanin"/>
          <w:color w:val="111111"/>
          <w:sz w:val="28"/>
          <w:sz w:val="28"/>
          <w:szCs w:val="28"/>
          <w:rtl w:val="true"/>
          <w:lang w:bidi="fa-IR"/>
        </w:rPr>
        <w:t>وما ورد بحقه من التضعيف هو الأخذ بها قبل قوله بالوقف دون غيره، وإليه يشير كلام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وقف</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طريقة تمييز رواياته التي رواها قبل الوقف عن التي رواها بعده فيتم بملاحظة الراوي عنه، فإن كان الراوي عنه من رواة الشيعة المعروفين فمن البعيد أن يروي عنه بعد الاطلاع على ما صدر في حقه من الطرد واللعن من قبل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والذي يروي عنه في روايتنا هو الجوهري، ويمكن إثبات وثاقة الجوهري بواسطة رواية بعض الأجلّاء عنه كصفوان وابن أبي عمير</w:t>
      </w:r>
      <w:r>
        <w:rPr>
          <w:rStyle w:val="FootnoteAnchor"/>
          <w:rtl w:val="true"/>
        </w:rPr>
        <w:footnoteReference w:id="117"/>
      </w:r>
      <w:r>
        <w:rPr>
          <w:rFonts w:ascii="Amiri" w:hAnsi="Amiri" w:eastAsia="Amiri" w:cs="Amiri"/>
          <w:color w:val="111111"/>
          <w:sz w:val="28"/>
          <w:sz w:val="28"/>
          <w:szCs w:val="28"/>
          <w:rtl w:val="true"/>
          <w:lang w:bidi="ar-SA"/>
        </w:rPr>
        <w:t>، إلّا أنّه متهم بالوقف</w:t>
      </w:r>
      <w:r>
        <w:rPr>
          <w:rStyle w:val="FootnoteAnchor"/>
          <w:rtl w:val="true"/>
        </w:rPr>
        <w:footnoteReference w:id="118"/>
      </w:r>
      <w:r>
        <w:rPr>
          <w:rFonts w:ascii="Amiri" w:hAnsi="Amiri" w:eastAsia="Amiri" w:cs="Amiri"/>
          <w:color w:val="111111"/>
          <w:sz w:val="28"/>
          <w:sz w:val="28"/>
          <w:szCs w:val="28"/>
          <w:rtl w:val="true"/>
          <w:lang w:bidi="ar-SA"/>
        </w:rPr>
        <w:t>، فيحتمل أن يروي عن البطائني حتى بعد انحرافه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لم يثبت كونه واقفياً فلم ينص النجاشي على ذلك</w:t>
      </w:r>
      <w:r>
        <w:rPr>
          <w:rStyle w:val="FootnoteAnchor"/>
          <w:rtl w:val="true"/>
        </w:rPr>
        <w:footnoteReference w:id="119"/>
      </w:r>
      <w:r>
        <w:rPr>
          <w:rFonts w:ascii="Amiri" w:hAnsi="Amiri" w:eastAsia="Amiri" w:cs="Amiri"/>
          <w:color w:val="111111"/>
          <w:sz w:val="28"/>
          <w:sz w:val="28"/>
          <w:szCs w:val="28"/>
          <w:rtl w:val="true"/>
          <w:lang w:bidi="ar-SA"/>
        </w:rPr>
        <w:t>، مع أنّ ديدنه أن يذكر مذهب الشخص، وقد ذكره الشيخ في ثلاثة موارد</w:t>
      </w:r>
      <w:r>
        <w:rPr>
          <w:rStyle w:val="FootnoteAnchor"/>
          <w:rtl w:val="true"/>
        </w:rPr>
        <w:footnoteReference w:id="120"/>
      </w:r>
      <w:r>
        <w:rPr>
          <w:rFonts w:ascii="IRNazanin" w:hAnsi="IRNazanin" w:eastAsia="IRNazanin"/>
          <w:color w:val="111111"/>
          <w:sz w:val="28"/>
          <w:sz w:val="28"/>
          <w:szCs w:val="28"/>
          <w:rtl w:val="true"/>
          <w:lang w:bidi="fa-IR"/>
        </w:rPr>
        <w:t>، ولم ينص على كونه واقفياً إلّا في أحدها، فإذا استطعنا أن نقول بأنّ هذا لا يثبت الوقف له خصوصاً مع عدم نص النجاشي على ذلك، فلا نواجه مشكلة في سند هذه الرواية، وما ذكره الشيخ من نسبة الوقف إليه إشارة إلى أنّه توقف في فترة الفتنة ثم رجع إلى المذهب الصحيح، كما هو موجود في عدد من الأصحاب الذين ذهبوا إلى الوقف لكن سرعان ما رجعوا بعد بيان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روايات الباب نجد الأصحاب كثيراً ما يسألون عن حكم التأخير</w:t>
      </w:r>
      <w:r>
        <w:rPr>
          <w:rStyle w:val="FootnoteAnchor"/>
          <w:rtl w:val="true"/>
        </w:rPr>
        <w:footnoteReference w:id="121"/>
      </w:r>
      <w:r>
        <w:rPr>
          <w:rFonts w:ascii="Amiri" w:hAnsi="Amiri" w:eastAsia="Amiri" w:cs="Amiri"/>
          <w:color w:val="111111"/>
          <w:sz w:val="28"/>
          <w:sz w:val="28"/>
          <w:szCs w:val="28"/>
          <w:rtl w:val="true"/>
          <w:lang w:bidi="ar-SA"/>
        </w:rPr>
        <w:t>، وهذا يكشف عن أنهم كانوا يفهمون أنّ الواجب مضيق لا موسّع، وهذا لا يخلو من تأييد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التعبير بالفدية عمّا يجب عند تأخير القضاء إلى السنة الثانية، وهو ظاهر في المخالفة، وهذا المطلب قد يدعى في الكفّارة أيضاً؛ لأنّ استخدام لفظ الكفّارة في مورد يكشف عن تحقق مخالفة، ولكنّ روايات الباب ليس فيها إطلاق لفظ الكفّارة، بل توجد رواية واحدة أطلقت لفظ الفدية، وهي معتبرة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مرض الرجل من رمضان إلى رمضان ثمّ صحّ فإنّما عليه لكلّ يوم أفطره فدية طعام </w:t>
      </w:r>
      <w:r>
        <w:rPr>
          <w:rFonts w:eastAsia="IRNazanin" w:cs="IRNazanin"/>
          <w:color w:val="111111"/>
          <w:sz w:val="28"/>
          <w:szCs w:val="28"/>
          <w:rtl w:val="true"/>
          <w:lang w:bidi="fa-IR"/>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الاستدلال بها في المقام؛ لأنها أطلقت الفدية في مورد لا مخالفة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فأصل إطلاق الفدية أعمّ من المخالفة ظاهراً؛ إذ كثيراً ما أطلقت </w:t>
      </w:r>
    </w:p>
    <w:p>
      <w:pPr>
        <w:pStyle w:val="BookText"/>
        <w:rPr/>
      </w:pPr>
      <w:r>
        <w:rPr>
          <w:rFonts w:ascii="Amiri" w:hAnsi="Amiri" w:eastAsia="Amiri" w:cs="Amiri"/>
          <w:color w:val="111111"/>
          <w:sz w:val="28"/>
          <w:sz w:val="28"/>
          <w:szCs w:val="28"/>
          <w:rtl w:val="true"/>
          <w:lang w:bidi="ar-SA"/>
        </w:rPr>
        <w:t>الفدية في موارد لا مخالفة فيها كما في الصيام وَعَلَى الَّذِينَ يُطِيقُونَهُ فِدْيَةٌ، وكذا في باب الحجّ</w:t>
      </w:r>
      <w:r>
        <w:rPr>
          <w:rStyle w:val="FootnoteAnchor"/>
          <w:rtl w:val="true"/>
        </w:rPr>
        <w:footnoteReference w:id="123"/>
      </w:r>
      <w:r>
        <w:rPr>
          <w:rFonts w:ascii="Amiri" w:hAnsi="Amiri" w:eastAsia="Amiri" w:cs="Amiri"/>
          <w:color w:val="111111"/>
          <w:sz w:val="28"/>
          <w:sz w:val="28"/>
          <w:szCs w:val="28"/>
          <w:rtl w:val="true"/>
          <w:lang w:bidi="ar-SA"/>
        </w:rPr>
        <w:t>، مضافاً إلى أنّ موردها فدية بدل الصيام، لا فدية 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إمكان استفادة ذلك من 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كُتِبَ عَلَيْكُمُ الصِّيَامُ كَمَا كُتِبَ عَلَى الَّذِينَ مِن قَبْلِكُمْ لَعَلَّكُمْ تَتَّقُونَ، بناءً على ظهورها في وحدة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وجوب صوم في السنة، وقد عيّن على الصحيح وغير المسافر في شهر رمضان وعلى غيرهما في أيام أخر؛ فإنّه ظاهر في كونها من السنة؛ لأنّ المنفي عنهما تعيين رمضان، لا تعيين صوم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لا يتمكّن منهما يسقط عنه الصوم كالمريض المستمر به المرض، وهو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يطيقونه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الحكم في المريض المستمر مرضه الوارد في النصوص مأخوذاً من الآية الشريفة</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أن يكون تاماً؛ لأنّ الظاهر من الآية أنها تتحدّث عن الصوم في السنة، وبناءً على وحدة المطلوب، فقد عُيّن هذا الصوم للصحيح الحاضر في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استفادة هذا المعنى من الآية الشريفة بناءً على تعدّد المطلوب يكون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تتمّ لدينا جملة من الأدلة على وجوب المبادرة، وعدم جواز تأخير قضاء الصوم عن رمضان الثاني</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 xml:space="preserve">من الاستدلال بصحيحة زرارة عن أبي </w:t>
      </w:r>
    </w:p>
    <w:p>
      <w:pPr>
        <w:pStyle w:val="BookText"/>
        <w:rPr/>
      </w:pP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الصلاة والزكاة والحج والولاية ليس ينفع شيء مكانها دون أدائها، وإنّ الصوم إذا فاتك أو قصرت أو سافرت فيه أدّيت مكانه أياماً غيرها، وجزيت ذلك الذنب بصدقة، ولا قضاء عليك</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جعلت الموضوع لوجوب القضاء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 كان 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يخفى أنّ فقرة الاستدلال لا تخلو من تشويش، فيتحتم علينا أن نفسر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وجزيت ذلك الذنب بصدقة ولا قضاء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ذيل الرواية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ولكي يتضح المراد من هذه الفقرة ننقل نص الرواية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الصلاة والزكاة والحج والصوم والولاية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من ذلك أفضل؟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الولاية أفضل؛ لأنها مفتاحهنّ، والوالي هو الدليل عليهن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 يلي ذلك من الفضل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إنّ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عمود دينكم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الذي يليها من الفضل؟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الزكاة؛ لأنّه قرنها بها وبدأ بالصلاة قبلها،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الزكاة تذهب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يليها من الفضل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 قال الله عزّ 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حِبُّ الْبَيْتِ مَنِ اسْتَطَاعَ إِلَيْهِ سَبِيلًا</w:t>
      </w:r>
      <w:r>
        <w:rPr>
          <w:rFonts w:ascii="IRNazanin" w:hAnsi="IRNazanin" w:eastAsia="IRNazanin"/>
          <w:color w:val="111111"/>
          <w:sz w:val="28"/>
          <w:sz w:val="28"/>
          <w:szCs w:val="28"/>
          <w:rtl w:val="true"/>
          <w:lang w:bidi="fa-IR"/>
        </w:rPr>
        <w:t>، وقال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الحجة مقبولة خير من عشرين صلاة نافلة، ومن طاف بهذا البيت طوافاً أحصى فيه أسبوعه وأحسن ركعتيه غفر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في يوم عرفة ويوم المزدلفة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يتبعه؟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بال الصوم صار آخر ذلك أجمع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جنة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أفضل الأشياء ما إذا فاتك لم تكن منه توبة دون أن ترجع إليه فتؤدّيه بعينه، إنّ الصلاة والزكاة والحج والولاية ليس يقع ء مكانها دون أدائها، وإن الصوم إذا </w:t>
      </w:r>
    </w:p>
    <w:p>
      <w:pPr>
        <w:pStyle w:val="BookText"/>
        <w:rPr/>
      </w:pPr>
      <w:r>
        <w:rPr>
          <w:rFonts w:ascii="Amiri" w:hAnsi="Amiri" w:eastAsia="Amiri" w:cs="Amiri"/>
          <w:color w:val="111111"/>
          <w:sz w:val="28"/>
          <w:sz w:val="28"/>
          <w:szCs w:val="28"/>
          <w:rtl w:val="true"/>
          <w:lang w:bidi="ar-SA"/>
        </w:rPr>
        <w:t>فاتك أو قصرت أو سافرت فيه أدّيت مكانه أياماً غيرها وجزيت ذلك الذنب بصدقة، ولا قضاء عليك</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ذيل الرواية غموض؛ فإنّ قوله في نهايتها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قضاء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يتنافى مع قوله 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أديت مكانه أياماً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اتّحاد الموضوع في الفقرتين، ويحتمل حصول سقط فيها، بأن يكون الساقط هو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 عليك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متن الرواية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الصوم إذا فاتك أو قصرت أو سافرت فيه أديت مكانه أياماً غيرها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تعذر عليك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 ذلك الذنب بصدقة ولا قضاء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سوف يتعدّد تعدّده لا إشكال في تعدّد الحكم، فيرتفع إشكال المنافاة، ولكن يبقى الموضوع، ومع التعبير بالذنب على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مناسباً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يمكن أن يقال بأنّ وجود التشويش في هذه الفقرة إنّما يضر بهذه الجملة الأخيرة، ولا يقتضي زوال الاطمئنان بالجملة التي قبلها، والتي هي محل الاستدلال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مع ذلك لرفع الغموض الذي يكتنف ذيل الرواية نقول</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سؤال السائل بعدما علم فضيلة الحجّ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وماذا يتبعه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 معلومية الجواب لديه مما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يكون تمهيداً للسؤال الآتي بعده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بال الصوم صار آخر ذلك أجمع؟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فضل الصوم إنما كان لرفع التوهّم الذي قد ينشأ في الأذهان بعدم وجود فضيلة للصوم، وبعد ذلك أعطى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الضابطة الكلية في التقديم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أفضل الأشياء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وبيّن أنّ هذه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والزكاة والحج والولاية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يقم شيء آخر مقامها إلّا تداركها بأنفسها، بينما الصوم لما كان له بديل في </w:t>
      </w:r>
      <w:bookmarkStart w:id="40" w:name="pg8927_84317"/>
    </w:p>
    <w:p>
      <w:pPr>
        <w:pStyle w:val="BookText"/>
        <w:rPr/>
      </w:pPr>
      <w:bookmarkEnd w:id="40"/>
      <w:r>
        <w:rPr>
          <w:rFonts w:ascii="IRNazanin" w:hAnsi="IRNazanin" w:eastAsia="IRNazanin"/>
          <w:color w:val="111111"/>
          <w:sz w:val="28"/>
          <w:sz w:val="28"/>
          <w:szCs w:val="28"/>
          <w:rtl w:val="true"/>
          <w:lang w:bidi="fa-IR"/>
        </w:rPr>
        <w:t>بعض الحالات، وهو وقوع الفداء مكانه لم يشارك هذه الأربعة في هذه المزية فأخّر عنها، فيكون معنى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وجزيت ذلك الذنب بصدقة ولا قضاء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في الموارد التي تقوم الصدقة مقام الصوم فيها ،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إطلاق الذنب على الترك وإن كان لعذر فقد يكون إطلاقاً مجازياً، ولذا أطلق على ما يتداركه التوبة فكأنّ المراد بالتوبة هنا المعنى اللغوي وهو الرجوع، أو أنها أطلقت على ما ينوب مناب الشيء مجازاً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فقرة الاستدلال فهي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الصوم إذا فاتك أو قصرت أو سافرت فيه أديت مكانه أياماً 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دلالتها على وجوب قضاء الصوم إذا فات دائماً، مطلقة،وهی فلا موجب لتخصيصها بالمريض والمسافر؛ لوضوح أن موضوع الحكم فيها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فوت الصيام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والعطف فيها نظير عطف الخاص على العام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استفادة القاعدة الكلّية منها بخلاف الروايات الواردة في المريض والمسافر</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1279082_2870459653"/>
      <w:bookmarkStart w:id="42" w:name="_Toc13"/>
      <w:bookmarkEnd w:id="41"/>
      <w:r>
        <w:rPr>
          <w:rtl w:val="true"/>
        </w:rPr>
        <w:t>وبهذا ننتهي إلى وجوب القضاء على كلّ من فاته الصوم</w:t>
      </w:r>
      <w:r>
        <w:rPr>
          <w:rtl w:val="true"/>
        </w:rPr>
        <w:t>.</w:t>
      </w:r>
      <w:bookmarkEnd w:id="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جعل الروايات الدالّة على وجوب القضاء في الموارد المتفرقة مؤيدة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الشيخ أبو منصور أحمد بن عليّ بن أبي طالب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منشورات الشريف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معرفة الرجال الشيخ أبو جعفر 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 داماد الاسترابادي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مهدي الرجائي،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تاريخ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 تقرير بحث الشيخ مسلم الداوري،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صالح المعلّم،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الرافد للمطبوعات،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إعلام الورى بأعلام الهدى الشيخ أبو علي الفضل بن الحسن الطبرسي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 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الأول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الشيخ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الإسلامية، طهران، ط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تسنيم في تفسير القرآن الشيخ عبد الله الجوادي الآملي الطبري،تعريب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المطلب رضا،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عبد المنعم الخاقاني،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الإسراء للنشر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البحر المحيط، محمد بن يوسف الشهير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حيان الاندلسي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وتحقيق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معوض، طبع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تفصيل وسائل الشيعة إلى تحصيل مسائل الشريعة، الشيخ محمد بن الحسن الحر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مباني العروة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الشيخ الميرزا جواد التبريزي تدل،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،شریعت تاريخ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تهذيب الأحكام الشيخ أبو جعفر 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السيّد حسن الخرسان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المطبعة خورشید، ط</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الطبع</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توضيح المقال في علم الرجال، الملا علي الكني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مولوي،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البيان في تفسير القرآن، محمد بن عبد الرحمن الشافعي الأيجيّ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حاشية محمد بن عبد الله الغزنوي،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محمد هنداوي،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بيضون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المدارك في شرح المختصر النافع، السيد أحمد الخوانساري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الغفاري،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جواهر الكلام في شرح شرائع الإسلام، الشيخ محمّد حسن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المرتضى العالمية، طبع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الإمام المهدي،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القيومي الأصفهاني،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المقدسة،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أسماء مصنّفي الشيعة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أبو العباس أحمد بن عليّ ابن أحمد بن العباس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موسى الشبيري الزنجاني دام ظله ، ط</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تاريخ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شرح أصول الكافي، المولى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الحسن الشعراني،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عاشور ،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لبنان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مشيخة الفقيه السيد حسن الموسوي الخرسان، المطبوعة في نهاية كتاب من لا يحضره الفقيه، طبع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w:t>
      </w:r>
      <w:r>
        <w:rPr>
          <w:rFonts w:eastAsia="Amiri" w:cs="Amiri" w:ascii="Amiri" w:hAnsi="Amiri"/>
          <w:color w:val="111111"/>
          <w:sz w:val="28"/>
          <w:szCs w:val="28"/>
          <w:lang w:bidi="ar-SA"/>
        </w:rPr>
        <w:t>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 الشيخ محمّد بن علي بن الحسين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منشورات المكتبة الحيدرية ومطبعتها في النجف الأشرف، تاريخ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محمد بن علي بن الحسين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وقدّم له وعلّق عليه العلّامة الشيخ حسين الأعلمي،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الأعلمي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لبنان،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غنائم الأيام في مسائل الحلال والحرام، الميرزا أبو القاسم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 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الحليم الحلّي، السيد جواد الحسيني،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غنية النزوع إلى علمي الأصول والفروع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حمزة بن علي بن زهرة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البهادري ،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تاريخ الطبع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القرآن، قطب الدين أبو الحسين سعيد بن هبة الله الراوندي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السيّد المرعشي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العروة الوثقى، تقرير لأبحاث سماحة آية الله العظمى الشيخ الفياض دام ظله ، بقلم السيّد محمّد الموسوي البكاء،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المطبعة دار الكفيل،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قبسات من علم الرجال، أبحاث السيّد محمد رضا السيستاني، جمعها ونظمها السيّد محمّد البكاء، ط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الشيخ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القواعد، الشيخ الأعظم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الفكر الإسلامي،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الغيبة، الشيخ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عباد الله الطهراني والشيخ عليّ أحمد ناصح،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المعارف الإسلامية،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وإتمام النعمة، الشيخ محمّد بن علي بن الحسين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طليعة النور،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البيان في تفسير القرآن الشيخ أبو علي الفضل بن الحسن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 على تصحيحه وتحقيقه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هاشم الرسولي المحلّاتي،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الأحكام السيّد محمّد بن عليّ الموسوي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المقدّسة،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تاريخ الطبع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المرتقى إلى الفقه الأرقى ، السيد محمد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تقريرات السيد عبد الصاحب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نسخة خطية في مكتبة الإمام الحكيم العامة،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مسالك الأفهام إلى آيات الأحكام الفاضل الجواد الكاظمي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أواسط القرن الحادي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علّق عليه وخرّج أحاديثه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باقر زاده، أشرف على تصحيحه السيّد محمّد تقي الكشفي،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المرتضوية لإحياء الآثار الجعفرية،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المستند في شرح العروة الوثقى، تقرير بحث السيّد أبي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ضمن موسوعة السيد</w:t>
      </w:r>
    </w:p>
    <w:p>
      <w:pPr>
        <w:pStyle w:val="BookText"/>
        <w:rPr/>
      </w:pP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الخوئي الإسلامية،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 السيّد محسن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الهدى،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مشارق الشموس في شرح الدروس، المحقق الأغا حسين بن جمال الدين محمد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المنهاج السيّد محمّد سعيد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الحكمة للثقافة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وتفصيل طبقات الرواة، السيد 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الميزان في تفسير القرآن، السيّد محمد حسين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جوادي آملي، طباعة ونشر وتوزيع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الأضواء،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تاريخ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8927_84325"/>
      <w:bookmarkStart w:id="44" w:name="pg8927_84325"/>
      <w:bookmarkEnd w:id="44"/>
    </w:p>
    <w:p>
      <w:pPr>
        <w:pStyle w:val="Heading2"/>
        <w:numPr>
          <w:ilvl w:val="1"/>
          <w:numId w:val="1"/>
        </w:numPr>
        <w:rPr/>
      </w:pPr>
      <w:bookmarkStart w:id="45" w:name="pg8927_84325"/>
      <w:bookmarkStart w:id="46" w:name="__RefHeading___Toc1279084_2870459653"/>
      <w:bookmarkStart w:id="47" w:name="_Toc14"/>
      <w:bookmarkEnd w:id="45"/>
      <w:bookmarkEnd w:id="46"/>
      <w:r>
        <w:rPr>
          <w:rtl w:val="true"/>
        </w:rPr>
        <w:t>مفطّريّة الارتماس للصائم</w:t>
      </w:r>
      <w:bookmarkEnd w:id="47"/>
    </w:p>
    <w:p>
      <w:pPr>
        <w:pStyle w:val="Heading3"/>
        <w:numPr>
          <w:ilvl w:val="2"/>
          <w:numId w:val="1"/>
        </w:numPr>
        <w:rPr/>
      </w:pPr>
      <w:bookmarkStart w:id="48" w:name="__RefHeading___Toc1279086_2870459653"/>
      <w:bookmarkStart w:id="49" w:name="_Toc15"/>
      <w:bookmarkEnd w:id="48"/>
      <w:r>
        <w:rPr>
          <w:rtl w:val="true"/>
        </w:rPr>
        <w:t>الشيخ حسن البشيري دام عزة</w:t>
      </w:r>
      <w:bookmarkEnd w:id="49"/>
    </w:p>
    <w:p>
      <w:pPr>
        <w:pStyle w:val="BookText"/>
        <w:rPr/>
      </w:pPr>
      <w:r>
        <w:rPr>
          <w:rFonts w:ascii="Amiri" w:hAnsi="Amiri" w:eastAsia="Amiri" w:cs="Amiri"/>
          <w:color w:val="111111"/>
          <w:sz w:val="28"/>
          <w:sz w:val="28"/>
          <w:szCs w:val="28"/>
          <w:rtl w:val="true"/>
          <w:lang w:bidi="ar-SA"/>
        </w:rPr>
        <w:t>إنّ مسألة ارتماس الصائم في الماء من المسائل التي يعمّ بها الابتلاء، وقد اتفقت كلمة العامة على عدم كونه مبطلاً</w:t>
      </w:r>
    </w:p>
    <w:p>
      <w:pPr>
        <w:pStyle w:val="BookText"/>
        <w:rPr/>
      </w:pPr>
      <w:r>
        <w:rPr>
          <w:rFonts w:ascii="Amiri" w:hAnsi="Amiri" w:eastAsia="Amiri" w:cs="Amiri"/>
          <w:color w:val="111111"/>
          <w:sz w:val="28"/>
          <w:sz w:val="28"/>
          <w:szCs w:val="28"/>
          <w:rtl w:val="true"/>
          <w:lang w:bidi="ar-SA"/>
        </w:rPr>
        <w:t>للصوم، أمّا الإماميّة فلهم في ذلك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مبطل للصوم وموجب للقضاء مع الكفارة، وهو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مبطل للصوم وموجب للقضاء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غير مبطل للصوم ، وإنّما هو حرام تكليفاً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كونه مفطّراً ولا حراماً بل هو مكروه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لأدلة تلك الأقوال، ومحاولة لاختيار الأوفق منها</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تعدّ مسألة ارتماس الصائم في الماء من المسائل الابتلائية في شهر رمضان وغيره، خصوصاً في أشهر الحرّ من شهور السنة، وقد وقعت مورداً للخلاف بين الفقهاء قديماً وحديثاً، ولأجل ذلك عقدنا هذا البحث مستعينين بالله سبحانه وتعالى،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إنّ ارتماس الصائم في الماء مبطل الصومه أو لا؟</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الارتماس بما هو هو مبطل للصوم كالأكل والشرب أو ليس كذلك؟</w:t>
      </w:r>
    </w:p>
    <w:p>
      <w:pPr>
        <w:pStyle w:val="BookText"/>
        <w:rPr/>
      </w:pPr>
      <w:r>
        <w:rPr>
          <w:rFonts w:ascii="Amiri" w:hAnsi="Amiri" w:eastAsia="Amiri" w:cs="Amiri"/>
          <w:color w:val="111111"/>
          <w:sz w:val="28"/>
          <w:sz w:val="28"/>
          <w:szCs w:val="28"/>
          <w:rtl w:val="true"/>
          <w:lang w:bidi="ar-SA"/>
        </w:rPr>
        <w:t>وبناءً على كونه مفطّراً وموجباً للقضاء هل يوجب الكفّارة أيضاً أو لا؟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سنجيب عليه في بحثنا هذا إن شاء الله تعالى</w:t>
      </w:r>
      <w:r>
        <w:rPr>
          <w:rFonts w:eastAsia="Amiri" w:cs="Amiri" w:ascii="Amiri" w:hAnsi="Amiri"/>
          <w:color w:val="111111"/>
          <w:sz w:val="28"/>
          <w:szCs w:val="28"/>
          <w:rtl w:val="true"/>
          <w:lang w:bidi="ar-SA"/>
        </w:rPr>
        <w:t xml:space="preserve">. </w:t>
      </w:r>
      <w:bookmarkStart w:id="50" w:name="pg8927_84328"/>
    </w:p>
    <w:p>
      <w:pPr>
        <w:pStyle w:val="Heading3"/>
        <w:numPr>
          <w:ilvl w:val="2"/>
          <w:numId w:val="1"/>
        </w:numPr>
        <w:rPr/>
      </w:pPr>
      <w:bookmarkStart w:id="51" w:name="__RefHeading___Toc1279088_2870459653"/>
      <w:bookmarkStart w:id="52" w:name="_Toc16"/>
      <w:bookmarkEnd w:id="50"/>
      <w:bookmarkEnd w:id="51"/>
      <w:r>
        <w:rPr>
          <w:rtl w:val="true"/>
        </w:rPr>
        <w:t>أقوال الفقهاء</w:t>
      </w:r>
      <w:bookmarkEnd w:id="52"/>
    </w:p>
    <w:p>
      <w:pPr>
        <w:pStyle w:val="BookText"/>
        <w:rPr/>
      </w:pPr>
      <w:r>
        <w:rPr>
          <w:rFonts w:ascii="Amiri" w:hAnsi="Amiri" w:eastAsia="Amiri" w:cs="Amiri"/>
          <w:color w:val="111111"/>
          <w:sz w:val="28"/>
          <w:sz w:val="28"/>
          <w:szCs w:val="28"/>
          <w:rtl w:val="true"/>
          <w:lang w:bidi="ar-SA"/>
        </w:rPr>
        <w:t>ذهب الجمهور قاطبةً إلى أنّ ارتماس الصائم في الماء ليس مبطلاً لصومه</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ذهب الحنابلة إلى كراهته فقط</w:t>
      </w:r>
      <w:r>
        <w:rPr>
          <w:rStyle w:val="FootnoteAnchor"/>
          <w:rtl w:val="true"/>
        </w:rPr>
        <w:footnoteReference w:id="130"/>
      </w:r>
      <w:r>
        <w:rPr>
          <w:rFonts w:ascii="IRNazanin" w:hAnsi="IRNazanin" w:eastAsia="IRNazanin"/>
          <w:color w:val="111111"/>
          <w:sz w:val="28"/>
          <w:sz w:val="28"/>
          <w:szCs w:val="28"/>
          <w:rtl w:val="true"/>
          <w:lang w:bidi="fa-IR"/>
        </w:rPr>
        <w:t>، قال في المجموع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ويجوز للصائم أن ينزل الماء ويغطس فيه؛ لما روى أبو بكر بن عبد الرحمن بن الحارث بن هشام،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من رأى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يوم صائف يصبّ على رأسه الماء من شدّة الحرّ والعطش وهو صائم</w:t>
      </w:r>
      <w:r>
        <w:rPr>
          <w:rFonts w:eastAsia="IRNazanin" w:cs="IRNazanin"/>
          <w:color w:val="111111"/>
          <w:sz w:val="28"/>
          <w:szCs w:val="28"/>
          <w:rtl w:val="true"/>
          <w:lang w:bidi="fa-IR"/>
        </w:rPr>
        <w:t>)</w:t>
      </w:r>
      <w:r>
        <w:rPr>
          <w:rStyle w:val="FootnoteAnchor"/>
          <w:rtl w:val="true"/>
        </w:rPr>
        <w:footnoteReference w:id="131"/>
      </w:r>
      <w:r>
        <w:rPr>
          <w:rFonts w:ascii="Amiri" w:hAnsi="Amiri" w:eastAsia="Amiri" w:cs="Amiri"/>
          <w:color w:val="111111"/>
          <w:sz w:val="28"/>
          <w:sz w:val="28"/>
          <w:szCs w:val="28"/>
          <w:rtl w:val="true"/>
          <w:lang w:bidi="ar-SA"/>
        </w:rPr>
        <w:t>، ونحوه في فتح العزيز</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فقهاؤنا فقد اختلفوا إلى أقوال متعدّدة كما يلي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المشهور بين القدماء من أنّ الارتماس مبطل للصوم، وموجب للقضاء والكفّارة معاً، بل ادّعى السيّد المرتضى الإجماع عليه، فقال في الانتصار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انفردت به الإمامية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وافقتها فيه على بعض من الوجوه قوم من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إفسادهم الصوم بالارتماس في الماء، واعتماد الكذب على الله وعلى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وإيجابهم بذلك ما يجب في اعتماد الأكل والشرب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وحكي عن مالك كراهية الارتماس في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والحجّة فيما ذهبوا إليه إجماع الطائفة، وطريقة الاحتياط، واليقين ببراءة الذمة من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الوجه في المنع من الارتماس أنّ الماء يصل معه إلى الجوف لا محالة من المخارق التي لا يمكن ضبطها، فجعل ما هو الغالب في حكم الواقع</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الرأي هو الموجود في 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 وإليه ذهب الصدوقان الأب والابن، والمفيد، والشيخ في كتبه الفقهيّة، والقاضي ابن البراج، وابن زهرة الحلبي</w:t>
      </w:r>
      <w:r>
        <w:rPr>
          <w:rStyle w:val="FootnoteAnchor"/>
          <w:rtl w:val="true"/>
        </w:rPr>
        <w:footnoteReference w:id="135"/>
      </w:r>
      <w:r>
        <w:rPr>
          <w:rFonts w:ascii="Amiri" w:hAnsi="Amiri" w:eastAsia="Amiri" w:cs="Amiri"/>
          <w:color w:val="111111"/>
          <w:sz w:val="28"/>
          <w:sz w:val="28"/>
          <w:szCs w:val="28"/>
          <w:rtl w:val="true"/>
          <w:lang w:bidi="ar-SA"/>
        </w:rPr>
        <w:t>، ونسبه الشهيد الأوّل في الدروس إلى المشهور</w:t>
      </w:r>
      <w:r>
        <w:rPr>
          <w:rStyle w:val="FootnoteAnchor"/>
          <w:rtl w:val="true"/>
        </w:rPr>
        <w:footnoteReference w:id="136"/>
      </w:r>
      <w:r>
        <w:rPr>
          <w:rFonts w:ascii="Amiri" w:hAnsi="Amiri" w:eastAsia="Amiri" w:cs="Amiri"/>
          <w:color w:val="111111"/>
          <w:sz w:val="28"/>
          <w:sz w:val="28"/>
          <w:szCs w:val="28"/>
          <w:rtl w:val="true"/>
          <w:lang w:bidi="ar-SA"/>
        </w:rPr>
        <w:t>، وهو رأي صاحب الجواهر</w:t>
      </w:r>
      <w:r>
        <w:rPr>
          <w:rStyle w:val="FootnoteAnchor"/>
          <w:rtl w:val="true"/>
        </w:rPr>
        <w:footnoteReference w:id="137"/>
      </w:r>
      <w:r>
        <w:rPr>
          <w:rFonts w:ascii="Amiri" w:hAnsi="Amiri" w:eastAsia="Amiri" w:cs="Amiri"/>
          <w:color w:val="111111"/>
          <w:sz w:val="28"/>
          <w:sz w:val="28"/>
          <w:szCs w:val="28"/>
          <w:rtl w:val="true"/>
          <w:lang w:bidi="ar-SA"/>
        </w:rPr>
        <w:t>، والسيد اليزدي</w:t>
      </w:r>
      <w:r>
        <w:rPr>
          <w:rStyle w:val="FootnoteAnchor"/>
          <w:rtl w:val="true"/>
        </w:rPr>
        <w:footnoteReference w:id="138"/>
      </w:r>
      <w:r>
        <w:rPr>
          <w:rFonts w:ascii="Amiri" w:hAnsi="Amiri" w:eastAsia="Amiri" w:cs="Amiri"/>
          <w:color w:val="111111"/>
          <w:sz w:val="28"/>
          <w:sz w:val="28"/>
          <w:szCs w:val="28"/>
          <w:rtl w:val="true"/>
          <w:lang w:bidi="ar-SA"/>
        </w:rPr>
        <w:t>، وغيرهم من المتقدمين والمتأخرين والمعاصرين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فيه دعويان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الارتماس مبطلاً للصوم، فيوجب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موجباً للكفّارة، وستجيء الإشارة إلى دليل كلتا الدعويين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الارتماس مبطل للصوم، ويوجب القضاء دون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رأي قليل من الفقهاء، كأبي الصلاح الحلبي، والشهيد الأوّل في اللمعة</w:t>
      </w:r>
      <w:r>
        <w:rPr>
          <w:rStyle w:val="FootnoteAnchor"/>
          <w:rtl w:val="true"/>
        </w:rPr>
        <w:footnoteReference w:id="139"/>
      </w:r>
      <w:r>
        <w:rPr>
          <w:rFonts w:ascii="Amiri" w:hAnsi="Amiri" w:eastAsia="Amiri" w:cs="Amiri"/>
          <w:color w:val="111111"/>
          <w:sz w:val="28"/>
          <w:sz w:val="28"/>
          <w:szCs w:val="28"/>
          <w:rtl w:val="true"/>
          <w:lang w:bidi="ar-SA"/>
        </w:rPr>
        <w:t>، وغيرهما ممن منع من إطلاق وجوب الكفّارة لكل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الارتماس غير مبطل للصوم ، لكنّه حرام حرمة تكليفية فقط</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الرأي نسبه العلّامة في المختلف إلى ابن أبي عقيل</w:t>
      </w:r>
      <w:r>
        <w:rPr>
          <w:rStyle w:val="FootnoteAnchor"/>
          <w:rtl w:val="true"/>
        </w:rPr>
        <w:footnoteReference w:id="140"/>
      </w:r>
      <w:r>
        <w:rPr>
          <w:rFonts w:ascii="Amiri" w:hAnsi="Amiri" w:eastAsia="Amiri" w:cs="Amiri"/>
          <w:color w:val="111111"/>
          <w:sz w:val="28"/>
          <w:sz w:val="28"/>
          <w:szCs w:val="28"/>
          <w:rtl w:val="true"/>
          <w:lang w:bidi="ar-SA"/>
        </w:rPr>
        <w:t xml:space="preserve">، واختاره السيد المرتضى </w:t>
      </w:r>
    </w:p>
    <w:p>
      <w:pPr>
        <w:pStyle w:val="BookText"/>
        <w:rPr/>
      </w:pPr>
      <w:r>
        <w:rPr>
          <w:rFonts w:ascii="Amiri" w:hAnsi="Amiri" w:eastAsia="Amiri" w:cs="Amiri"/>
          <w:color w:val="111111"/>
          <w:sz w:val="28"/>
          <w:sz w:val="28"/>
          <w:szCs w:val="28"/>
          <w:rtl w:val="true"/>
          <w:lang w:bidi="ar-SA"/>
        </w:rPr>
        <w:t>في جمل العلم والعمل</w:t>
      </w:r>
      <w:r>
        <w:rPr>
          <w:rStyle w:val="FootnoteAnchor"/>
          <w:rtl w:val="true"/>
        </w:rPr>
        <w:footnoteReference w:id="141"/>
      </w:r>
      <w:r>
        <w:rPr>
          <w:rFonts w:ascii="Amiri" w:hAnsi="Amiri" w:eastAsia="Amiri" w:cs="Amiri"/>
          <w:color w:val="111111"/>
          <w:sz w:val="28"/>
          <w:sz w:val="28"/>
          <w:szCs w:val="28"/>
          <w:rtl w:val="true"/>
          <w:lang w:bidi="ar-SA"/>
        </w:rPr>
        <w:t>،كما أنه الرأي المعروف من لدن ابن إدريس الحلّي والمحقق والفاضل الآبي والعلّامة والشهيد الثاني</w:t>
      </w:r>
      <w:r>
        <w:rPr>
          <w:rStyle w:val="FootnoteAnchor"/>
          <w:rtl w:val="true"/>
        </w:rPr>
        <w:footnoteReference w:id="142"/>
      </w:r>
      <w:r>
        <w:rPr>
          <w:rFonts w:ascii="Amiri" w:hAnsi="Amiri" w:eastAsia="Amiri" w:cs="Amiri"/>
          <w:color w:val="111111"/>
          <w:sz w:val="28"/>
          <w:sz w:val="28"/>
          <w:szCs w:val="28"/>
          <w:rtl w:val="true"/>
          <w:lang w:bidi="ar-SA"/>
        </w:rPr>
        <w:t>، بل نسبه العلّامة في التحرير إلى الشيخ في الاستبصار</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الموجود في الاستبصار لا يوحي بذلك؛ لأنّه ذكر أوّلاً الأخبار المانعة من الارتماس، ثُمّ ذكر خبر عبد الله بن سنان وإسحاق بن عمار المنافيين 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فالوجه في هذين الخبرين وما جرى مجراهما أن نحمله على ضرب من التقية؛ لأنّ ذلك موافق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ذلك مختصاً بإسقاط الكفّارة وإن كان الفعل محظوراً؛ لأنّه لا يمتنع أن يكون الفعل محظوراً لا يجوز ارتكابه، وإن لم يوجب القضاء والكفّارة، ولست أعرف حديثاً في إيجاب القضاء والكفّارة أو إيجاب أحدهما على من ارتمس في الماء</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يظهر من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اختياره هذا القول في هذا الكتاب، وإنّما ذكره كوجه ممكن للجمع بين تلك الأخبار المتعارضة ظاهراً،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ولست أعرف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الحديث الذي يكون نصاً صريحاً في ذلك، على أنّ الدليل غير منحصر بالحديث، فقد يكون الإجماع، كما نبه عليه وتمسّك به في الخلاف</w:t>
      </w:r>
      <w:r>
        <w:rPr>
          <w:rStyle w:val="FootnoteAnchor"/>
          <w:rtl w:val="true"/>
        </w:rPr>
        <w:footnoteReference w:id="145"/>
      </w:r>
      <w:r>
        <w:rPr>
          <w:rFonts w:ascii="Amiri" w:hAnsi="Amiri" w:eastAsia="Amiri" w:cs="Amiri"/>
          <w:color w:val="111111"/>
          <w:sz w:val="28"/>
          <w:sz w:val="28"/>
          <w:szCs w:val="28"/>
          <w:rtl w:val="true"/>
          <w:lang w:bidi="ar-SA"/>
        </w:rPr>
        <w:t>، فنفيه للحديث الدال على المفطّرية لا يعني الالتزام بعدمها</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هذا القول السيد أبو الحسن الأصفهاني، والسيد أحمد الخوانساري، </w:t>
      </w:r>
      <w:bookmarkStart w:id="53" w:name="pg8927_84331"/>
    </w:p>
    <w:p>
      <w:pPr>
        <w:pStyle w:val="BookText"/>
        <w:rPr/>
      </w:pPr>
      <w:bookmarkEnd w:id="53"/>
      <w:r>
        <w:rPr>
          <w:rFonts w:ascii="Amiri" w:hAnsi="Amiri" w:eastAsia="Amiri" w:cs="Amiri"/>
          <w:color w:val="111111"/>
          <w:sz w:val="28"/>
          <w:sz w:val="28"/>
          <w:szCs w:val="28"/>
          <w:rtl w:val="true"/>
          <w:lang w:bidi="ar-SA"/>
        </w:rPr>
        <w:t>والشيخ محمد رضا آل 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 فإنّهم توقفوا في مفطريّة الارتماس للصائم، وجزموا بحرمته تكليفاً</w:t>
      </w:r>
    </w:p>
    <w:p>
      <w:pPr>
        <w:pStyle w:val="BookText"/>
        <w:rPr/>
      </w:pPr>
      <w:r>
        <w:rPr>
          <w:rFonts w:ascii="Amiri" w:hAnsi="Amiri" w:eastAsia="Amiri" w:cs="Amiri"/>
          <w:color w:val="111111"/>
          <w:sz w:val="28"/>
          <w:sz w:val="28"/>
          <w:szCs w:val="28"/>
          <w:rtl w:val="true"/>
          <w:lang w:bidi="ar-SA"/>
        </w:rPr>
        <w:t xml:space="preserve">القول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الارتماس غير مفطر، ولا حرام أثناءه، بل هو مكروه فقط، وقد تبناه الشيخ علي ابن الشيخ باقر الجواهري، والشيخ محمّد حسين كاشف الغطاء</w:t>
      </w:r>
      <w:r>
        <w:rPr>
          <w:rStyle w:val="FootnoteAnchor"/>
          <w:rtl w:val="true"/>
        </w:rPr>
        <w:footnoteReference w:id="147"/>
      </w:r>
      <w:r>
        <w:rPr>
          <w:rFonts w:ascii="Amiri" w:hAnsi="Amiri" w:eastAsia="Amiri" w:cs="Amiri"/>
          <w:color w:val="111111"/>
          <w:sz w:val="28"/>
          <w:sz w:val="28"/>
          <w:szCs w:val="28"/>
          <w:rtl w:val="true"/>
          <w:lang w:bidi="ar-SA"/>
        </w:rPr>
        <w:t>، وغيرهما من الفقهاء المعاصرين</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1279090_2870459653"/>
      <w:bookmarkStart w:id="55" w:name="_Toc17"/>
      <w:bookmarkEnd w:id="54"/>
      <w:r>
        <w:rPr>
          <w:rtl w:val="true"/>
        </w:rPr>
        <w:t>أدلّة الأقوال</w:t>
      </w:r>
      <w:bookmarkEnd w:id="55"/>
    </w:p>
    <w:p>
      <w:pPr>
        <w:pStyle w:val="Heading4"/>
        <w:numPr>
          <w:ilvl w:val="3"/>
          <w:numId w:val="1"/>
        </w:numPr>
        <w:rPr/>
      </w:pPr>
      <w:bookmarkStart w:id="56" w:name="__RefHeading___Toc1279092_2870459653"/>
      <w:bookmarkStart w:id="57" w:name="_Toc18"/>
      <w:bookmarkEnd w:id="56"/>
      <w:r>
        <w:rPr>
          <w:rtl w:val="true"/>
        </w:rPr>
        <w:t>أدلّة القول الأوّل</w:t>
      </w:r>
      <w:bookmarkEnd w:id="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مفطّريّة الارتماس وإيجابه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قلنا سابقاً إنّ هذا القول فيه دعويان، لا بدّ من إقامة الدليل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الارتماس مفطّر ، فيجب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القضاء يوجب الكفّارة كالأكل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الدعوى الأولى فيمكن أن يستدلّ لها بأربعة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أهمها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تمسّك به بعض الأعلام من الإجماع المدّعى في كلام السيّد المرتضى في الانتصار، والشيخ الطوسي في الخلاف</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غير متحقق ؛ فإنّ السيّد نفسه قد خالفه في بعض مؤلّفاته،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ألحق قوم من أصحابنا بما ذكرناه في وجوب القضاء والكفّارة اعتماد الكذب على الله تعالى وعلى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والارتماس في الماء، والحقنة، والتعمّد للقيء والسعوط، وبلع ما لا يؤكل كالحصى وغيره، وقال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ذلك ينقض الصوم وإن لم يبطله ، وهو أشبه</w:t>
      </w:r>
      <w:r>
        <w:rPr>
          <w:rFonts w:eastAsia="IRNazanin" w:cs="IRNazanin"/>
          <w:color w:val="111111"/>
          <w:sz w:val="28"/>
          <w:szCs w:val="28"/>
          <w:rtl w:val="true"/>
          <w:lang w:bidi="fa-IR"/>
        </w:rPr>
        <w:t>)</w:t>
      </w:r>
      <w:r>
        <w:rPr>
          <w:rStyle w:val="FootnoteAnchor"/>
          <w:rtl w:val="true"/>
        </w:rPr>
        <w:footnoteReference w:id="149"/>
      </w:r>
      <w:r>
        <w:rPr>
          <w:rFonts w:ascii="Amiri" w:hAnsi="Amiri" w:eastAsia="Amiri" w:cs="Amiri"/>
          <w:color w:val="111111"/>
          <w:sz w:val="28"/>
          <w:sz w:val="28"/>
          <w:szCs w:val="28"/>
          <w:rtl w:val="true"/>
          <w:lang w:bidi="ar-SA"/>
        </w:rPr>
        <w:t>، وقال الشيخ الطوسي عند عده للمفطرات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والارتماس في الماء على أظهر الروايات، وفي أصحابنا من قال إنّه لا يفطر</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عن المختلف نسبة القول بعدم المفطرية إلى ابن عقيل، هذا ما كان عليه القدماء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المتأخّرون عنهم فالمشهور بينهم خلاف هذا القول، كما تقدّمت الإشارة إلى بعض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أنّه لا يوجد إجماع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تحقق الإجماع فهو مدركي أو محتمل المدركية،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بالشهرة الفتوائية بين القدماء على مفطرية 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حجّيّة تلك الشهرة، كما حُقّق في محلّه من علم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الحكم المذكور ورد في فقه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فهو مقطوع السند والمصدر والدلالة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المقطوع به أنّ الكتاب المذكور ليس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مؤلّفه شخص آخر، إما الشلمغاني، أو الصدوق الأب، أو غيرهما، كما حقق في محلّه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وهي كالتالي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 الصائم ما صنع إذا اجتنب ثلاث</w:t>
      </w:r>
      <w:r>
        <w:rPr>
          <w:rStyle w:val="FootnoteAnchor"/>
          <w:rtl w:val="true"/>
        </w:rPr>
        <w:footnoteReference w:id="151"/>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والشراب، والنساء، والارتماس في الماء</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كالصريحة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الارتماس مبطل للصوم؛ لأنّ الضرر الذي يلحق الصائم بالارتماس ظاهر في كونه ضرراً يلحق بصومه، وهو الفساد، لا بما هو مكلّف صائم بحيث يكون آثماً ومرتكباً لحرام، خصوصاً مع وروده مع الأكل والشرب والنساء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صحيحته الأخرى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يستنقع في الماء، ويصبّ على رأسه، ويتبرّد بالثوب، وينضح بالمروحة وينضح البوريا تحته، ولا يغمس رأسه في الماء</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أيضاً ظاهرة في فساد الصوم بالارتماس؛ لأنّ النهي عن شيء في العبادات المركبة ظاهر في الإرشاد إلى المانعيّة، خصوصاً مع ذكر جواز الاستنقاع وما بعده الظاهر في الجواز الوضعي لا التكليفي، فيكون النهي ظاهراً في الوضعي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الرواية 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يعقوب بن شعيب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يرتمس المحرم في الماء ولا الصائم</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وهي كسابقتها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ارتماس المحرم في الماء نهي تكليفي، فيكون كذلك بالنسبة للصائم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الإنصاف إمكان التفكيك بين النهيين عرفاً بأن يكون أحدهما تكليفياً صرفاً والآخر وضعياً، خصوصاً بعد كون القرينة بالنسبة للإحرام خارجية لا داخلية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الحلبي،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الصائم يستنقع في الماء ولا يرمس رأسه</w:t>
      </w:r>
      <w:r>
        <w:rPr>
          <w:rFonts w:eastAsia="IRNazanin" w:cs="IRNazanin"/>
          <w:color w:val="111111"/>
          <w:sz w:val="28"/>
          <w:szCs w:val="28"/>
          <w:rtl w:val="true"/>
          <w:lang w:bidi="fa-IR"/>
        </w:rPr>
        <w:t>)</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يرتمس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حريز أو مرسلته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أنّه لا يروي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يرتمس الصائم ولا المحرم رأسه في الماء</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 وفي التهذيب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يرمس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حنان بن سدير بطريق الصدوق في الفقيه، أنّه سأل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عن الصائم يستنقع في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ولكن لا يغمس، والمرأة لا تستنقع في الماء؛ لأنها تحمل الماء بقبلها</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أظهر من بعض الروايات السابقة في فساد الصوم بالارتماس؛ لوجود السؤال فيه الظاهر في الحكم الوضعي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الرواية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مثنّى الحنّاط و الحسن الصيقل</w:t>
      </w:r>
      <w:r>
        <w:rPr>
          <w:rStyle w:val="FootnoteAnchor"/>
          <w:rtl w:val="true"/>
        </w:rPr>
        <w:footnoteReference w:id="15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الصائم يرتمس في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وسألته عن الصائم يلبس </w:t>
      </w:r>
    </w:p>
    <w:p>
      <w:pPr>
        <w:pStyle w:val="BookText"/>
        <w:rPr/>
      </w:pPr>
      <w:r>
        <w:rPr>
          <w:rFonts w:ascii="IRNazanin" w:hAnsi="IRNazanin" w:eastAsia="IRNazanin"/>
          <w:color w:val="111111"/>
          <w:sz w:val="28"/>
          <w:sz w:val="28"/>
          <w:szCs w:val="28"/>
          <w:rtl w:val="true"/>
          <w:lang w:bidi="fa-IR"/>
        </w:rPr>
        <w:t>الثوب المبلول؟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ظاهرة في فساد الصوم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لكنّها ضعيفة بالإرسال، وسهل بن زياد، بل وبالحسن الصيقل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الرواية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مرفوعة محمّد بن خالد البرقي،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 أشياء تفطّر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الأكل، والشرب، والجماع، والارتماس في الماء، والكذب على الله وعلى رسوله وعلى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مع صراحتها في المطلوب ضعيفة بالرفع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في رسالة المحكم والمتشابه نقلاً من تفسير النعماني بإسناده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حدود الصوم فأربعة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الأكل والشرب،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النكاح،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القيء متعمداً، والرابع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الاعتماس في الماء</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لكنّها ضعيفة السند جدّاً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الرواية العاشرة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الحميري، عن محمد بن خالد الطيالسي، 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يدخل الصائم رأسه في الماء؟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المحرم</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فيها من ناحية السند من جهة الطيالسي؛ لأنّه لم يوثق وإن روى عنه بعض </w:t>
      </w:r>
    </w:p>
    <w:p>
      <w:pPr>
        <w:pStyle w:val="BookText"/>
        <w:rPr/>
      </w:pPr>
      <w:r>
        <w:rPr>
          <w:rFonts w:ascii="Amiri" w:hAnsi="Amiri" w:eastAsia="Amiri" w:cs="Amiri"/>
          <w:color w:val="111111"/>
          <w:sz w:val="28"/>
          <w:sz w:val="28"/>
          <w:szCs w:val="28"/>
          <w:rtl w:val="true"/>
          <w:lang w:bidi="ar-SA"/>
        </w:rPr>
        <w:t>الأجلّة مثل سعد بن عبد الله، وعلي بن إبراهيم، والحميري، ومحمد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وثاقة كلّ من ذكر في كامل الزيارات تثبت وثاقته؛ لأنّ له رواية فيه</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المبنى المذكور غير تام، كما حقق في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الروايات التي الروايات التي تدلّ على فساد الصوم مطلقاً بالارتماس، وعلى وجوب القضاء أيضاً إذا وقع الارتماس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الكفّارة فتحتاج إلى دليل آخر غير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أقصى ما يثبت بتلك الروايات هو فساد الصوم، ولا ملازمة بينه وبين وجوب القضاء، فإنّ المعيّن بزمان خاص قد يفسد الواجب بفقدان شرط فيه أو وجود مانع له، ولكن لا يجب قضاؤه بعد ذلك، كما هو في مثل النذر المتعلّق بعمل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خاص ، كالزيارة والصدقة عند بعض الأعلام</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لا ملازمة عقليّة ولا عرفيّة بين الأمرين، لكن هناك ملازمة شرعيّة بين فساد صوم رمضان وبين وجوب قضائه، قد دلّ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الارتكاز الفقهي</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مثل رواية المشرقي عن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أفطر من شهر رمضان أياماً متعمّداً ما عليه من الكفّارة؟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أفطر يوماً من شهر رمضان متعمّداً فعليه عتق رقبة مؤمنة، ويصوم يوماً بدل يوم</w:t>
      </w:r>
      <w:r>
        <w:rPr>
          <w:rFonts w:eastAsia="IRNazanin" w:cs="IRNazanin"/>
          <w:color w:val="111111"/>
          <w:sz w:val="28"/>
          <w:szCs w:val="28"/>
          <w:rtl w:val="true"/>
          <w:lang w:bidi="fa-IR"/>
        </w:rPr>
        <w:t>)</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ورواية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أفطر يوماً من شهر رمضان متعمّداً؟ قال</w:t>
      </w:r>
      <w:r>
        <w:rPr>
          <w:rFonts w:eastAsia="Amiri" w:cs="Amiri" w:ascii="Amiri" w:hAnsi="Amiri"/>
          <w:color w:val="111111"/>
          <w:sz w:val="28"/>
          <w:szCs w:val="28"/>
          <w:rtl w:val="true"/>
          <w:lang w:bidi="ar-SA"/>
        </w:rPr>
        <w:t xml:space="preserve">: </w:t>
      </w:r>
      <w:bookmarkStart w:id="58" w:name="pg8927_84337"/>
    </w:p>
    <w:p>
      <w:pPr>
        <w:pStyle w:val="BookText"/>
        <w:rPr/>
      </w:pPr>
      <w:bookmarkEnd w:id="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بعشرين صاعاً ويقضي مكانه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بالنسبة إلى الدعوى الأولى من هذا القول، وهو وجوب القضاء بالارتماس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الدعوى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الكفّارة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فتدل عليها إطلاقات روايات وجوب الكفّارة ، وقد أشرنا إلى اثنين منها</w:t>
      </w:r>
      <w:r>
        <w:rPr>
          <w:rStyle w:val="FootnoteAnchor"/>
          <w:rtl w:val="true"/>
        </w:rPr>
        <w:footnoteReference w:id="167"/>
      </w:r>
      <w:r>
        <w:rPr>
          <w:rFonts w:ascii="IRNazanin" w:hAnsi="IRNazanin" w:eastAsia="IRNazanin"/>
          <w:color w:val="111111"/>
          <w:sz w:val="28"/>
          <w:sz w:val="28"/>
          <w:szCs w:val="28"/>
          <w:rtl w:val="true"/>
          <w:lang w:bidi="fa-IR"/>
        </w:rPr>
        <w:t>، وإليك الثالثة التي هي صحيحة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رجل أفطر من شهر رمضان متعمّداً يوماً واحداً من غير عذر،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 نسمة أو يصوم شهرين متتابعين أو يطعم ستين مسكيناً، فإن لم يقدر تصدّق بما يطيق</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1279094_2870459653"/>
      <w:bookmarkStart w:id="60" w:name="_Toc19"/>
      <w:bookmarkEnd w:id="59"/>
      <w:r>
        <w:rPr>
          <w:rtl w:val="true"/>
        </w:rPr>
        <w:t>دليل القول الثاني</w:t>
      </w:r>
      <w:bookmarkEnd w:id="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القضاء دون الكفّارة بالارتماس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القضاء فدليله ما تقدّم في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عدم وجوب الكفّارة فبدعوى عدم الدليل عليها، فنرجع إلى أصل البراءة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وجود الدليل على الكفّارة، وهو ما أشرنا إليه قبل قليل من الروايات المطلقة الشاملة للإفطار بالارتماس وغيره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دعوى أنّ المراد بالإفطار فيها الإفطار بالأكل والشرب دون غيرهما غير مسموعة؛ لأنّ أصل الفطر الشق، ومنه سمّي إفساد الصوم إفطاراً باعتبار ما للصوم من الهيئة </w:t>
      </w:r>
      <w:bookmarkStart w:id="61" w:name="pg8927_84338"/>
    </w:p>
    <w:p>
      <w:pPr>
        <w:pStyle w:val="BookText"/>
        <w:rPr/>
      </w:pPr>
      <w:bookmarkEnd w:id="61"/>
      <w:r>
        <w:rPr>
          <w:rFonts w:ascii="Amiri" w:hAnsi="Amiri" w:eastAsia="Amiri" w:cs="Amiri"/>
          <w:color w:val="111111"/>
          <w:sz w:val="28"/>
          <w:sz w:val="28"/>
          <w:szCs w:val="28"/>
          <w:rtl w:val="true"/>
          <w:lang w:bidi="ar-SA"/>
        </w:rPr>
        <w:t>الاتصاليّة، فما يقع فيه من مفسدات له يهدم ويشقّ تلك الهيئة الاتصالية، ولذلك قال 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الفطر ترك الصوم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يدل على ذلك ما ورد في الروايات من إطلاق الإفطار على الكذب على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و على الجماع</w:t>
      </w:r>
      <w:r>
        <w:rPr>
          <w:rStyle w:val="FootnoteAnchor"/>
          <w:rtl w:val="true"/>
        </w:rPr>
        <w:footnoteReference w:id="171"/>
      </w:r>
      <w:r>
        <w:rPr>
          <w:rFonts w:ascii="Amiri" w:hAnsi="Amiri" w:eastAsia="Amiri" w:cs="Amiri"/>
          <w:color w:val="111111"/>
          <w:sz w:val="28"/>
          <w:sz w:val="28"/>
          <w:szCs w:val="28"/>
          <w:rtl w:val="true"/>
          <w:lang w:bidi="ar-SA"/>
        </w:rPr>
        <w:t>، بل على الارتماس أيضاً كما تقدّم في مرفوعة البرقي، فالإفطار في لسان الروايات وعرف المتشرّعة هو مطلق إفساد الصوم وإبطاله بأي شيء كان</w:t>
      </w:r>
    </w:p>
    <w:p>
      <w:pPr>
        <w:pStyle w:val="Heading4"/>
        <w:numPr>
          <w:ilvl w:val="3"/>
          <w:numId w:val="1"/>
        </w:numPr>
        <w:rPr/>
      </w:pPr>
      <w:bookmarkStart w:id="62" w:name="__RefHeading___Toc1279096_2870459653"/>
      <w:bookmarkStart w:id="63" w:name="_Toc20"/>
      <w:bookmarkEnd w:id="62"/>
      <w:r>
        <w:rPr>
          <w:rtl w:val="true"/>
        </w:rPr>
        <w:t>أدلّة القول الثالث</w:t>
      </w:r>
      <w:bookmarkEnd w:id="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الارتماس تكليفاً من دون فساد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عن الارتماس الوارد في الروايات المتقدمة ظاهر في الحرمة التكليفية شأنه شأن سائر النواهي، ولا موجب لرفع اليد عن هذا الظهور، فيكون الارتماس حراماً، ولا دليل على إفساد الصوم ووجوب القضاء فقط أو مع الكفّارة</w:t>
      </w:r>
      <w:r>
        <w:rPr>
          <w:rFonts w:eastAsia="Amiri" w:cs="Amiri" w:ascii="Amiri" w:hAnsi="Amiri"/>
          <w:color w:val="111111"/>
          <w:sz w:val="28"/>
          <w:szCs w:val="28"/>
          <w:rtl w:val="true"/>
          <w:lang w:bidi="ar-SA"/>
        </w:rPr>
        <w:t xml:space="preserve">&amp; </w:t>
      </w:r>
      <w:r>
        <w:rPr>
          <w:rFonts w:ascii="Amiri" w:hAnsi="Amiri" w:eastAsia="Amiri" w:cs="Amiri"/>
          <w:color w:val="111111"/>
          <w:sz w:val="28"/>
          <w:sz w:val="28"/>
          <w:szCs w:val="28"/>
          <w:rtl w:val="true"/>
          <w:lang w:bidi="ar-SA"/>
        </w:rPr>
        <w:t>فنرجع إلى أصل البراءة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وإن كان له ظهور أوّلي في الحرمة التكليفية لكن له ظهور ثانوي في الإرشاد إلى فساد العمل وبطلانه إذا تعلّق بالمركبات العباديّة والمعامليّة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للنهي حينئذ ظهور في مانعيّة متعلّقه عن صحة العمل وتمامه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الروايات المتقدّمة لم ترد بصيغة النهي حتى تحمل على الحرمة </w:t>
      </w:r>
    </w:p>
    <w:p>
      <w:pPr>
        <w:pStyle w:val="BookText"/>
        <w:rPr/>
      </w:pPr>
      <w:r>
        <w:rPr>
          <w:rFonts w:ascii="Amiri" w:hAnsi="Amiri" w:eastAsia="Amiri" w:cs="Amiri"/>
          <w:color w:val="111111"/>
          <w:sz w:val="28"/>
          <w:sz w:val="28"/>
          <w:szCs w:val="28"/>
          <w:rtl w:val="true"/>
          <w:lang w:bidi="ar-SA"/>
        </w:rPr>
        <w:t>التكليفية، بل وردت بما هو ظاهر في فساد الصوم بالارتماس، من قبيل صحيحة محمد بن مسلم ومرفوعة البرقي، بل حتى صحيحة ابن مسلم الأخرى، وموثقة حنان بن سدير، فإنهما وإن وردتا بصيغة النهي لكنّهما بقرينة السؤال، وتجويز بعض الأمور على الصائم ظاهرتان في مبطليّة الارتماس للصوم، كما أشرنا سابقاً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صائم ارتمس في الماء متعمّداً عليه قضاء ذلك اليوم؟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عليه قضاء، ولا يعودن</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فإنّها صريحة في نفي القضاء، وكذلك الكفّارة بالأولويّة القطعية، وظاهرة في حرمة الارتماس تكليفاً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فالصوم صحيح لكن الارتماس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أجيب عن هذه الرواية بعدة أجوبة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يقال من أنّ مورد الموثّقة هو فيما إذا كان الصائم جاهلاً بحرمة الارتماس، أعني فساد الصوم به؛ إذ لا داعي للسؤال عن وجوب القضاء مع العلم بفساد الصوم بالارتماس، وأمّا تلك الروايات الناهية عنه فهي مطلقة وتشمل حالتي العلم بالحرمة والجهل بها، فتقيّد بهذه الموثقة، والنتيجة هي وجوب القضاء مع العلم بحرمة الارتماس وعدم وجوبه مع الجهل بها</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المشهور عدم اعتبار العلم بمبطليّة المفطرات للصوم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لا وجه لحمل الموثّقة على من كان جاهلاً ببطلان الصوم بالارتماس ؛ لأنها تشمل حالتي العلم والجهل بالبطلان، لأنّ السؤال عن وجوب القضاء وعدمه، وليس بطلان الصوم حتى يقال لا وجه للسؤال مع العلم به، وليس لازم العلم بمفطريّة الارتماس للصوم العلم بوجوب القضاء عليه؛ لإمكان الانفكاك بينهما عرفاً وشرعاً، كما نبهنا عليه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روايات المنع عن الارتماس للصائم روايات مستفيضة مشهورة يعلم أو يطمأن بصدور بعضها ولو إجمالاً، ورواية إسحاق بن عمار هذه شاذة، فلا تنهض للمقاومة معها، فتطرح بطبيعة الحال</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تلك الروايات المانعة وإن كانت كثيرة ويمكن دعوى حصول الاطمئنان بصدور بعضها، لكن أكثرها قابل للجمع عرفاً مع هذه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تحمل على الحرمة التكليفية أو الكراهة كذلك، وأما ما لا يقبل الجمع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کصحيحة محمد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خبر أو خبران، لا علم بل ولا اطمئنان بصدوره عن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الجمع بين روايات المنع عن الارتماس والموثّقة المزبورة بحمل الأولى على الكراهة الوضعيّة</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تلك الروايات غير قابل أصلاً للحمل على الكراهة، كما أشرنا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الكراهة الوضعية لا نتعقل لها معنى محصلاً؛ فإنّ العمل إمّا أن يكون صحيحاً وإما أن يكون باطلاً، ولا معنى لمرتبة ضعيفة من البطلان مع صحة العمل</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تفسّر الكراهة الوضعية في العبادات بأنّها عبارة عن المانعية بالنسبة إلى كمال </w:t>
      </w:r>
    </w:p>
    <w:p>
      <w:pPr>
        <w:pStyle w:val="BookText"/>
        <w:rPr/>
      </w:pPr>
      <w:r>
        <w:rPr>
          <w:rFonts w:ascii="Amiri" w:hAnsi="Amiri" w:eastAsia="Amiri" w:cs="Amiri"/>
          <w:color w:val="111111"/>
          <w:sz w:val="28"/>
          <w:sz w:val="28"/>
          <w:szCs w:val="28"/>
          <w:rtl w:val="true"/>
          <w:lang w:bidi="ar-SA"/>
        </w:rPr>
        <w:t>العمل وتمامه، بخلاف الحرمة الوضعيّة التي هي المانعية بلحاظ أصل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يلاحظ عليه أنّ الكراهة الوضعيّة بهذا المعنى هي الكراهة التكليفية نفسها في العبادات؛ إذ لا يراد بها سوى قلة الثواب، ونقصان كماله مع صحته، فلا مجال لتصوير الكراهة الوضعيّة في قبال الكراهة التكليفية في العبادات، فالعبادة إما أن تقع صحيحة أو باطلة، ولا حالة وسطى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النهي في تلك الروايات قد تعلّق بالارتماس أثناء الصوم، والارتماس بما هو لا يتصف لا بالصحة ولا بالبطلان، فلا معنى لحمل النهي عنه على الكراهة الوضعية ومرتبة ضعيفة من البطلان، بل النهي عنه إمّا يحمل على الحرمة التكليفية أو الكراهة كذلك إذا تعذر حمله على الإرشاد إلى المانعية بقرينة الموثقة</w:t>
      </w:r>
    </w:p>
    <w:p>
      <w:pPr>
        <w:pStyle w:val="BookText"/>
        <w:rPr/>
      </w:pPr>
      <w:r>
        <w:rPr>
          <w:rFonts w:ascii="Amiri" w:hAnsi="Amiri" w:eastAsia="Amiri" w:cs="Amiri"/>
          <w:color w:val="111111"/>
          <w:sz w:val="28"/>
          <w:sz w:val="28"/>
          <w:szCs w:val="28"/>
          <w:rtl w:val="true"/>
          <w:lang w:bidi="ar-SA"/>
        </w:rPr>
        <w:t>الجواب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قلنا بأنّ النهي المتعلّق بالعبادات والمعاملات ظاهر في الحرمة الوضعية وليس له ظهور في الحكم التكليفي، فإذا قامت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كالموثّقة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إرادة الحرمة الوضعية منه فلا يكون ذلك دليلاً لحمله على الحرمة التكليفية؛ إذ يحتمل أن يكون المقصود منه الكراهة لا الحرمة كما يحتمل العكس فلا معيّن لأحدهما على الآخر، ولا يصح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الحرمة ، فلا يصح القول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الظهور الأوّلي للنهي هو الحرمة لا الكراهة ولا الأعم منهما، وإنّما يكون ظاهراً في الإرشاد إلى المانعيّة إذا تعلّق بالمركبات والماهيات الجعلية، فهذا الظهور الثاني لا يكون إلا بقرينة دالّة عليه، فإذا انتفت رجعت إلى الظهور الأوّل وهو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تبنّاه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أنه بعد استقرار التعارض بين الروايات المانعة عن الارتماس وموثقة إسحاق نرجع إلى الترجيح بموافقة الكتاب ومخالفة العامة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الكتاب فليس فيه ما يظهر منه موافقة أحد الطرفين، وأمّا العامة فالموثّقة موافقة </w:t>
      </w:r>
    </w:p>
    <w:p>
      <w:pPr>
        <w:pStyle w:val="BookText"/>
        <w:rPr/>
      </w:pPr>
      <w:r>
        <w:rPr>
          <w:rFonts w:ascii="Amiri" w:hAnsi="Amiri" w:eastAsia="Amiri" w:cs="Amiri"/>
          <w:color w:val="111111"/>
          <w:sz w:val="28"/>
          <w:sz w:val="28"/>
          <w:szCs w:val="28"/>
          <w:rtl w:val="true"/>
          <w:lang w:bidi="ar-SA"/>
        </w:rPr>
        <w:t xml:space="preserve">لهم والروايات المانعة مخالفة لهم؛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يذهب أحد من العامة إلى بطلان الصوم بالارتماس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الحنابلة ذهبوا إلى الكراهة وهذا هو المناسب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أنّه لا يبطل، ولذا لا قضاء عليه، ولكن لا يعودن إلى ذلك لمكان الكراهة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 في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الترجيح بموافقة الكتاب ومخالفة العامة لا يصار إليه إلّا بعد فقد الترجيح بالشهرة الروائية، فلا بد أوّلاً من النظر فيما يوافق الشهرة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حرمة العود والارتماس، وهذا مخالف أيضاً لجميع العامة؛ لأنّ أكثرهم ذهبوا إلى الجواز، وقليل منهم ذهب إلى الكراهة، وأمّا الحرمة فلم يقل بها أحد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أدري لماذا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مع ظهورها في الحرمة التكليفية؟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مورد الرواية الارتماس في صوم واجب، وهو صيام شهر رمضان، ولذلك سأل عن القضاء عليه، والصوم الواجب كأي عبادة واجبة مما يعقل جداً حرمة عمل معيّن في أثنائه، فالحق أنّ الموثّقة المذكورة لا يمكن حملها على التقية بوجه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حتى لو صح 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الكراهة، فلا يصح أيضاً حمل الموثقة على التقية؛ لأنّ القائل بالكراهة هم الحنابلة، وبينهم وبين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يقارب المائة عام، فكيف يتقي منهم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الروايات الدالة بظاهرها على مفطرية الارتماس كثيرة، قد </w:t>
      </w:r>
    </w:p>
    <w:p>
      <w:pPr>
        <w:pStyle w:val="BookText"/>
        <w:rPr/>
      </w:pPr>
      <w:r>
        <w:rPr>
          <w:rFonts w:ascii="IRNazanin" w:hAnsi="IRNazanin" w:eastAsia="IRNazanin"/>
          <w:color w:val="111111"/>
          <w:sz w:val="28"/>
          <w:sz w:val="28"/>
          <w:szCs w:val="28"/>
          <w:rtl w:val="true"/>
          <w:lang w:bidi="fa-IR"/>
        </w:rPr>
        <w:t>رواها تسعة من الرواة، وفي قبالها رواية واحدة موثقة تنص على عدم المفطرية، وهذا الأمر بنفسه مما يمنع الجمع العرفي بينهما؛ فإنّ الجمع العرفي يعقل بين رواية ورواية، أو روايتين، أو ثلاثة، أما بين رواية واحدة وعشر روايات فهذا بعيد عن الذوق العرفي؛ لأنّه يعني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المبلّغ لأحكام الله تعالى قد خالف ظاهر كلامه في عشرة موارد أو ستة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طرح الروايات الضعيفة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مسوّغ ظاهر ومبرّر بيّن، فلا محالة يحصل تعارض مستقرّ بين الطائفتين، ولا يصح حمل أخبار المفطرية على مجرّد الحرمة التكليفية، كما يرى أصحاب القول الثالث</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الجواب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استقرار التعارض بين الطائفتين وعدم صحة أي جمع عرفي بينهما فالصحيح هو ترجيح روايات المفطرية على الموثّقة؛ لمكان شهرة تلك الروايات، وشذوذ الموثقة، والشهرة الروائية من المرجّحات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استقرار التعارض؛ فإنّ من بين تلك الروايات ما لا يقبل الحمل على غير المفطرية مثل صحيحة محمد بن مسلم، وهي مشهورة جداً في كتبنا الروائية والفقهية، فقد وردت في التهذيبين والفقيه ونوادر أحمد محمد بن عيسى الأشعري، وقد رواها الشيخ بعدة أسانيد من عدة مصادر ، فرواها عن علي بن مهزيار عن ابن أبي عمير، وعن أحمد بن محمد عن يعقوب بن يزيد عن ابن أبي عمير، ويضاف إلى هذه الرواية مرفوعة البرقي في الخصال، بل صحيحة محمد بن مسلم الثانية المروية في الكافي والتهذيبين، وموثّقة حنان بن سدير المروية في الكتب الثلاثة كلّها، ورواية إسماعيل بن عبد الخالق في 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الموثّقة فقد تفرّد بها الشيخ وحده في التهذيبين بسندٍ واحدٍ، فهي شاذة وتلك مشهورة ترجّح عليها</w:t>
      </w:r>
      <w:r>
        <w:rPr>
          <w:rFonts w:eastAsia="Amiri" w:cs="Amiri" w:ascii="Amiri" w:hAnsi="Amiri"/>
          <w:color w:val="111111"/>
          <w:sz w:val="28"/>
          <w:szCs w:val="28"/>
          <w:rtl w:val="true"/>
          <w:lang w:bidi="ar-SA"/>
        </w:rPr>
        <w:t xml:space="preserve">. </w:t>
      </w:r>
      <w:bookmarkStart w:id="64" w:name="pg8927_84344"/>
    </w:p>
    <w:p>
      <w:pPr>
        <w:pStyle w:val="Heading4"/>
        <w:numPr>
          <w:ilvl w:val="3"/>
          <w:numId w:val="1"/>
        </w:numPr>
        <w:rPr/>
      </w:pPr>
      <w:bookmarkStart w:id="65" w:name="__RefHeading___Toc1279098_2870459653"/>
      <w:bookmarkStart w:id="66" w:name="_Toc21"/>
      <w:bookmarkEnd w:id="64"/>
      <w:bookmarkEnd w:id="65"/>
      <w:r>
        <w:rPr>
          <w:rtl w:val="true"/>
        </w:rPr>
        <w:t>أدلّة القول الرابع</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الارتماس وعدم كونه مفطراً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إسحاق بن عمّار المتقدّمة في أدلّة القول الثالث، بتقريب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الموثقة نصّ في عدم وجوب القضاء وصحة الصوم مع تعمد الارتماس، فلا بد من التصرّف في ظهور روايات مفطّرية الارتماس بحملها على كراهة الارتماس في مطلق الصوم بما يشمل حتى الصوم المندوب، ومن البعيد أن يكون الصوم مستحبّاً يجوز الإفطار فيه ويحرم فيه الارتماس تكليفاً، فلا بد من حمل النهي في تلك الروايات على الكراهة؛ لئلا نقع في المحذور المذكور، وعلى الكراهة أيضاً يحمل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الموثقة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لذلك المحذور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بأولى من تقييد إطلاق تلك الروايات المانعة من الارتماس بالصوم الواجب، فكما يمكن أن يكون المحذور المذكور سنداً لحمل النهي فيها على الكراهة كذلك يمكن أن يكون سنداً لتقييد إطلاقها، بأن يكون المراد منها الصوم الواجب الذي لا محذور بحرمة الارتماس فيه تكليفاً، خصوصاً الموثّقة المذكورة؛ فإنّ موردها الصوم الواجب، بل صوم شهر رمضان، بقرينة السؤال عن القضاء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موجب للاستبعاد المذكور؛ فإنّه ما المانع في حرمة عمل معيّن أثناء عمل مستحبّ، كما هو ظاهر القائلين بالقول الثالث؟ وله أمثلة متعدّدة في الفقه، كما هو الحال بالنسبة لحرمة بعض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كشم الطيب، والمماراة، والبيع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تكليفاً على </w:t>
      </w:r>
    </w:p>
    <w:p>
      <w:pPr>
        <w:pStyle w:val="BookText"/>
        <w:rPr/>
      </w:pPr>
      <w:r>
        <w:rPr>
          <w:rFonts w:ascii="Amiri" w:hAnsi="Amiri" w:eastAsia="Amiri" w:cs="Amiri"/>
          <w:color w:val="111111"/>
          <w:sz w:val="28"/>
          <w:sz w:val="28"/>
          <w:szCs w:val="28"/>
          <w:rtl w:val="true"/>
          <w:lang w:bidi="ar-SA"/>
        </w:rPr>
        <w:t>المعتكف ولو اعتكافاً مستحبّاً، على رأي بعض الفقهاء</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بالنسبة للتكفير أثناء الصلاة ولو كانت مستحبّة، على رأي بعض الفقهاء، منهم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جملة من النصوص المانعة عن الارتماس كما لا تقبل عرفاً الحمل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الحمل على الكراهة أيضاً؛ لقوّة ظهورها في الإرشاد إلى المانعية، من قبيل صحيحة محمد بن مسلم ونحوها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عبد الله بن سنان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للصائم أن يرتمس في الماء</w:t>
      </w:r>
      <w:r>
        <w:rPr>
          <w:rFonts w:eastAsia="IRNazanin" w:cs="IRNazanin"/>
          <w:color w:val="111111"/>
          <w:sz w:val="28"/>
          <w:szCs w:val="28"/>
          <w:rtl w:val="true"/>
          <w:lang w:bidi="fa-IR"/>
        </w:rPr>
        <w:t>)</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الاستبصار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الخبر رواه الشيخ بإسناده عن علي بن الحسن بن فضال، عن محمد بن عبد الله، عن عبد الله بن سنان، ومن هنا فقد يناقش في سنده بأنّ في طريق الشيخ إلى ابن فضال علي بن محمد بن الزبير القرشي، وهو لم يوثق، لكن الصحيح هو جواز الاعتماد على روایات ابن فضال، المرويّة بطريق ابن الزبير، كما حققه سيّدنا الأستاذ في بحوثه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السند إشكال آخر من ناحية محمّد بن عبد الله؛ فإنّه مجهول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يحتمل أن يكون محمّد بن عبيد الله الحلبي الثقة، لكنّه احتمال لا دليل عليه؛ لأنّ الوارد في التهذيبين والوافي</w:t>
      </w:r>
      <w:r>
        <w:rPr>
          <w:rStyle w:val="FootnoteAnchor"/>
          <w:rtl w:val="true"/>
        </w:rPr>
        <w:footnoteReference w:id="181"/>
      </w:r>
      <w:r>
        <w:rPr>
          <w:rFonts w:ascii="IRNazanin" w:hAnsi="IRNazanin" w:eastAsia="IRNazanin"/>
          <w:color w:val="111111"/>
          <w:sz w:val="28"/>
          <w:sz w:val="28"/>
          <w:szCs w:val="28"/>
          <w:rtl w:val="true"/>
          <w:lang w:bidi="fa-IR"/>
        </w:rPr>
        <w:t>والوسائل</w:t>
      </w:r>
      <w:r>
        <w:rPr>
          <w:rStyle w:val="FootnoteAnchor"/>
          <w:rtl w:val="true"/>
        </w:rPr>
        <w:footnoteReference w:id="182"/>
      </w:r>
      <w:r>
        <w:rPr>
          <w:rFonts w:ascii="Amiri" w:hAnsi="Amiri" w:eastAsia="Amiri" w:cs="Amiri"/>
          <w:color w:val="111111"/>
          <w:sz w:val="28"/>
          <w:sz w:val="28"/>
          <w:szCs w:val="28"/>
          <w:rtl w:val="true"/>
          <w:lang w:bidi="ar-SA"/>
        </w:rPr>
        <w:t xml:space="preserve">هو محمّد بن عبد الله، والموارد القليلة التي </w:t>
      </w:r>
    </w:p>
    <w:p>
      <w:pPr>
        <w:pStyle w:val="BookText"/>
        <w:rPr/>
      </w:pPr>
      <w:r>
        <w:rPr>
          <w:rFonts w:ascii="Amiri" w:hAnsi="Amiri" w:eastAsia="Amiri" w:cs="Amiri"/>
          <w:color w:val="111111"/>
          <w:sz w:val="28"/>
          <w:sz w:val="28"/>
          <w:szCs w:val="28"/>
          <w:rtl w:val="true"/>
          <w:lang w:bidi="ar-SA"/>
        </w:rPr>
        <w:t xml:space="preserve">روى فيها ابن فضال عن الحلبي رواها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عبيد الله الحلبي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مانع في أن يكون له رواية أخرى عن محمّد بن عبد الله غير الحلبي، كما روى رواية واحدة أو روايتين عن رواة مجهولين، مثل الحسين بن سيف</w:t>
      </w:r>
      <w:r>
        <w:rPr>
          <w:rStyle w:val="FootnoteAnchor"/>
          <w:rtl w:val="true"/>
        </w:rPr>
        <w:footnoteReference w:id="183"/>
      </w:r>
      <w:r>
        <w:rPr>
          <w:rFonts w:ascii="Amiri" w:hAnsi="Amiri" w:eastAsia="Amiri" w:cs="Amiri"/>
          <w:color w:val="111111"/>
          <w:sz w:val="28"/>
          <w:sz w:val="28"/>
          <w:szCs w:val="28"/>
          <w:rtl w:val="true"/>
          <w:lang w:bidi="ar-SA"/>
        </w:rPr>
        <w:t>، وجعفر بن إبراهيم بن ناجية</w:t>
      </w:r>
      <w:r>
        <w:rPr>
          <w:rStyle w:val="FootnoteAnchor"/>
          <w:rtl w:val="true"/>
        </w:rPr>
        <w:footnoteReference w:id="184"/>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مع ذلك المناقشة في الخبر المزبور من جهات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 الأعلام</w:t>
      </w:r>
      <w:r>
        <w:rPr>
          <w:rStyle w:val="FootnoteAnchor"/>
          <w:rtl w:val="true"/>
        </w:rPr>
        <w:footnoteReference w:id="185"/>
      </w:r>
      <w:r>
        <w:rPr>
          <w:rFonts w:ascii="IRNazanin" w:hAnsi="IRNazanin" w:eastAsia="IRNazanin"/>
          <w:color w:val="111111"/>
          <w:sz w:val="28"/>
          <w:sz w:val="28"/>
          <w:szCs w:val="28"/>
          <w:rtl w:val="true"/>
          <w:lang w:bidi="fa-IR"/>
        </w:rPr>
        <w:t>، من أنّ الرواية لا تدلّ على الكراهة؛ لأنّه لم يثبت كون المراد بالكراهة في الأخبار الكراهة المصطلحة، ولذا تستعمل كثيراً في الحرمة أيضاً، كما في مرسلة عن سلة الصدوق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تبارك وتعالى كره لي ست خصال،وكرهتهن للأوصياء من ولدي، وأتباعهم من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العبث في الصلاة، والرفث في الصوم، والمنّ بعد الصدقة، وإتيان المساجد جنباً، والتطلّع في الدور، والضحك بين القبور</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والرفث إمّا بمعنى الجماع، وإما بمعنى الكذب كما يستفاد مما رواه في المحاسن بإسناده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ستة كرهها الله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الرفث في الصيام،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الرفث في الصيام؟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كره الله لمريم في قوله </w:t>
      </w:r>
      <w:r>
        <w:rPr>
          <w:rFonts w:ascii="Amiri" w:hAnsi="Amiri" w:eastAsia="Amiri" w:cs="Amiri"/>
          <w:color w:val="111111"/>
          <w:sz w:val="28"/>
          <w:sz w:val="28"/>
          <w:szCs w:val="28"/>
          <w:rtl w:val="true"/>
          <w:lang w:bidi="ar-SA"/>
        </w:rPr>
        <w:t>إِنِّي نَذَرْتُ لِلرَّحمَن صَوْمًا فَلَنْ أَكَلَّمَ الْيَوْمَ إنْسِيَّا،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صمتت من أي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الكذب</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67" w:name="pg8927_84347"/>
    </w:p>
    <w:p>
      <w:pPr>
        <w:pStyle w:val="BookText"/>
        <w:rPr/>
      </w:pPr>
      <w:bookmarkEnd w:id="67"/>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الرواية قد أعرض عنها المشهور، فتسقط عن الاعتبار</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 هو أنّ إعراض المشهور عن رواية لا يسقطها عن الحجية ما لم يكن من جهة تضعيف سندها، وهذا غير معلوم في المقام؛ إذ لعله من جهة ترجيح روايات الحرمة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حتى لو تم سند الرواية المذكورة ودلالتها ، لكنّها معارضة بروايات مفطرية الارتماس غير القابلة للجمع معها عرفاً، فترجّح عليها؛ لأنها مشهورة، وهذه شاذة نادرة</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1279100_2870459653"/>
      <w:bookmarkStart w:id="69" w:name="_Toc22"/>
      <w:bookmarkEnd w:id="68"/>
      <w:r>
        <w:rPr>
          <w:rtl w:val="true"/>
        </w:rPr>
        <w:t>نتيجة البحث</w:t>
      </w:r>
      <w:bookmarkEnd w:id="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ظهر من جميع ما تقدّم أنّ الراجح بالنظر القاصر من بين الأقوال الأربعة هو القول الأوّل الذي كان مشهوراً بين المتقدمين من الأصحاب، وهو مفطرية الارتماس للصوم، وإيجابه القضاء والكفّارة معاً، والله العالم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المصادر</w:t>
      </w:r>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الأذهان إلى أحكام الإيمان، الشيخ أبو منصور الحسن بن يوسف بن المطهر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فارس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 الشيخ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ط الرابعة، </w:t>
      </w:r>
      <w:r>
        <w:rPr>
          <w:rFonts w:eastAsia="Amiri" w:cs="Amiri" w:ascii="Amiri" w:hAnsi="Amiri"/>
          <w:color w:val="111111"/>
          <w:sz w:val="28"/>
          <w:szCs w:val="28"/>
          <w:lang w:bidi="ar-SA"/>
        </w:rPr>
        <w:t>1363</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 السيد المرتضى علم الهدى علي بن الحسين الموسوي البغدادي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شرح مناسك الحج ، تقرير أبحاث السيّد محمد رضا السيستاني ،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أمجد رياض والشيخ نزار يوسف، ط الثانية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الأحكام، الشيخ أبو جعفر 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الجمل والعقود في العبادات، الشيخ أبو جعفر 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واعظ زاده الخراساني، 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 الكلام في شرح شرائع الإسلام، الشيخ محمد حسن النجفي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عباس القوچاني،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الثانية،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الشيخ أبو جعفر محمد بن علي بن الحسين بن موسى ابن بابويه القمي المعروف بالشيخ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الشيخ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الخراساني والسيد جواد الشهرستاني والشيخ مهدي طه نجف والشيخ مجتبى العراقي،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انتشارات إسلامي، ط الأولى،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في فقه الإماميّة،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الروضة البهيّة في شرح اللمعة الدمشقية، الشيخ زين الدين الجبعي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كلانتر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 الشيخ أبو جعفر محمد بن منصور بن أحمد بن إدريس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التحقيق، طبع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شرائع الإسلام في مسائل الحلال والحرام، الشيخ أبو القاسم نجم الدين جعفر بن الحسن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صادق الشيرازي، الناشر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انتشارات استقلال طهران،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العروة الوثقى، السّيّد محمد كاظم الطباطبائي اليزدي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الفقهاء العظام،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غنية النزوع إلى علمي الأصول والفروع، السيد حمزة بن علي بن زهرة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إبراهيم البهادري،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 أبو القاسم عبد الكريم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المنسوب إلى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قم المقدسة،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المؤتمر العالمي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مشهد المقدّسة، ط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الصادق، السيّد محمّد صادق الحسيني الروحاني دام ظله ،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ط الثانية،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عبد الرحمن الجزيري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الأولى،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 الإسناد، الشيخ أبو العباس عبد الله بن جعفر الحميري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ط الأولى،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في الفقه، الشيخ أبو الصلاح تقي الدين بن نجم بن عبيد الحلبي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رضا أستادي،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الإمام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ثقة الإسلام الشّيخ أبو جعفر محمد بن يعقوب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مركز بحوث دار الحديث،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ط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 الشيخ أبو القاسم جعفر بن محمد بن قولويه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لجنة التحقيق،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الرموز في شرح المختصر النافع، الشيخ زين الدين أبو علي الحسن بن أبي طالب بن أبي المجد اليوسفي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الاشتهاردي، الحاج آغا حسين اليزدي،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لسان العرب، أبو الفضل جمال الدین محمد بن مكرم ابن منظور الإفريقي المصري،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الفكر للنشر والتوزيع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 ط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اللمعة الدمشقية، الشيخ شمس الدين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الشيخ رضا مختاري والسيد حسين الشفيعي،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الدار الإسلامية، ط 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المبسوط في فقه الإمامية، الشيخ أبو جعفر محمد بن الحسن بن علي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ط الثالثة،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الشيخ أبو منصور الحسن بن يوسف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مستمسك العروة الوثقى، السيّد محسن الطباطبائي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المفردات في غريب القرآن، أبو القاسم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ط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الشيخ أبو جعفر محمّد بن علي بن الحسين ابن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 مؤسسة الإمام الهادي السنة،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ط الأولى،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الشيخ أبو عبد الله محمد بن محمد بن النعمان العكبري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الشيخ محمد بن علي بن الحسين ابن بابويه القمي قل 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الصالحين، سماحة السيد علي الحسيني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طبعة منقحة  ومصححة </w:t>
      </w:r>
      <w:r>
        <w:rPr>
          <w:rFonts w:eastAsia="Amiri" w:cs="Amiri" w:ascii="Amiri" w:hAnsi="Amiri"/>
          <w:color w:val="111111"/>
          <w:sz w:val="28"/>
          <w:szCs w:val="28"/>
          <w:lang w:bidi="ar-SA"/>
        </w:rPr>
        <w:t>1439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مهذب الأحكام في بيان الحلال والحرام، السيّد عبد الأعلى الموسوي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السيّد السبزواري، مؤسسة المنار،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فروردين،ط الرابعة،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المهذّب، الشيخ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مؤسسة سيّد الشهداء العلميّة،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ط الأولى،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 الشيخ أبو جعفر أحمد بن محمد بن عيسى الأشعري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المقدسة، ط الأولى،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الهداية في الأصول والفروع، الشيخ أبو جعفر الصدوق محمد بن علي بن الحسين ابن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المقدسة، ط الأولى،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الوافي، الشيخ محمّد بن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الفيض الكاشاني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ضياء الدين الحسيني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أصفهان،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أفست نشاط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ط الأولى،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الشيخ 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 w:name="pg8927_84355"/>
      <w:bookmarkStart w:id="71" w:name="pg8927_84355"/>
      <w:bookmarkEnd w:id="71"/>
    </w:p>
    <w:p>
      <w:pPr>
        <w:pStyle w:val="Heading2"/>
        <w:numPr>
          <w:ilvl w:val="1"/>
          <w:numId w:val="1"/>
        </w:numPr>
        <w:rPr/>
      </w:pPr>
      <w:bookmarkStart w:id="72" w:name="pg8927_84355"/>
      <w:bookmarkStart w:id="73" w:name="__RefHeading___Toc1279102_2870459653"/>
      <w:bookmarkStart w:id="74" w:name="_Toc23"/>
      <w:bookmarkEnd w:id="72"/>
      <w:bookmarkEnd w:id="73"/>
      <w:r>
        <w:rPr>
          <w:rtl w:val="true"/>
        </w:rPr>
        <w:t>التبعيض في الحجية وفي ذيله قرينيّة وحدة السِّياق</w:t>
      </w:r>
      <w:bookmarkEnd w:id="74"/>
    </w:p>
    <w:p>
      <w:pPr>
        <w:pStyle w:val="Heading3"/>
        <w:numPr>
          <w:ilvl w:val="2"/>
          <w:numId w:val="1"/>
        </w:numPr>
        <w:rPr/>
      </w:pPr>
      <w:bookmarkStart w:id="75" w:name="__RefHeading___Toc1279104_2870459653"/>
      <w:bookmarkStart w:id="76" w:name="_Toc24"/>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الشيخ وليد العامري</w:t>
      </w:r>
    </w:p>
    <w:p>
      <w:pPr>
        <w:pStyle w:val="BookText"/>
        <w:rPr/>
      </w:pPr>
      <w:r>
        <w:rPr>
          <w:rFonts w:ascii="Amiri" w:hAnsi="Amiri" w:eastAsia="Amiri" w:cs="Amiri"/>
          <w:color w:val="111111"/>
          <w:sz w:val="28"/>
          <w:sz w:val="28"/>
          <w:szCs w:val="28"/>
          <w:rtl w:val="true"/>
          <w:lang w:bidi="ar-SA"/>
        </w:rPr>
        <w:t>كثيرة هي المسائل التي تؤثر في عملية الاستنباط،</w:t>
      </w:r>
    </w:p>
    <w:p>
      <w:pPr>
        <w:pStyle w:val="BookText"/>
        <w:rPr/>
      </w:pPr>
      <w:r>
        <w:rPr>
          <w:rFonts w:ascii="Amiri" w:hAnsi="Amiri" w:eastAsia="Amiri" w:cs="Amiri"/>
          <w:color w:val="111111"/>
          <w:sz w:val="28"/>
          <w:sz w:val="28"/>
          <w:szCs w:val="28"/>
          <w:rtl w:val="true"/>
          <w:lang w:bidi="ar-SA"/>
        </w:rPr>
        <w:t>وتختلف النتيجة الفقهيّة بحسب ما يلتزم الفقيه حيالها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والتبعيض فى الحجّيّة بين فقرات الكلام الواحد هي واحدة من تلك المسائل التي لم يُسلّط عليها الضوء بهذا العنوان رغم ما لها من تأثير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والبحث الذي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الجمع موارد المسألة تحت عناوين عامة، وتقسيم كلّ</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مورد إلى فروض وصور، ومعرفة الأصل في كلّ منها</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التبعيض والتفكيك في الحجّيّة بين فقرات الرواية الواحدة من المسائل التي يكثر ورودها والابتلاء بها في الروايات، وبالتالي فإنّ تأثيرها على عملية الاستنباط الفقهي غير خفي على المتابع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الرغم من ذلك فقد بحثت بعض موارد مسألة التبعيض أُصوليّاً ضمن جزئيات مسائل أخرى، ومن دون تسليط الضوء عليها من هذه الجهة وبهذا العنوان، وبعضها لم تبحث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يراد بهذا البحث التأصيل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بالاستناد إلى أبحاث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مواردها تحت عناوين عامة، وتقسيم كل مورد إلى فروض وصور، ومعرفة الأصل في كل فرض وصورة، وقد يختلف القول بالحجية من عدمه باختلافها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والموارد المهمّة التي تمثل العناوين العامّة لهذه المسألة أربعة، سيكون البحث على وفقها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كانت بين الفقرتين في الكلام الواحد علاقة القرينة وذي القرينة، وفيه فرضان رئیسان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القرينة في نفس جملة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تقع القرينة في جملة مستقلّة أُخرى ولكن في نفس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هناك جمل متعدّدة واقعة في كلام واحد، ولم تكن العلاقة بينها علاقة القرينة وذي القرينة، وفيه أيضاً فرضان رئيسان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 الفقرتين نوع 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بينهما نوع 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المداليل الالتزاميّة، وفيه فرضان رئيسان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بين المدلول المطابقيّ والالتزامي، بأن يكون الساقط عن الحجية هو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بين المداليل الالتزامية أنفسها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المداليل التضمّنية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ويلي ذلك تذييل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قرينية وحدة السياق</w:t>
      </w:r>
      <w:r>
        <w:rPr>
          <w:rFonts w:eastAsia="Amiri" w:cs="Amiri" w:ascii="Amiri" w:hAnsi="Amiri"/>
          <w:color w:val="111111"/>
          <w:sz w:val="28"/>
          <w:szCs w:val="28"/>
          <w:rtl w:val="true"/>
          <w:lang w:bidi="ar-SA"/>
        </w:rPr>
        <w:t xml:space="preserve">. </w:t>
      </w:r>
      <w:bookmarkStart w:id="77" w:name="pg8927_84359"/>
    </w:p>
    <w:p>
      <w:pPr>
        <w:pStyle w:val="Heading3"/>
        <w:numPr>
          <w:ilvl w:val="2"/>
          <w:numId w:val="1"/>
        </w:numPr>
        <w:rPr/>
      </w:pPr>
      <w:bookmarkStart w:id="78" w:name="__RefHeading___Toc1279106_2870459653"/>
      <w:bookmarkStart w:id="79" w:name="_Toc25"/>
      <w:bookmarkEnd w:id="77"/>
      <w:bookmarkEnd w:id="78"/>
      <w:r>
        <w:rPr>
          <w:rtl w:val="true"/>
        </w:rPr>
        <w:t>المورد الأوّل</w:t>
      </w:r>
      <w:bookmarkEnd w:id="79"/>
    </w:p>
    <w:p>
      <w:pPr>
        <w:pStyle w:val="BookText"/>
        <w:rPr/>
      </w:pPr>
      <w:r>
        <w:rPr>
          <w:rFonts w:ascii="Amiri" w:hAnsi="Amiri" w:eastAsia="Amiri" w:cs="Amiri"/>
          <w:color w:val="111111"/>
          <w:sz w:val="28"/>
          <w:sz w:val="28"/>
          <w:szCs w:val="28"/>
          <w:rtl w:val="true"/>
          <w:lang w:bidi="ar-SA"/>
        </w:rPr>
        <w:t xml:space="preserve">وهو ما إذا كانت بين الفقرتين في الكلام الواحد علاقة القرينة وذي القرينة، فإذا سقطت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الحجّيّة وفي نفس الآن توفّرت شروط الحجيّة في ذي القرينة، فهل يوجب ذلك السقوط عدم حجّيّة ذي القرينة أو لا؟</w:t>
      </w:r>
    </w:p>
    <w:p>
      <w:pPr>
        <w:pStyle w:val="BookText"/>
        <w:rPr/>
      </w:pPr>
      <w:r>
        <w:rPr>
          <w:rFonts w:ascii="Amiri" w:hAnsi="Amiri" w:eastAsia="Amiri" w:cs="Amiri"/>
          <w:color w:val="111111"/>
          <w:sz w:val="28"/>
          <w:sz w:val="28"/>
          <w:szCs w:val="28"/>
          <w:rtl w:val="true"/>
          <w:lang w:bidi="ar-SA"/>
        </w:rPr>
        <w:t>ولتحقيق ذلك نذكر الفروض المحتملة لهذا المورد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إذا كانت القرينة واقعة في نفس جملة ذي القرينة،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قرينة متصلة على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الشجاع، وهي أيضاً لم تأتِ في جملة مستقلة عن ذي القرينة، وإنّما وقعت في الجملة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حكم هذا الفرض نحتاج إلى أن نتعرّف على العلاقة بينهما على مستوى المدلول التصوّري والمدلول الاستعمالي والمدلول التصديقي الجدي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على مستوى المدلول التصوّري فلكل مفردة من مفردات الجملة التركيبية مدلول تصوّري خاص به، وفي الوقت نفسه يكون لذلك السياق أو الهيئة التركيبية لمجموع الجملة مدلول 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هو أنّ ذلك المدلول السياقي للجملة التركيبية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انعقاده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يوجب تغيّر وتبدّل المدلول التصوّري لذي القرينة ،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مدلوله التصوّري هو الحيوان المفترس، لكن وقوعه في ذلك السياق هل يوجب تبدّل مدلوله التصوّري إلى الرجل الشجاع؟ </w:t>
      </w:r>
    </w:p>
    <w:p>
      <w:pPr>
        <w:pStyle w:val="BookText"/>
        <w:rPr/>
      </w:pPr>
      <w:r>
        <w:rPr>
          <w:rFonts w:ascii="Amiri" w:hAnsi="Amiri" w:eastAsia="Amiri" w:cs="Amiri"/>
          <w:color w:val="111111"/>
          <w:sz w:val="28"/>
          <w:sz w:val="28"/>
          <w:szCs w:val="28"/>
          <w:rtl w:val="true"/>
          <w:lang w:bidi="ar-SA"/>
        </w:rPr>
        <w:t>ذهب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ضمّ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أوجد سياقاً غيّر من الظهور التصوّري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وأنشأ ظهوراً تصوّريّاً آخر في الرجل الشجاع، وهو الذي يشكّل الظهور التصوّري الفعلي للكلام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كيف يتكوّن للسياق ظهور تصوّري بحيث قد يغلب الظهور التصوّري الأوّلي للمفردات؟ فهذا يتم بأحد 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السياق بنفسه موضوعاً لإفادة صورة معيّنة، فكما أن وضع المفرد لمعناه يوجب دلالته التصوّريّة عليه كذلك وضع السياق 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وضع التكرار للتأكيد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الدلالة التصوّريّة للسياق 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نتيجة للأنس الذهني ، ففي مثل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لاحظنا الظهورات التصوّرية لمفردات السياق نجد أنّ لدينا صورتين على مستوى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 صورة مطابقة لما تقتضيه المفردات بطبعها الأوّل الذي وضعت له في اللغة، وهي صورة حيوان مفترس بين يديه قوس وسهم يرمي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وصورة أُخرى ثانوية تدلّ عليها المفردات بملاحظة مناسبتها للصورة الأولى، وهي صورة رجل شجاع يرمي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الأولى، هي الصورة التي تتطابق مع المدلول الأولي للمفردات مع ذلك تستقرّ في الذهن بلا تأمّل أو تردّد الصورة الثانية؛ لبعد الصورة الأولى عن الذهن، وعدم اعتياده على رؤيتها، فتكون هذه الغربة وعدم الأنس الذهني سبباً لخطور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كانت القرينة نصاً في معناها بحيث لم يكن يحتمل التأويل فيها، وأمّا إذا كانت تحتمل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فبحاجة إلى إضافة نكتة زائدة، وهذه النكتة بالإمكان تصويرها بأحد نحوين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الدلالة التصوّريّة في أحدهما أقوى من دلالتها في الآخر، فتتغلب </w:t>
      </w:r>
    </w:p>
    <w:p>
      <w:pPr>
        <w:pStyle w:val="BookText"/>
        <w:rPr/>
      </w:pPr>
      <w:r>
        <w:rPr>
          <w:rFonts w:ascii="Amiri" w:hAnsi="Amiri" w:eastAsia="Amiri" w:cs="Amiri"/>
          <w:color w:val="111111"/>
          <w:sz w:val="28"/>
          <w:sz w:val="28"/>
          <w:szCs w:val="28"/>
          <w:rtl w:val="true"/>
          <w:lang w:bidi="ar-SA"/>
        </w:rPr>
        <w:t xml:space="preserve">عليها في مرحلة إخطار المعنى إلى ذهن المخاطب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الظهور التصوّري لكلّ ما يكون ذيلاً في الكلام وفضلة يتقدّم على الظهور التصوّري لكلّ ما يكون متقدّماً عليه، وركناً من الكلام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ضوء هذا التفسير والتحليل لا يبقى مجال الجريان التبعيض في هذا الفرض، فإنّ القرينة لما كانت تساهم في تغيير المدلول التصوّري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فسقوطها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الإجمال في المدلول التصوّري لتلك المفردة، فلا تشملها حجّيّة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الملاحظة على أصل هذا التحليل بأنّ السياق التركيبي للكلام إنّما يؤثر في المدلول الاستعمالي دون التصوّري لمفردات ذلك التركيب، فالمدلول التصوّري 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يبقى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تغيّر هو مدلوله الاستعمالي</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قد استعمل في أوّل الأمر على نحو المجاز في الرجل الشجاع، والدلالة المجازية من شؤون مرحلة المدلول الاستعمالي لا التصوّري، فهناك بحث بين الأعلام في منشأ دلالة اللفظ على المعنى المجازي، وقد ذكر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أنّ نفس وضع اللفظ لمعناه الحقيقي يوجب صلاحية دلالته على معناه المجازي، وهذه الصلاحية والشأنيّة تصبح فعليّة بوجود القرينة، فتوجد حينئذ هناك دلالتان تصوريتان طوليّتان، فمع فعليّة الأولى تصبح الثانية شأنية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الكلام في أنّه متى تُمنع فعليّة دلالته على معناه الحقيقي؟ </w:t>
      </w:r>
    </w:p>
    <w:p>
      <w:pPr>
        <w:pStyle w:val="BookText"/>
        <w:rPr/>
      </w:pPr>
      <w:r>
        <w:rPr>
          <w:rFonts w:ascii="Amiri" w:hAnsi="Amiri" w:eastAsia="Amiri" w:cs="Amiri"/>
          <w:color w:val="111111"/>
          <w:sz w:val="28"/>
          <w:sz w:val="28"/>
          <w:szCs w:val="28"/>
          <w:rtl w:val="true"/>
          <w:lang w:bidi="ar-SA"/>
        </w:rPr>
        <w:t xml:space="preserve">والجواب واضح؛ فإنّ ذلك إنما يتمّ مع وجود القرينة، فهناك تعارض يحصل بين فعلية دلالته على معناه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هو ناشئ عن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وفعلية دلالته على معناه المجازي، والتعارض فرع تحقق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المدلول التصوّري الحقيقي والمدلول التصوّري للقرينة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فالمدلول التصوّريّ الحقيقي محفوظ في ذلك الاستعمال والسياق التركيبي، وإنّما الذي أثر به هو لحوق القرينة له، وهذا هو المتحقق من تأثير السياق التركيبي على تلك المفردة وبقيّة المفردات، فالتأثير حصل بعد تماميّة المدلول التصوّري لتلك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تعارضاً بين المدلول التصوّري للمفردتين في مثال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وتقديم أحدهما يتم بأحد نحوين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أنّها تلغي المدلول التصوّري تخالف ذلك التنافي والتعارض الذي هو متفرّع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تحقق المدلول التصوّري، فالتنافي يتمّ حينئذ في مرحلة المدلول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ما هو فضلة وذيل في الكلام، فإنّ مقام تحديد المراد النهائي فرع وجود مدلولات تصوّريّة، والكلام يكون حينئذٍ في أنّها استعملت في نفس تلك المداليل التصوّريّة أو في غيرها؟</w:t>
      </w:r>
    </w:p>
    <w:p>
      <w:pPr>
        <w:pStyle w:val="BookText"/>
        <w:rPr/>
      </w:pPr>
      <w:r>
        <w:rPr>
          <w:rFonts w:ascii="Amiri" w:hAnsi="Amiri" w:eastAsia="Amiri" w:cs="Amiri"/>
          <w:color w:val="111111"/>
          <w:sz w:val="28"/>
          <w:sz w:val="28"/>
          <w:szCs w:val="28"/>
          <w:rtl w:val="true"/>
          <w:lang w:bidi="ar-SA"/>
        </w:rPr>
        <w:t>وعلى كل حال، فدعوى أن السياق سيغيّر ويفني المداليل التصوّرية الأولية للمفردات فيه نحو من الانقلاب، فبعد أن تحقق المدلول التصوّري لتلك المفردة لا معنى لزواله وفنائه بسبب تأثير ما هو لاحق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عدم تطابق المدلول الاستعمالي له مع ذلك المدلول التصوّري هو الصحيح والموافق للوجدان والاستعمالات اللغوية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مسألة الأُنس الذهني التي ذُكرت كدليل على ذلك فيرد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كلّ </w:t>
      </w:r>
    </w:p>
    <w:p>
      <w:pPr>
        <w:pStyle w:val="BookText"/>
        <w:rPr/>
      </w:pPr>
      <w:r>
        <w:rPr>
          <w:rFonts w:ascii="Amiri" w:hAnsi="Amiri" w:eastAsia="Amiri" w:cs="Amiri"/>
          <w:color w:val="111111"/>
          <w:sz w:val="28"/>
          <w:sz w:val="28"/>
          <w:szCs w:val="28"/>
          <w:rtl w:val="true"/>
          <w:lang w:bidi="ar-SA"/>
        </w:rPr>
        <w:t>أنس ذهني يؤدّي إلى تغيير المدلول التصوّري لتلك المفردة، وإنما الأنس الذهني المجرّد عن القرينة هو الذي يؤدّي إلى ذلك، ومرجعه إلى التبادر ورسوخ القرن الأكيد بين اللفظ والمعنى، والذي هو أحد علامات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الأُنس الذهنيّ الناشئ عن القرينة فلا يتجاوز المعنى المجازي، ومورده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الاستعمالي لا التصوّريّ، وكلامنا من هذا القبيل كما هو المفروض، فذلك الأنس والخطور الذهني غير المتردَّد فيه إنما هو للمدلول الاستعمالي دون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قال بعض المحققين معلّقاً على الكلام المتقدم للسيد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قرينة المجاز غالباً تكون قرينة على المدلول الاستعمالي التصديقي لا على المدلول التصوّري، فينبغي ذكره في القرينة المتصلة على المدلول والظهور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أنّ فضلة الكلام تناسب القرينة صحيح بلحاظ المدلول الاستعمالي؛ لأنّ المتكلّم في مقام تعيين مراده الاستعمالي أو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التصديقي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يختار فضلة الكلام لا صدر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 في الكتاب ، فهذا البيان لا بدّ من نقله إلى قسم القرينة المتصلة على المدلول الاستعمالي التصديقي، وكأنه وقع خلط في الكتاب من هذه الناحية، ولهذا لم يذكر فيه مثالاً للقرينة المتصلة بلحاظ المدلول الاستعمالي</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يمكن التبعيض في الحجّيّة، وذلك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سقوط القرينة عن الحجّيّة يعني أنها لم تعد إعداداً نوعياً لتفسّر ذا القرينة؛ وذلك لأنّ العرف لا يرى المفسّرية إلّا إذا كان الكلام صالحاً ومقتضياً لذلك، وأمّا إذا لم يكن صالحاً لذلك فكيف له أن يفسّر أو يخصص أو يقيّد ذا القرينة، فإنّ تقدّم القرينة على ذي القرينة إنّما يتم بعد وقوع </w:t>
      </w:r>
    </w:p>
    <w:p>
      <w:pPr>
        <w:pStyle w:val="BookText"/>
        <w:rPr/>
      </w:pPr>
      <w:r>
        <w:rPr>
          <w:rFonts w:ascii="Amiri" w:hAnsi="Amiri" w:eastAsia="Amiri" w:cs="Amiri"/>
          <w:color w:val="111111"/>
          <w:sz w:val="28"/>
          <w:sz w:val="28"/>
          <w:szCs w:val="28"/>
          <w:rtl w:val="true"/>
          <w:lang w:bidi="ar-SA"/>
        </w:rPr>
        <w:t>التعارض بينهما، ومن الواضح أن التعارض إنما يتحقق بين طرفين فيهما مقتضي التعارض، بأن يكون صالحاً للحجّيّة بما هو هو، وأمّا إذا كان ساقطاً عن الحجية من الأساس وغير صالح للحجّيّة من أوّل الأمر فلا يقع طرفاً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لحجيّة ذي القرينة متحقق؛ إذ المفروض انعقاد مدلوله التصوّري، وبأصالة التطابق نثبت أنّ المدلول الاستعمالي له كان على طبق ذلك المدلول التصوّري، وبأصالة التطابق أيضاً نثبت أنّ مدلوله الجدي كان على طبق مدلوله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وإجراء أصالة التطابق إنّما يتمّ مع عدم وجود المانع، وإلا فمع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فالمدلول الاستعمالي أو الجديّ سيكون على طبق مؤداها، فتكون القرينة مانعةً عن تأثير المقتضي في ذي القرينة، فهي تمثل المانع عن ثبوت الحجية على طبق المدلول التصوّري لذي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سقوطها عن الحجّيّة وسلب الكشف عنها فذلك يعني أن مقتضى المانعيّة فيها قد ارتفع، وبالتالي عدم صلاحيتها لأن تكون مانعاً عن تأثير المقتضي في ذي القرينة على طبق المدلول التصوّري، فلا تقع طرفاً في معارضة المدلول الاستعمالي لذي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على ذلك بأن سقوط القرينة عن الحجّيّة وإن كان يمنع من تفسير القرينة على طبقها، لكنّ اتصال تلك القرينة يوجب الإجمال في ذي القرينة، وبالتالي لا تنعقد الحجّيّة على طبق ظهوره</w:t>
      </w:r>
    </w:p>
    <w:p>
      <w:pPr>
        <w:pStyle w:val="BookText"/>
        <w:rPr/>
      </w:pPr>
      <w:r>
        <w:rPr>
          <w:rFonts w:ascii="Amiri" w:hAnsi="Amiri" w:eastAsia="Amiri" w:cs="Amiri"/>
          <w:color w:val="111111"/>
          <w:sz w:val="28"/>
          <w:sz w:val="28"/>
          <w:szCs w:val="28"/>
          <w:rtl w:val="true"/>
          <w:lang w:bidi="ar-SA"/>
        </w:rPr>
        <w:t>فإنّه يجاب عنه بنفس ما تقدّم من أنّ الموجب للإجمال إنّما هو ما كان له درجة من التأثير والمانعيّة، والمفروض أنّ ذلك غير متحقق في القرينة، وهذا بخلاف ما إذا كانت القرينة مجملة ولو بسبب معارض خارجي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التبعيض في الحجّيّة في هذا الفرض ممكن، لكن الكلام في شمول دليل الحجّيّة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وهذا الأمر يجري في بقية الموارد والفروض الآتية أيضاً، وتحقيق الحال فيه يأتي في آخر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إذا كانت القرينة من قبيل القرينة المتصلة المستقلة، أي القرينة التي تأتي في جملة مستقلة عن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القرينة ، ولكن في نفس الخطاب الواحد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ذلك 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دان الله عزّ وجلّ بعبادة يجهد فيها نفسه ولا إمام له من الله فسعيه غير مقبول، وهو ضالّ متحيّر، والله شانئ لأعماله ، ومَثَله كمثل شاة ضلت عن راعيها وقطيعها، فهجمت ذاهبة وجائية يومها، فلمّا جنّها الليل بصرت بقطيع غنم مع راعيها، فحنّت إليها واغترّت بها، فباتت معها في مربضها فلما أن ساق الراعي قطيعه أنكرت راعيها وقطيعها، فهجمت متحيّرة تطلب راعيها وقطيعها، فبصرت بغنم مع راعيها فحنّت إليها واغترت بها، فصاح بها الراعي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الحقي براعيك وقطيعك، فأنت تائهة متحيّرة عن راعيك وقطيعك، فهجمت ذعرة، متحيّرة تائهة لا راعي لها يرشدها إلى مرعاها أو يردّها، فبينا هي كذلك إذا اغتنم الذئب ضيعتها فأكلها، وكذلك والله يا محمد من أصبح من هذه الأُمّة لا إمام له من الله عزّ وجلّ ظاهر عادل ، أصبح ضالاً تائهاً، وإن مات على هذه الحالة مات ميتة كفر ونفاق </w:t>
      </w:r>
      <w:r>
        <w:rPr>
          <w:rFonts w:eastAsia="IRNazanin" w:cs="IRNazanin"/>
          <w:color w:val="111111"/>
          <w:sz w:val="28"/>
          <w:szCs w:val="28"/>
          <w:rtl w:val="true"/>
          <w:lang w:bidi="fa-IR"/>
        </w:rPr>
        <w:t>. .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ذي القرينة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في صدر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إمام له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القرينة فهو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الواردة في ذيل الرواية، بناءً على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بالظاهر في قبال الغائب، وحينئذ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هو خصوص الإمام الظاهر في قبال الغائب، وهذا المعنى مما لا يمكن الالتزام به، وهو ساقط عن الحجّيّة كما هو واضح ؛ فإنّ الإمام المفترض الطاعة أعمّ من الحاضر والغائب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فإن قلنا بالتبعيض وعدم تأثير القرينة المستقلّة الساقطة عن الحجيّة على ذي القرينة فيؤخذ بإطلاق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الرواية للظاهر والغائب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نقل بالتبعيض فسقوط القرينة سيؤثر حينئذ في ذي القرينة، وبالتالي تسقط الرواية عن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هنا إمكان التبعيض بالبيان المتقدّم في الفرض السابق، بل جريانه هنا أولى؛ فإنّ كون محلّ التعارض هو المدلول الاستعمالي في هذا الفرض أوضح، بل حتى مثل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 السياق التركيبي موجباً لتغيّر المدلول التصوّري للمفردات التركيبية أنكر ذلك في سياق الجملتين المتعاقبتين، مما يعني إجراء أصالة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التطابق بين المداليل التصوّريّة والتصديقيّة، وبالتالي إمكان التبعيض في الحجية،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أنّ هذه المحاولة مما لا يمكن المساعدة عليها؛ لأنّ هذا الظهور التصوّري الثالث إنّما يكون بأحد منشأين الوضع، أو الغرابة وعدم أُنس الذهن للمعنى الأولي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تقدّم شرحه في بحث القرينية ، والأوّل من هذين المنشأين عهدة ادعائه في المقام على مدعيها، إذ لم يثبت أن سياق التقارن بين جملتين إحداهما أعمّ من الأُخرى موضوع لغةً لمدلول تصوّري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منهما أيضاً لا ينطبق في المقام؛ لأنّ الحديث في هذا القسم عن جملتين مستقلتين يوجد بينهما التناقض المنطقي، وواضح أن عدم التناقض من شؤون مرحلة المدلول التصديقي لا التصوّري، فلا يكون منشأ للتأثير في المداليل التصوّريّة</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0" w:name="pg8927_84367"/>
    </w:p>
    <w:p>
      <w:pPr>
        <w:pStyle w:val="Heading3"/>
        <w:numPr>
          <w:ilvl w:val="2"/>
          <w:numId w:val="1"/>
        </w:numPr>
        <w:rPr/>
      </w:pPr>
      <w:bookmarkStart w:id="81" w:name="__RefHeading___Toc1279108_2870459653"/>
      <w:bookmarkStart w:id="82" w:name="_Toc26"/>
      <w:bookmarkEnd w:id="80"/>
      <w:bookmarkEnd w:id="81"/>
      <w:r>
        <w:rPr>
          <w:rtl w:val="true"/>
        </w:rPr>
        <w:t>المورد الثاني</w:t>
      </w:r>
      <w:bookmarkEnd w:id="82"/>
    </w:p>
    <w:p>
      <w:pPr>
        <w:pStyle w:val="BookText"/>
        <w:rPr/>
      </w:pPr>
      <w:r>
        <w:rPr>
          <w:rFonts w:ascii="Amiri" w:hAnsi="Amiri" w:eastAsia="Amiri" w:cs="Amiri"/>
          <w:color w:val="111111"/>
          <w:sz w:val="28"/>
          <w:sz w:val="28"/>
          <w:szCs w:val="28"/>
          <w:rtl w:val="true"/>
          <w:lang w:bidi="ar-SA"/>
        </w:rPr>
        <w:t>أن لا تكون بين الفقرتين أو الموضوعين في الكلام الواحد علاقة القرينة وذي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ويندرج تحت هذا المورد فرضان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الفرض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وجود ارتباط بينها، فيكون بعضها مستقلاً عن البعض الآخر، بمعنى تعدّد موضوعها وعدم كون إحداها ناظرة ومفسّرة للأُخرى، فلا توجد بينها علاقة القرينة وذي القرينة ، وكذا لا تكون بينها علاقة الكبرى والصغرى، أو العلّة والمعلول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علي بن مهزيار،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إليه امرأة طهرت من حيضها أو دم نفاسها في أوّل يوم من شهر رمضان، ثم استحاضت، فصلت وصامت شهر رمضان كله من غير أن تعمل ما تعمله المستحاضة من الغسل لكلّ صلاتين، هل يجوز صومها وصلاتها أم لا؟ فكتب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تقضي صومها، ولا تقضي صلاتها</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310/4</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فقد دلّت على عدم قضاء الصلاة مع أنّه لم يقل به أحد، فإنّ فتوى الفقهاء على أنّ وظيفتها الصلاة، وصحتها مشروطة بالإتيان بالأغسال المعينة لها، وقد ذهب جملة من الأعلام إلى التفكيك والتبعيض في الحجّيّة هنا، فقالوا بحجّيّة فقرة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تقضي صومها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وعدم حجّيّة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تقضي صلاتها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خروج بعض الخبر عن الحجّيّة لا يخرجها تماماً عنها؛ إذ هو بمنزلة أخبار متعدّدة، فلا يبعد وهم الراوي في بعض دون بعض</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وفي الحدائق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وجُلّ الأصحاب قد عملوا بالخبر في الحكم الأوّل وتركوا الحكم الثاني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حين ذهب البعض الآخر إلى عدم التفكيك بين فقراتها، قال في مصباح الفقيه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وما يقال من أنّ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كون بعض فقرات الرواية مطروحة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يخرجها من الحجية فيما عداها جمود بحت في مثل المورد؛ إذ لا نقول بحجّيّة الأخبار من باب السببية المحضة تعبداً من حيث السند أو الدلالة حتى نلتزم بمثل هذه التفكيكات، وإنّما نلتزم بعدم خروج بعض الفقرات من الحجّيّة بخروج بعض آخر إذا تطرّق احتمال خلل في الفقرة المطروحة يخصها، من قبيل السقط والتحريف والاشتباه والتقيّة ونحوها، وأما مثل هذه الرواية التي يشهد سوقها ،وتعليلها، ومخالفة مدلولها للعامّة، باشتراك الفقرتين في الاحتمالات المتطرّقة، وعدم اختصاص ثانيتهما باحتمال يُعتد به، فالتفكيك في غاية الإشكال، وليس ارتكابه مع استلزامه الكذب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لم يقصد به التورية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أهون من نسبة الغفلة أو الاشتباه إلى الراوي في فهم الرواية أو نقلها</w:t>
      </w:r>
      <w:r>
        <w:rPr>
          <w:rFonts w:eastAsia="IRNazanin" w:cs="IRNazanin"/>
          <w:color w:val="111111"/>
          <w:sz w:val="28"/>
          <w:szCs w:val="28"/>
          <w:rtl w:val="true"/>
          <w:lang w:bidi="fa-IR"/>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أورد السيد الخوئي على التبعيض في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ذلك إنّما هو فيما إذا لم تكن الجملتان متصلتين ومرتبطتين على نحو عدّتا عرفاً جملة واحدة، وأما إذا كانتا مرتبطتين كذلك فلا مورد لهذا الكلام، والأمر في المقام كذلك ؛ لأنهما من الارتباط بمكان يعدان جملة واحدة، 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تقضي صلاتها، وتقضي صيامها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واحد عرفاً، </w:t>
      </w:r>
    </w:p>
    <w:p>
      <w:pPr>
        <w:pStyle w:val="BookText"/>
        <w:rPr/>
      </w:pPr>
      <w:r>
        <w:rPr>
          <w:rFonts w:ascii="Amiri" w:hAnsi="Amiri" w:eastAsia="Amiri" w:cs="Amiri"/>
          <w:color w:val="111111"/>
          <w:sz w:val="28"/>
          <w:sz w:val="28"/>
          <w:szCs w:val="28"/>
          <w:rtl w:val="true"/>
          <w:lang w:bidi="ar-SA"/>
        </w:rPr>
        <w:t>فالتفكيك غير ممكن</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كلماتهم أنّ الملاك في التبعيض هو تحقق الارتباط العرفي بين الفقرتين من عدمه بحيث تُعدّان فقرة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كما هو واضح لا ينصب على البحث الدلالي، وإنما ينصب على البحث الصدوريّ، أي أنّ سقوط فقرة ومقطع في الرواية عن الحجية، وإحراز أنها غير مرادة جداً، هل يوجب سقوط الرواية برمتها، أو يقتصر في السقوط على تلك الفقرة بالخصوص، وتبقى بقيّة فقرات الرواية مشمولة لأدلّة الحجيّة؟</w:t>
      </w:r>
    </w:p>
    <w:p>
      <w:pPr>
        <w:pStyle w:val="BookText"/>
        <w:rPr/>
      </w:pPr>
      <w:r>
        <w:rPr>
          <w:rFonts w:ascii="Amiri" w:hAnsi="Amiri" w:eastAsia="Amiri" w:cs="Amiri"/>
          <w:color w:val="111111"/>
          <w:sz w:val="28"/>
          <w:sz w:val="28"/>
          <w:szCs w:val="28"/>
          <w:rtl w:val="true"/>
          <w:lang w:bidi="ar-SA"/>
        </w:rPr>
        <w:t>ولتحقيق ذلك نحتاج لبيان أهم المناشئ المحتملة لسقوط تلك الفقرة التي هي في الحقيقة نفس المناشئ المحتملة لسقوط أيّة رواية في غير المقام، وأهم تلك المناشئ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الكذب، وأنّ الراوي تعمّد نقل ذلك المقطع كذباً، ولو تعيّن هذا الاحتمال فمن الواضح سريانه إلى الرواية بتمامها، لكنّ الكلام في تعينه، فإنّه مدفوع بوثاقة الراوي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غفلة الناقل في نقل ذلك المقطع الساقط عن الحجية، فذكره يكون زائداً ، وهو على تقدير تحققه سيؤثر على بقية الفقرات في الخبر؛ لسلب الكشف والوثاقة عن ذلك الخبر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الكلام أيضاً في تحققه؛ فإنّه مدفوع بأصالة عدم الغفلة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سقوط تلك الفقرة بسبب التقية، فحينئذ قد يقال بأنه مع إحراز جهة الصدور في بعض الفقرات، وأنها لم تصدر من جهة بيان الحكم الواقعي، وإنّما صدرت لأجل التقيّة، فإنّ ذلك يوجب على الأقل التشكيك في جهة الصدور في الرواية </w:t>
      </w:r>
    </w:p>
    <w:p>
      <w:pPr>
        <w:pStyle w:val="BookText"/>
        <w:rPr/>
      </w:pPr>
      <w:r>
        <w:rPr>
          <w:rFonts w:ascii="Amiri" w:hAnsi="Amiri" w:eastAsia="Amiri" w:cs="Amiri"/>
          <w:color w:val="111111"/>
          <w:sz w:val="28"/>
          <w:sz w:val="28"/>
          <w:szCs w:val="28"/>
          <w:rtl w:val="true"/>
          <w:lang w:bidi="ar-SA"/>
        </w:rPr>
        <w:t>ككل، ومع عدم إحراز جهة الصدور لا تكون الرواية مشمولة لأدلّة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المرجع في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يكون الشكّ فيها شكاً في جهة صدور كلام المتكلّم ، وأنّ كلامه صدر لبيان الحكم الواقعي، أو أنه صدر عنه لتقيّة، أو لهزل، ونحوها من جهة عدم بيان الحكم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أصالة الجهة التي يثبت بها أنّ المتكلّم كان مريداً لبيان الحكم الواقعي إرادة جديّة؛ فإنّ التباني العقلائي قائم على أنّ ظاهر حال المتكلّم هو كونه في مقام بيان الحكم الواقعي، وأنه يريد ذلك الحكم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موضوع أصالة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ظهور حال المتكلّم في بيان الحكم الواقعي،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الفقرات المتعدّدة وغير المترابطة في الخبر الواحد لما كان لكلّ فقرة منها ظهورها التصوّري والاستعمالي والجدي، وأنّ المتكلّم يريد ذلك الحكم جدّاً، وأنّه هو الحكم الواقعي، من غير علاقة مع الظهور التصوّري أو الاستعمالي أو الجدي للفقرة الأخرى، فذلك يعني أنّ كلّ فقرة تحقق موضوع أصالة الجهة بصورة مستقلة عن بقية الفقرات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الجهة تنحل وتتعدّد بتعدد الفقرات المحققة لموضوعها، وعليه فالمقتضي الجريان أصالة الجهة في كلّ فقرة متحقق، ولا بد لمنع جريانها من فرض وجود مانع يمنع من ذلك، والمانع المفروض هو صدور الفقرة الأخرى تقيّة، ولكن مانعيّته تتم إذا تمثل بأحد محتملات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مانع من أصل تحقق أصالة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تقدّم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يمثل قرينة على أنّ الفقرة الأولى صدرت تقيّة كذلك</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صدور الخبر تقيّة هو موافقته للعامة مع معارضته لدليل حجّة، أو </w:t>
      </w:r>
    </w:p>
    <w:p>
      <w:pPr>
        <w:pStyle w:val="BookText"/>
        <w:rPr/>
      </w:pPr>
      <w:r>
        <w:rPr>
          <w:rFonts w:ascii="Amiri" w:hAnsi="Amiri" w:eastAsia="Amiri" w:cs="Amiri"/>
          <w:color w:val="111111"/>
          <w:sz w:val="28"/>
          <w:sz w:val="28"/>
          <w:szCs w:val="28"/>
          <w:rtl w:val="true"/>
          <w:lang w:bidi="ar-SA"/>
        </w:rPr>
        <w:t>وجود قرينة تصرّح بذلك، وهذا مفقود في المقام ؛ فإنّ المفروض أنّ الفقرة الأولى بحدّ ذاتها لم تصدر تقيّة، فتبقى أصالة الجهة هي المحكمة بعد تحقق موضوعها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الوقوع في سياق فقرة صادرة على نحو التقيّة لا يمثل قرينة على حمل الفقرة الأخرى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سقوط تلك الفقرة ناشئاً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تقدّم اتضح عدم تأثيره، وبالتالي إمكان التبعيض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المنشأ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شمول أدلّة الحجيّة لهكذا خبر، باعتبار أن مدرك حجّيّة الظهور هو السيرة، ولا جزم بأنّ سيرة العقلاء قائمة على التفكيك في أمثال هكذا موارد ، ولمّا كانت السيرة دليلاً لبيّاً فيقتصر فيها على القدر المتيقن، وسيأتي الجواب عن ذلك في آخر البحث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أهم المناشئ المحتملة لسقوط أيّة فقرة من رواية عن الحجيّة، وقد اتضح أنّه يقتصر في السقوط على الفقرة التي تحقق فيها منشأ السقوط، ولا يتعدّى منها إلى بقية الفقرات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تقدّم يتضح ما في كلام مصباح الفقيه المتقدّم؛ فإنّ مفروض الكلام هو سقوط إحدى فقرات الحجّيّة لأي سبب كان، والكاشف عن ذلك هو عدم القول بمقتضى تلك الفقرة، وأمّا منشأ ذلك السقوط فاحتمالاته متعدّدة كما تقدم، وإحراز تحققها جميعاً في الفقرتين من الصعوبة بمكان، خصوصاً في مورد صحيحة ابن مهزيار المتقدّمة، والتي يوجد إجماع واتفاق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ذكروا ولا أقل من الشهرة على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مضمون الفقرة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الصوم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وهجران الفقرة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قضاء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يوجب احتمالاً مُعتدّاً به على عدم تحقق ذلك المنشأ في الفقرة الأولى، وذلك كافٍ في تحقق الاختلاف بين </w:t>
      </w:r>
    </w:p>
    <w:p>
      <w:pPr>
        <w:pStyle w:val="BookText"/>
        <w:rPr/>
      </w:pPr>
      <w:r>
        <w:rPr>
          <w:rFonts w:ascii="IRNazanin" w:hAnsi="IRNazanin" w:eastAsia="IRNazanin"/>
          <w:color w:val="111111"/>
          <w:sz w:val="28"/>
          <w:sz w:val="28"/>
          <w:szCs w:val="28"/>
          <w:rtl w:val="true"/>
          <w:lang w:bidi="fa-IR"/>
        </w:rPr>
        <w:t>المفقرتین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الشواهد التي ذكرها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ذلك الارتباط فهي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الرواية، أي أنّ الرواية مسوقة لبيان التفصيل بين الصلاة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التفصيل المذكور لا يلزم منه بالضرورة الارتباط المدعى بحيث تكون بمثابة الجملة الواحدة، فإنّ لنا في المقام جملتين تامّتين لكلّ منهما حكمها وموضوعها المستقل، القضاء وموضوعه الصوم، وعدم القضاء وموضوعه الصلاة، ولما كان السؤال عن كلا الموضوعين، وكان حكمهما مختلفاً حسب مدلول الرواية، كان من الطبيعي أن يفصل في الحكم بينهما، بل حتى لو كان التفصيل في الجواب مع كون السؤال عن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يسأل السائل عن حكم المستحاضة في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التفصيل المذكور لا يضرّ بتعدد الجمل بعد تمامية كل جملة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لأجل ذلك عدل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القول بعدم التفكيك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بالتفكيك والتبعيض في فقرات هذه الصحيحة، وذلك عند تعرّضه لها في كتاب الصوم،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واشتمالها على ما لا يقول به الأصحاب من عدم قضاء الصلاة غير قادح في الاستدلال؛ ضرورة أن التفكيك بين فقرات الحديث في الحجية غير عزيز، فتُطرح تلك الفقرة وتحمل على خطأ الراوي واشتباهه في النقل</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بين الفقرتين أو الموضوعين نوع ارتباط، وهو على صور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هناك جملة واحدة سقط بعضها عن الحجيّة، ومثال ذلك </w:t>
      </w:r>
    </w:p>
    <w:p>
      <w:pPr>
        <w:pStyle w:val="BookText"/>
        <w:rPr/>
      </w:pPr>
      <w:r>
        <w:rPr>
          <w:rFonts w:ascii="IRNazanin" w:hAnsi="IRNazanin" w:eastAsia="IRNazanin"/>
          <w:color w:val="111111"/>
          <w:sz w:val="28"/>
          <w:sz w:val="28"/>
          <w:szCs w:val="28"/>
          <w:rtl w:val="true"/>
          <w:lang w:bidi="fa-IR"/>
        </w:rPr>
        <w:t>معتبرة سعيد الأعرج،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الفأرة والكلب يقع في السمن والزيت، ثم يخرج منه حياً؟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بأكله</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 فقد حكمت بجواز الأكل من ذلك الزيت الذي وقع فيه الكلب مما يعني طهارة الكلب، وإلا فلا معنى لذلك مع ثبوت سريان نجاسة العين النجسة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الملاقي له، وذلك ساقط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هناك موضوعان لحكم واحد في جملة واحدة، هما الفأرة والكلب، وظاهر حكمهما هو الطهارة، وهو ساقط جزماً في الكلب، فهل يوجب ذلك سقوط الحكم في الموضوع الآخر وهو الفأرة في المثال؟</w:t>
      </w:r>
    </w:p>
    <w:p>
      <w:pPr>
        <w:pStyle w:val="BookText"/>
        <w:rPr/>
      </w:pPr>
      <w:r>
        <w:rPr>
          <w:rFonts w:ascii="Amiri" w:hAnsi="Amiri" w:eastAsia="Amiri" w:cs="Amiri"/>
          <w:color w:val="111111"/>
          <w:sz w:val="28"/>
          <w:sz w:val="28"/>
          <w:szCs w:val="28"/>
          <w:rtl w:val="true"/>
          <w:lang w:bidi="ar-SA"/>
        </w:rPr>
        <w:t>ذهب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سقوط ذلك الحكم في الموضوع الآخر أيضاً،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هنا إشكال في الرواية ينشأ من عطف الكلب على الفأرة مع الدليل القطعي على نجاسته، وهو يوجب وهناً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للتشكيك في جريان أصالة الجدّ بلحاظ جزءٍ من الكلام بعد سقوطها بلحاظ جزء آخر ؛ لاختلال الكشف النوعي الذي هو ملاك حجيتها عقلائياً بالاطلاع على تواجد حالة التقيّة في شخص ذلك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لكون الرواية مخالفة للسنة القطعية بلحاظ جزء من مفادها ، وبعد عدم إمكان التفكيك عرفاً فيالتعبّد بالصدور بين كلمة وكلمة تسقط الرواية بتمامها عن الحجية</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الإشكالان سيّالان في جميع موارد التبعيض في الحجيّة، وسيأتي التعرّض لهما و مناقشتهما في آخر البحث</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وبقطع النظر عن هذه الإشكالات فالكلام الذي تقدّم في المورد الأوّل، وكذا الفرض السابق من هذا المورد يجري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جملتان، العلاقة بينهما علاقة الصغرى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الصورة ترجع إلى مسألة التبعيض في المداليل التضمنية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أكان الساقط عن الحجية هو الصغرى أم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حالة سقوط الصغرى فهو واضح؛ لرجوعه إلى تخصيص الكبرى، فيقع الكلام حينئذٍ في حجّيّة العامّ في الباقي بعد التخصيص، وهي عين مسألة التبعيض في المداليل التضمّنيّة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حالة كون الساقط عن الحجيّة هو الكبرى والعام، فقد ذكروا أنّ العام ينحل إلى دلالات تضمّنيّة تتعدّد بعدد الأفراد والصغريات، ولكلّ واحدٍ منها ملاكها المستقل في الحجية، فللصغرى حينئذٍ ملاكها المستقل في الحجّيّة، وسيأتي إن شاء الله تعالى بيان و تفصيل ذلك في المورد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الساقط عن الحجّيّة في كلا الحالتين من قبيل المتصل المستقل، وقد تقدّم في الفرض الثاني من المورد الأوّل عدم مانعيّة ذلك من حجية الآخر عن السقوط</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صحيحة زرارة الثالثة المستدلّ بها على الاستصحاب،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يدر في أربع هو أم في اثنتين وقد أحرز الاثنتين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يركع ركعتين وأربع سجدات وهو قائم بفاتحة الكتاب، ويتشهد، ولا شيء عليه، وإذا لم يدر في ثلاث هو أو في أربع وقد أحرز الثلاث قام فأضاف إليها ركعة أُخرى، ولا شيء عليه، ولا ينقض اليقين بالشكّ، ولا يدخل الشكّ في اليقين فيبنى عليه، ولا يعتدّ بالشكّ في حال من الحالات</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 وقد أشكل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الاستدلال بها بما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لو سُلّم ظهور الصحيحة في البناء على الأقل المطابق للاستصحاب، كان هناك صوارف عن هذا الظاهر، مثل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تعيّن حملها حينئذٍ على التقيّة، وهو 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ارتكاب الحمل على التقيّة في مورد الرواية، وحمل القاعدة المستشهد بها لهذا الحكم المخالف للواقع على بيان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التقيّة في إجراء القاعدة في المورد لا في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أُخرى للظاهر وإن كان ممكناً في نفسه</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وأجاب على ذلك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إشكال في أنّ الحمل على التقيّة الذي هو خلاف الأصل إنّما يصار إليه ويرفع اليد عن مقتضى الأصل بمقدار الضرورة، ولا ريب أنّ الضرورة إنّما اقتضت الحمل عليها في خصوص المورد، فما الموجب لرفع اليد عن القاعدة المستشهد بها على حكم المورد؟ وأي مخالفة أُخرى للظاهر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رفع اليد عن عن القاعدة في غير المورد خلاف الظاهر ، ونظير ذلك كثير في الفقه</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الثالثة أن تكون بين الفقرتين علاقة العلة والمعلول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مرجع هذه الصورة في الحقيقة إلى الصورة السابقة، فقد ذكروا أنّ العلة المنصوصة تمثل الكبرى الكليّة والمعلول صغرى من صغرياتها، قال 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علّة الحكم منصوصة، ونعني به ما كانت العلة المذكورة فيه واسطة في العروض لثبوت الحكم للموضوع المذكور في القضية، بأن يكون الموضوع الحقيقي هو العنوان المذكور في التعليل، ويكون ثبوته للموضوع المذكور من جهة انطباق ذلك العنوان عليه، كما في قضية لا تشرب الخمر فإنّه مسكر ، فإنّها ظاهرة في أنّ موضوع الحرمة فيها إنّما هو عنوان المسكر ، وحرمة الخمر إنّما هي من جهة انطباق ذلك العنوان عليه، فيسري الحكم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حينئذ إلى كل مسكر، فلا تبقى للخمر خصوصيّة في الحكم المذكور في القضيّة</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83" w:name="pg8927_84377"/>
    </w:p>
    <w:p>
      <w:pPr>
        <w:pStyle w:val="Heading3"/>
        <w:numPr>
          <w:ilvl w:val="2"/>
          <w:numId w:val="1"/>
        </w:numPr>
        <w:rPr/>
      </w:pPr>
      <w:bookmarkStart w:id="84" w:name="__RefHeading___Toc1279110_2870459653"/>
      <w:bookmarkStart w:id="85" w:name="_Toc27"/>
      <w:bookmarkEnd w:id="83"/>
      <w:bookmarkEnd w:id="84"/>
      <w:r>
        <w:rPr>
          <w:rtl w:val="true"/>
        </w:rPr>
        <w:t>المورد الثالث</w:t>
      </w:r>
      <w:bookmarkEnd w:id="85"/>
    </w:p>
    <w:p>
      <w:pPr>
        <w:pStyle w:val="BookText"/>
        <w:rPr/>
      </w:pPr>
      <w:r>
        <w:rPr>
          <w:rFonts w:ascii="Amiri" w:hAnsi="Amiri" w:eastAsia="Amiri" w:cs="Amiri"/>
          <w:color w:val="111111"/>
          <w:sz w:val="28"/>
          <w:sz w:val="28"/>
          <w:szCs w:val="28"/>
          <w:rtl w:val="true"/>
          <w:lang w:bidi="ar-SA"/>
        </w:rPr>
        <w:t>التبعيض في المداليل الالتزامية</w:t>
      </w:r>
    </w:p>
    <w:p>
      <w:pPr>
        <w:pStyle w:val="BookText"/>
        <w:rPr/>
      </w:pPr>
      <w:r>
        <w:rPr>
          <w:rFonts w:ascii="IRNazanin" w:hAnsi="IRNazanin" w:eastAsia="IRNazanin"/>
          <w:color w:val="111111"/>
          <w:sz w:val="28"/>
          <w:sz w:val="28"/>
          <w:szCs w:val="28"/>
          <w:rtl w:val="true"/>
          <w:lang w:bidi="fa-IR"/>
        </w:rPr>
        <w:t>ولهذا المورد فرضان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بين المدلول المطابقي والالتزامي، بأن يكون الساقط عن الحجيّة هو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يكون المدلول الالتزامي متفرّعاً وتابعاً له في الحجيّة فيسقط بسقوطه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متفرّعاً عنه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 غير تابع له في الحجية؟ فبالرغم من سقوط المدلول المطابقي عن الحجّيّة فإنّه لا يلزم منه بالضرورة سقوط المدلول الالتزامي عن الحجّيّة، أي هناك تبعيض بين المدلول المطابقي والمدلول الالتزامي في الحجية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صميم البحث لا بد من استيضاح نوع العلاقة بين اللفظ والمدلول المطابقي من جهة، والمدلول الالتزامي من جهة أخرى،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أنّ الملازمة بين شيئين 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البينة بالمعنى الأخصّ، وهي ما يكون نفس تصوّر الملزوم كافياً لإدراك الملازمة، وبلا حاجة إلى إدراك النسبة بين اللازم والملزوم، أو ضمّ مقدّمة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البينة بالمعنى الأعمّ، وهي ما تحتاج إلى تصوّر الملزوم واللازم والنسبة بينهما كي تكشف عن الملازمة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الملازمة غير البيّنة، وهي ما احتاجت إلى ضم مقدّمات وجهات </w:t>
      </w:r>
    </w:p>
    <w:p>
      <w:pPr>
        <w:pStyle w:val="BookText"/>
        <w:rPr/>
      </w:pPr>
      <w:r>
        <w:rPr>
          <w:rFonts w:ascii="Amiri" w:hAnsi="Amiri" w:eastAsia="Amiri" w:cs="Amiri"/>
          <w:color w:val="111111"/>
          <w:sz w:val="28"/>
          <w:sz w:val="28"/>
          <w:szCs w:val="28"/>
          <w:rtl w:val="true"/>
          <w:lang w:bidi="ar-SA"/>
        </w:rPr>
        <w:t>أُخرى زائدة على تصوّر الملزوم واللازم والنسبة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النحو الأوّل هو الذي يدخل تحت الدلالة اللفظية؛ فإنّ وضوح ورسوخ العلاقة بين المدلول المطابقي والمدلول الالتزامي، وسرعة انتقال الذهن إلى اللازم عند إطلاق الملزوم كان سبباً في دلالة اللفظ على ذلك المدلول الالتزامي، فاللفظ له مدلولان طوليان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المطابقيّ ويدلّ عليه مباشرة وبلا واسطة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الالتزامي ويدلّ عليه بواسطة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بعض المحققين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أُطلق اللفظ انتقل الذهن منه إلى المعنى المطابقيّ مباشرة وإلى المعنى الالتزامي بالواسطة، وعليه فليس هنا 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ظهور اللفظ في المعنى المطابقيّ، والآخر ظهوره في المعنى الالتزامي، بل له ظهور واحد مباشرة وهو ظهوره في المدلول المطابقي ، وأمّا ظهوره في المدلول الالتزامي فهو يتولّد منه بواسطة الملازمة بينهما ، لا أنّه ظهور له في عرض ظهوره في المدلول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ظهوره في المدلول الالتزامي معلول 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في المدلول المطابقيّ،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بينهما، فلهذا يكون في طوله ومن مراتب وجوده</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ظاهر بعض العبارات أنّ إطلاق الدلالة اللفظية عليها من باب المسامحة، وإلّا فهي في واقعها دلالة عقلية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واللفظ المذكور وهو القضيّة الشرعية وإن كانت لم تدلّ إلا على الملزوم، لكن لما كان لزوم ذلك اللازم بيّناً واضحاً قلنا إنّ اللفظ يدلّ عليه بنحو من المسامحة، وإلا فإنّ هذه الدلالة عقلية صرفة</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والأقرب هو الأوّل، وأنّ إطلاق الدلالة اللفظية عليها على نحو الحقيقة لا المسامحة؛ فإنّ الدلالات لما كانت تمثل عملية انتقال ذهني بين 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ومدلول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بهذا اللحاظ كلّها عقلية، لكن الملاك في تقسيم الدلالات هو لحاظ أطراف تلك الدلالة؛ فإن كان طرف الدال لفظاً كانت الدلالة لفظية، وإن كان الدالّ معقولاً سُمّيت الدلالة عقلية، والمفروض أنّ الدالّ هنا هو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الدال هو 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النحوين الآتيين من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لأصبحت الدلالة عقليّة صرفة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النحوان الثاني والثالث فهما من قبيل الدلالة العقليّة لا اللفظية، وقد أفاد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أن يقال في كل دلالة التزاميّة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باستثناء ما هو لازم بيّن بالمعنى الأخص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عندنا دال واحد ومدلولان؛ فإنّ الدلالة الالتزامية في غير اللازم البين بالمعنى الأخص دلالة عقليّة وليست لفظية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دالّ واحد وهو اللفظ، ومدلولان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المطابقي والمدلول الالتزامي، بل عندنا دالان ومدلولان، فالدال الأوّل هو اللفظ، والمدلول الأول هو المعنى المطابقيّ، والدال الثاني هو نفس المدلول الأوّل وهو المعنى المطابقيّ، والمدلول الثاني هو المعنى الالتزامي</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فالسبب الموجب لدلالة اللفظ على المدلول الالتزامي في النحو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رسوخ ووضوح العلاقة بين المدلول المطابقي والمدلول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الدلالة الالتزاميّة اللفظية لما كانت مدلولاً تصورياً للكلام فهي مع عدم القرينة المانعة تكون مدلولاً استعماليّاً للكلام، وكذا مدلولاً جدياً تصديقياً، فإنّ ذلك هو مقتضى التطابق بين المداليل الثلاثة للكلام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المحقق الشيخ حسين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انعقاد الدلالة التصوّرية للمدلول </w:t>
      </w:r>
    </w:p>
    <w:p>
      <w:pPr>
        <w:pStyle w:val="BookText"/>
        <w:rPr/>
      </w:pPr>
      <w:r>
        <w:rPr>
          <w:rFonts w:ascii="Amiri" w:hAnsi="Amiri" w:eastAsia="Amiri" w:cs="Amiri"/>
          <w:color w:val="111111"/>
          <w:sz w:val="28"/>
          <w:sz w:val="28"/>
          <w:szCs w:val="28"/>
          <w:rtl w:val="true"/>
          <w:lang w:bidi="ar-SA"/>
        </w:rPr>
        <w:t>الالتزامي دون التصديقية،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يخفى أنّ أهل المنطق وإن ذكروا أنّ اللزوم المعتبر في الدلالة الالتزاميّة هو اللزوم البين بالمعنى الأخصّ، كالبصر بالنسبة إلى العمى، فإنّ لفظ العمى يُحدِث معناه في ذهن السامع ، وحيث إنّ تصوّر معنى العمى لا ينفك عن تصوّر البصر قالوا إن دلالته عليه التزاميّة، فلا يكون ملاك الدلالة الالتزاميّة عندهم هو الملازمة الواقعية بين المعنيين، بل ملاكه هو الملازمة بين التصوّرين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يخفى أن هذا إنّما يتأتى في الدلالة التصوّريّة التي هي عبارة عن حضور المعنى في ذهن السامع، دون الدلالة التصديقية التي هي عبارة عن الحكم على المتكلّم بأنّه أراد ذلك المعنى اللازم، ولا دخل لذلك بالتلازم بين التصوّرين، ومن الواضح أنّ هذه الدلالة لا دخل لها بالدلالة الالتزاميّة التي اصطلح عليها أهل المنطق، وجعلوا الملاك فيها هو اللزوم البين بالمعنى الأخصّ، فإنّ تلك الملازمة لا دخل لها بعالم الإرادة؛ إذ الغالب فيها أنّ المتكلّم لا يكون مريداً للازم وإن كان ذلك اللازم يحضر في ذهن السامع لكن لا يحكم السامع بأنّ المتكلّم أراد ذلك اللازم، وإلا لكان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جَاءَهُ الْأَعْمَى</w:t>
      </w:r>
      <w:r>
        <w:rPr>
          <w:rStyle w:val="FootnoteAnchor"/>
          <w:rtl w:val="true"/>
        </w:rPr>
        <w:footnoteReference w:id="209"/>
      </w:r>
      <w:r>
        <w:rPr>
          <w:rFonts w:ascii="Amiri" w:hAnsi="Amiri" w:eastAsia="Amiri" w:cs="Amiri"/>
          <w:color w:val="111111"/>
          <w:sz w:val="28"/>
          <w:sz w:val="28"/>
          <w:szCs w:val="28"/>
          <w:rtl w:val="true"/>
          <w:lang w:bidi="ar-SA"/>
        </w:rPr>
        <w:t>دالاً على أن جاءه البصير</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للإجابة على ذلك نحتاج إلى معرفة حقيقة الدلالة الاستعماليّة، وأنّ المتكلم هل إرادته متعلّقة بإخطار المدلول المطابقي لكلامه فقط، أو أنها متعلّقة بالمدلول التصوّريّ الأعمّ من المطابقيّ والالتزامي؟</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الصحيح هو الثاني، فإنّه بعد انعقاد المدلول التصوّري وشموله للمدلول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للتبعيض في الإرادة الاستعماليّة، وأنّه يريد إخطار المدلول </w:t>
      </w:r>
    </w:p>
    <w:p>
      <w:pPr>
        <w:pStyle w:val="BookText"/>
        <w:rPr/>
      </w:pPr>
      <w:r>
        <w:rPr>
          <w:rFonts w:ascii="Amiri" w:hAnsi="Amiri" w:eastAsia="Amiri" w:cs="Amiri"/>
          <w:color w:val="111111"/>
          <w:sz w:val="28"/>
          <w:sz w:val="28"/>
          <w:szCs w:val="28"/>
          <w:rtl w:val="true"/>
          <w:lang w:bidi="ar-SA"/>
        </w:rPr>
        <w:t>المطابقي دون الالتزامي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المقتضي للإرادة الاستعماليّة لكلا المدلولين متحقق؛ لأنّه إن كان انعقاد الدلالة التصوّريّة فالمفروض أنّها شاملة لكليهما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هو قوّة الكشف فهو فيهما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المقتضي هو التفات المتكلّم فالمفروض أنّ العلاقة راسخة والتلازم بين بالمعنى الأخصّ، أي أنّ الالتفات إلى كلا المدلولين بدرجة واحدة وقوّة كشف واحدة، فلا معنى لغفلته عن عن أحدهما دون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المثال الذي ذكر فيرد عليه أنّ هناك فرقاً بين لازم المدلول المطابقي للكلمة المفردة ولازم المدلول المطابقيّ للجملة المركبة؛ فإنّ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جَاءَهُ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فلازمها هو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إن لم يجئه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ينتفي الحكم المتعلّق بمجيء الأعمى عنه، فهذه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تحقق المدلول الالتزامي التصوّري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مدلولها التصوّريّ المطابقيّ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جاءه الأعمى فحكمه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ومدلوله التصوّري الالتزاميّ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يجئه الأعمى ينتفي ذلك الحكم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ومدلولها الاستعماليّ حينئذٍ هو إرادة إخطار كلا المدلولين التصوّريين الطوليين، وهذا بخلاف المفردات؛ فإنّ مدلولها التصوّري هو تصوّر تلك المفردة مجرّداً عن أي حكم ونسبة، وبالتالي فمدلولها التصوّري المطابقي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والالتزامي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وحينئذ يكون المدلول الاستعمالي هو إخطار هما، فلا محذور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الدلالة الاستعماليّة للمدلول المطابقي والالتزامي يلزم منه استعمال اللفظ في أكثر من معنى، والمشهور أنّه غير ممكن عقلاً أو عرفاً على اختلاف المباني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ذكروا أنّ محل البحث في مسألة استعمال اللفظ في أكثر من معنى هو </w:t>
      </w:r>
    </w:p>
    <w:p>
      <w:pPr>
        <w:pStyle w:val="BookText"/>
        <w:rPr/>
      </w:pPr>
      <w:r>
        <w:rPr>
          <w:rFonts w:ascii="Amiri" w:hAnsi="Amiri" w:eastAsia="Amiri" w:cs="Amiri"/>
          <w:color w:val="111111"/>
          <w:sz w:val="28"/>
          <w:sz w:val="28"/>
          <w:szCs w:val="28"/>
          <w:rtl w:val="true"/>
          <w:lang w:bidi="ar-SA"/>
        </w:rPr>
        <w:t xml:space="preserve">المعاني المستقلة، أي التي يكون أحدها في عرض الآخر ، فلا تشمل المعاني المتعدّدة التي تكون على نحو التبعية والطوليّة، والمدلول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تبعي طولي للمدلول المطابقي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اتضاح ما تقدّم نعود إلى أصل البحث، ولنجعله في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 في الدلالة الالتزاميّة البيّنة بالمعنى الأعمّ أو غير البيّنة، والتي تقدّم أنها ليست من الدلالة اللفظية، وإنّما هي هي من دلالة المدلول على المدلول، أي أنّها دلالة عقليّة، وهذه الدلالة هي مدار المطالب العلميّة على ما حُكي عن بعض الأعاظم</w:t>
      </w:r>
      <w:r>
        <w:rPr>
          <w:rStyle w:val="FootnoteAnchor"/>
          <w:rtl w:val="true"/>
        </w:rPr>
        <w:footnoteReference w:id="211"/>
      </w:r>
      <w:r>
        <w:rPr>
          <w:rFonts w:ascii="Amiri" w:hAnsi="Amiri" w:eastAsia="Amiri" w:cs="Amiri"/>
          <w:color w:val="111111"/>
          <w:sz w:val="28"/>
          <w:sz w:val="28"/>
          <w:szCs w:val="28"/>
          <w:rtl w:val="true"/>
          <w:lang w:bidi="ar-SA"/>
        </w:rPr>
        <w:t xml:space="preserve">، وهي حجّة إن كان الملزوم حجّة، فإن كان القطع قد تعلّق بالملزوم وكانت حجيته لأجل ذلك فكذا الحال في اللازم، وإن كانت حجّيّة الملزوم تعبّديّة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اللازم كذلك، وقد ذكروا لذلك عدة توجيهات، نذكر واحداً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الملاك في حجّيّة الأمارات والظهور هو قوّة الكشف فيها، وقوّة الكشف نسبتها متساوية إلى المدلول المطابقيّ والمدلول الالتزامي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تمام الموضوع والملاك في جعل الحجّيّة في باب الأمارة إنّما هو علاج التزاحم الحفظي على أساس المرجّح الكيفي وهو الترجيح بقوّة الاحتمال والكاشفية، فسوف تكون المثبتات حجّة على القاعدة، لأنّ</w:t>
      </w:r>
    </w:p>
    <w:p>
      <w:pPr>
        <w:pStyle w:val="BookText"/>
        <w:rPr/>
      </w:pPr>
      <w:r>
        <w:rPr>
          <w:rFonts w:ascii="Amiri" w:hAnsi="Amiri" w:eastAsia="Amiri" w:cs="Amiri"/>
          <w:color w:val="111111"/>
          <w:sz w:val="28"/>
          <w:sz w:val="28"/>
          <w:szCs w:val="28"/>
          <w:rtl w:val="true"/>
          <w:lang w:bidi="ar-SA"/>
        </w:rPr>
        <w:t>نفس الدرجة من الكشف التصديقي وبنفس الملاك الكاشف ثابت بلحاظ المداليل الالتزاميّة للأمارة أيضاً، إلّا من حيث كون المؤدّى مدلولاً مطابقيّاً، واللازم التزاميّاً غير مصرح به، ومثل هذه الخصوصية لا تكون دخيلة في ملاك الحجية عرفاً وعقلائياً</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اتضاح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يوجّه القول بعدم التبعية بأن المدلول المطابقي </w:t>
      </w:r>
    </w:p>
    <w:p>
      <w:pPr>
        <w:pStyle w:val="BookText"/>
        <w:rPr/>
      </w:pPr>
      <w:r>
        <w:rPr>
          <w:rFonts w:ascii="Amiri" w:hAnsi="Amiri" w:eastAsia="Amiri" w:cs="Amiri"/>
          <w:color w:val="111111"/>
          <w:sz w:val="28"/>
          <w:sz w:val="28"/>
          <w:szCs w:val="28"/>
          <w:rtl w:val="true"/>
          <w:lang w:bidi="ar-SA"/>
        </w:rPr>
        <w:t xml:space="preserve">وإن كان هو الدال على المدلول الالتزامي فهو متفرّع عنه في الوجود، وبالتالي تثبت له الحجية أيضاً، لكن سقوط الحجية عن المدلول المطابقي لا يعني سقوط نفس المدلول، فالمدلول المطابقي موجود ومتحقق حتى مع سقوط حجّيّته، وبوجوده يتحقق وجود المدلول الالتزامي، أي تتحقق فيه تلك الدرجة من الكشف و الكشف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هي ملاك الحجية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يتحقق موضوع جديد لدليل الحجّيّة، وعليه فلا مانع من شمول دليل الحجيّة له، والمانع الذي أوجب سقوط المدلول المطابقي عن الحجية لا موجب لأن يكون مانعاً عن سقوط حجّيّة المدلول الالتزامي كذلك، فالمدلول المطابقي والمدلول الالتزامي وإن كانا متلازمين في الوجود لكنهما في الوقت نفسه يحققان موضوعين مختلفين في الحجيّة، فلا يؤثر سقوط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تماميّة ذلك؛ لما تقدّم من أنّ الدلالة الالتزامية العقلية نشأت من الملازمة بين المدلولين المطابقيّ والالتزامي، فهي من دلالة المدلول على المدلول لا اللفظ على المدلول، فمنشؤها هو نفس ذلك الإخبار الذي نشأت منه الدلالة المطابقيّة، وبالتالي مع سقوط المدلول المطابقي عن الحجّيّة لكذب المخبر أو لعدم إرادة ذلك الظهور يكون</w:t>
      </w:r>
    </w:p>
    <w:p>
      <w:pPr>
        <w:pStyle w:val="BookText"/>
        <w:rPr/>
      </w:pPr>
      <w:r>
        <w:rPr>
          <w:rFonts w:ascii="Amiri" w:hAnsi="Amiri" w:eastAsia="Amiri" w:cs="Amiri"/>
          <w:color w:val="111111"/>
          <w:sz w:val="28"/>
          <w:sz w:val="28"/>
          <w:szCs w:val="28"/>
          <w:rtl w:val="true"/>
          <w:lang w:bidi="ar-SA"/>
        </w:rPr>
        <w:t>افتراض سقوط المدلول الالتزامي حينئذ غير موجب لافتراض كذب جديد، أو عدم إرادة جديدة للظاهر</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الالتزاميّة في المقام لا يوجد فيها ملاك مستقل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نكتة الحجّيّة وملاكها في الإخبار والحكاية إنّما هو أصالة عدم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الشامل للاشتباه، وفي الإنشاء و القضايا المجعولة أصالة الظهور وإرادة المعنى من اللفظ ، وإذا سقطت الدلالة المطابقيّة بظهور كذبها في باب الإخبار أو عدم إرادتها في باب الإنشاء، فافتراض عدم ثبوت المدلول الالتزامي لها لا يستدعي </w:t>
      </w:r>
    </w:p>
    <w:p>
      <w:pPr>
        <w:pStyle w:val="BookText"/>
        <w:rPr/>
      </w:pPr>
      <w:r>
        <w:rPr>
          <w:rFonts w:ascii="Amiri" w:hAnsi="Amiri" w:eastAsia="Amiri" w:cs="Amiri"/>
          <w:color w:val="111111"/>
          <w:sz w:val="28"/>
          <w:sz w:val="28"/>
          <w:szCs w:val="28"/>
          <w:rtl w:val="true"/>
          <w:lang w:bidi="ar-SA"/>
        </w:rPr>
        <w:t>افتراض كذب زائد في الإخبار أو مخالفة زائدة في الإنشاء؛ لأنّ هذه الدلالة لم تكن بدال إخباري أو إنشاء مستقل، وإنّما كانت من جهة الملازمة بين المدلولين، فتكون من دلالة المدلول على المدلول، وليست دلالة واجدة لملاك مستقل للكاشفية والحجية</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أورد بعض المحققين على ذلك بإيرادين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 فإنّما يتمّ فيما إذا لم يترتب على المدلول الالتزامي أثر شرعي زائد على ما يترتب على المدلول المطابقيّ، فعندئذ إذا سقطت الدلالة المطابقية من جهة ظهور كذبها فليس في سقوط الدلالة الالتزاميّة كذب زائد على ما يترتب على سقوط الدلالة المطابقيّة لكي يتمسّك بأصالة عدم الكذب فيها للحفاظ عليها، وأما إذا ترتب عليه أثر زائد على ما يترتب على المدلول المطابقي، فعندئذٍ يكون في سقوط الدلالة الالتزاميّة كذب زائد على ما يترتب على سقوط الدلالة المطابقيّة، وحينئذ فلا مانع من التمسّك بأصالة عدم الكذب فيها بلحاظ ما يترتب من الأثر الزائد، وبالتالي بأصالة الظهور؛ حيث إنّ في سقوطها مخالفة زائدة على ما يترتب على سقوط الدلالة المطابقيّة من المخالفة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نفس المدلول الالتزامي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افتراض كذب زائد في الإخبار، فالأثر الشرعيّ الزائد على ما يترتب على المدلول المطابقي كذلك؛ لأنّ المانع من افتراض الكذب الزائد بين المدلول المطابقي والمدلول الالتزامي هو كون الدلالة من قبيل دلالة المدلول على المدلول، فلا يوجد فيها ملاك مستقل للكاشفية والحجّيّة، فإنّ صدقه في المدلول الالتزاميّ إنّما هو بصدقه في المدلول المطابقي لا بنفسه، </w:t>
      </w:r>
    </w:p>
    <w:p>
      <w:pPr>
        <w:pStyle w:val="BookText"/>
        <w:rPr/>
      </w:pPr>
      <w:r>
        <w:rPr>
          <w:rFonts w:ascii="Amiri" w:hAnsi="Amiri" w:eastAsia="Amiri" w:cs="Amiri"/>
          <w:color w:val="111111"/>
          <w:sz w:val="28"/>
          <w:sz w:val="28"/>
          <w:szCs w:val="28"/>
          <w:rtl w:val="true"/>
          <w:lang w:bidi="ar-SA"/>
        </w:rPr>
        <w:t>وكذلك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ملاك الكذب والصدق المستقل إنّما يتحقق لو كانت الدلالة من قبيل دلالة اللفظ على المدلول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الإيراد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شمول دليل الحجّيّة العامّ للظاهر منوط بتوفّر ملاكها فيه، وهو الكاشفية النوعية عن الواقع، فطالما يكون هذا الملاك متوفّراً فيه فهو مشمول لدليل الحجّيّة، وإلّا فلا، وعلى هذا فإذا فرضنا أنّ هذا الملاك غير متوفّر في ظهور اللفظ في المدلول المطابقي أو متوفّر ولكن هناك مانع عن الشمول، فلا مانع من شموله لظهوره في المدلول الالتزامي إذا كان ملاك حجّيّته متوفّراً فيه؛ لأنّه يدور مداره وجوداً وعدماً،ولا يدور مدار أصالة عدم الكذب</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بأنّ الكشف النوعي والذي هو مناط الحجية في خبر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مآله إلى أصالة عدم الكذب ونحوها، فإن درجة كشف الظهور عن الواقع إنما تتم بإجراء أصالة عدم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الدلالة الالتزاميّة اللفظية، أي البيّنة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اللفظ في هذه الدلالة له ظهوران ظهور في المدلول المطابقي وظهور في المدلول الالتزامي، غاية الأمر أنّهما ظهوران طوليّان لا عرضيّان، وعليه فهل يأتي الكلام المتقدّم في الصورة السابقة هنا أو لا؟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عدم تأتيه؛ لما تقدّم من وجود دلالتين لفظيتين في المقام، الأُولى دلالة اللفظ على المدلول المطابقيّ، والثانية دلالة اللفظ على المدلول الالتزامي، فالدلالة الالتزامية تمثل ظهوراً مستقلّاً وزائداً على الدلالة المطابقيّة، وبالتالي ملاك الحجية فيها مستقلّ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ذكر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تفريعاً على كلامه المتقدّم في الصورة السابقة ما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الأساس صح التفصيل في التبعية بين الدلالة الالتزاميّة البينة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الدلالة التصوّرية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والدلالة الالتزاميّة غير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التصديقية العقلية ، حيث لا نلتزم بالتبعية في الأولى، إذ لو كانت الدلالة الالتزامية بدرجة من الوضوح بحيث تشكل ظهوراً في الكلام زائداً على مدلوله المطابقي فسوف يكون عدم إرادة المتكلّم لها مخالفة إضافية زائداً على ما يستلزمه عدم إرادته للمدلول المطابقيّ، فيكون مثل هذه الدلالة الالتزاميّة مستقلة عن الدلالة المطابقيّة في ملاك الحجّيّة فلا تتبعها في السقوط</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ناقشه بعض المحققين بأنّ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التفصيل ليس تاماً بنحو الإطلاق، بل في خصوص الموارد التي تشكّل الدلالة البينة دلالةً وظهوراً عرفيّاً مستقلاً عن المدلول المطابقي وليس دائماً كذلك، فمثلا دلالة دليل الوجوب على نفي الحرمة بينة عرفاً لبداهة ووضوح التضاد بين الوجوب والحرمة، إلّا أنّه مع ذلك تتمّ فيه النكتة المذكورة في التقريب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مثل فَلَا تَقُل مَا أُفٍّ لو فرض أنّه من الدلالة الالتزامية البينة يمكن دعوى أنّ ثبوت جواز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في مورد لا يوجب سقوط الدلالة الالتزامية الفحوائيّة على حرمة الأشدّ منه في ذلك المورد</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يتضح وجه التفريق بين هذه الأمثلة والموارد، فبعد فرض أنها من البینة بالمعنى الأخص يأتي فيها ما تقدّم من البيان بأنّها تشكل ظهوراً مستقلاً، ففرض أنها من البيئة بالمعنى الأخص يعني أنّ هناك مدلولين وظهورين طوليين للفظ، أحدهما مستقل </w:t>
      </w:r>
    </w:p>
    <w:p>
      <w:pPr>
        <w:pStyle w:val="BookText"/>
        <w:rPr/>
      </w:pPr>
      <w:r>
        <w:rPr>
          <w:rFonts w:ascii="Amiri" w:hAnsi="Amiri" w:eastAsia="Amiri" w:cs="Amiri"/>
          <w:color w:val="111111"/>
          <w:sz w:val="28"/>
          <w:sz w:val="28"/>
          <w:szCs w:val="28"/>
          <w:rtl w:val="true"/>
          <w:lang w:bidi="ar-SA"/>
        </w:rPr>
        <w:t>عن الآخر، فالدال عليه ليس هو نفس المدلول المطابقي حتى يكون من دلالة المدلول على المدلول، وبالتالي لا يكون للفظ إلا مدلول وظهور واحد حتى يأتي فيه التقريب الذي أشار إليه، بل اللفظ يدلّ عليه بصورة مستقلة فيكون ظهوراً ثانياً، مما يعني أنّه يمثل ظهوراً زائداً على ظهور اللفظ في المدلول المطابقيّ، فيتم ما ذكره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التبعيض بين المداليل الالتزاميّة، بأن يكون لذلك المدلول المطابقي عدة مداليل التزاميّة، فمع سقوط بعضها عن الحجية هل يستوجب ذلك سقوط بقية المداليل الالتزاميّة عن الحجيّة أيضاً، أو لا؟</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اتضح مما تقدّم أنّ فرض التبعية في السقوط متوقف على وجود نحو ارتباط بين المدلولين، وهذا غير متحقق في المقام، فلا تفريع بين هذه المداليل، وإنّما التفريع على المدلول المطابقي، وكذا ملاك الحجّيّة في كل واحد منهما مستقل عن الآخر، وقد اتضح مما تقدّم أنّ كلّ ظهور يمثل موضوعاً مستقلاً للحجية</w:t>
      </w:r>
      <w:r>
        <w:rPr>
          <w:rFonts w:eastAsia="Amiri" w:cs="Amiri" w:ascii="Amiri" w:hAnsi="Amiri"/>
          <w:color w:val="111111"/>
          <w:sz w:val="28"/>
          <w:szCs w:val="28"/>
          <w:rtl w:val="true"/>
          <w:lang w:bidi="ar-SA"/>
        </w:rPr>
        <w:t xml:space="preserve">. </w:t>
      </w:r>
      <w:bookmarkStart w:id="86" w:name="pg8927_84388"/>
    </w:p>
    <w:p>
      <w:pPr>
        <w:pStyle w:val="Heading3"/>
        <w:numPr>
          <w:ilvl w:val="2"/>
          <w:numId w:val="1"/>
        </w:numPr>
        <w:rPr/>
      </w:pPr>
      <w:bookmarkStart w:id="87" w:name="__RefHeading___Toc1279112_2870459653"/>
      <w:bookmarkStart w:id="88" w:name="_Toc28"/>
      <w:bookmarkEnd w:id="86"/>
      <w:bookmarkEnd w:id="87"/>
      <w:r>
        <w:rPr>
          <w:rtl w:val="true"/>
        </w:rPr>
        <w:t>المورد الرابع</w:t>
      </w:r>
      <w:bookmarkEnd w:id="88"/>
    </w:p>
    <w:p>
      <w:pPr>
        <w:pStyle w:val="BookText"/>
        <w:rPr/>
      </w:pPr>
      <w:r>
        <w:rPr>
          <w:rFonts w:ascii="Amiri" w:hAnsi="Amiri" w:eastAsia="Amiri" w:cs="Amiri"/>
          <w:color w:val="111111"/>
          <w:sz w:val="28"/>
          <w:sz w:val="28"/>
          <w:szCs w:val="28"/>
          <w:rtl w:val="true"/>
          <w:lang w:bidi="ar-SA"/>
        </w:rPr>
        <w:t>التبعيض في المداليل التضمّنيّة</w:t>
      </w:r>
    </w:p>
    <w:p>
      <w:pPr>
        <w:pStyle w:val="BookText"/>
        <w:rPr/>
      </w:pPr>
      <w:r>
        <w:rPr>
          <w:rFonts w:ascii="Amiri" w:hAnsi="Amiri" w:eastAsia="Amiri" w:cs="Amiri"/>
          <w:color w:val="111111"/>
          <w:sz w:val="28"/>
          <w:sz w:val="28"/>
          <w:szCs w:val="28"/>
          <w:rtl w:val="true"/>
          <w:lang w:bidi="ar-SA"/>
        </w:rPr>
        <w:t>ومرجع هذا المورد كما هو معلوم إلى حجّيّة العامّ في الباقي بعد التخصيص، فيقال بالتبعيض في الحجّيّة بين المداليل التضمّنيّة، فبعد سقوط بعض المداليل التضمّنية وخروجها عن حجّيّة العام، بالتخصيص تبقى المداليل التضمّنيّة الأُخرى غير المخصّصة مشمولة لحجيّة العام، ولعلّ هذه المسألة أصبحت من الواضحات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وقع الكلام في إشكال ذُكر على ذلك، وفي الجواب الفنّي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جماعة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الكلام في شموله لجميع أفراد العامّ إنّما هو باعتبار أنّ استعمال العام في العموم والاستيعاب الجميع أفراده استعمال في معناه الحقيقي، وهو غير متحقق في المقام؛ فإنّه بعد ورود التخصيص وخروج بعض الأفراد يكون العام قد استعمل في معنى مجازي، لأنه لم يستوعب جميع الأفراد، وحينئذ تسقط جميع المداليل التضمّنية عن الحجية؛ لأنها كانت تعتمد على استعمال العام في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أُجيب عن هذا الإشكال بعدة أجوبة، وهذه الأجوبة في الحقيقة تبحث عن التخريج الفنّيّ لحجّيّة العامّ في الباقي بعد التخصيص، وإلا فشمول دليل الحجية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السيرة العقلائية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نزاع فيه بين محققينا بحسب الظاهر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 جوابين دون الدخول في المناقشات وترجيح أحدهما على الآخر؛ لعدم تأثير ذلك على النتيجة المرجوّة أي التبعيض في الحجّيّة، بعد ثبوت الحجّيّة للعام في الباقي كما عرفت </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والأولى أن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مجازيّة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العام على كلّ فرد من أفراده غير منوطة بدلالته على فرد آخر من أفراده ولو كانت دلالة مجازية؛ إذ هي إنّما بواسطة عدم شموله للأفراد المخصوصة لا بواسطة دخول غيرها في مدلوله، فالمقتضي للحمل على الباقي موجود والمانع مفقود؛ لأنّ المانع في مثل المقام إنّما هو ما يوجب صرف اللفظ عن مدلوله، والمفروض انتفاؤه بالنسبة إلى الباقي ؛ لاختصاص المخصص بغيره، فلو شكّ فالأصل عدمه، فليس ذلك على حدّ سائر المجازات حتى يحتاج إلى معيّن آخر بعد الصرف مع تعدّدها، فإنّ الباقي متعيّن على حسب تعيّن الجميع عند عدم المخصص مطلقاً</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للعام دلالة مطابقيّة بالنسبة إلى الجميع كذلك له دلالة تضمنيّة إلى كل فرد فرد، أي أنّ دلالته على العموم تنحل إلى دلالات تضمّنية بعدد الأفراد، ومع سقوط بعضها عن الحجّيّة بالتخصيص تبقى البقية على حالها، لأنّ هذه الدلالات التضمّنية إحداها في عرض الأُخرى، فثبوت إحداها غير مرتبط بثبوت الأُخرى، وبالتالي سقوط بعضها لا يوجب سقوط الآخر، ومنه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 الفرق بين المجاز اللازم في ما نحن فيه والمجاز المتحقق في غير المقام كقولنا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يرمي، فإنّ المجاز اللازم هنا إنّما هو من ناحية خروج بعض ما كان داخلاً في عموم العام، حيث إنّه يستلزم كونه مجازاً في الباقي، وأما دخول الباقي فهو غير مستند إلى كون استعماله فيه مجازاً، فإنّه داخل فيه من الأوّل، يعني قبل التخصيص، وعليه فالمجاز مستند إلى خروج ما كان داخلاً فيه لا إلى دخول الباقي، ونتيجة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المعنى المجازي في المقام لا يكون مبايناً للمعنى الحقيقي؛ فإنّ الباقي قبل التخصيص داخل في المعنى الحقيقي وبعده صار معني مجازياً، </w:t>
      </w:r>
    </w:p>
    <w:p>
      <w:pPr>
        <w:pStyle w:val="BookText"/>
        <w:rPr/>
      </w:pPr>
      <w:r>
        <w:rPr>
          <w:rFonts w:ascii="Amiri" w:hAnsi="Amiri" w:eastAsia="Amiri" w:cs="Amiri"/>
          <w:color w:val="111111"/>
          <w:sz w:val="28"/>
          <w:sz w:val="28"/>
          <w:szCs w:val="28"/>
          <w:rtl w:val="true"/>
          <w:lang w:bidi="ar-SA"/>
        </w:rPr>
        <w:t>وهذا بخلاف المعنى المجازي في مثل قولنا رأيت أسداً يرمي، فإنّه مباين للمعنى الحقيقي، وعلى ذلك فالمعنى المجازي وإن كان متعدّداً في المقام؛ نظراً إلى تعدد مراتب الباقي تحت العام، إلّا أنّ المتعيّن بعد ورود التخصيص عليه هو إرادة تمام الباقي دون غيره من المراتب؛ لما عرفت من أن الخروج عن حكم العام يحتاج إلى دليل دون دخول</w:t>
      </w:r>
    </w:p>
    <w:p>
      <w:pPr>
        <w:pStyle w:val="BookText"/>
        <w:rPr/>
      </w:pPr>
      <w:r>
        <w:rPr>
          <w:rFonts w:ascii="Amiri" w:hAnsi="Amiri" w:eastAsia="Amiri" w:cs="Amiri"/>
          <w:color w:val="111111"/>
          <w:sz w:val="28"/>
          <w:sz w:val="28"/>
          <w:szCs w:val="28"/>
          <w:rtl w:val="true"/>
          <w:lang w:bidi="ar-SA"/>
        </w:rPr>
        <w:t>الباقي، فإنّ المقتضي له موجود والمانع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فإذن لا يحتاج إرادته من بين غيره من المراتب إلى قرينة معيّنة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الحقيقة مرجعه إلى التخصيص في المدلول الاستعمالي، أي أنّ المخصص المنفصل يكشف عن سقوط إرادة العموم في مرحلة المدلول الاستعمالي، فالتبعيض تبعيض في المدلول الاستعمالي، ومن هنا قد أوردوا عليه</w:t>
      </w:r>
      <w:r>
        <w:rPr>
          <w:rStyle w:val="FootnoteAnchor"/>
          <w:rtl w:val="true"/>
        </w:rPr>
        <w:footnoteReference w:id="220"/>
      </w:r>
      <w:r>
        <w:rPr>
          <w:rFonts w:ascii="Amiri" w:hAnsi="Amiri" w:eastAsia="Amiri" w:cs="Amiri"/>
          <w:color w:val="111111"/>
          <w:sz w:val="28"/>
          <w:sz w:val="28"/>
          <w:szCs w:val="28"/>
          <w:rtl w:val="true"/>
          <w:lang w:bidi="ar-SA"/>
        </w:rPr>
        <w:t xml:space="preserve">بأنّ الدلالات التضمّنية إنّما تثبت في ضمن الدلالة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استعمال العام في عمومه ، ومفروض هذا الجواب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صاحب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وجملة ممن تأخر عنه،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موارد التخصيص بالمنفصل يكون التصرّف في حجّيّة المدلول التصديقي الجدي، لا التصرّف في المدلول الاستعمالي، فإنّ غاية ما يحصل عند ورود المخصّص المنفصل هو الشكّ في أنّ المتكلّم أراد إخطار المعنى الحقيقي التصوّري لكلامه أو أراد معنى آخر؟ وهذا الشكّ يمكن دفعه بأصالة التطابق بين المدلول الاستعمالي والمدلول التصوّري، وعليه لا يكون استعمال العام بعد التخصيص استعمالا مجازياً حتى يرد عليه الإشكال المتقدم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فالتبعيض وفق هذا الجواب سيكون في مرحلة المدلول التصديقي الجديّ، ولا وجه </w:t>
      </w:r>
    </w:p>
    <w:p>
      <w:pPr>
        <w:pStyle w:val="BookText"/>
        <w:rPr/>
      </w:pPr>
      <w:r>
        <w:rPr>
          <w:rFonts w:ascii="Amiri" w:hAnsi="Amiri" w:eastAsia="Amiri" w:cs="Amiri"/>
          <w:color w:val="111111"/>
          <w:sz w:val="28"/>
          <w:sz w:val="28"/>
          <w:szCs w:val="28"/>
          <w:rtl w:val="true"/>
          <w:lang w:bidi="ar-SA"/>
        </w:rPr>
        <w:t>للتصرّف والتبعيض في المدلول الاستعماليّ كما كان الحال في الجواب الأوّل، وهذا هو لبّ الاختلاف بين الجوابين، وأمّا أيّ الجوابين هو المتعيّن؟ فذلك خارج عن الغاية 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للوجه الذي فصل على ضوئه التبعيض بين الدلالة الالتزاميّة التصوّريّة والدلالة الالتزاميّة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هذا الأساس أيضاً صح التفصيل بين الدلالة التضمّنيّة التحليلية والدلالة التضمّنية غير التحليلية ولو كانت ارتباطية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دلالة العامّ المجموعي ، فإنّ الأولى لا تبقى على الحجية بعد سقوط الدلالة المطابقيّة عن الحجّيّة لعدم لزوم خطأ آخر أو مخالفة زائدة من سقوطها، بينما الثانية تبقى على الحجّيّة ولو سقط المدلول المطابقي، فلو علم من الخارج عدم إرادة العموم من العام المجموعيّ للعلم بخروج فرد معيّن منه، مع ذلك يصح التمسك به لإثبات الحكم على مجموع الباقي، كما هو الحال في العموم الاستغراقي، ولا تخريج فنّيّ لذلك إلّا ما أشرنا إليه في المقام من أنّ الدلالة التضمنية في العام المجموعيّ وإن كانت ارتباطية، ولكن مخالفة العام المجموعي بعدم إرادة شيء من أفراده أشدّ عناية وأكثر مخالفة من إرادة البعض منه، فيكون مقتضى الأصل عدم المخالفة الزائدة، وهو معنى عدم التبعية</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فالدلالة التضمّنيّة التحليلية لم تكن بيّنة وإنّما هي بالتحليل والوسائط، وبالتالي فهي لا تمثل ظهوراً زائداً على الدلالة المطابقيّة، فنكتة الحجّيّة لجميع المداليل التضمنية لذلك المدلول المطابقيّ تكون واحدة، ومع العلم بسقوط المدلول المطابقي، وبالتالي مع سقوط تلك النكتة تسقط جميع المداليل التضمّنية، فسقوطها لا يمثل خطاً زائداً على تلك النكتة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التضمّنيّة غير التحليلية فهي دلالة بينة، والدلالة المطابقيّة للعامّ تنحل </w:t>
      </w:r>
    </w:p>
    <w:p>
      <w:pPr>
        <w:pStyle w:val="BookText"/>
        <w:rPr/>
      </w:pPr>
      <w:r>
        <w:rPr>
          <w:rFonts w:ascii="Amiri" w:hAnsi="Amiri" w:eastAsia="Amiri" w:cs="Amiri"/>
          <w:color w:val="111111"/>
          <w:sz w:val="28"/>
          <w:sz w:val="28"/>
          <w:szCs w:val="28"/>
          <w:rtl w:val="true"/>
          <w:lang w:bidi="ar-SA"/>
        </w:rPr>
        <w:t>وتتعدّد بتعدد أفراده، فتتعدّد المداليل التضمّنيّة، وبالتالي يكون لها ظهور زائد على الظهور المطابقيّ، وأيضاً مستقل عن بقيّة المداليل التضمّنيّة؛ لأنها في عرضها، وعليه فتتعدّد النكات الموجبة للحجّيّة بتعدّد تلك المداليل، وعليه فسقوط المدلول المطابقي عن الحجّيّة لا يوجب سقوط المداليل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وجواب</w:t>
      </w:r>
    </w:p>
    <w:p>
      <w:pPr>
        <w:pStyle w:val="BookText"/>
        <w:rPr/>
      </w:pPr>
      <w:r>
        <w:rPr>
          <w:rFonts w:ascii="Amiri" w:hAnsi="Amiri" w:eastAsia="Amiri" w:cs="Amiri"/>
          <w:color w:val="111111"/>
          <w:sz w:val="28"/>
          <w:sz w:val="28"/>
          <w:szCs w:val="28"/>
          <w:rtl w:val="true"/>
          <w:lang w:bidi="ar-SA"/>
        </w:rPr>
        <w:t>تقدّمت الإشارة إلى أنّ هناك إشكالاً رئيساً يوجّه إلى مسألة التبعيض في الحجّيّة بجميع مواردها،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شمول دليل الحجّيّة لهكذا أخبار، ويمكن أن يصاغ هذا الإشكال بعدة بيانات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الحجّيّة هو السيرة، وهو دليل لبّي لا إطلاق له فيقتصر فيه على القدر المتيقن مما قامت عليه السيرة وعمل العقلاء خارجاً، فلا يشمل ما شكّ في قيام السيرة عليه، وفي المقام جريان السيرة على العمل ببعض فقرات الخبر دون البعض الآ غير محرز ومشكوك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بعض موارد مسألة التبعيض يمكن إحراز قيام السيرة عليها، كما في مسألة التبعيض في المداليل التضمّنيّة، أمّا البقية ففيها نقاش واختلاف، وبالتالي لا يمكن إحراز جريان السيرة فيها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البيان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نقله عن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التشكيك في جريان أصالة الجد بلحاظ جزء من الكلام بعد سقوطها بلحاظ جزء آخر، لاختلال الكشف النوعي الذي هو ملاك حجّيّتها عقلائيّاً</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 xml:space="preserve">، فنكتة الحجّيّة التي تستند إليها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ذلك الكشف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محرزة في هكذا موارد، فضلاً عن الفعل الخارجي والذي كان يستند إليه </w:t>
      </w:r>
    </w:p>
    <w:p>
      <w:pPr>
        <w:pStyle w:val="BookText"/>
        <w:rPr/>
      </w:pPr>
      <w:r>
        <w:rPr>
          <w:rFonts w:ascii="Amiri" w:hAnsi="Amiri" w:eastAsia="Amiri" w:cs="Amiri"/>
          <w:color w:val="111111"/>
          <w:sz w:val="28"/>
          <w:sz w:val="28"/>
          <w:szCs w:val="28"/>
          <w:rtl w:val="true"/>
          <w:lang w:bidi="ar-SA"/>
        </w:rPr>
        <w:t>البيان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نقله عن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عدم إمكان التفكيك عرفاً في التعبّد بالصدور بين كلمة وكلمة تسقط الرواية بتمامها عن الحجّيّة</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البيان يرجع إلى أنّ العرف لا يرى انحلال الجملة الواحدة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لها أكثر من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جمل متعدّدة حتى يحكم بالتفكيك ويتعبّد بصدور بعضها دون البعض الآخر، فهو ناظر إلى مثل الفرض الأوّل من المورد الثاني، ومثل الصورة الأولى من الفرض الثاني للمورد الثاني، وبهذا يختلف عن البيانين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هذه البيانات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الجواب عن البيان الأوّل فإنّ المهم هو اكتشاف النكتة والارتكاز الذي تستند إليه السيرة، فإنّ ذلك هو الممضى من قبل الشارع، ودائرته كما هو واضح أوسع من دائرة نفس العمل الخارجي لتلك السيرة، وعليه لا بدّ من لتلك السيرة، وعليه لا بد من أن نستكشف ذلك الارتكاز، وأنّه شامل لموارد التبعيض في الحجّيّة هذه أو لا، وهذا ما يُبحث عنه في الجواب عن البيان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عن البيان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المهم؛ لأنّ هذا البيان ينقل الإشكال إلى نفس الارتكاز الذي تستند إليه 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البدء لا بد أن نحقق دائرة ذلك الارتكاز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المهمّ لاستكشاف ذلك هو متابعة الموارد وتجميع الشواهد، ومن تلك الشواهد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تقدّم في المورد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التبعيض في المداليل التضمنية ، فهناك كانت جملة واحدة تمثل المدلول المطابقى موضوعها واحد وهو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وحكمها واحد، وهي تنحل </w:t>
      </w:r>
    </w:p>
    <w:p>
      <w:pPr>
        <w:pStyle w:val="BookText"/>
        <w:rPr/>
      </w:pPr>
      <w:r>
        <w:rPr>
          <w:rFonts w:ascii="Amiri" w:hAnsi="Amiri" w:eastAsia="Amiri" w:cs="Amiri"/>
          <w:color w:val="111111"/>
          <w:sz w:val="28"/>
          <w:sz w:val="28"/>
          <w:szCs w:val="28"/>
          <w:rtl w:val="true"/>
          <w:lang w:bidi="ar-SA"/>
        </w:rPr>
        <w:t>إلى دلالات تضمّنيّة متعدّدة بعدد الأفراد، فتلك الدلالات التضمّنيّة هي أوضح مصداق على المداليل المترابطة فيما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المدلول الجدي للمدلول المطابقي لجملة العام لم يكن مطابقاً للمدلول التصوّري لها، فالوجهان المتقدّمان في الجواب عن إشكال المجاز متفقان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الوجه الأوّل يذهب أيضاً إلى عدم مطابقة المدلول الاستعمالي للمدلول التصوّري، ومع ذلك لم يختلفوا في حجّيّة بعضها عند سقوط البعض الآخر، وأنّ العام حجّة في الباقي، وأنّ ذلك من أوضح صور الجمع العرفي، بمعنى أنّ السيرة قائمة على ذلك، أي أنّ لكلّ ظهور تضمّني منها كشفاً نوعياً وملاكاً مستقلاً في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تقدّم في المورد الثالث، أي المدلول الالتزامي البين بالمعنى الأخص والذي هو في طول المدلول المطابقي والارتباط بينهما واضح وجليّ، ومع ذلك كانت النتيجة هي التبعيض بينهما؛ لأنّ لكلّ منهما ظهوره الخاص، فله ملاك مستقل في الحجيّة، ببيان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يتضح أنّ الملاك والنكتة في الحجّيّة هو الكشف القائم بذلك الظهور الجدي، وهذا الملاك متحقق في الجمل المترابطة حتى في مثل الصورة الأولى من الفرض الثاني من المورد الثاني المتقدّم، فالترابط بين الموضوعين إنّما هو من جهة وقوعها في جملة وسياق واحد ويشتركان في حكم واحد ، لكن ذلك لا يمنع أنّ لكلّ موضوع ظهوره المستقل، وبالتالي ملاكه المستقل في الحجّيّة، وترابطهما ليس بأشدّ من الترابط المتقدّم في الدلالة التضمّنيّة والالتزامية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وقوعها في ذلك السياق إمّا أن يكون موجباً لانقلاب ظهورها الأوّلي التصوّري إلى ظهور موافق لذلك السياق، أو يكون مانعاً عن تعلّق الحجية به؟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بحث ذلك مفصلاً في المورد الأوّل، وكانت النتيجة أنّ السياق في هكذا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البعض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لانقلاب ظهورها التصوّري ولا مانع من تعلّق الحجية به،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البيان والجواب يجري في بقية الموارد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يتبيّن أيضاً الجواب عن البيان الثالث، فإنّ عدم تعبد العرف بالصدور، إنّما هو لوجود مانع من الموانع المتقدّمة يمنع من شمول دليل الحجّيّة لذلك الخبر، وقد عرفت ما فيه</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927_84397"/>
      <w:bookmarkStart w:id="90" w:name="pg8927_84397"/>
      <w:bookmarkEnd w:id="90"/>
    </w:p>
    <w:p>
      <w:pPr>
        <w:pStyle w:val="BookText"/>
        <w:rPr/>
      </w:pPr>
      <w:bookmarkStart w:id="91" w:name="pg8927_84397"/>
      <w:bookmarkEnd w:id="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تذييل</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279114_2870459653"/>
      <w:bookmarkStart w:id="93" w:name="_Toc29"/>
      <w:bookmarkEnd w:id="92"/>
      <w:r>
        <w:rPr>
          <w:rtl w:val="true"/>
        </w:rPr>
        <w:t>قرينية وحدة السياق</w:t>
      </w:r>
      <w:bookmarkEnd w:id="93"/>
    </w:p>
    <w:p>
      <w:pPr>
        <w:pStyle w:val="Heading4"/>
        <w:numPr>
          <w:ilvl w:val="3"/>
          <w:numId w:val="1"/>
        </w:numPr>
        <w:rPr/>
      </w:pPr>
      <w:bookmarkStart w:id="94" w:name="__RefHeading___Toc1279116_2870459653"/>
      <w:bookmarkStart w:id="95" w:name="_Toc30"/>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مما يمكن إلحاقه بمسألة التبعيض جملة من الفروض لقرينيّة وحدة السياق؛ فإنّ هناك بعض الصور المندرجة تحتها تجري فيها أيضاً مسألة التبعيض في الحجيّة على بعض معانيها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قرينيّة وحدة السياق لم تبحث بشكل جامع لصورها وفروضها ومقتضى الأصل والقاعدة في تلك الفروض والصور، ولأجل المناسبة المتقدّمة أيضاً ارتأينا أن نبحث هذه المسألة هنا،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من قرينيّة وحدة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يكون هناك دالان في كلام وسياقٍ واحد، يُحرز مدلول أحدهما، فيكون وقوعه في ذلك السياق قرينة على تفسير الدال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اندراج هذه المسألة تحت القرينة المتصلة دون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تساهم القرينة المنفصلة في تقييد حجّيّة هذه القرينة أو تقييد نفس مدلولها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المباني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سيتضح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أن نفرض لهذه المسألة صورتين جامعتين تندرج تحتها بعض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وقعت الدوالّ في جمل متعدّدة متتالية، 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اتحد الدالان في المادة، والكلام حوله يقع في مقامين</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القرينية في مرحلة المدلول الاستعمالي،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أكرم الإمام، وصلّ </w:t>
      </w:r>
    </w:p>
    <w:p>
      <w:pPr>
        <w:pStyle w:val="BookText"/>
        <w:rPr/>
      </w:pPr>
      <w:r>
        <w:rPr>
          <w:rFonts w:ascii="Amiri" w:hAnsi="Amiri" w:eastAsia="Amiri" w:cs="Amiri"/>
          <w:color w:val="111111"/>
          <w:sz w:val="28"/>
          <w:sz w:val="28"/>
          <w:szCs w:val="28"/>
          <w:rtl w:val="true"/>
          <w:lang w:bidi="ar-SA"/>
        </w:rPr>
        <w:t>خلف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وقامت قرينة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الثانية قد استعملت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قالوا بجريان قرينة وحدة السياق، فيقال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الأولى قد استعمل في إمام الجماعة أيضاً،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التفكيك في المراد من اللفظ الواحد المتكرّر بين أفراده إنّما يضر بالظهور إذا كان التفكيك في المراد الاستعمالي، بأن يستعمل اللفظ في كلّ فقرة في غير ما استعمل فيه في فقرة أُخرى، فإنّه خلاف الظاهر عرفاً</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فإنّ العرف يرى أنّ حال كل متكلّم ظاهر في جعل كلامه من هذا القبيل مفسّراً للبعض الآخر وقرينة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القرينيّة في مرحلة المدلول الجدي، أي يكون الاختلاف في مدلوليهما الجديّ مع وحدة المعنى المستعمل فيه، بأن أُريد الإطلاق من الأوّل، وحصّة خاصة من الثاني، وهنا لا بد أن نفترض أن تقييد الثاني إنّما كان بقرينة منفصلة، وإلا لو كان بقرينة متصلة فذلك يعني تأثيره في المدلول الاستعمالي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والكلام يختلف باختلاف المباني في تأثير القرينة المنفصلة بذي القرينة، والمعروف مبنیان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المنسوب إلى المشهور من أنّ القرينة المنفصلة إنّما تؤثر في تقييد الحجّيّة لا في تقييد نفس المدلول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فالمدلول الجدي المطلق يبقى على إطلاقه لكن حجّيّته تكون مقيّدة على وفق ما قامت عليه القرينة المنفصلة، قال في البحوث المشهور من أنّ ما يتوقف عليه الظهور الإطلاقي هو البيان المتصل لا المنفصل، فالظهور الإطلاقي يبقى محفوظاً حتى بعد ورود المقيد المنفصل</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وبناءً عليه يكون مرجع هذا المقام إلى أن تقييد حجّيّة إحدى الفقرتين هل يوجب تقييد حجية الفقرة الأخرى؟ فإن قلنا بعدم تقييد حجّيّة الأُخرى فهذا نحو من أنحاء التبعيض في الحجّيّة، أي أن حجّيّة إحدى الفقرات مطلقة في حين حجّيّة الفقرة الأخرى مقيّدة، فالتبعيض بينهما في إطلاق الحجية وتقييدها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عدم تقييد حجّيّة الفقرة الأخرى فهذا يعني سقوط الحجّيّة عن بعض المدلول الجدّيّ لفقرة بسبب التقييد مع بقاء حجّيّة تمام المدلول الجدّي للفقرة الأُخرى المطلقة، وعليه تدخل هذه المسألة في كبرى التبعيض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مقتضى القاعدة وفق هذا المبنى هو عدم تقييد حجية الفقرة الأخرى، وذلك لأنّ موضوع الحجّيّة هو نفس الظهور والمدلول الجدّي لتلك الفقرة، وملاكه هو الكشف القائم بذلك الظهور الجدّيّ، فبعد انعقاد ذلك الظهور وتمامه تترتب عليه الحجّيّة ترتب المحمول على موضوعه، ولمّا كان المفروض في المقام أنّ نفس المدلول الجدي لكلا الفقرتين باقٍ على حاله، فذلك يعني انعقاد موضوع الحجّيّة لكل فقرة بصورة مستقلة، وتقييد حجية الفقرة الثانية لا يوجب تقييد موضوع حجّيّة الفقرة الأولى حتى يستلزم تقييد حجيتها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تبنّته مدرسة الميرزا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تقييد القرينة المنفصلة لنفس المدلول والمراد الجدّيّ، مما يوجب عدم المطابقة بين المدلول الجدّيّ والمدلول الاستعمالي لذلك الكلام، قال في أجود التقريرات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التصديقية الكاشفة عن مراد المتكلّم واقعاً، وهذه الدلالة تتوقف على عدم وجود القرينة مطلقاً، سواء كانت متصلة أم كانت منفصلة، وعلى ذلك يبتني لزوم الفحص عن المقيّدات والمخصصات المنفصلة فيما إذا كان دأب المولى جارياً على إفادة مرامه بقرائن منفصلة، وبلحاظ هذه المرتبة من </w:t>
      </w:r>
    </w:p>
    <w:p>
      <w:pPr>
        <w:pStyle w:val="BookText"/>
        <w:rPr/>
      </w:pPr>
      <w:r>
        <w:rPr>
          <w:rFonts w:ascii="Amiri" w:hAnsi="Amiri" w:eastAsia="Amiri" w:cs="Amiri"/>
          <w:color w:val="111111"/>
          <w:sz w:val="28"/>
          <w:sz w:val="28"/>
          <w:szCs w:val="28"/>
          <w:rtl w:val="true"/>
          <w:lang w:bidi="ar-SA"/>
        </w:rPr>
        <w:t>الدلالة بنينا في محلّه على كون المقيّد والمخصّص المنفصلين واردين على أصالتي العموم والإطلاق</w:t>
      </w:r>
      <w:r>
        <w:rPr>
          <w:rFonts w:eastAsia="Amiri" w:cs="Amiri" w:ascii="Amiri" w:hAnsi="Amiri"/>
          <w:color w:val="111111"/>
          <w:sz w:val="28"/>
          <w:szCs w:val="28"/>
          <w:rtl w:val="true"/>
          <w:lang w:bidi="ar-SA"/>
        </w:rPr>
        <w:t>)</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ووفق هذا المبنى تكون هذه المسألة خارجة عن كبرى التبعيض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مقتضى القاعدة وفق هذا المبنى هو نفس ما كانت تقتضيه القاعدة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مرحلة المدلول الاستعمالي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لتحقق ملاكاته هنا؛ لأنّ المفروض إيجاب تلك القرينة المنفصلة لتغيير المدلول والظهور الجدّي للفقرة الثانية، مما يعني أنّ تأثيرها على الفقرة الأُولى إن كان فهو في تكوين موضوع حجّيّة هذه الفقرة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ظهورها الجدي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أنها مؤثرة في الحجية ومن دون التأثير على موضوعها كما في المبنى السابق، فالكلام إذاً يقع في استكشاف الظهور الجدي للفقرة الأولى، فتجري فيه القواعد الجارية في استكشاف ظهورات الكلام والتي منها ذلك الظهور الحالي المتقدّم في النحو الأوّل، أي أنّ العرف يرى أنّ حال كلّ متكلّم ظاهر في جعل كلامه من هذا القبيل مفسّراً للبعض الآخر وقرينة عليه، ولا أقل من اندراجها تحت كبرى احتفاف الكلام بما يصلح للقرينية، وبالتالي ترفع اليد عن أصالة التطابق بين المدلول الجدّيّ والمدلول الاستعمالي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 الدالّان في المادّة، والكلام أيضاً في مقامين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القرينيّة في مرحلة المدلول الاستعمالي، كما في موثّقة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الكذبة تنقض الوضوء وتفطر الصائم</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 فإنّ الظهور الأوّلي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الإبطال، لكن استفيد من قرينة خارجيّة أنها استعملت في هذا المورد بمعنى نفي الكمال، أو بمعنى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البطلان، فهل يوجب ذلك </w:t>
      </w:r>
    </w:p>
    <w:p>
      <w:pPr>
        <w:pStyle w:val="BookText"/>
        <w:rPr/>
      </w:pPr>
      <w:r>
        <w:rPr>
          <w:rFonts w:ascii="Amiri" w:hAnsi="Amiri" w:eastAsia="Amiri" w:cs="Amiri"/>
          <w:color w:val="111111"/>
          <w:sz w:val="28"/>
          <w:sz w:val="28"/>
          <w:szCs w:val="28"/>
          <w:rtl w:val="true"/>
          <w:lang w:bidi="ar-SA"/>
        </w:rPr>
        <w:t xml:space="preserve">السياق التصرّف 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وحملها على معنى آخر غير معناها الظاهر؟</w:t>
      </w:r>
    </w:p>
    <w:p>
      <w:pPr>
        <w:pStyle w:val="BookText"/>
        <w:rPr/>
      </w:pPr>
      <w:r>
        <w:rPr>
          <w:rFonts w:ascii="Amiri" w:hAnsi="Amiri" w:eastAsia="Amiri" w:cs="Amiri"/>
          <w:color w:val="111111"/>
          <w:sz w:val="28"/>
          <w:sz w:val="28"/>
          <w:szCs w:val="28"/>
          <w:rtl w:val="true"/>
          <w:lang w:bidi="ar-SA"/>
        </w:rPr>
        <w:t>الظاهر أنّ كلماتهم مختلفة في المقام، ولننقل كلماتهم في مقام التعليق على موثّقة أبي بصير، فقد قال المحقق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معلّقاً على من أورد على الموثقة بتضمنها ما اجتمع العلماء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نقض الكذب للوضوء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ترك ظاهر الرواية في أحد الحكمين لا يوجب تركها في الآخر</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ونظير ذلك ما ذكره بعض الأعلام</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السيد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المستمسك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المراد من نقض الوضوء نقض كماله لا يقتضي حمل إفطار الصوم فيه عليه، وقرينة السياق في مثله غير ثابتة، ولا سيّما مع اختلاف المادتين، وما زالت النصوص مشتملة على الواجب والمستحب أيضاً</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قباله ما هو ظاهر بعض الأعلام من جريان قرينة السياق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تعليقاً على الموثّقة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متروك العمل، فإنّ الكذب لا ينقض الوضوء إجماعاً، فحينئذ يجب تأويله على تقدير سلامته بأنّ المراد منه التشديد في المنع منه بأنّه ينقض الوضوء ويفطر الصائم</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يصب في هذا القول ما ذكره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تعداد الثمرات المترتبة على المسالك الثلاثة لدلالة الأمر على الوجوب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مبنى الفقهاء عادة في الفقه قام على أنه إذا وردت أوامر في سياق واحد بأشياء، وعرفنا من الخارج استحباب بعضها، كانت وحدة السياق قرينة على رفع اليد عن ظهور الأمر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w:t>
      </w:r>
    </w:p>
    <w:p>
      <w:pPr>
        <w:pStyle w:val="BookText"/>
        <w:rPr/>
      </w:pPr>
      <w:r>
        <w:rPr>
          <w:rFonts w:ascii="Amiri" w:hAnsi="Amiri" w:eastAsia="Amiri" w:cs="Amiri"/>
          <w:color w:val="111111"/>
          <w:sz w:val="28"/>
          <w:sz w:val="28"/>
          <w:szCs w:val="28"/>
          <w:rtl w:val="true"/>
          <w:lang w:bidi="ar-SA"/>
        </w:rPr>
        <w:t>مسلك الوضع تام</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ينبغي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 بعد أن كانت متعدّدة ومستقلة، فمقتضى أصالة الظهور وأصالة التطابق بين المدلول الاستعمالي والمدلول التصوّري لذلك الدال هو أنّ المدلول الاستعمالي لذلك الدالّ هو نفس المدلول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التطابق بين مداليل الدال الآخر في الجملة الأخرى بسبب القرينة المنفصلة، لا يوجب سريان عدم التطابق إلى الجملة الأولى بعد تعدّدهما، وبالتالي لا تؤثر إحداهما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يوجد ما يوجب رفع اليد عن هذا الذي ذكرناه، وجعل السياق قرينة تمنع من جريان أصالة الظهور وأصالة التطابق في الفقرة الأولى إلّا دعوى ذلك الظهور الحالي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النحو الأوّل من الصورة الأولى ، وإحرازه كذلك متوقف على متابعة سيرة العرف وطريقتهم، وهل إنّهم أعدوا هكذا سياق قرينةً أو لا؟ فإن قرينة السياق قرينة نوعيّة، والقرينة النوعية كما ذكروا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تكون هناك إفادتان ودلالتان، تكون إحداهما معدّة إعداداً عرفيّاً عاماً لتفسير الدلالة الأُخرى، وتحويل مفادها إلى مفاد آخر</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عدم إحراز هكذا إعداد نوعيّ لا تحرز القرينة، وإحرازه كذلك من الصعوبة بمكان، خصوصاً بعد أن رأيت اختلاف كلمات الفقهاء، وهم من أهل العرف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يبقى هناك أمر لا بد من التحقق منه،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مسألتنا تدخل في كبرى احتفاف الكلام بما يصلح للقرينية؟ بمعنى أنّ هكذا سياق يدور أمره بين 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أحدهما يكون قرينة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التقدير الأوّل هو أن يكون العرف قد أعدّه إعداداً عرفيّاً </w:t>
      </w:r>
    </w:p>
    <w:p>
      <w:pPr>
        <w:pStyle w:val="BookText"/>
        <w:rPr/>
      </w:pPr>
      <w:r>
        <w:rPr>
          <w:rFonts w:ascii="Amiri" w:hAnsi="Amiri" w:eastAsia="Amiri" w:cs="Amiri"/>
          <w:color w:val="111111"/>
          <w:sz w:val="28"/>
          <w:sz w:val="28"/>
          <w:szCs w:val="28"/>
          <w:rtl w:val="true"/>
          <w:lang w:bidi="ar-SA"/>
        </w:rPr>
        <w:t>للقرينيّة، وبه تتمّ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نشك في قرينيّة الموجود، وذلك بحد ذاته مانع من جريان أصالة التطابق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لا يعيّن ظهور ذلك الدال، بل يصرفه عن ظهوره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فعدم إحراز القرينية لا بد أن يصل إلى درجة المنع عن كونها قرينة حتى لا يكون مانعاً من صرف اللفظ عن ظهوره، وإلا لو كان مندرجاً تحت احتفاف الكلام بما يصلح للقرينيّة، فلا تجري أصالة التطابق بحقه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تقدّم إنّما يتمّ فيما إذا كان هناك نوع ارتباط وعلاقة بين الفقرتين والجملتين، فإنّ ذلك الارتباط هو الذي يفسّر لنا تحقق الناظرية والمفسّرية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ملاك القرينية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احتفافها بالكلام ، وذلك الارتباط قد يكون بدرجة توجب الاندراج تحت القرينية، وقد يكون بدرجة أضعف، ولكن توجب الاندراج تحت احتفاف الكلام بما يصلح للقرينيّة، وقد يكون بدرجة من الضعف لا توجب هذا ولا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الموثقة المتقدّمة هناك ارتباط في الموضوع كما تقدم، وبالتالي دخولها تحت احتفاف الكلام بما يصلح للقرينيّة يكون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الحالات يكون الارتباط في هيئة المحمول والحكم، كما في الأوامر المتعدّدة الواردة في سياق واحد، وكان بعضها من المستحبّات، مع فرض عدم اتحادهما لا في الموضوع ولا في مادة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تقدّم نقل بعض الكلمات المختلفة فيه، فقد تقدّم عن المستمسك جريان قرينة السياق فيه، في حين اختار السيد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جريانها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بد من متابعة كلماتهم لمعرفة أنّ طريقتهم العامة هي عدم الجريان، أو أنّ طريقتهم هي عدم الجريان حتى يكون إبقاؤهم للحرام أو الواجب على معناه، وعدم تأثير وقوعه في </w:t>
      </w:r>
    </w:p>
    <w:p>
      <w:pPr>
        <w:pStyle w:val="BookText"/>
        <w:rPr/>
      </w:pPr>
      <w:r>
        <w:rPr>
          <w:rFonts w:ascii="Amiri" w:hAnsi="Amiri" w:eastAsia="Amiri" w:cs="Amiri"/>
          <w:color w:val="111111"/>
          <w:sz w:val="28"/>
          <w:sz w:val="28"/>
          <w:szCs w:val="28"/>
          <w:rtl w:val="true"/>
          <w:lang w:bidi="ar-SA"/>
        </w:rPr>
        <w:t>سياق المستحب على ذلك إنّما هو في بعض الموارد، والذي قد يكون منشؤه القرينة الخارجية وليس السياق، فيكون كلا الدالين قد قامت القرينة الخارجية على تعيين معناه، مما يعني الخروج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القرينيّة في مرحلة المدلول الجدي، وحاله يظهر مما تقدّم في الحالة الأولى، فإنّ عدم جريانها في المقام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إذا كان الدالّ واحداً مع تعدّد متعلّقه، كما في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للجنابة والجمعة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واستفيد من الخارج إرادة الاستحباب منها بلحاظ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القرينية هنا بأن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بحسب التحليل تنحل إلى غسل للجنابة وغسل للجمعة، ولكن بحسب مرحلة الظاهر والاستعمال هناك لفظ واحد فلا بدّ حينئذٍ أن يكون قد استعمل في معنى واحد، وذلك ثابت حتى إذا قلنا بعدم استحالة الاستعمال في أكثر من معنى ؛ وذلك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حال المتكلّم في التطابق وعلاقة واحد بواحد بين عالم اللفظ والإثبات وعالم المقصود والمراد، فإنّ مقتضى التطابق أن يكون بإزاء كل جزء من الكلام جزء من المعنى، لا جزءان</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فقرينة السياق مستحكمة في المقام، وبالتالي فالتفصيل في المثال المتقدّم بحمل الغسل بلحاظ الجمعة على الاستحباب، وبلحاظ الجنابة على الوجوب غير تام</w:t>
      </w:r>
      <w:r>
        <w:rPr>
          <w:rFonts w:eastAsia="Amiri" w:cs="Amiri" w:ascii="Amiri" w:hAnsi="Amiri"/>
          <w:color w:val="111111"/>
          <w:sz w:val="28"/>
          <w:szCs w:val="28"/>
          <w:rtl w:val="true"/>
          <w:lang w:bidi="ar-SA"/>
        </w:rPr>
        <w:t xml:space="preserve">. </w:t>
      </w:r>
      <w:bookmarkStart w:id="96" w:name="pg8927_84405"/>
    </w:p>
    <w:p>
      <w:pPr>
        <w:pStyle w:val="Heading4"/>
        <w:numPr>
          <w:ilvl w:val="3"/>
          <w:numId w:val="1"/>
        </w:numPr>
        <w:rPr/>
      </w:pPr>
      <w:bookmarkStart w:id="97" w:name="__RefHeading___Toc1279118_2870459653"/>
      <w:bookmarkStart w:id="98" w:name="_Toc31"/>
      <w:bookmarkEnd w:id="96"/>
      <w:bookmarkEnd w:id="97"/>
      <w:r>
        <w:rPr>
          <w:rtl w:val="true"/>
        </w:rPr>
        <w:t>تنبيه</w:t>
      </w:r>
      <w:bookmarkEnd w:id="98"/>
    </w:p>
    <w:p>
      <w:pPr>
        <w:pStyle w:val="BookText"/>
        <w:rPr/>
      </w:pPr>
      <w:r>
        <w:rPr>
          <w:rFonts w:ascii="Amiri" w:hAnsi="Amiri" w:eastAsia="Amiri" w:cs="Amiri"/>
          <w:color w:val="111111"/>
          <w:sz w:val="28"/>
          <w:sz w:val="28"/>
          <w:szCs w:val="28"/>
          <w:rtl w:val="true"/>
          <w:lang w:bidi="ar-SA"/>
        </w:rPr>
        <w:t>مما تقدّم يمكن رفع التهافت والاختلاف في كلمات بعض الأعلام، حيث إنّهم يستدلون بوحدة السياق تارة وينكرونها أُخرى، ولنذكر بعض ما ورد في كلمات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نقله عند كلامه عن موثقة أبي بصير في مقام إنكار قرينة السياق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رفع اليد عن الظهور في جملةٍ لقرينة لا يستوجب رفع اليد عن الظهور في جملة أُخرى على ما أوضحناه في الأصول، ولأجله أنكرنا قرينية اتحاد السياق، نظير ما ورد من الأمر بالغسل للجمعة والجنابة، فإنّ طبيعة الأمر تقتضي الإيجاب عقلاً، وقيام</w:t>
      </w:r>
    </w:p>
    <w:p>
      <w:pPr>
        <w:pStyle w:val="BookText"/>
        <w:rPr/>
      </w:pPr>
      <w:r>
        <w:rPr>
          <w:rFonts w:ascii="Amiri" w:hAnsi="Amiri" w:eastAsia="Amiri" w:cs="Amiri"/>
          <w:color w:val="111111"/>
          <w:sz w:val="28"/>
          <w:sz w:val="28"/>
          <w:szCs w:val="28"/>
          <w:rtl w:val="true"/>
          <w:lang w:bidi="ar-SA"/>
        </w:rPr>
        <w:t>القرينة على الاستحباب في الجمعة لا يصرف ظهوره عن الوجوب في الجنابة، وكذا الحال في المقام، فإنّ ناقضيّة الكذب للوضوء إذا حملت على الكمال لقرينة خارجية لا توجب صرف المفطريّة للصوم عن الحقيقة إلى الكمال أيضاً، بل لا بد من حمله في الصوم على الإفطار الحقيقي</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فإنّه أنكر هنا جريان وحدة السياق في حالتين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الواقع في سياق المستحب، وهذا تام على مبناه من دلالة الأمر على الوجوب بحكم العقل؛ فإنّ الأمر حينئذ مستعمل في معناه وهو الطلب، وأما الوجوب فهو حكم عقليّ خارج عن مدلول اللفظ، وقرينة السياق إنّما تجري لتحديد المدلول اللفظي، لا العقليّ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موثقة أبي بصير، 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مصاديق الحالة الثانية من الصورة الأٔولی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مقام تبني القول بوحدة السياق، وقد جاء في أكثر من مورد في كلماته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موثّقة عمار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يصلّي الرجل وفي قبلته نار أو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 أن يصلّي وبين يديه مجمرة شبه؟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كان فيها نار فلا يصلّي حتى ينحيها عن قبلته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الرجل يصلّي وبين يديه قنديل معلّق فيه نار إلا أنه بحياله،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ارتفع كان أشر ، لا يصلّي بحياله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الموثقة فهي وإن كانت ظاهرة فيها في بادئ الأمر، لكن يوهنه عطف الحديد، حيث لم يفتِ أحد بحرمة استقباله في الصلاة، كما أنّ التعبير بالأشريّة الكاشف عن اختلاف المرتبة مما يناسب الكراهة، فهذا التعبير مع قرينة اتحاد السياق يستوجب رفع اليد عن الظهور المزبور، والحمل على الكراهة</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أنها ناظرة إلى الصورة الثانية المتقدّمة، التي يكون الدال واحداً،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ومتعلّقه متعدّد،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قبلته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قبلته حديد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بجريان وحدة السياق من عدمها يختلف باختلاف الحالات المتقدّمة، لا أنّه ينكر وحدة السياق مطلقاً</w:t>
      </w:r>
      <w:r>
        <w:rPr>
          <w:rFonts w:eastAsia="Amiri" w:cs="Amiri" w:ascii="Amiri" w:hAnsi="Amiri"/>
          <w:color w:val="111111"/>
          <w:sz w:val="28"/>
          <w:szCs w:val="28"/>
          <w:rtl w:val="true"/>
          <w:lang w:bidi="ar-SA"/>
        </w:rPr>
        <w:t xml:space="preserve">. </w:t>
      </w:r>
      <w:bookmarkStart w:id="99" w:name="pg8927_84407"/>
    </w:p>
    <w:p>
      <w:pPr>
        <w:pStyle w:val="Heading4"/>
        <w:numPr>
          <w:ilvl w:val="3"/>
          <w:numId w:val="1"/>
        </w:numPr>
        <w:rPr/>
      </w:pPr>
      <w:bookmarkStart w:id="100" w:name="__RefHeading___Toc1279120_2870459653"/>
      <w:bookmarkStart w:id="101" w:name="_Toc32"/>
      <w:bookmarkEnd w:id="99"/>
      <w:bookmarkEnd w:id="100"/>
      <w:r>
        <w:rPr>
          <w:rtl w:val="true"/>
        </w:rPr>
        <w:t>النتائج</w:t>
      </w:r>
      <w:bookmarkEnd w:id="101"/>
    </w:p>
    <w:p>
      <w:pPr>
        <w:pStyle w:val="BookText"/>
        <w:rPr/>
      </w:pPr>
      <w:r>
        <w:rPr>
          <w:rFonts w:ascii="Amiri" w:hAnsi="Amiri" w:eastAsia="Amiri" w:cs="Amiri"/>
          <w:color w:val="111111"/>
          <w:sz w:val="28"/>
          <w:sz w:val="28"/>
          <w:szCs w:val="28"/>
          <w:rtl w:val="true"/>
          <w:lang w:bidi="ar-SA"/>
        </w:rPr>
        <w:t>ذُكرت في البحث عدّة موارد للتبعيض في الحجيّة، يندرج تحت كلّ مورد عدة فروض،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بين الفقرتين في الكلام الواحد علاقة القرينة وذي القرينة، ويندرج تحته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كانت القرينة واقعة في نفس جملة ذي القرينة وانتهى البحث إلى إمكان التبعيض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كانت القرينة من قبيل القرينة المتصلة المستقلة، أي القرينة التي تأتي في جملة مستقلة عن الجملة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القرينة ، ولكن في نفس الخطاب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النتيجة إمكان التبعيض، بل جريانه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هناك جمل متعدّدة واقعة في كلام واحد للمتكلّم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العلاقة بينها من قبيل علاقة القرينة وذي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ويندرج تحته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ارتباط بينها، وبالتالي يكون بعضها مستقلاً عن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البحث عدّة مناشئ لسقوط فقرة في الكلام عن الحجيّة، وكانت النتيجة إمكان التبعيض في الحجّيّة وعمومها لبقية الفقرات بعد عدم شمول منشأ السقوط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الفقرتين نوع ارتباط، وهو على صور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جملة واحدة سقط بعضها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البحث فيها إلى إمكان التبعيض في الحجّيّة أيضاً</w:t>
      </w:r>
      <w:r>
        <w:rPr>
          <w:rFonts w:eastAsia="Amiri" w:cs="Amiri" w:ascii="Amiri" w:hAnsi="Amiri"/>
          <w:color w:val="111111"/>
          <w:sz w:val="28"/>
          <w:szCs w:val="28"/>
          <w:rtl w:val="true"/>
          <w:lang w:bidi="ar-SA"/>
        </w:rPr>
        <w:t xml:space="preserve">. </w:t>
      </w:r>
      <w:bookmarkStart w:id="102" w:name="pg8927_84408"/>
    </w:p>
    <w:p>
      <w:pPr>
        <w:pStyle w:val="BookText"/>
        <w:rPr/>
      </w:pPr>
      <w:bookmarkEnd w:id="102"/>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جملتان العلاقة بينهما علاقة الصغرى والكبرى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الصورة ترجع إلى مسألة التبعيض في المداليل التضمّنية والتي انتهينا فيها إلى إمكان التبعيض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بين الفقرتين علاقة العلّة والمعلول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هذه الصورة في الحقيقة إلى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المداليل الالتزامية، وله فرضان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الساقط عن الحجّيّة هو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النتيجة التفصيل بين المداليل الالتزاميّة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البيئة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والمداليل الالتزامية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بالمعنى الأعم أو غير البينة ، فيمكن التبعيض في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بين المداليل الالتزاميّة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حاله مما تقدّم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في المداليل التضمنية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 هذا المورد إلى حجّيّة العام في الباقي بعد التخصيص، ولعلّ هذه المسألة أصبحت من الواضحات</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279122_2870459653"/>
      <w:bookmarkStart w:id="104" w:name="_Toc33"/>
      <w:bookmarkEnd w:id="103"/>
      <w:r>
        <w:rPr>
          <w:rtl w:val="true"/>
        </w:rPr>
        <w:t>نتائج قرينية وحدة السياق</w:t>
      </w:r>
      <w:bookmarkEnd w:id="104"/>
    </w:p>
    <w:p>
      <w:pPr>
        <w:pStyle w:val="BookText"/>
        <w:rPr/>
      </w:pPr>
      <w:r>
        <w:rPr>
          <w:rFonts w:ascii="Amiri" w:hAnsi="Amiri" w:eastAsia="Amiri" w:cs="Amiri"/>
          <w:color w:val="111111"/>
          <w:sz w:val="28"/>
          <w:sz w:val="28"/>
          <w:szCs w:val="28"/>
          <w:rtl w:val="true"/>
          <w:lang w:bidi="ar-SA"/>
        </w:rPr>
        <w:t>وقد ذكرنا صورتين تندرج فيهما عدة 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وقعت الدوالّ في جمل متعدّدة متتالية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حالتان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اتحد الدالّان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حوله يقع في مقامين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القرينيّة في مرحلة المدلول الاستعمالي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انتهى البحث فيها إلى جریان قرينة وحدة السياق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القرينيّة في مرحلة المدلول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إن مرجعه إلى أن تقييد حجّيّة إحدى الفقرتين هل يوجب تقييد حجّيّة الفقرة الأخرى؟ وانتهى البحث إلى عدم جريان قرينة وحدة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اختلف الدالان في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أيضاً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القرينيّة في مرحلة المدلول الاستعمالي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البحث إلى عدم جريانها للتشكيك في أنّ العرف قد أعد هكذا سياق كقرينة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القرينيّة في مرحلة المدلول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وحاله يظهر مما تقدّم في 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عدم جريانها في المقام أوضح</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الدالّ واحداً مع تعدد متعلّقه، وهنا تجري القرينة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أجود التقريرات، تقرير أبحاث المحقق النائيني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الأمر،الطبعة 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الفقه، الشيخ حسين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أضواء وآراء السيّد محمود الهاشمي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معارف الفقه الإسلامي، الطبعة الأولى،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الشيخ محمد بن 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حسين الموسوي الكرماني، الشيخ عليّ پناه الاشتهاردي، الشيخ عبد الرحيم البروجردي،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الطبعة الأولى،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شرح العروة الوثقى،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w:t>
      </w:r>
    </w:p>
    <w:p>
      <w:pPr>
        <w:pStyle w:val="BookText"/>
        <w:rPr/>
      </w:pPr>
      <w:r>
        <w:rPr>
          <w:rFonts w:ascii="Amiri" w:hAnsi="Amiri" w:eastAsia="Amiri" w:cs="Amiri"/>
          <w:color w:val="111111"/>
          <w:sz w:val="28"/>
          <w:sz w:val="28"/>
          <w:szCs w:val="28"/>
          <w:rtl w:val="true"/>
          <w:lang w:bidi="ar-SA"/>
        </w:rPr>
        <w:t xml:space="preserve">والدراسات التخصصية للشهيد الصدر ، الطبعة الأولى، </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بحوث في علم الأصول، تقرير بحث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الهاشمي، الطبعة الثالثة،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تذكرة الفقهاء، الشيخ الحسن بن يوسف بن علي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الطبعة 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شيخ الطائفة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المطبعة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خورشيد، الطبعة الثالثة،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في شرح شرائع الإسلام، الشيخ محمد حسن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المؤرّخ العربيّ ومؤسسة المرتضى العالمية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في أحكام العترة الطاهرة، الشيخ يوسف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الطبعة الرابعة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الحلقة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المؤتمر العالمي للإمام الشهيد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ثقة الإسلام أبو جعفر محمّد بن يعقوب الكليني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جعفر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 الشيخ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تحقيق تراث الشيخ الأعظم، الطبعة الأولى، سنة 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مباحث الأصول، تقرير أبحاث السيّد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كاظم الحسيني الحائري،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البشير،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المباحث الأصولية، الشيخ محمد إسحاق الفياض دام ظله ،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الشيخ الحسن بن يوسف بن علي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مستمسك العروة الوثقى، السيّد محسن الطباطبائي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w:t>
      </w:r>
    </w:p>
    <w:p>
      <w:pPr>
        <w:pStyle w:val="BookText"/>
        <w:rPr/>
      </w:pPr>
      <w:r>
        <w:rPr>
          <w:rFonts w:ascii="Amiri" w:hAnsi="Amiri" w:eastAsia="Amiri" w:cs="Amiri"/>
          <w:color w:val="111111"/>
          <w:sz w:val="28"/>
          <w:sz w:val="28"/>
          <w:szCs w:val="28"/>
          <w:rtl w:val="true"/>
          <w:lang w:bidi="ar-SA"/>
        </w:rPr>
        <w:t>التراث العربي،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الفقيه، المحقق آقا رضا الهمداني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الجعفرية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مطارح الأنظار، تقرير أبحاث الشيخ الأنصاري ، بقلم أبو القاسم الكلانتري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الطبعة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المعتبر في شرح المختصر، الشيخ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الأفاضل،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ناصر مكارم الشيرازي،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منتقى الأُصول، تقرير أبحاث السيّد محمّد الروحاني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الصاحب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إحياء آثار الإمام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الرابعة،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05" w:name="pg8927_84413"/>
    </w:p>
    <w:p>
      <w:pPr>
        <w:pStyle w:val="Heading2"/>
        <w:numPr>
          <w:ilvl w:val="1"/>
          <w:numId w:val="1"/>
        </w:numPr>
        <w:rPr/>
      </w:pPr>
      <w:bookmarkStart w:id="106" w:name="__RefHeading___Toc1279124_2870459653"/>
      <w:bookmarkStart w:id="107" w:name="_Toc34"/>
      <w:bookmarkEnd w:id="105"/>
      <w:bookmarkEnd w:id="106"/>
      <w:r>
        <w:rPr>
          <w:rtl w:val="true"/>
        </w:rPr>
        <w:t>رجال الجواهر</w:t>
      </w:r>
      <w:bookmarkEnd w:id="107"/>
    </w:p>
    <w:p>
      <w:pPr>
        <w:pStyle w:val="Heading3"/>
        <w:numPr>
          <w:ilvl w:val="2"/>
          <w:numId w:val="1"/>
        </w:numPr>
        <w:rPr/>
      </w:pPr>
      <w:bookmarkStart w:id="108" w:name="__RefHeading___Toc1279126_2870459653"/>
      <w:bookmarkStart w:id="109" w:name="_Toc35"/>
      <w:bookmarkEnd w:id="108"/>
      <w:r>
        <w:rPr>
          <w:rtl w:val="true"/>
        </w:rPr>
        <w:t>القسم الأول</w:t>
      </w:r>
      <w:bookmarkEnd w:id="109"/>
    </w:p>
    <w:p>
      <w:pPr>
        <w:pStyle w:val="BookText"/>
        <w:rPr/>
      </w:pPr>
      <w:r>
        <w:rPr>
          <w:rFonts w:ascii="Amiri" w:hAnsi="Amiri" w:eastAsia="Amiri" w:cs="Amiri"/>
          <w:color w:val="111111"/>
          <w:sz w:val="28"/>
          <w:sz w:val="28"/>
          <w:szCs w:val="28"/>
          <w:rtl w:val="true"/>
          <w:lang w:bidi="ar-SA"/>
        </w:rPr>
        <w:t>الشيخ علي الغزّي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القيم المعرفيّة المهمّة هو إحياء آثار العلماء الماضين من خلال تسليط الضوء على جواهر علومهم المنبثة في مطاوي كلماتهم وسطورهم، والتعرف على مسالكهم ومبانيهم في ما استندوا إليه في استنباط الأحكام الشرعيّة في موسوعاتهم الفقهيّة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الضوء يأتي البحث الماثل بين يديك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هادفاً لبيان المباني الرجالية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وتطبيقاتها على الرواة في مقام إعماله للجرح والتعديل، والتي استند إليها في موسوعته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خير خلقه محمّد وآله الطيبين الطاهرين،واللعنة الدائمة على أعدائهم أجمعين حتى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من القيم المعرفيّة المهمّة هو إحياء آثار العلماء الماضين من خلال تسليط الضوء على جواهر علومهم المنبثة في مطاوي كلماتهم وسطورهم، والتعرّف على مسالكهم ومبانيهم في ما استندوا إليه في استنباط الأحكام الشرعية في موسوعاتهم الفقهية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الضوء يأتي البحث الماثل بين أيديكم هادفاً لبيان المباني الرجالية لصاحب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وتطبيقاتها على الرواة في مقام إعماله للجرح والتعديل، والتي استند إليها في موسوعته الفقهيّة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خلال قراءتها من أوَّلها إلى آخرها، مع تدوين ما يمرّ من مواقفه الرجالية من كبرى، أو من راو، أو مصطلح رجاليّ، ثُمَّ تصنيفها إلى تمهيد وثلاثة أقسام، فتناول التمهيد مشروعية علم الرجال، ومنشأ حجيّة قول الرجالي، وتعارض الجرح والتعديل، ومصادره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تناول القسم الأوَّل قواعد الجرح والتعديل، والقسم الثاني فوائد رجالية ودرائية، والقسم الثالث من </w:t>
      </w:r>
    </w:p>
    <w:p>
      <w:pPr>
        <w:pStyle w:val="BookText"/>
        <w:rPr/>
      </w:pPr>
      <w:r>
        <w:rPr>
          <w:rFonts w:ascii="Amiri" w:hAnsi="Amiri" w:eastAsia="Amiri" w:cs="Amiri"/>
          <w:color w:val="111111"/>
          <w:sz w:val="28"/>
          <w:sz w:val="28"/>
          <w:szCs w:val="28"/>
          <w:rtl w:val="true"/>
          <w:lang w:bidi="ar-SA"/>
        </w:rPr>
        <w:t>تعرّض له من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حاولتُ أن أجعل القرّاء الكرام في أجواء الأفكار التي كانت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حيث عرض الآراء والمواقف، ثُمَّ بيان ما اختاره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اشتغلتُ فيه أيام التعطيل الدرسي، ولمدة أربع سنوات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 الاختيار على كتاب الجواهر نظراً إلى أهميته الفقهية، فهو مصدر محوريّ ومهمّ للفقهاء في صناعة الفقه، وقد وصفه جملة ممن تناوله بذلك كالسيد محسن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الكلام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يؤلف مثله في الإسلام حتى حُكي عن بعض العلماء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أراد مؤرّخ زمانه أن يثبت الحوادث العجيبة في أيامه لما وجد حادثة أعجب من تصنيف هذا الكتاب، لا يكاد يعوّل المتأخرون عنه على غيره، ولا يفضّلون عليه كتاباً في تمامه واستيفائه كتب الفقه، وجمعه لأقوال العلماء من أوله إلى آخره، واحتوائه على وجوه الاستنباط والاستدلال مع ما فيه من النظر الدقيق، وجيد التحصيل والتحقيق، هذا مع تجريده عن الحشو والفضول، فهذه مزايا قلّما اتفقت في كتاب لمتقدّم أو 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الشيخ مرتضى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يكفي للمجتهد في أهبته وعدة تحصيله نسخة من الجواهر، وأخرى من الوسائل مع ما قد يحتاج إليه أحياناً من النظر في كتب الأوائل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إلى الآن معوّل المجتهدين والمحصلين من الإمامية في كلّ مكان</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الشيخ أغا بزرگ الطّهراني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وخلّف كتابه الجواهر الذي لا يوجد في خزائن الملوك بعض جواهره ، ولم يعهد في ذخائر العلماء شيء من ثماره وزواهره، </w:t>
      </w:r>
    </w:p>
    <w:p>
      <w:pPr>
        <w:pStyle w:val="BookText"/>
        <w:rPr/>
      </w:pPr>
      <w:r>
        <w:rPr>
          <w:rFonts w:ascii="Amiri" w:hAnsi="Amiri" w:eastAsia="Amiri" w:cs="Amiri"/>
          <w:color w:val="111111"/>
          <w:sz w:val="28"/>
          <w:sz w:val="28"/>
          <w:szCs w:val="28"/>
          <w:rtl w:val="true"/>
          <w:lang w:bidi="ar-SA"/>
        </w:rPr>
        <w:t xml:space="preserve">لم يكتب مثله جامع في استنباط الحلال والحرام، ولم يوفّق لنظيره أحد من الأعلام؛ لأنَّه محيط بأوّل الفقه وآخره محتوِ على وجوه الاستدلال، مع دقة النظر، ونقل الأقوال، قدصرف عمره الشريف، وبذل وسعه في تأليفه فيما يزيد على ثلاثين سنة؛ لأنَّ آخر ما خرج من قلمه الشريف من مجلّدات الجواهر هو كتاب الجهاد إلى آخر النهي عن المنكر، وقد فرغ منه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 بعمله القيم المنّة على كافة المتأخرين، وجعلهم عيالاً له في معرفة استنباط أحكام الدين</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تفضّلت إدارة مجلة دراسات علميّة بقبول البحث، وإخضاعه إلى نظر نخبة من الأساتذة الكرام، فكان لها ولهم الفضل في إنضاجه وإتمامه، ونظراً إلى اتساع صفحاته زيادة عن المقدار الممكن عرضه من كُلّ بحث في المجلة استقرّ الرأي على عرضه في ثلاثة أعداد منها ، على أن يكون هذا العدد حاوياً للتمهيد والقسم الأوّل، واللاحق على القسم الثاني، والذي يليه على القسم الثالث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ونسأله تعالى أن يتقبله بقبول حسن، وينبته نباتاً طيباً إنّه أرحم الراحمين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10" w:name="pg8927_84418"/>
    </w:p>
    <w:p>
      <w:pPr>
        <w:pStyle w:val="Heading3"/>
        <w:numPr>
          <w:ilvl w:val="2"/>
          <w:numId w:val="1"/>
        </w:numPr>
        <w:rPr/>
      </w:pPr>
      <w:bookmarkStart w:id="111" w:name="__RefHeading___Toc1279128_2870459653"/>
      <w:bookmarkStart w:id="112" w:name="_Toc36"/>
      <w:bookmarkEnd w:id="110"/>
      <w:bookmarkEnd w:id="111"/>
      <w:r>
        <w:rPr>
          <w:rtl w:val="true"/>
        </w:rPr>
        <w:t>تمهيد</w:t>
      </w:r>
      <w:bookmarkEnd w:id="112"/>
    </w:p>
    <w:p>
      <w:pPr>
        <w:pStyle w:val="Heading4"/>
        <w:numPr>
          <w:ilvl w:val="3"/>
          <w:numId w:val="1"/>
        </w:numPr>
        <w:rPr/>
      </w:pPr>
      <w:bookmarkStart w:id="113" w:name="__RefHeading___Toc1279130_2870459653"/>
      <w:bookmarkStart w:id="114" w:name="_Toc37"/>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عُقد التمهيد لبيان موقف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مشروعيّة علم الرجال، ومنشأ حجية قول الرجالي عنده، وموقفه من تعارض الجرح والتعديل، وبيان مصادره الرجالية التي اعتمد عليها في أخذ مواقفه الرجالية من الرواة، فهنا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مشروعية علم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منشأ حجيّة قول الرجالي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الجرح على 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الجواهر الرجالية</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1279132_2870459653"/>
      <w:bookmarkStart w:id="116" w:name="_Toc38"/>
      <w:bookmarkEnd w:id="115"/>
      <w:r>
        <w:rPr>
          <w:rtl w:val="true"/>
        </w:rPr>
        <w:t>الأمر الأوّل</w:t>
      </w:r>
      <w:r>
        <w:rPr>
          <w:rtl w:val="true"/>
        </w:rPr>
        <w:t xml:space="preserve">: </w:t>
      </w:r>
      <w:r>
        <w:rPr>
          <w:rtl w:val="true"/>
        </w:rPr>
        <w:t>مشروعيّة علم الرجال</w:t>
      </w:r>
      <w:bookmarkEnd w:id="116"/>
    </w:p>
    <w:p>
      <w:pPr>
        <w:pStyle w:val="BookText"/>
        <w:rPr/>
      </w:pPr>
      <w:r>
        <w:rPr>
          <w:rFonts w:ascii="Amiri" w:hAnsi="Amiri" w:eastAsia="Amiri" w:cs="Amiri"/>
          <w:color w:val="111111"/>
          <w:sz w:val="28"/>
          <w:sz w:val="28"/>
          <w:szCs w:val="28"/>
          <w:rtl w:val="true"/>
          <w:lang w:bidi="ar-SA"/>
        </w:rPr>
        <w:t>قد أُثيرت عدة شبهات حول مشروعية علم الرجال،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يستلزم ذكر عيوب الآخرين، واستغابتهم، ومن المعلوم حرمة اغتياب المؤمن حيّاً كان أم ميتاً، ولذا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الرجال علم منكر يجب التحرز عنه؛ لأنَّ فيه تفضيح الناس، وقد نُهينا عن التجسّس عن معايبهم، وأمرنا بالغضّ والتستّر </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وأشار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للشبهة المذكورة في معرض حديثه عن مستثنيات الغيبة،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 المستشير؛ لورود الأخبار الكثيرة في أنَّه يجب أن ينصح المؤمن أخاه </w:t>
      </w:r>
    </w:p>
    <w:p>
      <w:pPr>
        <w:pStyle w:val="BookText"/>
        <w:rPr/>
      </w:pPr>
      <w:r>
        <w:rPr>
          <w:rFonts w:ascii="IRNazanin" w:hAnsi="IRNazanin" w:eastAsia="IRNazanin"/>
          <w:color w:val="111111"/>
          <w:sz w:val="28"/>
          <w:sz w:val="28"/>
          <w:szCs w:val="28"/>
          <w:rtl w:val="true"/>
          <w:lang w:bidi="fa-IR"/>
        </w:rPr>
        <w:t>المؤمن، ولقول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لفاطمة بنت قيس لما شاورته في خطابها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معاوية صعلوك لا</w:t>
      </w:r>
    </w:p>
    <w:p>
      <w:pPr>
        <w:pStyle w:val="BookText"/>
        <w:rPr/>
      </w:pPr>
      <w:r>
        <w:rPr>
          <w:rFonts w:ascii="Amiri" w:hAnsi="Amiri" w:eastAsia="Amiri" w:cs="Amiri"/>
          <w:color w:val="111111"/>
          <w:sz w:val="28"/>
          <w:sz w:val="28"/>
          <w:szCs w:val="28"/>
          <w:rtl w:val="true"/>
          <w:lang w:bidi="ar-SA"/>
        </w:rPr>
        <w:t>مال له، وأبو الجهم لا يضع يضع العصا العصا عن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وسابقه راجع إلى نصح المؤمن الذي أُمر به في النصوص، من غير فرق بين سبق الاستشارة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من هذا الباب أيضاً باب الترجيح والتعديل في الرواة لأجل معرفة قبول الخبر وعدمه، ومعرفة صلاحيته لمعارضة وعدمها، وإلا لانسدّ باب التعادل والتراجيح الذي هو أعظم أبواب الاجتهاد، وجرت السيرة عليه من قديم الزمان، كجريانها على الجرح في باب الشهادة، وعلى ترجيح ما دلّ على وجوب إقامتها على ما دلّ على حرمة الغيبة على وجه لا إشكال فيه ولا شبهة تعتريه، وإلا لضاعت الحقوق في الدماء والأموال وغيرها، ولغلب الباطل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أيضاً ذكر المبتدعة الذين أمرنا بالوقيعة فيهم حذراً من اغترار الناس بهم، بل ربَّما دخل في ذلك أيضاً نفي نسب من ادعى نسباً وإن كان معذوراً أو عرف به فينفى عنه، بل ربَّما وجب دفعاً للخلل في المواريث والنفقات والأنكحة وغيرها، فيكون ذلك أحد المستثنيات إذا فرض كونه غيبة، وقلنا بجوازه في غير مقام الشهادة والأمر</w:t>
      </w:r>
    </w:p>
    <w:p>
      <w:pPr>
        <w:pStyle w:val="BookText"/>
        <w:rPr/>
      </w:pPr>
      <w:r>
        <w:rPr>
          <w:rFonts w:ascii="Amiri" w:hAnsi="Amiri" w:eastAsia="Amiri" w:cs="Amiri"/>
          <w:color w:val="111111"/>
          <w:sz w:val="28"/>
          <w:sz w:val="28"/>
          <w:szCs w:val="28"/>
          <w:rtl w:val="true"/>
          <w:lang w:bidi="ar-SA"/>
        </w:rPr>
        <w:t>بالمعروف، كما هو مقتضى ذكر شيخنا له في المستثنيات منها</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 هذا الباب أيضاً ما يقع بين العلماء في بيان الصحيح من الفاسد، ضرورة كونه من جملة النصح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الإنصاف كون هذا المقام من مزالق الشيطان، فلا بُدَّ لمرتكب ذلك من تصحيح النيّة، فإن الناقد لا يخفى عليه شيء من ذلك</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يقصد به دفع الضرر عن المذموم في دم أو عرض أو مال، وقد وقع الطعن </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زرارة معلّلين بذلك، ولعلّ منه ما وقع في الهشامين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يخفى عليك أنَّ ذلك وشبهه ليس من الغيبة في شيء، بعد ما عرفت من اعتبار قصد الانتقاص</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وحاصل ما أفاده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التعرّض لأحوال الرواة وجرحهم ليس من الغيبة؛ لتقومها بقصد المستغيب انتقاص المستغاب، ومن الواضح أنّ أئمّة الرجال لا يقصدون انتقاصَ الرواة، وإنَّما يقصدون بيان أحوالهم من أجل معرفة ما هو حجّة من الأخبار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التعرّض لبيان معايب الآخرين، والاطلاع عليها غيبةً محرّمةً مطلقاً لما صح جرح الشهود في باب القضاء، ولما صح ذكر المبتدعة بشيء يسيء إليهم، مع أن جرح الشهود مما جرت عليه سيرة المسلمين بل العقلاء مطلقاً، كما أنَّ الشارع أمر بالوقيعة بالمبتدعة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علم الرجال مما جرتْ عليه سيرة المسلمين خاصةً وعامةً ومن قديم الزمان، من غير أن يكون محذور كشف عيوب الآخرين مانعاً لهم، وما ذلك إلا لإدراكهم ترجيحه على حرمة غيبة المؤمن على وجه لا إشكال فيه، ولا شبهة تعتريه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انسدّ باب علم الرجال لانسدّ باب عظيم من أبواب الاجتهاد؛ إذ من المعلوم كون الأخبار هي المدرك الأعظم للأحكام الشرعيّة، ومن خلال علم الرجال يُعرف الحجّة منها ، ومدى صلاحيته لمعارضة غيره</w:t>
      </w:r>
      <w:r>
        <w:rPr>
          <w:rFonts w:eastAsia="Amiri" w:cs="Amiri" w:ascii="Amiri" w:hAnsi="Amiri"/>
          <w:color w:val="111111"/>
          <w:sz w:val="28"/>
          <w:szCs w:val="28"/>
          <w:rtl w:val="true"/>
          <w:lang w:bidi="ar-SA"/>
        </w:rPr>
        <w:t xml:space="preserve">. </w:t>
      </w:r>
      <w:bookmarkStart w:id="117" w:name="pg8927_84421"/>
    </w:p>
    <w:p>
      <w:pPr>
        <w:pStyle w:val="Heading4"/>
        <w:numPr>
          <w:ilvl w:val="3"/>
          <w:numId w:val="1"/>
        </w:numPr>
        <w:rPr/>
      </w:pPr>
      <w:bookmarkStart w:id="118" w:name="__RefHeading___Toc1279134_2870459653"/>
      <w:bookmarkStart w:id="119" w:name="_Toc39"/>
      <w:bookmarkEnd w:id="117"/>
      <w:bookmarkEnd w:id="118"/>
      <w:r>
        <w:rPr>
          <w:rtl w:val="true"/>
        </w:rPr>
        <w:t xml:space="preserve">الأمر الثاني </w:t>
      </w:r>
      <w:r>
        <w:rPr>
          <w:rtl w:val="true"/>
        </w:rPr>
        <w:t xml:space="preserve">: </w:t>
      </w:r>
      <w:r>
        <w:rPr>
          <w:rtl w:val="true"/>
        </w:rPr>
        <w:t>منشأ حجيّة قول الرجالي</w:t>
      </w:r>
      <w:bookmarkEnd w:id="119"/>
    </w:p>
    <w:p>
      <w:pPr>
        <w:pStyle w:val="BookText"/>
        <w:rPr/>
      </w:pPr>
      <w:r>
        <w:rPr>
          <w:rFonts w:ascii="Amiri" w:hAnsi="Amiri" w:eastAsia="Amiri" w:cs="Amiri"/>
          <w:color w:val="111111"/>
          <w:sz w:val="28"/>
          <w:sz w:val="28"/>
          <w:szCs w:val="28"/>
          <w:rtl w:val="true"/>
          <w:lang w:bidi="ar-SA"/>
        </w:rPr>
        <w:t>قد وقع الكلام في منشأ حجّيّة قول الرجالي في الجرح والتعديل، وهل إنَّه من باب الشهادة، أو الرواية، أو الظنّ؟</w:t>
      </w:r>
    </w:p>
    <w:p>
      <w:pPr>
        <w:pStyle w:val="BookText"/>
        <w:rPr/>
      </w:pPr>
      <w:r>
        <w:rPr>
          <w:rFonts w:ascii="Amiri" w:hAnsi="Amiri" w:eastAsia="Amiri" w:cs="Amiri"/>
          <w:color w:val="111111"/>
          <w:sz w:val="28"/>
          <w:sz w:val="28"/>
          <w:szCs w:val="28"/>
          <w:rtl w:val="true"/>
          <w:lang w:bidi="ar-SA"/>
        </w:rPr>
        <w:t>ومن الفارق بين المسالك الثلاثة في الحجّيّة،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الشهادة لا بُدَّ أنْ يتحقق فيها شروط الشهادة من كونها عن حسّ وتعدّد، وأمّا على الرواية فلا بُدَّ من كون الإخبار عن حسّ ، ولا يشترط التعدّد بناءً على حجّيّة خبر الثقة في الموضوعات، وأما على الظن فلا يشترط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إخبار العدل وغيره، وبين كونه عن حسّ أو لا، بعد فرض حصول الظنّ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بالفعل عن منشأ حجّيّة قول الرجالي في باب التعديل والتزكية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الحكم بعدالة الراوي وصحة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الأصل عدم البناء على عدالة الراوي ما لم يقم دليل عليها، ومن هنا ركّز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الراوي</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في مقام حديثه عن منشأ حجية قول الرجالي</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الظنون الرجالية منشأ لحجية قول الرجالي،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في التصحيح غالباً على الظنون</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التزكية من الظنون الاجتهادية</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مختاره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هذا موافق للقاعدة المعلومة، وهي قيام الظنّ مقام العلم عند التعذر في موضوعات الأحكام، خصوصاً في المقام الذي يقطع فيه بعدم سقوط الصلاة، وبعدم سقوط الاستقبال فيها، وبعدم حرمة السكنى في المواضع التي يتعذر فيها حصول العلم، وبعدم التكليف بفعل سائر الأفراد المحتملة تحصيلاً لليقين، وبقبح التكليف بما لا يطاق عندنا، فإن الرجوع هنا حينئذ إلى الظَّنِّ مُتعيَّن كما هو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ولذا يُرجع إلى قول اللغوي والنحوي والصرفي، وأصالة العدم، وأصالة البقاء، والقرائن الظنّيّة، وقول أهل الخبرة في الأرش وأمثاله، وقول الطبيب، وغير ذلك من الظنون</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الموقف الأوّلي هو الاعتماد على العلم في إحراز الموضوعات، لكن في حال تعذر تحصيل العلم بها فإنّ الظنّ يقوم مقامه، وإلا للزم الاحتياط بفعل سائر الأفراد المحتملة تحصيلاً لليقين، وبعده ظاهر؛ لما فيه من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تلك المواضيع عدالة الرواة، فإنّها إنَّما تحرز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ظهور الفسق بعد الخلطة والاختبار</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إلَّا أنَّ ذلك متعذر في أغلب الموارد؛ نظراً إلى بعد الفاصل بين أغلب الرواة وبين أئمة الرجال، فلا يكون إخبارهم بعدالتهم عن خلط واختبار ليفيد العلم بها، فيتعيّن قيام الظنّ الحاصل من قولهم مقام العلم بها، وإلا للزم العمل بجميع روايات غير معلومي الفسق، ولا يخفى ما فيه من التكليف بما لا يطاق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أنَّ الأمر بالاجتهاد والتحرّي يشمل الظنّ الحاصل منهما،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لإطلاق الأمر بالاجتهاد والتحرّي الشاملين ضرورة للظنّ الناشئ منه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بقي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ابتناءَ التوثيق على الظنون الرجالية غالبيّ، وإلّا فقد يحصل القطع بحال الراوي كالرواة المشهورين بالوثاقة مثل أبان بن تغلب</w:t>
      </w:r>
      <w:r>
        <w:rPr>
          <w:rStyle w:val="FootnoteAnchor"/>
          <w:rtl w:val="true"/>
        </w:rPr>
        <w:footnoteReference w:id="249"/>
      </w:r>
      <w:r>
        <w:rPr>
          <w:rFonts w:ascii="Amiri" w:hAnsi="Amiri" w:eastAsia="Amiri" w:cs="Amiri"/>
          <w:color w:val="111111"/>
          <w:sz w:val="28"/>
          <w:sz w:val="28"/>
          <w:szCs w:val="28"/>
          <w:rtl w:val="true"/>
          <w:lang w:bidi="ar-SA"/>
        </w:rPr>
        <w:t>، ولذا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المدار في التصحيح غالباً على الظنون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تعتبر عدالة الرجالي في قبول قوله ما دام مفيداً للظن،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فرق بين إخبار العدل وغيره وبين كونه عن حسّ أو لا، بعد فرض حصول الظنّ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يُعتبر الوثوق به لتوقف حصول الظنّ من قوله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لم تعتبر عدالة الراوي في حجّيّة حديثه،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الفطحيّة لا تمنع من العمل عندنا</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 xml:space="preserve">، ومصرحاً بحجّيّة الموثّق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الموثّق الذي هو حجّة عندنا</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قد يجعل من فساد عقيدة الراوي قرينة إضافيةً منضمّةً إلى ما توفّر عليه الحديث من عناصر فقد الحجيّة،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جماعة من الفطحيّة في سنده، وكون دلالته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بغيره مما هو معتضد بالشهرة العظيمة التي كادت تكون إجماعاً</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بيان الوجه في ذلك في خاتمة القسم الأوَّل إن شاء الله تعالى</w:t>
      </w:r>
      <w:r>
        <w:rPr>
          <w:rFonts w:eastAsia="Amiri" w:cs="Amiri" w:ascii="Amiri" w:hAnsi="Amiri"/>
          <w:color w:val="111111"/>
          <w:sz w:val="28"/>
          <w:szCs w:val="28"/>
          <w:rtl w:val="true"/>
          <w:lang w:bidi="ar-SA"/>
        </w:rPr>
        <w:t xml:space="preserve">. </w:t>
      </w:r>
      <w:bookmarkStart w:id="120" w:name="pg8927_84424"/>
    </w:p>
    <w:p>
      <w:pPr>
        <w:pStyle w:val="Heading4"/>
        <w:numPr>
          <w:ilvl w:val="3"/>
          <w:numId w:val="1"/>
        </w:numPr>
        <w:rPr/>
      </w:pPr>
      <w:bookmarkStart w:id="121" w:name="__RefHeading___Toc1279136_2870459653"/>
      <w:bookmarkStart w:id="122" w:name="_Toc40"/>
      <w:bookmarkEnd w:id="120"/>
      <w:bookmarkEnd w:id="121"/>
      <w:r>
        <w:rPr>
          <w:rtl w:val="true"/>
        </w:rPr>
        <w:t xml:space="preserve">الأمر الثالث </w:t>
      </w:r>
      <w:r>
        <w:rPr>
          <w:rtl w:val="true"/>
        </w:rPr>
        <w:t xml:space="preserve">: </w:t>
      </w:r>
      <w:r>
        <w:rPr>
          <w:rtl w:val="true"/>
        </w:rPr>
        <w:t>تقديم الجرح على التعديل</w:t>
      </w:r>
      <w:bookmarkEnd w:id="122"/>
    </w:p>
    <w:p>
      <w:pPr>
        <w:pStyle w:val="BookText"/>
        <w:rPr/>
      </w:pPr>
      <w:r>
        <w:rPr>
          <w:rFonts w:ascii="Amiri" w:hAnsi="Amiri" w:eastAsia="Amiri" w:cs="Amiri"/>
          <w:color w:val="111111"/>
          <w:sz w:val="28"/>
          <w:sz w:val="28"/>
          <w:szCs w:val="28"/>
          <w:rtl w:val="true"/>
          <w:lang w:bidi="ar-SA"/>
        </w:rPr>
        <w:t>من شؤون الجرح والتعديل وقوع التعارض بينهما، وقد بني جملة من الأعلام على تقديم الجرح ، وظاهر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عليه، ولذا قدّمه في محمّد بن سنان وداود ابن كثير الرقي وغيرهما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الوجه في ذلك ما بيَّنه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 الشهود بالجرح والتعديل قدّم الجرح؛ 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ـه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بما يخفى عن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المعدلين الذين مبنى شهادتهما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الخلطة والممارسة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أصل عدم وقوع المعصية منه، وظنّ ذلك بسبب حصول الملكة عنده ولو ملكة حسن الظاهر، وهما معاً غير معارضين لشهادة العدلين بوقوع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فمع الإطلاق بالعدالة والفسق يقوّي الظنّ بينة الجرح؛ لمكان الغلبة المزبورة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اشتهر بينهم تقديم الجرح على التعديل لعدم حصول التعارض، لكون المعدل لا يعلم، والجارح عالم، ومن لا يعلم ليس حجّة على من علم</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وأوضحه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ذلك يظهر حينئذٍ وجه تقديم الجرح على التعديل، لكون المعدل يثبت حسن الظاهر، والجارح لا ينفيه،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اطلعت منه على ما يُذْهِبُ العدالة وإن بقي حسن ظاهره</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وغلبة الظنّ باطّلاع الجارح على ما لم يطلع عليه غيره كافية في الجرح والتعديل؛ لا بتنائهما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الظنون،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قول الجارح من دون ملاحظة سبب الجرح، خصوصاً مع وجود الاختلاف في الأسباب الداعية له عند أئمة الرجال؟</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يخبر بضعف الراوي إنَّما يخبر عنه واقعاً وليس من جهة سببه،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المدارك لا يكفي قول الشاهد اليوم الصوم أو الفطر، بل يجب على السامع الاستفصال؛ لاختلاف الأقوال في المسألة، فيجوز استناد الشاهد إلى سبب لا يوافق مذهب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عُلمت الموافقة أجزأ الإطلاق كما في الجرح والتعديل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بأنَّ مقتضى شهادته كونه كذلك واقعاً، وهو لا اختلاف فيه، ولذا لم يجب استفصاله في الشهادة بالملك والغصب والنجاسة ونحوها مما هي مختلفة الأسباب أيضاً، وكذلك الجرح والتعديل</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في حال اتضح الوجه في الجرح وأنَّه ليس بتام عند الناظر فيه يتعيّن حينئذ عدم التعويل عليه؛ لأنَّه لا يوجب ظَنّاً بمفاده، ومن هنا رجّح توثيق سهل بن زياد على تضعيفه؛ لاتضاح أنَّ تضعيفه لم يكن من جهة أمانته في النقل، بل لروايته المراسيل واعتماده على الضعفاء، وكذا البرقي، ومحمد بن عيسى بن عبيد؛ لردّ الأصحاب تضعيف ابن الوليد له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ولبنائه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تقديم الجرح على التعديل لم يُعْمِل الظنون الاجتهادية في استحصال حال الراوي بعد ورود التضعيف فيه</w:t>
      </w:r>
      <w:r>
        <w:rPr>
          <w:rFonts w:eastAsia="Amiri" w:cs="Amiri" w:ascii="Amiri" w:hAnsi="Amiri"/>
          <w:color w:val="111111"/>
          <w:sz w:val="28"/>
          <w:szCs w:val="28"/>
          <w:rtl w:val="true"/>
          <w:lang w:bidi="ar-SA"/>
        </w:rPr>
        <w:t xml:space="preserve">. </w:t>
      </w:r>
      <w:bookmarkStart w:id="123" w:name="pg8927_84426"/>
    </w:p>
    <w:p>
      <w:pPr>
        <w:pStyle w:val="Heading4"/>
        <w:numPr>
          <w:ilvl w:val="3"/>
          <w:numId w:val="1"/>
        </w:numPr>
        <w:rPr/>
      </w:pPr>
      <w:bookmarkStart w:id="124" w:name="__RefHeading___Toc1279138_2870459653"/>
      <w:bookmarkStart w:id="125" w:name="_Toc41"/>
      <w:bookmarkEnd w:id="123"/>
      <w:bookmarkEnd w:id="124"/>
      <w:r>
        <w:rPr>
          <w:rtl w:val="true"/>
        </w:rPr>
        <w:t>الأمر الرابع</w:t>
      </w:r>
      <w:r>
        <w:rPr>
          <w:rtl w:val="true"/>
        </w:rPr>
        <w:t xml:space="preserve">: </w:t>
      </w:r>
      <w:r>
        <w:rPr>
          <w:rtl w:val="true"/>
        </w:rPr>
        <w:t>مصادر الجواهر الرجالية</w:t>
      </w:r>
      <w:bookmarkEnd w:id="125"/>
    </w:p>
    <w:p>
      <w:pPr>
        <w:pStyle w:val="BookText"/>
        <w:rPr/>
      </w:pPr>
      <w:r>
        <w:rPr>
          <w:rFonts w:ascii="Amiri" w:hAnsi="Amiri" w:eastAsia="Amiri" w:cs="Amiri"/>
          <w:color w:val="111111"/>
          <w:sz w:val="28"/>
          <w:sz w:val="28"/>
          <w:szCs w:val="28"/>
          <w:rtl w:val="true"/>
          <w:lang w:bidi="ar-SA"/>
        </w:rPr>
        <w:t>قد نقل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المصادر الرجالية في مواطن متعدّدة من كتابه مستعيناً بكلماتهم على أخذ الموقف من الرواة،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أبي غالب الزراري، فقد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 ظاهر النجاشي ورسالة أبي غالب الزراري من أنَّه من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ولم ينقل عنه في غير ذلك، كما أنَّ ظاهر عبارته عدم النقل عنه مباشرةً، وإنَّما نقل عنه بصيغة الحكاية، ولم يتسن لنا الوقوف على المصدر الذي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الغضائري،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الغضائري</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طريقها محمّد بن سنان الذي ضَعَّفه الشيخ والنجاشي وابن الغضائري،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لا يُلتفت إليه</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وظاهر عبارته الثانية النقل عن ابن الغضائري مباشرةً، لكنَّه واضح البعد؛ لعدم وجود كتاب مستقل لابن الغضائري في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كان يتوفّر على أقواله من خلاصة العلّامة، ولذا من القريب جداً نقله عنها ، وسيأتي تصريحه باعتماده عليها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الكشي، نقل عنه بطريق الحكاية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الكشي</w:t>
      </w:r>
      <w:r>
        <w:rPr>
          <w:rFonts w:eastAsia="Amiri" w:cs="Amiri" w:ascii="Amiri" w:hAnsi="Amiri"/>
          <w:color w:val="111111"/>
          <w:sz w:val="28"/>
          <w:szCs w:val="28"/>
          <w:rtl w:val="true"/>
          <w:lang w:bidi="ar-SA"/>
        </w:rPr>
        <w:t>)</w:t>
      </w:r>
      <w:r>
        <w:rPr>
          <w:rStyle w:val="FootnoteAnchor"/>
          <w:rtl w:val="true"/>
        </w:rPr>
        <w:footnoteReference w:id="263"/>
      </w:r>
      <w:r>
        <w:rPr>
          <w:rFonts w:ascii="Amiri" w:hAnsi="Amiri" w:eastAsia="Amiri" w:cs="Amiri"/>
          <w:color w:val="111111"/>
          <w:sz w:val="28"/>
          <w:sz w:val="28"/>
          <w:szCs w:val="28"/>
          <w:rtl w:val="true"/>
          <w:lang w:bidi="ar-SA"/>
        </w:rPr>
        <w:t>، مبيناً في بعضها مصدر حكايته،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العلّامة في الخلاصة عن الكتّيّ</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كما نقل عنه بصورة </w:t>
      </w:r>
    </w:p>
    <w:p>
      <w:pPr>
        <w:pStyle w:val="BookText"/>
        <w:rPr/>
      </w:pPr>
      <w:r>
        <w:rPr>
          <w:rFonts w:ascii="Amiri" w:hAnsi="Amiri" w:eastAsia="Amiri" w:cs="Amiri"/>
          <w:color w:val="111111"/>
          <w:sz w:val="28"/>
          <w:sz w:val="28"/>
          <w:szCs w:val="28"/>
          <w:rtl w:val="true"/>
          <w:lang w:bidi="ar-SA"/>
        </w:rPr>
        <w:t xml:space="preserve">مباشرة،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الكشي</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الكشّيّ</w:t>
      </w:r>
      <w:r>
        <w:rPr>
          <w:rFonts w:eastAsia="Amiri" w:cs="Amiri" w:ascii="Amiri" w:hAnsi="Amiri"/>
          <w:color w:val="111111"/>
          <w:sz w:val="28"/>
          <w:szCs w:val="28"/>
          <w:rtl w:val="true"/>
          <w:lang w:bidi="ar-SA"/>
        </w:rPr>
        <w:t>)</w:t>
      </w:r>
      <w:r>
        <w:rPr>
          <w:rStyle w:val="FootnoteAnchor"/>
          <w:rtl w:val="true"/>
        </w:rPr>
        <w:footnoteReference w:id="266"/>
      </w:r>
      <w:r>
        <w:rPr>
          <w:rFonts w:ascii="Amiri" w:hAnsi="Amiri" w:eastAsia="Amiri" w:cs="Amiri"/>
          <w:color w:val="111111"/>
          <w:sz w:val="28"/>
          <w:sz w:val="28"/>
          <w:szCs w:val="28"/>
          <w:rtl w:val="true"/>
          <w:lang w:bidi="ar-SA"/>
        </w:rPr>
        <w:t>، كما أشار في بعض الأحيان إلى نصوصه من غير أن يذكره</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نقل عنه بطريق الحكاية،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النجاشي</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كما نقل عنه بصورة مباشرة،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حكاه النجاشي</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النجاشي فيه أنَّه کان قارئاً وفقيهاً وجيهاً </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يروي عنه جماعة منهم النضر بن سويد</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الشيخ، نقل عنه بطريق الحكاية،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الفهرست</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xml:space="preserve">، كما نقل عنه بصورة مباشرة،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والشيخ والنجاشي وإن ذكرا أن مصنّفه من أصحاب الكتب</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الظاهر من الشيخ في الفهرست</w:t>
      </w:r>
      <w:r>
        <w:rPr>
          <w:rFonts w:eastAsia="Amiri" w:cs="Amiri" w:ascii="Amiri" w:hAnsi="Amiri"/>
          <w:color w:val="111111"/>
          <w:sz w:val="28"/>
          <w:szCs w:val="28"/>
          <w:rtl w:val="true"/>
          <w:lang w:bidi="ar-SA"/>
        </w:rPr>
        <w:t>)</w:t>
      </w:r>
      <w:r>
        <w:rPr>
          <w:rStyle w:val="FootnoteAnchor"/>
          <w:rtl w:val="true"/>
        </w:rPr>
        <w:footnoteReference w:id="27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الشيخ قال في الفهرست</w:t>
      </w:r>
      <w:r>
        <w:rPr>
          <w:rFonts w:eastAsia="Amiri" w:cs="Amiri" w:ascii="Amiri" w:hAnsi="Amiri"/>
          <w:color w:val="111111"/>
          <w:sz w:val="28"/>
          <w:szCs w:val="28"/>
          <w:rtl w:val="true"/>
          <w:lang w:bidi="ar-SA"/>
        </w:rPr>
        <w:t>)</w:t>
      </w:r>
      <w:r>
        <w:rPr>
          <w:rStyle w:val="FootnoteAnchor"/>
          <w:rtl w:val="true"/>
        </w:rPr>
        <w:footnoteReference w:id="27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الفهرست</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الشيخ، نقل عنه بصورة مباشرة،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ذكره الشيخ في كتب الرجال من أنَّه عامي، فهو وهم</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خلاصة الأقوال، نقل عنه بصورة مباشرة في غير موضع،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 العلّامة في الخلاصة عن الكشي</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يزيد ذلك كله تصريح العلّامة في الخلاصة بأنَّ الأرجح قبول روايته، وتصحيحه جملة من طرق الصدوق المشتملة عليه، كطريقه إلى كردويه وإلى ياسر الخادم</w:t>
      </w:r>
      <w:r>
        <w:rPr>
          <w:rFonts w:eastAsia="Amiri" w:cs="Amiri" w:ascii="Amiri" w:hAnsi="Amiri"/>
          <w:color w:val="111111"/>
          <w:sz w:val="28"/>
          <w:szCs w:val="28"/>
          <w:rtl w:val="true"/>
          <w:lang w:bidi="ar-SA"/>
        </w:rPr>
        <w:t>)</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فالعلّامة في الخلاصة نصَّ على توثيقه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في الخلاصة أنَّه فسد مذهبه، وقتله بعض أصحاب أبي محمد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كتب كلّها تخليط</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في الخلاصة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كان ما عن الصدوق ليس طعناً في الرجلين إلَّا أنّي لما لم أجد لأصحابنا تعديلاً لهما ولا طعناً فيهما توقفت عن قبول روايتها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هو قد ذكر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أعتمد على رواية علي بن الحسن بن فضال وإنْ كان مذهبه فاسداً</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والخلاصة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أبناء الأعاجم، غال، كذاب، فاسد المذهب والحديث، مشهور بذلك</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يجعل الخلاصة مصدراً معتمداً في الرجال،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طريق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الفضيل بن عثمان صحيح في قول، على ما في بعض كتب الرجال المعتمدة</w:t>
      </w:r>
      <w:r>
        <w:rPr>
          <w:rFonts w:eastAsia="IRNazanin" w:cs="IRNazanin"/>
          <w:color w:val="111111"/>
          <w:sz w:val="28"/>
          <w:szCs w:val="28"/>
          <w:rtl w:val="true"/>
          <w:lang w:bidi="fa-IR"/>
        </w:rPr>
        <w:t>)</w:t>
      </w: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ذلك العلامة في الخلاصة في الفائدة الثامنة من خاتمتها</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وجيزة المجلسي التي حكم فيها بصحة الطريق المذكور أيضاً</w:t>
      </w:r>
      <w:r>
        <w:rPr>
          <w:rStyle w:val="FootnoteAnchor"/>
          <w:rtl w:val="true"/>
        </w:rPr>
        <w:footnoteReference w:id="2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 تكن عنده نسخة الوجيزة؛ ولذا لم ينقل عنها إلا مرة واحدة وبصيغة الحكاية،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نُقل عن المجلسي في وجيزته</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 بخلاف الخلاصة التي يظهر من عباراته السابقة أنه ينقل نصها، مما يدلّ على توفّرها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لا يبعد أنَّه كان يعتمد على الخلاصة في نقل كلام الكشي، والنجاشي، والشيخ، حتى ما كان منه بصورة النقل المباشر ثقةً منه بأمانة العلّامة في نقلها، وضبطه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ذلك نقله بصورة مباشرة عن ابن الغضائري مع عدم توفّر كتابه في زمان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الشهيد الثاني على خلاصة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عنه بصيغة الحكاية،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الشهيد الثاني في حاشيته على الخلاصة</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نقله عن منهج عن منهج المقال للاسترآبادي</w:t>
      </w:r>
      <w:r>
        <w:rPr>
          <w:rStyle w:val="FootnoteAnchor"/>
          <w:rtl w:val="true"/>
        </w:rPr>
        <w:footnoteReference w:id="290"/>
      </w:r>
      <w:r>
        <w:rPr>
          <w:rFonts w:ascii="Amiri" w:hAnsi="Amiri" w:eastAsia="Amiri" w:cs="Amiri"/>
          <w:color w:val="111111"/>
          <w:sz w:val="28"/>
          <w:sz w:val="28"/>
          <w:szCs w:val="28"/>
          <w:rtl w:val="true"/>
          <w:lang w:bidi="ar-SA"/>
        </w:rPr>
        <w:t xml:space="preserve">إذ الوحيد في التعليقة لم ينقل كُلَّ </w:t>
      </w:r>
    </w:p>
    <w:p>
      <w:pPr>
        <w:pStyle w:val="BookText"/>
        <w:rPr/>
      </w:pPr>
      <w:r>
        <w:rPr>
          <w:rFonts w:ascii="Amiri" w:hAnsi="Amiri" w:eastAsia="Amiri" w:cs="Amiri"/>
          <w:color w:val="111111"/>
          <w:sz w:val="28"/>
          <w:sz w:val="28"/>
          <w:szCs w:val="28"/>
          <w:rtl w:val="true"/>
          <w:lang w:bidi="ar-SA"/>
        </w:rPr>
        <w:t>كلام الشهيد الثاني، ولم ينسبه إليه</w:t>
      </w:r>
      <w:r>
        <w:rPr>
          <w:rStyle w:val="FootnoteAnchor"/>
          <w:rtl w:val="true"/>
        </w:rPr>
        <w:footnoteReference w:id="291"/>
      </w:r>
      <w:r>
        <w:rPr>
          <w:rFonts w:ascii="Amiri" w:hAnsi="Amiri" w:eastAsia="Amiri" w:cs="Amiri"/>
          <w:color w:val="111111"/>
          <w:sz w:val="28"/>
          <w:sz w:val="28"/>
          <w:szCs w:val="28"/>
          <w:rtl w:val="true"/>
          <w:lang w:bidi="ar-SA"/>
        </w:rPr>
        <w:t>، بل الظاهر أنَّه لا ينقل عن التعليقة مباشرةً، كما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نقف على من نقل عبارة الشهيد الثاني قبل صاحب الجواهر تيل من الفقهاء في كتبهم الفقهية التى كانت منظورة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يكون منهج المقال م مصادره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الوجيزة في الرجال للشيخ محمّد باقر بن محمّد تقي المجلسي، وقد نقل عنها بصيغة الحكاية،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نُقل عن المجلسي في وجيزته</w:t>
      </w:r>
      <w:r>
        <w:rPr>
          <w:rFonts w:eastAsia="Amiri" w:cs="Amiri" w:ascii="Amiri" w:hAnsi="Amiri"/>
          <w:color w:val="111111"/>
          <w:sz w:val="28"/>
          <w:szCs w:val="28"/>
          <w:rtl w:val="true"/>
          <w:lang w:bidi="ar-SA"/>
        </w:rPr>
        <w:t>)</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نقله عن المحدّث البحراني في الحدائق</w:t>
      </w:r>
      <w:r>
        <w:rPr>
          <w:rStyle w:val="FootnoteAnchor"/>
          <w:rtl w:val="true"/>
        </w:rPr>
        <w:footnoteReference w:id="293"/>
      </w:r>
      <w:r>
        <w:rPr>
          <w:rFonts w:ascii="Amiri" w:hAnsi="Amiri" w:eastAsia="Amiri" w:cs="Amiri"/>
          <w:color w:val="111111"/>
          <w:sz w:val="28"/>
          <w:sz w:val="28"/>
          <w:szCs w:val="28"/>
          <w:rtl w:val="true"/>
          <w:lang w:bidi="ar-SA"/>
        </w:rPr>
        <w:t>، وسيأتي نقل نص كلامه في ترجمة أبي الورد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المحدّثين، لأبي الحسن سليمان بن عبد الله البحراني الماحوزي، نقل عنها بصيغة الحكاية،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نُقل عن المجلسي في وجيزته، وأبي الحسن في بلغته أنَّه ممدوح</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صاحب البلغة الحكم بكونه ممدوحاً</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البلغة أنَّه ممدوح</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والظاهر أنَّه نقله أيضاً عن المحدّث البحراني في الحدائق</w:t>
      </w:r>
      <w:r>
        <w:rPr>
          <w:rStyle w:val="FootnoteAnchor"/>
          <w:rtl w:val="true"/>
        </w:rPr>
        <w:footnoteReference w:id="297"/>
      </w:r>
      <w:r>
        <w:rPr>
          <w:rFonts w:ascii="Amiri" w:hAnsi="Amiri" w:eastAsia="Amiri" w:cs="Amiri"/>
          <w:color w:val="111111"/>
          <w:sz w:val="28"/>
          <w:sz w:val="28"/>
          <w:szCs w:val="28"/>
          <w:rtl w:val="true"/>
          <w:lang w:bidi="ar-SA"/>
        </w:rPr>
        <w:t>، وسيأتي نقل نص كلامه في ترجمة أبي الورد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الوحيد البهبهاني على منهج المقال، نقل عنها حكايةً،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w:t>
      </w:r>
    </w:p>
    <w:p>
      <w:pPr>
        <w:pStyle w:val="BookText"/>
        <w:rPr/>
      </w:pPr>
      <w:r>
        <w:rPr>
          <w:rFonts w:ascii="Amiri" w:hAnsi="Amiri" w:eastAsia="Amiri" w:cs="Amiri"/>
          <w:color w:val="111111"/>
          <w:sz w:val="28"/>
          <w:sz w:val="28"/>
          <w:szCs w:val="28"/>
          <w:rtl w:val="true"/>
          <w:lang w:bidi="ar-SA"/>
        </w:rPr>
        <w:t>عن تعليق الأغا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يروي عنه الأجلاء، وأنَّه مقبول الرواية، وأنَّه هو الذي أمره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بتفريق المال في عيال من أصيب مع زيد</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عن الفاضل المتبحر وحيد عصره، وخصوصاً في الحديث والرجال الأغا محمّد باقر عن جده أنَّه حكم بأنَّه ثقة</w:t>
      </w:r>
      <w:r>
        <w:rPr>
          <w:rFonts w:eastAsia="Amiri" w:cs="Amiri" w:ascii="Amiri" w:hAnsi="Amiri"/>
          <w:color w:val="111111"/>
          <w:sz w:val="28"/>
          <w:szCs w:val="28"/>
          <w:rtl w:val="true"/>
          <w:lang w:bidi="ar-SA"/>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نقف على مصدر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منتقى الجمان في الأحاديث الصحاح والحسان، للشيخ حسن ابن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 عنه بصيغة الحكاية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أنَّه نقل عن الشيخ حسن في المنتقى أنَّ الذي تقتضيه مراعاة الطبقات إنَّما هو محمّد ؛ لأنَّه هو والبرقيّ في طبقة واحدة</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هو البهائي، لكنَّه نقل كلام البهائي حكاية أيضاً كما سيأتي تفصيله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سنان</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يعتمد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نقل بعض كلمات الرجاليين على ما هو المذكور في كتب الفقهاء السابقين عليه، وسيأتي بيان مواضع ذلك في تراجم جملة ممن تعرّض لهم من الرواة</w:t>
      </w:r>
      <w:r>
        <w:rPr>
          <w:rFonts w:eastAsia="Amiri" w:cs="Amiri" w:ascii="Amiri" w:hAnsi="Amiri"/>
          <w:color w:val="111111"/>
          <w:sz w:val="28"/>
          <w:szCs w:val="28"/>
          <w:rtl w:val="true"/>
          <w:lang w:bidi="ar-SA"/>
        </w:rPr>
        <w:t xml:space="preserve">. </w:t>
      </w:r>
      <w:bookmarkStart w:id="126" w:name="pg8927_84432"/>
    </w:p>
    <w:p>
      <w:pPr>
        <w:pStyle w:val="Heading3"/>
        <w:numPr>
          <w:ilvl w:val="2"/>
          <w:numId w:val="1"/>
        </w:numPr>
        <w:rPr/>
      </w:pPr>
      <w:bookmarkStart w:id="127" w:name="__RefHeading___Toc1279140_2870459653"/>
      <w:bookmarkStart w:id="128" w:name="_Toc42"/>
      <w:bookmarkEnd w:id="126"/>
      <w:bookmarkEnd w:id="127"/>
      <w:r>
        <w:rPr>
          <w:rtl w:val="true"/>
        </w:rPr>
        <w:t>القسم الأوَّل</w:t>
      </w:r>
      <w:bookmarkEnd w:id="128"/>
    </w:p>
    <w:p>
      <w:pPr>
        <w:pStyle w:val="Heading4"/>
        <w:numPr>
          <w:ilvl w:val="3"/>
          <w:numId w:val="1"/>
        </w:numPr>
        <w:rPr/>
      </w:pPr>
      <w:bookmarkStart w:id="129" w:name="__RefHeading___Toc1279142_2870459653"/>
      <w:bookmarkStart w:id="130" w:name="_Toc43"/>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القسم الأوّل من رجال الجواهر معقود لبيان الكبريات الرجالية التي جاءت في كلام مؤلّفها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ذكر خاتمة في بيان خصوصيّة في منهجه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توفّرنا على جملة من تلك الكبريات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مقصود الرجالي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ترجع متعلّقات الكلام في ترجمة الراوي إلى المقصود بالأصالة؟</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مدح الراوي وارداً من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كثير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الراوي وكيلاً 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ممن للصدوق طريق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الراوي ممن نقل الشيخ عمل الطائفة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ابن الوليد من كتاب نوادر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أصحاب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المشايخ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الإجازة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التحشيد</w:t>
      </w:r>
      <w:r>
        <w:rPr>
          <w:rFonts w:eastAsia="Amiri" w:cs="Amiri" w:ascii="Amiri" w:hAnsi="Amiri"/>
          <w:color w:val="111111"/>
          <w:sz w:val="28"/>
          <w:szCs w:val="28"/>
          <w:rtl w:val="true"/>
          <w:lang w:bidi="ar-SA"/>
        </w:rPr>
        <w:t xml:space="preserve">. </w:t>
      </w:r>
      <w:bookmarkStart w:id="131" w:name="pg8927_84433"/>
    </w:p>
    <w:p>
      <w:pPr>
        <w:pStyle w:val="Heading4"/>
        <w:numPr>
          <w:ilvl w:val="3"/>
          <w:numId w:val="1"/>
        </w:numPr>
        <w:rPr/>
      </w:pPr>
      <w:bookmarkStart w:id="132" w:name="__RefHeading___Toc1279144_2870459653"/>
      <w:bookmarkStart w:id="133" w:name="_Toc44"/>
      <w:bookmarkEnd w:id="131"/>
      <w:bookmarkEnd w:id="132"/>
      <w:r>
        <w:rPr>
          <w:rtl w:val="true"/>
        </w:rPr>
        <w:t xml:space="preserve">الأولى مقصود الرجالي من قوله </w:t>
      </w:r>
      <w:r>
        <w:rPr>
          <w:rtl w:val="true"/>
        </w:rPr>
        <w:t>(</w:t>
      </w:r>
      <w:r>
        <w:rPr>
          <w:rtl w:val="true"/>
        </w:rPr>
        <w:t>ثقة</w:t>
      </w:r>
      <w:r>
        <w:rPr>
          <w:rtl w:val="true"/>
        </w:rPr>
        <w:t>)</w:t>
      </w:r>
      <w:bookmarkEnd w:id="133"/>
    </w:p>
    <w:p>
      <w:pPr>
        <w:pStyle w:val="BookText"/>
        <w:rPr/>
      </w:pPr>
      <w:r>
        <w:rPr>
          <w:rFonts w:ascii="Amiri" w:hAnsi="Amiri" w:eastAsia="Amiri" w:cs="Amiri"/>
          <w:color w:val="111111"/>
          <w:sz w:val="28"/>
          <w:sz w:val="28"/>
          <w:szCs w:val="28"/>
          <w:rtl w:val="true"/>
          <w:lang w:bidi="ar-SA"/>
        </w:rPr>
        <w:t xml:space="preserve">من أبرز ألفاظ التعديل وأهمها، مع كثرة تداولها في الأصول الرجالية هو قول أئمّة الرجال في حقٌّ الراوي 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المقصود بها؟ وهل إنَّها تدلّ على أمانة الراوي في نقله وضبطه لما يرويه وحسب، أو إنّها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صحة عقيدته، وأنَّه إمامي ؟</w:t>
      </w:r>
    </w:p>
    <w:p>
      <w:pPr>
        <w:pStyle w:val="BookText"/>
        <w:rPr/>
      </w:pPr>
      <w:r>
        <w:rPr>
          <w:rFonts w:ascii="IRNazanin" w:hAnsi="IRNazanin" w:eastAsia="IRNazanin"/>
          <w:color w:val="111111"/>
          <w:sz w:val="28"/>
          <w:sz w:val="28"/>
          <w:szCs w:val="28"/>
          <w:rtl w:val="true"/>
          <w:lang w:bidi="fa-IR"/>
        </w:rPr>
        <w:t>يظهر من الشهيد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المسالك عدم البناء على الثاني،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معاوية ابن حكيم وإن كان ثقة جليلاً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نقله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الكشّيّ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فطحيّ، وابن داود ذكره في قسم الضعفاء لذلك، والشيخ لم يتعرّض له بمدح ولا 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أنَّه لا منافاة بين القولين، فإنَّ الحكم بكونه ثقةً جليلاً يروي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ينافي كونه فطحيّاً؛ لأن الفطحيّة يزيدون في الأئمّة عبد الله بن جعفر الصادق، ويجعلون الإمامة بعده لأخيه موسى، ثُمَّ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ينافي ذلك روايته</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ثقةً جليلاً فظاهر مجامعته للفطحيّة؛ لأنَّ كثيراً منهم وصف بهذا الوصف سيّما 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ما انفرد به الكشي من الحكم بكونه فطحيّاً لا معارض له حتى يُطلب الترجيح</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أن لا منافاة في كلمات الرجالين بين كون الراوي فاسد العقيدة فطحيّاً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ثقةً؛ نظراً إلى وقوع وصفهم لجملة من فاسدي العقيدة بالثقات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أحمد بن الحسن بن علي بن محمد بن علي بن فضال بن عمر بن أيمن مولى عكرمة بن ربعي الفياض أبو الحسين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فطحيّاً، وكان </w:t>
      </w:r>
    </w:p>
    <w:p>
      <w:pPr>
        <w:pStyle w:val="BookText"/>
        <w:rPr/>
      </w:pP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 xml:space="preserve">، وقال الشيخ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علي ابن فضال، كان فطحياً يقول بإمامة عبد الله بن جعفر ، ثُمَّ رجع إلى إمامة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 ومات سنة أربع وعشرين ومائتين، وهو ابن التيملي بن ربيعة بن بكر، مولى تيم الله بن ثعلبة،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خصيصاً به، كان جليل القدر ، عظيم المنزلة، زاهداً، ورعاً، ثقةً في الحديث، وفي رواياته</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 وغير بني فضال كقول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بن أسباط بن سالم بياع الزطي، أبو الحسن المقرئ، كوفي، ثقة، وكان فطحيّاً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جرى بينه وبين علي بن مهزيار رسائل في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رجعوا فيها إلى أبي جعفر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فرجع علي بن أسباط عن ذلك القول وتركه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روى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ذلك، وكان أوثق الناس وأصدقهم لهجة</w:t>
      </w:r>
      <w:r>
        <w:rPr>
          <w:rFonts w:eastAsia="IRNazanin" w:cs="IRNazanin"/>
          <w:color w:val="111111"/>
          <w:sz w:val="28"/>
          <w:szCs w:val="28"/>
          <w:rtl w:val="true"/>
          <w:lang w:bidi="fa-IR"/>
        </w:rPr>
        <w:t>)</w:t>
      </w:r>
      <w:r>
        <w:rPr>
          <w:rStyle w:val="FootnoteAnchor"/>
          <w:rtl w:val="true"/>
        </w:rPr>
        <w:footnoteReference w:id="304"/>
      </w:r>
      <w:r>
        <w:rPr>
          <w:rFonts w:ascii="Amiri" w:hAnsi="Amiri" w:eastAsia="Amiri" w:cs="Amiri"/>
          <w:color w:val="111111"/>
          <w:sz w:val="28"/>
          <w:sz w:val="28"/>
          <w:szCs w:val="28"/>
          <w:rtl w:val="true"/>
          <w:lang w:bidi="ar-SA"/>
        </w:rPr>
        <w:t>، 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بكير، فطحيّ المذهب، إلَّا أنَّه ثقة</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بنى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إفادة قول الرجاليّين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إمامية الراوي وسلامة عقيدته، مشيراً إلى ذلك في تعليقه على ما تقدّم من كلام المسالك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كلام الكشّيّ معارض بكلام النجاشي بعد تعارف إرادة الإمامي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الرجال، كما هو محرّر في محلّه</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المتعارف في الرجال إرادة الإمامي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يصرحوا بخلاف مذهبه كما في الأمثلة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الوحيد في التعليقة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عدل إمامي جش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يحكمون بمجرد هذا القول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إماميّ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ظاهر؛ إما لما ذكر</w:t>
      </w:r>
      <w:r>
        <w:rPr>
          <w:rStyle w:val="FootnoteAnchor"/>
          <w:rtl w:val="true"/>
        </w:rPr>
        <w:footnoteReference w:id="307"/>
      </w:r>
      <w:r>
        <w:rPr>
          <w:rFonts w:ascii="Amiri" w:hAnsi="Amiri" w:eastAsia="Amiri" w:cs="Amiri"/>
          <w:color w:val="111111"/>
          <w:sz w:val="28"/>
          <w:sz w:val="28"/>
          <w:szCs w:val="28"/>
          <w:rtl w:val="true"/>
          <w:lang w:bidi="ar-SA"/>
        </w:rPr>
        <w:t>، أو لأنَّ الظاهر من الرواة التشيع، والظاهر من الشيعة حسن العقيدة، أو لأنهم وجدوا منهم اصطلاح ذلك في الإمامية وإن كانوا يطلقون على غيرهم مع القرينة</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يظهر من كلام الجواهر المتقدّم أنَّه يراه اصطلاحاً للرجاليّين في ذلك؛ لمكان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تعارف الإمامي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تسجل ملاحظة أخرى على كلام المسالك، فإنَّ الاستشهاد لاجتماعالتوثيق مع فساد العقيدة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بتام؛ لأنّ ما ورد في تراجم المتقدمة هوتراجمهم كونهم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وفرق بينهما فإنَّ التوثيق المطلق المبحوث عنه هو ما يفيد وثاقة الراوي في نفسه،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أنَّه يوثق بما يرويه، فهو غير متهم بالكذب أو الوضع في رواياته، من دون نظر إلى وثاقته في نفسه، وأنَّه سليم العقيدة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طريقه محمّد بن خالد البرقي، وعن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ضعيفاً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حديثه يعرف وينكر، يروي عن الضعفاء كثيراً،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حكي من توثيق الشيخ والعلّامة إيّاه؛ لأنَّ الطعن المذكور إنَّما هو في رواياته لا فيه نفسه، والفرق بينهما واضح</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134" w:name="pg8927_84436"/>
    </w:p>
    <w:p>
      <w:pPr>
        <w:pStyle w:val="BookText"/>
        <w:rPr/>
      </w:pPr>
      <w:bookmarkEnd w:id="134"/>
      <w:r>
        <w:rPr>
          <w:rFonts w:ascii="Amiri" w:hAnsi="Amiri" w:eastAsia="Amiri" w:cs="Amiri"/>
          <w:color w:val="111111"/>
          <w:sz w:val="28"/>
          <w:sz w:val="28"/>
          <w:szCs w:val="28"/>
          <w:rtl w:val="true"/>
          <w:lang w:bidi="ar-SA"/>
        </w:rPr>
        <w:t>ويترتب على إفادة التوثيق المطلق لسلامة عقيدة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التعارض بين النصّ على وثاقة الراوي مطلقاً في كلمات بعض أئمّة الرجال، ونصّ غيره على فساد عقيدته، لدلالة التوثيق على سلامة العقيدة المنافي للنصّ على فسادها ؛ بخلاف ما إذا لم يُبنَ على 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سلامة العقيدة، فإنَّه لا تعارض بينهما حينئذ ؛ إذ لا تعرّض للتوثيق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عقيدة الراوي ليُعارض النصّ على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بَيَّنَ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دلالة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الضبط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يريدون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عدل ضابط؛ لأنَّ لفظ الثقة مشتق من الوثوق، ولا وثوق بمن يتساوى سهوه وذكره، أو يغلب سهوه على ذكره</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 w:name="__RefHeading___Toc1279146_2870459653"/>
      <w:bookmarkStart w:id="136" w:name="_Toc45"/>
      <w:bookmarkEnd w:id="135"/>
      <w:r>
        <w:rPr>
          <w:rtl w:val="true"/>
        </w:rPr>
        <w:t>الثانية</w:t>
      </w:r>
      <w:r>
        <w:rPr>
          <w:rtl w:val="true"/>
        </w:rPr>
        <w:t xml:space="preserve">: </w:t>
      </w:r>
      <w:r>
        <w:rPr>
          <w:rtl w:val="true"/>
        </w:rPr>
        <w:t>هل ترجع متعلّقات الكلام في ترجمة الراوي إلى المقصود بالأصالة؟</w:t>
      </w:r>
      <w:bookmarkEnd w:id="136"/>
    </w:p>
    <w:p>
      <w:pPr>
        <w:pStyle w:val="BookText"/>
        <w:rPr/>
      </w:pPr>
      <w:r>
        <w:rPr>
          <w:rFonts w:ascii="Amiri" w:hAnsi="Amiri" w:eastAsia="Amiri" w:cs="Amiri"/>
          <w:color w:val="111111"/>
          <w:sz w:val="28"/>
          <w:sz w:val="28"/>
          <w:szCs w:val="28"/>
          <w:rtl w:val="true"/>
          <w:lang w:bidi="ar-SA"/>
        </w:rPr>
        <w:t>مما يرد في تراجم الرواة ذكرُ غيرهم فيها لمناسبة اقتضته، ثُمَّ يُذكر بعد ذلك بعض متعلّقات الكلام كالنصّ على التوثيق، كقول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النعمان، مولى بني هاشم، أبوه علي بن النعمان الأعلم ، ثقة، ثبت</w:t>
      </w:r>
      <w:r>
        <w:rPr>
          <w:rFonts w:eastAsia="Amiri" w:cs="Amiri" w:ascii="Amiri" w:hAnsi="Amiri"/>
          <w:color w:val="111111"/>
          <w:sz w:val="28"/>
          <w:szCs w:val="28"/>
          <w:rtl w:val="true"/>
          <w:lang w:bidi="ar-SA"/>
        </w:rPr>
        <w:t>)</w:t>
      </w:r>
      <w:r>
        <w:rPr>
          <w:rStyle w:val="FootnoteAnchor"/>
          <w:rtl w:val="true"/>
        </w:rPr>
        <w:footnoteReference w:id="311"/>
      </w:r>
      <w:r>
        <w:rPr>
          <w:rFonts w:ascii="Amiri" w:hAnsi="Amiri" w:eastAsia="Amiri" w:cs="Amiri"/>
          <w:color w:val="111111"/>
          <w:sz w:val="28"/>
          <w:sz w:val="28"/>
          <w:szCs w:val="28"/>
          <w:rtl w:val="true"/>
          <w:lang w:bidi="ar-SA"/>
        </w:rPr>
        <w:t>، فيقع الكلام في عودها لصاحب الترجمة، أو أنها لمن ذُكر معه، أو أنَّه لا أصل يُعيّن شيئاً من ذلك، فيُتوقف فيها؟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جمع من الأعلام على رجوعها لصاحب الترجمة؛ إذ هو الظاهر بعد كونه هو المقصود بالأصالة، قال الميرزا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يتأمّل في صحة ذلك الخبر لمكان الحسن بن عليّ بن النعمان، مع أنَّ النجاشي قال في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مولى بني هاشم أبوه علي بن النعمان، ثقة،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متمسكاً باحتمال رجوع المدح إلى أبيه دونه، وأنت خبير بأنَّه خلاف الظاهر </w:t>
      </w:r>
    </w:p>
    <w:p>
      <w:pPr>
        <w:pStyle w:val="BookText"/>
        <w:rPr/>
      </w:pPr>
      <w:r>
        <w:rPr>
          <w:rFonts w:ascii="Amiri" w:hAnsi="Amiri" w:eastAsia="Amiri" w:cs="Amiri"/>
          <w:color w:val="111111"/>
          <w:sz w:val="28"/>
          <w:sz w:val="28"/>
          <w:szCs w:val="28"/>
          <w:rtl w:val="true"/>
          <w:lang w:bidi="ar-SA"/>
        </w:rPr>
        <w:t>من كلامه، والاحتمال لا يرفع حجية الظاهر</w:t>
      </w:r>
      <w:r>
        <w:rPr>
          <w:rFonts w:eastAsia="Amiri" w:cs="Amiri" w:ascii="Amiri" w:hAnsi="Amiri"/>
          <w:color w:val="111111"/>
          <w:sz w:val="28"/>
          <w:szCs w:val="28"/>
          <w:rtl w:val="true"/>
          <w:lang w:bidi="ar-SA"/>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صاحب الحدائق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وقفتُ عليه في كلام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الرجال</w:t>
      </w:r>
    </w:p>
    <w:p>
      <w:pPr>
        <w:pStyle w:val="BookText"/>
        <w:rPr/>
      </w:pPr>
      <w:r>
        <w:rPr>
          <w:rFonts w:ascii="Amiri" w:hAnsi="Amiri" w:eastAsia="Amiri" w:cs="Amiri"/>
          <w:color w:val="111111"/>
          <w:sz w:val="28"/>
          <w:sz w:val="28"/>
          <w:szCs w:val="28"/>
          <w:rtl w:val="true"/>
          <w:lang w:bidi="ar-SA"/>
        </w:rPr>
        <w:t>وغيرهم هو توثيق الحسن بن عليّ بن النعمان المذكور، ولم يتوقف أحد منهم في ذلك، وهو بناء منهم على أنَّه إذا كانت الترجمة لرجل فجميع ما يذكر فيها إنَّما يعود إليه، كما هو في كتب الرجال المعوّل عليها إلّا مع قرينة خلافه</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أنّ توثيق غير صاحب الترجمة فيها قليل، بل قيل بندرته، قال الشيخ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اشتبه توثيق الابن بتوثيق الأب وبالعكس؛ لإجمال في العبارة كعبارة النجاشي في ترجمة الحسن بن علي بن النعمان، ولذلك عدّ بعض أصحابنا كالعلّامة في المنتهى والمختلف حديثه في الحسان اقتصاراً على المتيقن، وبعضهم عَدَّه في الصحاح</w:t>
      </w:r>
    </w:p>
    <w:p>
      <w:pPr>
        <w:pStyle w:val="BookText"/>
        <w:rPr/>
      </w:pPr>
      <w:r>
        <w:rPr>
          <w:rFonts w:ascii="Amiri" w:hAnsi="Amiri" w:eastAsia="Amiri" w:cs="Amiri"/>
          <w:color w:val="111111"/>
          <w:sz w:val="28"/>
          <w:sz w:val="28"/>
          <w:szCs w:val="28"/>
          <w:rtl w:val="true"/>
          <w:lang w:bidi="ar-SA"/>
        </w:rPr>
        <w:t>الندرة توثيق الرجل في غير بابه</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التوقف في ذلك وأنَّ العبارة محتملة للأمرين إلَّا إذا قامت القرينة على أحدهما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قد يناقش في دعوى صحة سند الخبر المذكور؛ لأنَّ في طريقه الحسن بن علي بن النعمان، وفي توثيقه إشكال؛ لأنَّ النجاشي وإِنْ صَرَّح في ترجمته بالتوثيق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يتعيّن عوده إليه، بل يحتمل رجوعه إلى أبيه علي بن النعمان،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علي بن النعمان مولى بني هاشم، أبوه علي بن النعمان الأعلم ثقة، ثبت، له كتاب نوادر صحيح الحديث كثير الفوائد، روى عنه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يؤيّد الثاني ما ذكره عند ترجمة أبيه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النعمان الأعلم، وأخوه </w:t>
      </w:r>
      <w:bookmarkStart w:id="137" w:name="pg8927_84438"/>
    </w:p>
    <w:p>
      <w:pPr>
        <w:pStyle w:val="BookText"/>
        <w:rPr/>
      </w:pPr>
      <w:bookmarkEnd w:id="137"/>
      <w:r>
        <w:rPr>
          <w:rFonts w:ascii="Amiri" w:hAnsi="Amiri" w:eastAsia="Amiri" w:cs="Amiri"/>
          <w:color w:val="111111"/>
          <w:sz w:val="28"/>
          <w:sz w:val="28"/>
          <w:szCs w:val="28"/>
          <w:rtl w:val="true"/>
          <w:lang w:bidi="ar-SA"/>
        </w:rPr>
        <w:t>داود أعلى منه، وابنه الحسن وابنه أحمد رويا الحديث، وكان عليّ ثقةً، وجهاً، ثبتاً صحيحاً له كتاب</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الثالث من هذا البحث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فيه وقوع متعلقات غير المترجم له في ترجمة غيره مع احتمال العبارة له</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 w:name="__RefHeading___Toc1279148_2870459653"/>
      <w:bookmarkStart w:id="139" w:name="_Toc46"/>
      <w:bookmarkEnd w:id="138"/>
      <w:r>
        <w:rPr>
          <w:rtl w:val="true"/>
        </w:rPr>
        <w:t>الثالثة</w:t>
      </w:r>
      <w:r>
        <w:rPr>
          <w:rtl w:val="true"/>
        </w:rPr>
        <w:t xml:space="preserve">: </w:t>
      </w:r>
      <w:r>
        <w:rPr>
          <w:rtl w:val="true"/>
        </w:rPr>
        <w:t>كون مدح الراوي وارداً من طريقه</w:t>
      </w:r>
      <w:bookmarkEnd w:id="139"/>
    </w:p>
    <w:p>
      <w:pPr>
        <w:pStyle w:val="BookText"/>
        <w:rPr/>
      </w:pPr>
      <w:r>
        <w:rPr>
          <w:rFonts w:ascii="IRNazanin" w:hAnsi="IRNazanin" w:eastAsia="IRNazanin"/>
          <w:color w:val="111111"/>
          <w:sz w:val="28"/>
          <w:sz w:val="28"/>
          <w:szCs w:val="28"/>
          <w:rtl w:val="true"/>
          <w:lang w:bidi="fa-IR"/>
        </w:rPr>
        <w:t>مما يثبت به اعتبار الراوي من الوثاقة أو الحسن هو أن يرد فيه ثناء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لكنْ ربَّما يرد الثناء من طريق نفس الراوي كما في عبد الملك بن عمرو، فقد روى الكتّيّ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يعقوب بن يزيد، عن ابن أبي عمير، عن جميل بن صالح، عن عبد الملك بن عمرو، قال، قال 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لأدعو الله لك حتّى أُسمّي دابتك،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 لدابّتك</w:t>
      </w:r>
      <w:r>
        <w:rPr>
          <w:rFonts w:eastAsia="IRNazanin" w:cs="IRNazanin"/>
          <w:color w:val="111111"/>
          <w:sz w:val="28"/>
          <w:szCs w:val="28"/>
          <w:rtl w:val="true"/>
          <w:lang w:bidi="fa-IR"/>
        </w:rPr>
        <w:t>)</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يثبت به اعتباره أو لا؟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الاعتداد به حيث علق على الرواية المذكورة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الرواية منقولة عنه، ومثل هذا لا يثبت به حكم</w:t>
      </w:r>
      <w:r>
        <w:rPr>
          <w:rFonts w:eastAsia="Amiri" w:cs="Amiri" w:ascii="Amiri" w:hAnsi="Amiri"/>
          <w:color w:val="111111"/>
          <w:sz w:val="28"/>
          <w:szCs w:val="28"/>
          <w:rtl w:val="true"/>
          <w:lang w:bidi="ar-SA"/>
        </w:rPr>
        <w:t>)</w:t>
      </w:r>
      <w:r>
        <w:rPr>
          <w:rStyle w:val="FootnoteAnchor"/>
          <w:rtl w:val="true"/>
        </w:rPr>
        <w:footnoteReference w:id="318"/>
      </w:r>
      <w:r>
        <w:rPr>
          <w:rFonts w:ascii="IRNazanin" w:hAnsi="IRNazanin" w:eastAsia="IRNazanin"/>
          <w:color w:val="111111"/>
          <w:sz w:val="28"/>
          <w:sz w:val="28"/>
          <w:szCs w:val="28"/>
          <w:rtl w:val="true"/>
          <w:lang w:bidi="fa-IR"/>
        </w:rPr>
        <w:t>، وأشار إلى وجهه الشيخ البهائي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لم نظفر بما يدلّ على توثيق عبد الملك بن عمرو، وما روي من أنَّ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لأدعو لك حتى أُسمّى دابتك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تفيد توثيقه؛ فإنَّه هو الراوي </w:t>
      </w:r>
      <w:bookmarkStart w:id="140" w:name="pg8927_84439"/>
    </w:p>
    <w:p>
      <w:pPr>
        <w:pStyle w:val="BookText"/>
        <w:rPr/>
      </w:pPr>
      <w:bookmarkEnd w:id="140"/>
      <w:r>
        <w:rPr>
          <w:rFonts w:ascii="Amiri" w:hAnsi="Amiri" w:eastAsia="Amiri" w:cs="Amiri"/>
          <w:color w:val="111111"/>
          <w:sz w:val="28"/>
          <w:sz w:val="28"/>
          <w:szCs w:val="28"/>
          <w:rtl w:val="true"/>
          <w:lang w:bidi="ar-SA"/>
        </w:rPr>
        <w:t>لهذه الرواية فهو مزاً لنفسه</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وقرَّبه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إثبات وثاقة الرجل وحسنه بقول نفسه دوراً ظاهراً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الذي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الاعتداد به ما دام مروياً إليه بطريق معتبر، ولذا وصف ما رواه عن عبد الملك بن عمرو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w:t>
      </w:r>
      <w:r>
        <w:rPr>
          <w:rStyle w:val="FootnoteAnchor"/>
          <w:rtl w:val="true"/>
        </w:rPr>
        <w:footnoteReference w:id="321"/>
      </w:r>
      <w:r>
        <w:rPr>
          <w:rFonts w:ascii="IRNazanin" w:hAnsi="IRNazanin" w:eastAsia="IRNazanin"/>
          <w:color w:val="111111"/>
          <w:sz w:val="28"/>
          <w:sz w:val="28"/>
          <w:szCs w:val="28"/>
          <w:rtl w:val="true"/>
          <w:lang w:bidi="fa-IR"/>
        </w:rPr>
        <w:t>، كما بنى على عدالة عبد الرحمن بن سيابة اعتماداً على توكيل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إياه في قسمة أموال على عيال من قتل مع زيد، قائلاً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سيابة يمكن استفادة عدالته من توكيل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قسمة الألف دينار على عيال من قتل مع عمه زيد، وغير ذلك</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 xml:space="preserve">، مع أنَّ التوكيل المذكور وارد من طريق ابن سيابة نفسه، وهو ما رواه الكشي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إبراهيم بن محمد بن العبّاس الختلي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إدريس القمي، عن محمد بن أحمد بن يحيى، عن أحمد بن محمد ابن عيسى، عن ابن أبي عمير، عن عبد الرحمن بن سيابة،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إلي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دنانير ، وأمرني أن أقسمها في عيالات من أصيب مع عمّه زيد، فقسمتها،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فأصاب عيال عبد الله بن الزبير الرسان أربعة دنانير</w:t>
      </w:r>
      <w:r>
        <w:rPr>
          <w:rFonts w:eastAsia="IRNazanin" w:cs="IRNazanin"/>
          <w:color w:val="111111"/>
          <w:sz w:val="28"/>
          <w:szCs w:val="28"/>
          <w:rtl w:val="true"/>
          <w:lang w:bidi="fa-IR"/>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1" w:name="__RefHeading___Toc1279150_2870459653"/>
      <w:bookmarkStart w:id="142" w:name="_Toc47"/>
      <w:bookmarkEnd w:id="141"/>
      <w:r>
        <w:rPr>
          <w:rtl w:val="true"/>
        </w:rPr>
        <w:t>الرابعة</w:t>
      </w:r>
      <w:r>
        <w:rPr>
          <w:rtl w:val="true"/>
        </w:rPr>
        <w:t xml:space="preserve">: </w:t>
      </w:r>
      <w:r>
        <w:rPr>
          <w:rtl w:val="true"/>
        </w:rPr>
        <w:t>كون الراوي كثير الرواية</w:t>
      </w:r>
      <w:bookmarkEnd w:id="1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قيل بدلالته على حسن الراوي هو كونه كثير الرواية، وتحرز كثرة روايته إمّا </w:t>
      </w:r>
    </w:p>
    <w:p>
      <w:pPr>
        <w:pStyle w:val="BookText"/>
        <w:rPr/>
      </w:pPr>
      <w:r>
        <w:rPr>
          <w:rFonts w:ascii="Amiri" w:hAnsi="Amiri" w:eastAsia="Amiri" w:cs="Amiri"/>
          <w:color w:val="111111"/>
          <w:sz w:val="28"/>
          <w:sz w:val="28"/>
          <w:szCs w:val="28"/>
          <w:rtl w:val="true"/>
          <w:lang w:bidi="ar-SA"/>
        </w:rPr>
        <w:t xml:space="preserve">بالنص عليه في كتب الرجال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الرواية</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أو من خلال الاطلاع على رواياته الكثيرة في المصادر الحديثية كما هو الحال في سهل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على دلالة كثرة الرواية على حسن الراوي بدليلين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طرق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حمدويه ابن نصير الكشي، قال 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الحسين بن أبي الخطاب،محمد بن سنان، عن حذيفة بن منصور،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منا على قدر روايتهم 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سعيد الكشي ابن مزيد، وأبو جعفر محمد بن أبي عوف البخاري،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عليّ محمّد بن أحمد بن حماد المروزي المحمودي يرفعه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شيعتنا بقدر ما يحسنون من رواياتهم عنا، فإنا لا نعد الفقيه منهم فقيهاً حتى يكون مُحدّثاً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يكون المؤمن مُحدِّثاً؟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مُفْهَا، والمفهم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إبراهيم بن محمد بن العباس الختلي،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إدريس القمّي المعلّم،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أحمد بن يحيى بن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سليمان الخطابي،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محمد، عن بعض رجاله، عن محمد بن حمران العجلي، عن علي بن حنظلة،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الناس منا على قدر رواياتهم عنا</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بظاهره يدل على أنّ كثرة الرواية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توجب منزلة للراوي عندهم مما يقتضي حسنه والاعتداد بما يرويه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الدليل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كثرة رواية الراوي عن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تكشف عن شدة ملازمته لهم، وزيادة صحبته معهم، وأنَّه بمكان من القرب منهم</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كلا الدليلين مخدوش ؛ أمَّا الأوّل فلضعف الأخبار المتقدمة بالإرسال في</w:t>
      </w:r>
    </w:p>
    <w:p>
      <w:pPr>
        <w:pStyle w:val="BookText"/>
        <w:rPr/>
      </w:pPr>
      <w:r>
        <w:rPr>
          <w:rFonts w:ascii="Amiri" w:hAnsi="Amiri" w:eastAsia="Amiri" w:cs="Amiri"/>
          <w:color w:val="111111"/>
          <w:sz w:val="28"/>
          <w:sz w:val="28"/>
          <w:szCs w:val="28"/>
          <w:rtl w:val="true"/>
          <w:lang w:bidi="ar-SA"/>
        </w:rPr>
        <w:t xml:space="preserve">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والمرسل غير حجّة</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الأولى، وقد بنى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ضعفه، قائلاً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طريقها محمّد بن سنان الذي ضَعَّفه الشيخ والنجاشي وابن الغضائري،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غالٍ لا يلتفت إليه، بل روى الكشّي فيه قدحاً عظيماً، بل عن 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الكذابين المشهورين</w:t>
      </w:r>
      <w:r>
        <w:rPr>
          <w:rFonts w:eastAsia="Amiri" w:cs="Amiri" w:ascii="Amiri" w:hAnsi="Amiri"/>
          <w:color w:val="111111"/>
          <w:sz w:val="28"/>
          <w:szCs w:val="28"/>
          <w:rtl w:val="true"/>
          <w:lang w:bidi="ar-SA"/>
        </w:rPr>
        <w:t>)</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ويطعن في الروايتين بأنَّ إحداهما رواية محمد بن سنان، وهو مطعون فيه</w:t>
      </w:r>
      <w:r>
        <w:rPr>
          <w:rFonts w:eastAsia="Amiri" w:cs="Amiri" w:ascii="Amiri" w:hAnsi="Amiri"/>
          <w:color w:val="111111"/>
          <w:sz w:val="28"/>
          <w:szCs w:val="28"/>
          <w:rtl w:val="true"/>
          <w:lang w:bidi="ar-SA"/>
        </w:rPr>
        <w:t>)</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إلى أنَّ إحراز كثرة روايته متوقف على وثاقته؛ لأنَّ كثرة الرواية النافعة في معرفة منزلة الراوي إنَّما هي كثرة رواياته الصحيحة؛ إذ لو لم تكن صحيحة لما أحرزنا أنَّه بالفعل له روايات كثيرة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لعله كان كثير الكذب على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كأبي الخطاب الذي ورد فيه اللعن، لدسّه الأحاديث في كتب أصحاب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 وأنَّ بعض من كان كثير الحديث ورد فيه تضعيف من قبل أئمة الرجال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و محمد بن سنان</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الآخر فمع اختصاصه بمن يروي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مباشرةً، وورود بعض ما تقدّ عليه، فإنَّ مجرّد شدّة الملازمة والصحبة لا تقتضي الوثاقة،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صاحب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bookmarkStart w:id="143" w:name="pg8927_84442"/>
    </w:p>
    <w:p>
      <w:pPr>
        <w:pStyle w:val="BookText"/>
        <w:rPr/>
      </w:pPr>
      <w:bookmarkEnd w:id="143"/>
      <w:r>
        <w:rPr>
          <w:rFonts w:ascii="IRNazanin" w:hAnsi="IRNazanin" w:eastAsia="IRNazanin"/>
          <w:color w:val="111111"/>
          <w:sz w:val="28"/>
          <w:sz w:val="28"/>
          <w:szCs w:val="28"/>
          <w:rtl w:val="true"/>
          <w:lang w:bidi="fa-IR"/>
        </w:rPr>
        <w:t>وسائر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حاجة إلى بيان حالهم، وفساد سيرتهم، وسوء أفعالهم؟</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يعتمد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كثرة الرواية في الكشف عن اعتبار الراوي إلا مؤيّدةً،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إبراهيم بن هاشم مع أنَّه من مشايخ الإجازة فلا يحتاج إلى توثيقه في وجه عدم نصّهم على توثيقه، لعلَّه لجلالة قدره، وعظم منزلته، كما لعله الظاهر ويشعر به ما حكاه النجاشي عن أصحابنا أنهم كانوا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إبراهيم بن هاشم هو أول من نشر أحاديث الكوفيين بقم بعد انتقاله من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زيادة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كثير الرواية جدّاً، وقد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اعرفوا منازل الرجال بقدر روايتهم عنا</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1279152_2870459653"/>
      <w:bookmarkStart w:id="145" w:name="_Toc48"/>
      <w:bookmarkEnd w:id="144"/>
      <w:r>
        <w:rPr>
          <w:rtl w:val="true"/>
        </w:rPr>
        <w:t xml:space="preserve">الخامسة </w:t>
      </w:r>
      <w:r>
        <w:rPr>
          <w:rtl w:val="true"/>
        </w:rPr>
        <w:t xml:space="preserve">: </w:t>
      </w:r>
      <w:r>
        <w:rPr>
          <w:rtl w:val="true"/>
        </w:rPr>
        <w:t>كون الراوي وكيلاً للمعصوم</w:t>
      </w:r>
      <w:r>
        <w:rPr>
          <w:rtl w:val="true"/>
        </w:rPr>
        <w:t>(</w:t>
      </w:r>
      <w:r>
        <w:rPr>
          <w:rtl w:val="true"/>
        </w:rPr>
        <w:t>علیه السّلام</w:t>
      </w:r>
      <w:r>
        <w:rPr>
          <w:rtl w:val="true"/>
        </w:rPr>
        <w:t>)</w:t>
      </w:r>
      <w:bookmarkEnd w:id="145"/>
    </w:p>
    <w:p>
      <w:pPr>
        <w:pStyle w:val="BookText"/>
        <w:rPr/>
      </w:pPr>
      <w:r>
        <w:rPr>
          <w:rFonts w:ascii="IRNazanin" w:hAnsi="IRNazanin" w:eastAsia="IRNazanin"/>
          <w:color w:val="111111"/>
          <w:sz w:val="28"/>
          <w:sz w:val="28"/>
          <w:szCs w:val="28"/>
          <w:rtl w:val="true"/>
          <w:lang w:bidi="fa-IR"/>
        </w:rPr>
        <w:t>مما بُنِي على إفادته اعتبار الراوي من حيث الوثاقة أو الحسن هو كونه وكيلاً لأحد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كعبد الرحمن بن سيابة الذي وكّله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تفريق أموال في من قتل مع عمه زيد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قرَّبه الوحيد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توكيلهم حسن حالة الوكلاء، والاعتماد عليهم، وجلالتهم بل وثاقتهم إلا أن يثبت خلافه وتغيير وتبديل وخيانة، والمغيّرون معروفون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الكجوري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الريب في أنّهم ما كانوا يوكلون فاسد العقيدة، بل كانوا يأمرون بالتنفّر عنهم ، وإيذائهم، بل وأمروا بقتل بعضهم، وكذا ما كانوا يوكَّلون إلَّا من </w:t>
      </w:r>
      <w:bookmarkStart w:id="146" w:name="pg8927_84443"/>
    </w:p>
    <w:p>
      <w:pPr>
        <w:pStyle w:val="BookText"/>
        <w:rPr/>
      </w:pPr>
      <w:bookmarkEnd w:id="146"/>
      <w:r>
        <w:rPr>
          <w:rFonts w:ascii="Amiri" w:hAnsi="Amiri" w:eastAsia="Amiri" w:cs="Amiri"/>
          <w:color w:val="111111"/>
          <w:sz w:val="28"/>
          <w:sz w:val="28"/>
          <w:szCs w:val="28"/>
          <w:rtl w:val="true"/>
          <w:lang w:bidi="ar-SA"/>
        </w:rPr>
        <w:t>كانوا يعتمدون عليه ويثقون به، بل وكان عادلاً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ويؤكد ذلك أنَّ جلَّ وكلائهم كانوا في غاية الجلالة والوثاقة كما يظهر من تراجمهم</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ويظهر من 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 على ذلك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سيابة يمكن استفادة عدالته من توكيل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إياه قسمة الألف دينار على عيال من قتل مع عمه زيد، وغير ذلك</w:t>
      </w:r>
      <w:r>
        <w:rPr>
          <w:rFonts w:eastAsia="IRNazanin" w:cs="IRNazanin"/>
          <w:color w:val="111111"/>
          <w:sz w:val="28"/>
          <w:szCs w:val="28"/>
          <w:rtl w:val="true"/>
          <w:lang w:bidi="fa-IR"/>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قبال ذلك لو كان الراوي وكيلاً لأئمة الجور فإنَّه يكشف عن عدم وثاقته، والظاهر أنَّ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ذلك في ابن أبي ليلى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مع كون الراوي ابن أبي ليلى المعلوم حاله</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 xml:space="preserve">، فإنَّه من المعلوم تولّيه القضاء لبني أُمية ثُمَّ لبني العباس، 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تفصيل عن حاله في ترجمته</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279154_2870459653"/>
      <w:bookmarkStart w:id="148" w:name="_Toc49"/>
      <w:bookmarkEnd w:id="147"/>
      <w:r>
        <w:rPr>
          <w:rtl w:val="true"/>
        </w:rPr>
        <w:t>السادسة</w:t>
      </w:r>
      <w:r>
        <w:rPr>
          <w:rtl w:val="true"/>
        </w:rPr>
        <w:t xml:space="preserve">: </w:t>
      </w:r>
      <w:r>
        <w:rPr>
          <w:rtl w:val="true"/>
        </w:rPr>
        <w:t>كون الراوي ممن للصدوق طريق إليه</w:t>
      </w:r>
      <w:bookmarkEnd w:id="14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بنى بعض الأعلام</w:t>
      </w:r>
      <w:r>
        <w:rPr>
          <w:rStyle w:val="FootnoteAnchor"/>
          <w:rtl w:val="true"/>
        </w:rPr>
        <w:footnoteReference w:id="338"/>
      </w:r>
      <w:r>
        <w:rPr>
          <w:rFonts w:ascii="Amiri" w:hAnsi="Amiri" w:eastAsia="Amiri" w:cs="Amiri"/>
          <w:color w:val="111111"/>
          <w:sz w:val="28"/>
          <w:sz w:val="28"/>
          <w:szCs w:val="28"/>
          <w:rtl w:val="true"/>
          <w:lang w:bidi="ar-SA"/>
        </w:rPr>
        <w:t xml:space="preserve">على أنَّ مما يشهد بوثاقة الراوي أو لا أقل حُسنه أنْ يكون للصدوق طريق إليه في مشيخة الفقيه، استناداً إلى ما ذكره في مقدمة الفقيه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ما فيه مستخرج عن كتب مشهورة، عليها المعوّل، وإليها المرجع</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xml:space="preserve">، وهو شهادة منه بأنَّ </w:t>
      </w:r>
    </w:p>
    <w:p>
      <w:pPr>
        <w:pStyle w:val="BookText"/>
        <w:rPr/>
      </w:pPr>
      <w:r>
        <w:rPr>
          <w:rFonts w:ascii="Amiri" w:hAnsi="Amiri" w:eastAsia="Amiri" w:cs="Amiri"/>
          <w:color w:val="111111"/>
          <w:sz w:val="28"/>
          <w:sz w:val="28"/>
          <w:szCs w:val="28"/>
          <w:rtl w:val="true"/>
          <w:lang w:bidi="ar-SA"/>
        </w:rPr>
        <w:t>جميع من أخرج عن كتبهم الأحاديث هم معوّل عليهم عند أصحاب الحديث، وهي شهادة بوثاقتهم أو لا أقل حُسنهم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المجلسي في الوجيزة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حكمنا بحسن صاحب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على المشهور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بحكم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إنَّما أخذ أخبار الفقيه من الأصول المعتبرة التي عليها المعوّل، وإليها المرجع، وهذا إن لم يكن موجباً لصحة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ذهب إليه المحدّثون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محالة مدح لصاحب الكتاب</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نقف في حدود ما تمت متابعته من كلمات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موقف صريح له من جعل طريق الصدوق للراوي مما يدلّ على وثاقته أو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يعتمده، بشهادة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الصدوق تراجع عما ذكره في مقدمة الفقيه،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يقدح فيها خلاف الصدوق إنْ كان ولا ما أرسله، على أنّه حكى الأستاذ الأكبر في شرح المفاتيح عن جده أنَّه رجع الصدوق عما ذكره في أول كتابه، ولذا ذكر فيه كثيراً مما أفتى بخلافه، وقد يشهد له التتبع لكتابه</w:t>
      </w:r>
      <w:r>
        <w:rPr>
          <w:rFonts w:eastAsia="Amiri" w:cs="Amiri" w:ascii="Amiri" w:hAnsi="Amiri"/>
          <w:color w:val="111111"/>
          <w:sz w:val="28"/>
          <w:szCs w:val="28"/>
          <w:rtl w:val="true"/>
          <w:lang w:bidi="ar-SA"/>
        </w:rPr>
        <w:t>)</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مفصلاً في مبحث مراسيل الصدوق</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شهرة الكتاب والتعويل عليه لا تزيد على شهرة الرواية والتعويل عليها من جهة اجتماعها مع ضعف السند، فكذلك شهرة الكتاب غاية ما تقتضيه اعتباره، واعتبار الكتاب لا يستلزم اعتبار مؤلفه، فهي نظير صحة الرواية عند القدماء التي تجتمع </w:t>
      </w:r>
      <w:bookmarkStart w:id="149" w:name="pg8927_84445"/>
    </w:p>
    <w:p>
      <w:pPr>
        <w:pStyle w:val="BookText"/>
        <w:rPr/>
      </w:pPr>
      <w:bookmarkEnd w:id="149"/>
      <w:r>
        <w:rPr>
          <w:rFonts w:ascii="Amiri" w:hAnsi="Amiri" w:eastAsia="Amiri" w:cs="Amiri"/>
          <w:color w:val="111111"/>
          <w:sz w:val="28"/>
          <w:sz w:val="28"/>
          <w:szCs w:val="28"/>
          <w:rtl w:val="true"/>
          <w:lang w:bidi="ar-SA"/>
        </w:rPr>
        <w:t>مع ضعف راويها؛ ولذا لم يجعل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الشيخ في حق طلحة بن زيد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كتابه معتمد</w:t>
      </w:r>
      <w:r>
        <w:rPr>
          <w:rFonts w:eastAsia="Amiri" w:cs="Amiri" w:ascii="Amiri" w:hAnsi="Amiri"/>
          <w:color w:val="111111"/>
          <w:sz w:val="28"/>
          <w:szCs w:val="28"/>
          <w:rtl w:val="true"/>
          <w:lang w:bidi="ar-SA"/>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دالاً على وثاقته أو حسنه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ذكر في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 المدائني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للصدوق طريقاً إليهما في الفقيه؛ لكن سيأتي في ترجمتهما أنَّه لم يذكر ذلك للوصول إلى وثاقتهما أو حسنهما، فليلاحظ </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1279156_2870459653"/>
      <w:bookmarkStart w:id="151" w:name="_Toc50"/>
      <w:bookmarkEnd w:id="150"/>
      <w:r>
        <w:rPr>
          <w:rtl w:val="true"/>
        </w:rPr>
        <w:t xml:space="preserve">السابعة </w:t>
      </w:r>
      <w:r>
        <w:rPr>
          <w:rtl w:val="true"/>
        </w:rPr>
        <w:t xml:space="preserve">: </w:t>
      </w:r>
      <w:r>
        <w:rPr>
          <w:rtl w:val="true"/>
        </w:rPr>
        <w:t>كون الراوي ممن نقل الشيخ عمل الطائفة برواياته</w:t>
      </w:r>
      <w:bookmarkEnd w:id="151"/>
    </w:p>
    <w:p>
      <w:pPr>
        <w:pStyle w:val="BookText"/>
        <w:rPr/>
      </w:pPr>
      <w:r>
        <w:rPr>
          <w:rFonts w:ascii="IRNazanin" w:hAnsi="IRNazanin" w:eastAsia="IRNazanin"/>
          <w:color w:val="111111"/>
          <w:sz w:val="28"/>
          <w:sz w:val="28"/>
          <w:szCs w:val="28"/>
          <w:rtl w:val="true"/>
          <w:lang w:bidi="fa-IR"/>
        </w:rPr>
        <w:t>مما قيل بإفادة وثاقة الراوي هو كونه ممن نقل الشيخ عمل الطائفة برواياته؛ لما قاله في العدّة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مخالفاً في الاعتقاد لأصل المذهب، وروى مع ذلك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فيما يرويه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من الفرقة المحقة خبر يوافق ذلك ولا يخالفه، ولا يعرف لهم قول فيه، وجب أيضاً العمل به؛ لما روي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نزلت بكم حادثة لا تجدون حكمها في ما رووا عنّا فانظروا إلى ما رووه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فاعملوا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 ما قلناه عملتْ الطَّائفة بما رواه حفص بن غياث، وغياث بن كلوب، ونوح بن درّاج، والسكوني، وغيرهم من العامة عن أئمتنا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لم ينكروه، ولم يكن عندهم خلافه</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الراوي من فرق الشيعة مثل الفطحيّة، والواقفة، والناووسيّة وغيرهم نظر فيما 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هناك قرينة تعضده، أو خبر آخر من جهة الموثوقين بهم، وجب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هناك خبر آخر يخالفه من طريق الموثوقين، وجب اطراح ما اختصوا بروايته والعمل بما رواه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ما رووه ليس هناك ما يخالفه ولا يعرف من الطائفة العمل بخلافه، وجب أيضاً العمل به إذا كان متحرّجاً في روايته، موثوقاً في أمانته وإن كان مخطئاً </w:t>
      </w:r>
    </w:p>
    <w:p>
      <w:pPr>
        <w:pStyle w:val="BookText"/>
        <w:rPr/>
      </w:pPr>
      <w:r>
        <w:rPr>
          <w:rFonts w:ascii="Amiri" w:hAnsi="Amiri" w:eastAsia="Amiri" w:cs="Amiri"/>
          <w:color w:val="111111"/>
          <w:sz w:val="28"/>
          <w:sz w:val="28"/>
          <w:szCs w:val="28"/>
          <w:rtl w:val="true"/>
          <w:lang w:bidi="ar-SA"/>
        </w:rPr>
        <w:t>في أصل الاعتقاد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 ما قلناه عملت الطائفة بأخبار الفطحيّة مثل عبد الله بن بكير وغيره، وأخبار الواقفة مثل سماعة بن مهران، وعلي بن أبي حمزة، وعثمان بن عيسى، ومن بعد هؤلاء بما رواه بنو فضّال وبنو سماعة والطاطريون، وغيرهم، فيما لم يكن عندهم فيه خلافه</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على ذلك، بشهادة اعتماده عليه في استفادة وثاقة عثمان بن عيسى</w:t>
      </w:r>
      <w:r>
        <w:rPr>
          <w:rStyle w:val="FootnoteAnchor"/>
          <w:rtl w:val="true"/>
        </w:rPr>
        <w:footnoteReference w:id="344"/>
      </w:r>
      <w:r>
        <w:rPr>
          <w:rFonts w:ascii="Amiri" w:hAnsi="Amiri" w:eastAsia="Amiri" w:cs="Amiri"/>
          <w:color w:val="111111"/>
          <w:sz w:val="28"/>
          <w:sz w:val="28"/>
          <w:szCs w:val="28"/>
          <w:rtl w:val="true"/>
          <w:lang w:bidi="ar-SA"/>
        </w:rPr>
        <w:t>، والسكوني</w:t>
      </w:r>
      <w:r>
        <w:rPr>
          <w:rStyle w:val="FootnoteAnchor"/>
          <w:rtl w:val="true"/>
        </w:rPr>
        <w:footnoteReference w:id="345"/>
      </w:r>
      <w:r>
        <w:rPr>
          <w:rFonts w:ascii="Amiri" w:hAnsi="Amiri" w:eastAsia="Amiri" w:cs="Amiri"/>
          <w:color w:val="111111"/>
          <w:sz w:val="28"/>
          <w:sz w:val="28"/>
          <w:szCs w:val="28"/>
          <w:rtl w:val="true"/>
          <w:lang w:bidi="ar-SA"/>
        </w:rPr>
        <w:t>، وحفص بن غياث</w:t>
      </w:r>
      <w:r>
        <w:rPr>
          <w:rStyle w:val="FootnoteAnchor"/>
          <w:rtl w:val="true"/>
        </w:rPr>
        <w:footnoteReference w:id="346"/>
      </w:r>
      <w:r>
        <w:rPr>
          <w:rFonts w:ascii="Amiri" w:hAnsi="Amiri" w:eastAsia="Amiri" w:cs="Amiri"/>
          <w:color w:val="111111"/>
          <w:sz w:val="28"/>
          <w:sz w:val="28"/>
          <w:szCs w:val="28"/>
          <w:rtl w:val="true"/>
          <w:lang w:bidi="ar-SA"/>
        </w:rPr>
        <w:t>، كما سيأتي تفصيل ذلك في تراجمهم، بل استشهد له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دعوى الشيخ الإجماع على قبول رواية السكوني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يشهد له ملاحظة عمل الأصحاب بها في كثير من من الأبواب، واعتناء المحمدين الثلاثة في كتبهم الأربعة بها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 عمل الطائفة برواياتهم مع العلم بفساد عقيدتهم كاشف عن الوثوق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الشيخ بالنسبة لفاسدي العقيدة من فرق الشيعة بكونه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متحرّجاً في روايته، موثوقاً في أمانته، وإنْ كان مخطئاً في أصل الاعتقاد</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يظهر من بعض عبارات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قد يوظفه كقرينة من قرائن الوثوق بالخبر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خصوصاً بعد معلوميّة عدم صحة سند الخبرين، إلَّا أنَّهما يمكن الوثوق بهما من جهة القرائن التي منها قبول أخبار السكوني، وروايتهما في الكتب المعتبرة، </w:t>
      </w:r>
      <w:bookmarkStart w:id="152" w:name="pg8927_84447"/>
    </w:p>
    <w:p>
      <w:pPr>
        <w:pStyle w:val="BookText"/>
        <w:rPr/>
      </w:pPr>
      <w:bookmarkEnd w:id="152"/>
      <w:r>
        <w:rPr>
          <w:rFonts w:ascii="Amiri" w:hAnsi="Amiri" w:eastAsia="Amiri" w:cs="Amiri"/>
          <w:color w:val="111111"/>
          <w:sz w:val="28"/>
          <w:sz w:val="28"/>
          <w:szCs w:val="28"/>
          <w:rtl w:val="true"/>
          <w:lang w:bidi="ar-SA"/>
        </w:rPr>
        <w:t>وفتوى من عرفت بهما، بل قد سمعت نسبته إلى الشهرة ونحو ذلك</w:t>
      </w:r>
      <w:r>
        <w:rPr>
          <w:rFonts w:eastAsia="Amiri" w:cs="Amiri" w:ascii="Amiri" w:hAnsi="Amiri"/>
          <w:color w:val="111111"/>
          <w:sz w:val="28"/>
          <w:szCs w:val="28"/>
          <w:rtl w:val="true"/>
          <w:lang w:bidi="ar-SA"/>
        </w:rPr>
        <w:t>)</w:t>
      </w:r>
      <w:r>
        <w:rPr>
          <w:rStyle w:val="FootnoteAnchor"/>
          <w:rtl w:val="true"/>
        </w:rPr>
        <w:footnoteReference w:id="34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هذه الرواية ضعيفة السند، متهافتة المتن، قاصرة الدلالة، فلا يسوغ التعويل عليها في إثبات حكم مخالف للأصل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الموثّق الذي هو حجة عندنا في نفسه، مضافاً إلى الإجماع عن الشيخ في العدة على العمل بروايات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انجبارها بما عرفت، وبذكرها في الكافي والفقيه، واعتضادها بمفهوم موثّقته الأخرى</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1279158_2870459653"/>
      <w:bookmarkStart w:id="154" w:name="_Toc51"/>
      <w:bookmarkEnd w:id="153"/>
      <w:r>
        <w:rPr>
          <w:rtl w:val="true"/>
        </w:rPr>
        <w:t xml:space="preserve">الثامنة </w:t>
      </w:r>
      <w:r>
        <w:rPr>
          <w:rtl w:val="true"/>
        </w:rPr>
        <w:t xml:space="preserve">: </w:t>
      </w:r>
      <w:r>
        <w:rPr>
          <w:rtl w:val="true"/>
        </w:rPr>
        <w:t>استثناء ابن الوليد من كتاب نوادر الحكمة</w:t>
      </w:r>
      <w:bookmarkEnd w:id="154"/>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أحمد بن يحيى بن عمران بن عبد الله بن سعد بن مالك الأشعري القمّيّ، قال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ثقةً في الحديث، إلَّا أنَّ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يروي عن الضعفاء، ويعتمد المراسيل ، ولا يبالي عمّن أخذ، وما عليه في نفسه مطعن في شيء</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 xml:space="preserve">، وقال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جليل القدر، كثير الرواية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كتاباً حسناً موسوعيّاً لما يحويه من عديد العلوم كالفقه والعقائد، والتاريخ، والرجال، والأخلاق، حتى عُرِفَ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رجل فاميّ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يبيع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 دبة لها بيوت يُعطي منها ما يُطلب منه؛ لما تحويه من أنواع متعدّدة، وشبّهوا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لما يحويه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أصناف النوادر الروائية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لأهمّيّة هذا الكتاب وتداوله بين الأعلام عَمَدَ ابن الوليد</w:t>
      </w:r>
      <w:r>
        <w:rPr>
          <w:rStyle w:val="FootnoteAnchor"/>
          <w:rtl w:val="true"/>
        </w:rPr>
        <w:footnoteReference w:id="352"/>
      </w:r>
      <w:r>
        <w:rPr>
          <w:rFonts w:ascii="Amiri" w:hAnsi="Amiri" w:eastAsia="Amiri" w:cs="Amiri"/>
          <w:color w:val="111111"/>
          <w:sz w:val="28"/>
          <w:sz w:val="28"/>
          <w:szCs w:val="28"/>
          <w:rtl w:val="true"/>
          <w:lang w:bidi="ar-SA"/>
        </w:rPr>
        <w:t xml:space="preserve">إلى تقييم رواته </w:t>
      </w:r>
    </w:p>
    <w:p>
      <w:pPr>
        <w:pStyle w:val="BookText"/>
        <w:rPr/>
      </w:pPr>
      <w:r>
        <w:rPr>
          <w:rFonts w:ascii="Amiri" w:hAnsi="Amiri" w:eastAsia="Amiri" w:cs="Amiri"/>
          <w:color w:val="111111"/>
          <w:sz w:val="28"/>
          <w:sz w:val="28"/>
          <w:szCs w:val="28"/>
          <w:rtl w:val="true"/>
          <w:lang w:bidi="ar-SA"/>
        </w:rPr>
        <w:t xml:space="preserve">ورواياته، فاستثنى أصنافاً من ذلك مما كان فيه غلوّ أو تخليط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النجاشي تفاصيل ما استثناه ابن الوليد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محمّد بن الحسن بن الوليد يستثني من رواية محمّد بن أحمد بن يحيى ما رواه عن محمد بن موسى الهمداني، أو ما رواه عن رجل، أو يقول بعض أصحابنا، أو عن محمد بن يحيى المعاذي، أو عن أبي عبد الله الرازي الجاموراني، أو عن أبي عبد الله السياري، أو عن يوسف بن السخت، أو عن وهب بن منبه، أو عن أبي علي النيشابوري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عن أبي يحيى الواسطي، أو محمّد بن عليّ أبي سمينة، أو يقول في حديث، أو كتاب ولم أروه، أو عن سهل بن زياد الآدمي، أو عن محمد بن عيسى بن عبيد بإسناد منقطع ، أو عن أحمد بن هلال، أو محمّد ابن علي الهمداني، أو عبد الله بن محمّد الشامي، أو عبد الله بن أحمد الرازي، أو أحمد بن الحسين بن سعيد، أو أحمد بن بشير الرقي، أو عن محمد بن هارون، أو عن ممويه بن</w:t>
      </w:r>
    </w:p>
    <w:p>
      <w:pPr>
        <w:pStyle w:val="BookText"/>
        <w:rPr/>
      </w:pPr>
      <w:r>
        <w:rPr>
          <w:rFonts w:ascii="Amiri" w:hAnsi="Amiri" w:eastAsia="Amiri" w:cs="Amiri"/>
          <w:color w:val="111111"/>
          <w:sz w:val="28"/>
          <w:sz w:val="28"/>
          <w:szCs w:val="28"/>
          <w:rtl w:val="true"/>
          <w:lang w:bidi="ar-SA"/>
        </w:rPr>
        <w:t xml:space="preserve">معروف، أو عن محمّد بن عبد الله بن مهران أو ما ينفرد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الحسن بن الحسين اللؤلؤيّ، وما يرويه عن جعفر بن محمد بن مالك، أو يوسف بن الحارث، أو عبد الله بن محمد الدمشقي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شيخنا أبو جعفر محمد بن الحسن بن الوليد في ذلك كُلّه، وتبعه أبو جعفر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إلا في محمّد بن عيسى بن عبيد فلا أدري ما رابه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كان على ظاهر العدالة والثقة</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ونقل نظير ذلك الشيخ في الفهرست مع اختلاف اختلاف يسير</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وحاصل ما استثناه ابن الوليد ثلاثة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من الرواة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بشير الرقي، وأحمد بن الحسين ابن سعيد وأحمد بن هلال، وأبو عبد الله الرازي الجاموراني، وأبو عبد الله السياريّ، وأبو علي النيشابوري، وأبو يحيى الواسطي، وممويه بن معروف، وجعفر بن محمد بن مالك، وسهل بن زياد وعبد الله بن أحمد الرازي، وعبد الله بن محمّد الشامي، ومحمّد ابن عبد الله بن مهران ومحمد بن علي أبو سمينة، ومحمد بن علي الهمداني، ومحمد بن موسى الهمداني، ومحمد بن هارون، ومحمّد بن يحيى المعاذي، ووهب بن منبه، ويوسف ابن الحارث، ويوسف بن السخت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 في حالةٍ معيَّنة، وهو ما ينفرد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اللؤلؤي، ومحمد بن عيسى بن عبيد بإسنادٍ منقطع ؛ ومن هذا الصنف بعض من ذُكِرَ في الصنف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الفهرست ، وهم جعفر بن محمد مالك، وجعفر بن محمد الكوفي، وعبد الله بن محمد الدمشقي، ويوسف بن السخت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الأسانيد المرسلة، وهي ما رواه عن رجل، أو عن بعض أصحابنا، أو في حديث، أو عن كتاب ولم أروه، ومنه ما عن محمد بن عيسى بن عبيد بإسناد منقطع، كما في رجال النجاشي</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الوحيد البهبهاني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 بين مَن استثني ومَن لم يستثن ، فلم يستفد من الأوّل الدلالة على ضعف الراوي،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رَبَّما تُؤمِّلَ في إفادة </w:t>
      </w:r>
    </w:p>
    <w:p>
      <w:pPr>
        <w:pStyle w:val="BookText"/>
        <w:rPr/>
      </w:pPr>
      <w:r>
        <w:rPr>
          <w:rFonts w:ascii="Amiri" w:hAnsi="Amiri" w:eastAsia="Amiri" w:cs="Amiri"/>
          <w:color w:val="111111"/>
          <w:sz w:val="28"/>
          <w:sz w:val="28"/>
          <w:szCs w:val="28"/>
          <w:rtl w:val="true"/>
          <w:lang w:bidi="ar-SA"/>
        </w:rPr>
        <w:t>هذا الاستثناء القدح في نفس الرجل المستثنى، ولا يبعد أن يكون التأمل في موضعه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ظاهر الشيخ أنَّ الاستثناء كان على أساس ما كان فيه من غلوّ أو تخليط</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 xml:space="preserve">جعفر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فيها من غلوّ أو تخليط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وكلاهما ليس ضعفاً في شخص الراوي وكونه كذاباً، وإنَّما الأوَّل قدح في عقيدته، وفسادها لا يضر بالوثاقة،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الفطحيّة لا تمنع من العمل عندنا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والثاني في روايته ما يعرف وما ينكر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سعید بن مهران، مولى علي بن الحسين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أبو جعفر الأهوازي، الملقب دندان، روى عن جميع شيوخ أبيه إلا حماد بن عيسى في ما زعم أصحابنا القميون، وضعفوه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غال وحديثه يعرف وينكر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أسماء مصنّفي الشيعة</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رقم</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وخالفه ابن الغضائري فلم ير فيه ما ينكر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الحسين بن سعيد بن حماد بن سعيد بن مهران، يكنى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أكثر رجال أبيه ، وقالوا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سائرهم إلّا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غالياً، وحديثه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الغضائري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ضعف في الحديث لا في راويه، ولعله كان منكراً في نظر ابن الوليد، قال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ابن الغضائري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 يعرف وينكر يروي عن الضعفاء كثيراً ويعتمد 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ذلك ما حكي من توثيق الشيخ والعلّامة إياه؛ لأنَّ الطعن المذكور إنَّما هو في رواياته لا فيه نفسه، والفرق بينهما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ومن هنا أمكن القول بأنَّ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يوافق</w:t>
      </w:r>
    </w:p>
    <w:p>
      <w:pPr>
        <w:pStyle w:val="BookText"/>
        <w:rPr/>
      </w:pPr>
      <w:r>
        <w:rPr>
          <w:rFonts w:ascii="Amiri" w:hAnsi="Amiri" w:eastAsia="Amiri" w:cs="Amiri"/>
          <w:color w:val="111111"/>
          <w:sz w:val="28"/>
          <w:sz w:val="28"/>
          <w:szCs w:val="28"/>
          <w:rtl w:val="true"/>
          <w:lang w:bidi="ar-SA"/>
        </w:rPr>
        <w:t>أستاذه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ويؤيدهما أنَّ بعض من استثني قد ورد في حقه توثيق كجعفر بن محمد بن مالك</w:t>
      </w:r>
      <w:r>
        <w:rPr>
          <w:rStyle w:val="FootnoteAnchor"/>
          <w:rtl w:val="true"/>
        </w:rPr>
        <w:footnoteReference w:id="357"/>
      </w:r>
      <w:r>
        <w:rPr>
          <w:rFonts w:ascii="Amiri" w:hAnsi="Amiri" w:eastAsia="Amiri" w:cs="Amiri"/>
          <w:color w:val="111111"/>
          <w:sz w:val="28"/>
          <w:sz w:val="28"/>
          <w:szCs w:val="28"/>
          <w:rtl w:val="true"/>
          <w:lang w:bidi="ar-SA"/>
        </w:rPr>
        <w:t>، وسهل بن زياد</w:t>
      </w:r>
      <w:r>
        <w:rPr>
          <w:rStyle w:val="FootnoteAnchor"/>
          <w:rtl w:val="true"/>
        </w:rPr>
        <w:footnoteReference w:id="358"/>
      </w:r>
      <w:r>
        <w:rPr>
          <w:rFonts w:ascii="Amiri" w:hAnsi="Amiri" w:eastAsia="Amiri" w:cs="Amiri"/>
          <w:color w:val="111111"/>
          <w:sz w:val="28"/>
          <w:sz w:val="28"/>
          <w:szCs w:val="28"/>
          <w:rtl w:val="true"/>
          <w:lang w:bidi="ar-SA"/>
        </w:rPr>
        <w:t>، بل نصّ النجاشي فيما تقدّم من عبارته على مخالفة ابن نوح لابن الوليد في محمّد بن عيسى بن عبيد، وأنَّه لا يدري ما رابه فيه ؟ لأنَّه كان على ظاهر العدالة والثقة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بني النجاشي نفسه على وثاقته</w:t>
      </w:r>
      <w:r>
        <w:rPr>
          <w:rStyle w:val="FootnoteAnchor"/>
          <w:rtl w:val="true"/>
        </w:rPr>
        <w:footnoteReference w:id="359"/>
      </w:r>
      <w:r>
        <w:rPr>
          <w:rFonts w:ascii="Amiri" w:hAnsi="Amiri" w:eastAsia="Amiri" w:cs="Amiri"/>
          <w:color w:val="111111"/>
          <w:sz w:val="28"/>
          <w:sz w:val="28"/>
          <w:szCs w:val="28"/>
          <w:rtl w:val="true"/>
          <w:lang w:bidi="ar-SA"/>
        </w:rPr>
        <w:t>، وتبعهم في ذلك صاحب الجواهر كما سيأتي في ترجمته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يستثن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الوحيد إلى أن عدم استثناء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أمارة الاعتماد عليه، بل وربما يكون أمارة لوثاقته</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 لكن ظاهر الجواهر عدم الاستناد إليه في استفادة وثاقة الراوي، وإنَّما جعله مؤيّداً لما يفيد ذلك كما في إبراهيم بن هاشم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مع أنَّه من مشايخ الإجازة فلا يحتاج إلى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زيادة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استثناء محمّد بن الحسن بن الوليد إيَّاه من رجال نوادر الحكمة في من استثنى، كما قيل</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bookmarkStart w:id="155" w:name="pg8927_84452"/>
    </w:p>
    <w:p>
      <w:pPr>
        <w:pStyle w:val="BookText"/>
        <w:rPr/>
      </w:pPr>
      <w:bookmarkEnd w:id="155"/>
      <w:r>
        <w:rPr>
          <w:rFonts w:ascii="Amiri" w:hAnsi="Amiri" w:eastAsia="Amiri" w:cs="Amiri"/>
          <w:color w:val="111111"/>
          <w:sz w:val="28"/>
          <w:sz w:val="28"/>
          <w:szCs w:val="28"/>
          <w:rtl w:val="true"/>
          <w:lang w:bidi="ar-SA"/>
        </w:rPr>
        <w:t>ولعلّ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من ثبت ضعفه في مَن لم يستثن، مع احتمال أن وثوقهم في بقيّة الأخبار كان مستنداً إلى قيام القرائن على اعتبارها عندهم</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1279160_2870459653"/>
      <w:bookmarkStart w:id="157" w:name="_Toc52"/>
      <w:bookmarkEnd w:id="156"/>
      <w:r>
        <w:rPr>
          <w:rtl w:val="true"/>
        </w:rPr>
        <w:t>التاسعة</w:t>
      </w:r>
      <w:r>
        <w:rPr>
          <w:rtl w:val="true"/>
        </w:rPr>
        <w:t xml:space="preserve">: </w:t>
      </w:r>
      <w:r>
        <w:rPr>
          <w:rtl w:val="true"/>
        </w:rPr>
        <w:t>رواية أصحاب الإجماع</w:t>
      </w:r>
      <w:bookmarkEnd w:id="157"/>
    </w:p>
    <w:p>
      <w:pPr>
        <w:pStyle w:val="BookText"/>
        <w:rPr/>
      </w:pPr>
      <w:r>
        <w:rPr>
          <w:rFonts w:ascii="IRNazanin" w:hAnsi="IRNazanin" w:eastAsia="IRNazanin"/>
          <w:color w:val="111111"/>
          <w:sz w:val="28"/>
          <w:sz w:val="28"/>
          <w:szCs w:val="28"/>
          <w:rtl w:val="true"/>
          <w:lang w:bidi="fa-IR"/>
        </w:rPr>
        <w:t>نقل الكشّي إجماع الطائفة على تصديق وتصحيح ما يصح عن ثمانية عشر راو من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والانقياد لهم في الفقه وهم ستة من أصحاب 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أجمعت العصابة على تصديق هؤلاء الأوَّلين من أصحاب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وانقادوا لهم بالفقه،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أفقه الأولين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ومعروف بن خربوذ، وبريد، وأبو بصير الأسدي، والفضيل بن يسار، ومحمد بن مسلم الطائفي،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وأفقه الستة زرارة، وقال بعضهم مكان أبي بصير الأسدي أبو بصير المرادي وهو ليث بن البختري</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وستة من أصحاب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أجمعت العصابة على تصحيح ما يصح من هؤلاء وتصديقهم لما يقولون، وأقروا لهم بالفقه، من دون أولئك الستة الذين عددناهم وسمّيناهم، سنّة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جميل بن درّاج، وعبد الله بن مسكان، وعبد الله بن بكير، و حماد بن عيسى، وحماد بن عثمان، وأبان بن عثمان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وزعم أبو إسحاق الفقيه، يعني ثعلبة بن ميمون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أفقه هؤلاء جميل بن دراج، وهم أحداث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وستة من أصحاب الإمامين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 أصحابنا على تصحيح ما يصح عن هؤلاء، وتصديقهم، وأقروا لهم بالفقه والعلم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ستة نفر أُخر </w:t>
      </w:r>
    </w:p>
    <w:p>
      <w:pPr>
        <w:pStyle w:val="BookText"/>
        <w:rPr/>
      </w:pPr>
      <w:r>
        <w:rPr>
          <w:rFonts w:ascii="IRNazanin" w:hAnsi="IRNazanin" w:eastAsia="IRNazanin"/>
          <w:color w:val="111111"/>
          <w:sz w:val="28"/>
          <w:sz w:val="28"/>
          <w:szCs w:val="28"/>
          <w:rtl w:val="true"/>
          <w:lang w:bidi="fa-IR"/>
        </w:rPr>
        <w:t>دون الستة نفر الذين ذكرناهم في أصحاب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منهم يونس بن عبد الرحمن، وصفوان بن يحيى بياع السابري، ومحمّد بن أبي عمير، وعبد الله بن المغيرة، والحسن بن محبوب، وأحمد بن محمّد بن أبي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 مكان الحسن بن محبوب الحسن بن علي ابن فضال، وفضالة بن أيوب، وقال بعضهم، مكان ابن فضال عثمان بن عيسى، وأفقه هؤلاء يونس بن عبد الرحمن، وصفوان بن يحيى</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وقع الكلام في تحديد دلالة الإجماع المذكور على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الإجماع المذكور يدلّ على تصحيح متن الرواية المنقولة بسند معتبر عن أصحاب الإجماع بقطع النظر عن حال الرواة الواقعين بعدهم في السند إلى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دامت الرواية معتبرة السند إلى أصحاب الإجماع، فالحديث معتبر بغض النظر عمّن بعدهم من الرواة، حتى لو كان ضعيفاً، فالإجماع غير ناظر إلى التعريف بحال الرواة، بل إلى المروي، فيكون الإجماع من الوسائط الدرائية في معرفة صحة المتن</w:t>
      </w:r>
    </w:p>
    <w:p>
      <w:pPr>
        <w:pStyle w:val="BookText"/>
        <w:rPr/>
      </w:pPr>
      <w:r>
        <w:rPr>
          <w:rFonts w:ascii="Amiri" w:hAnsi="Amiri" w:eastAsia="Amiri" w:cs="Amiri"/>
          <w:color w:val="111111"/>
          <w:sz w:val="28"/>
          <w:sz w:val="28"/>
          <w:szCs w:val="28"/>
          <w:rtl w:val="true"/>
          <w:lang w:bidi="ar-SA"/>
        </w:rPr>
        <w:t>والوثوق به، ولا يدخل في طرق التوثيق العامة ولا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المشهور أنَّ المراد صحة كل ما رواه حيث تصح الرواية عنه فلا يلاحظ ما بعده إلى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وإن كان فيه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الظاهر من العبارة</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الإجماع المذكور يدلّ على وثاقة الراوي الواقع بعد أصحاب الإجماع، فيكون الإجماع من الطرق العامة لإثبات وثاقة الرواة الواقعين بعد أصحاب الإجماع فيما </w:t>
      </w:r>
    </w:p>
    <w:p>
      <w:pPr>
        <w:pStyle w:val="BookText"/>
        <w:rPr/>
      </w:pPr>
      <w:r>
        <w:rPr>
          <w:rFonts w:ascii="Amiri" w:hAnsi="Amiri" w:eastAsia="Amiri" w:cs="Amiri"/>
          <w:color w:val="111111"/>
          <w:sz w:val="28"/>
          <w:sz w:val="28"/>
          <w:szCs w:val="28"/>
          <w:rtl w:val="true"/>
          <w:lang w:bidi="ar-SA"/>
        </w:rPr>
        <w:t>ثبتت روايتهم عنهم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الإجماع المذكور يدلّ على وثاقة المذكورين فيه، وأنهم لا يروون إِلَّا عمّن يثقون به، وهو لا يقتضي كونه ثقة عندنا، فيكون الإجماع من الطرق الخاصة التي قامت على صدق المذكورين فيه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يختار القول الأخير، قائلاً في مقام بيان عدم جواز الاعتماد على ظنون غير الإماميّة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ظنّ غير المسلم، بل وغير الإمامي الاثني عشري وإن جمع الشرائط؛ لظهور النصوص في الإعراض عنهم وعدم الركون إليهم، والفطحيّة والواقفية ونحوهم وإن كان فيهم من هو من أصحاب الإجماع، وممن أُقِرَّ له بالفقه، ولكنّ ذلك ونحوه لقبول روايتهم لا آرائهم</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ذيل عبارته دال على أنه يستفيد من الإجماع المذكور أنَّه يدلّ على قبول روايات مَن ذُكر فيه، وقبول رواياتهم يقتضي أنهم ثقات في الحديث مأمونون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وأنهم ثقات في الحديث بحيث لا يروون إلا عمن يثقون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خصوص الخبر الذي نقلوه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لتوفّرهم على قرائن اقتضت وثوقهم به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الواضح أنَّ ذلك لا يستلزم كونه ثقة عندنا بعد جهالته أو ضعفه وعدم معروفية ما استندوا إليه من القرائن، ولعلّ منها ما لو اطلعنا عليها لما كانت تامة عندنا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مراسيل ابن أبي عمير بحكم المسانيد، لأنَّه ممن لا يروي إلَّا الثقة، عن فسفیان ابن السمط حينئذ ثقة عنده، وعند غيره من العصابة، وإن كان مجهولاً عندنا </w:t>
      </w:r>
    </w:p>
    <w:p>
      <w:pPr>
        <w:pStyle w:val="BookText"/>
        <w:rPr/>
      </w:pP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صرَّح في غير موضع بعدم تماميّة رأي المشهور في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يخفى عليك ما فيه من دعوى اعتبار أسانيدها وحجّيّة بعضها؛ لأنَّه مبني على أنَّه إنْ كان في السند أحدٌ من أصحاب الإجماع لم تقدح جهالة الراوي، بل وفسقه، والتحقيق خلافه</w:t>
      </w:r>
      <w:r>
        <w:rPr>
          <w:rFonts w:eastAsia="Amiri" w:cs="Amiri" w:ascii="Amiri" w:hAnsi="Amiri"/>
          <w:color w:val="111111"/>
          <w:sz w:val="28"/>
          <w:szCs w:val="28"/>
          <w:rtl w:val="true"/>
          <w:lang w:bidi="ar-SA"/>
        </w:rPr>
        <w:t>)</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وصفه في الرياض بالقرب من الصحيح بناءً منه على صحة الخبر برواية أحد من أصحاب الإجماع له، وهو أصل فاسد،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رجع عنه</w:t>
      </w:r>
      <w:r>
        <w:rPr>
          <w:rFonts w:eastAsia="Amiri" w:cs="Amiri" w:ascii="Amiri" w:hAnsi="Amiri"/>
          <w:color w:val="111111"/>
          <w:sz w:val="28"/>
          <w:szCs w:val="28"/>
          <w:rtl w:val="true"/>
          <w:lang w:bidi="ar-SA"/>
        </w:rPr>
        <w:t>)</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خبر السكوني من القويّ في نفسه، وفي خصوص المقام رواه عنه عبد الله بن المغيرة الذي هو من أصحاب الإجماع، وقد قال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يقدح في صحة الخبر ضعف من بعده، وإن كان لنا فيه نظر قد ذكرناه غير مرّة</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كضعف الخبر لجهالة الراوي أو غلوّه، وسبق بعض أصحاب الإجماع عليه غير مجد على الأصح</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حجية المرسل المذكور، وإن كان الذي أرسله إماميّاً من أصحاب الإجماع كما حرّر في محلّه</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أصالة عدم التذكية التي لا يقطعها الخبران بعد الضعف، والإرسال، وعدم الجابر، وإن كان المرسل من أصحاب الإجماع كما بيّن في محلّه</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مضافاً إلى الطعن في سند الأوَّل بجهالة يزيد التي لا يرفع القدح بها رواية صفوان وابن مسكان </w:t>
      </w:r>
    </w:p>
    <w:p>
      <w:pPr>
        <w:pStyle w:val="BookText"/>
        <w:rPr/>
      </w:pPr>
      <w:r>
        <w:rPr>
          <w:rFonts w:ascii="Amiri" w:hAnsi="Amiri" w:eastAsia="Amiri" w:cs="Amiri"/>
          <w:color w:val="111111"/>
          <w:sz w:val="28"/>
          <w:sz w:val="28"/>
          <w:szCs w:val="28"/>
          <w:rtl w:val="true"/>
          <w:lang w:bidi="ar-SA"/>
        </w:rPr>
        <w:t>عنه وإن كانا من أصحاب الإجماع على الأصح</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نتوفّر في مجموع كلماته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ترجيحه لما اختاره، والوجه في فساد 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لعلّ الوجه فيه ما ذكره بعض</w:t>
      </w:r>
      <w:r>
        <w:rPr>
          <w:rStyle w:val="FootnoteAnchor"/>
          <w:rtl w:val="true"/>
        </w:rPr>
        <w:footnoteReference w:id="378"/>
      </w:r>
      <w:r>
        <w:rPr>
          <w:rFonts w:ascii="IRNazanin" w:hAnsi="IRNazanin" w:eastAsia="IRNazanin"/>
          <w:color w:val="111111"/>
          <w:sz w:val="28"/>
          <w:sz w:val="28"/>
          <w:szCs w:val="28"/>
          <w:rtl w:val="true"/>
          <w:lang w:bidi="fa-IR"/>
        </w:rPr>
        <w:t>بما حاصله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يعمل مثل الشيخ بهذا الإجماع على وفق رأي المشهور، بل ردّ بعض الأخبار للإرسال مع أنَّ المرسل أحد أصحاب الإجماع، ومن ذلك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فأما ما رواه محمد بن أبي عمير، قال روي لي عن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ابن المغيرة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يرفعه إلى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الكرّ ستمائة رطل، فأوَّل ما فيه أنَّه مرسل غير مسند، ومع ذلك مضاد للأحاديث التي رويناها، ومع هذا لم يعمل عليه أحد من فقهائنا</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الإجماع المذكور في كلمات غير الكشّي، سواء المتقدمين عليه أم معاصريه أم المتأخرين عنه إلى زمن العلّامة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الثاني فهو لا يزيد على من صرَّح الشيخ بعدم روايتهم إلا عن ثقة موثوق به</w:t>
      </w:r>
      <w:r>
        <w:rPr>
          <w:rStyle w:val="FootnoteAnchor"/>
          <w:rtl w:val="true"/>
        </w:rPr>
        <w:footnoteReference w:id="380"/>
      </w:r>
      <w:r>
        <w:rPr>
          <w:rFonts w:ascii="Amiri" w:hAnsi="Amiri" w:eastAsia="Amiri" w:cs="Amiri"/>
          <w:color w:val="111111"/>
          <w:sz w:val="28"/>
          <w:sz w:val="28"/>
          <w:szCs w:val="28"/>
          <w:rtl w:val="true"/>
          <w:lang w:bidi="ar-SA"/>
        </w:rPr>
        <w:t>، ولم يبن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وثاقة من روى عنه المشايخ الثلاثة، بل إنها غاية ما تعطي وثاقة الراوي عندهم وحسب،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مراسيل ابن أبي عمير بحكم المسانيد، لأنَّه ممن لا يروي إلا عن الثقة، فسفيان ابن السمط حينئذ ثقة عنده، وعند غيره من العصابة، وإن كان مجهولاً عندنا الآن</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 وبذلك يتعين القول الثالث</w:t>
      </w:r>
      <w:r>
        <w:rPr>
          <w:rFonts w:eastAsia="Amiri" w:cs="Amiri" w:ascii="Amiri" w:hAnsi="Amiri"/>
          <w:color w:val="111111"/>
          <w:sz w:val="28"/>
          <w:szCs w:val="28"/>
          <w:rtl w:val="true"/>
          <w:lang w:bidi="ar-SA"/>
        </w:rPr>
        <w:t xml:space="preserve">. </w:t>
      </w:r>
      <w:bookmarkStart w:id="158" w:name="pg8927_84457"/>
    </w:p>
    <w:p>
      <w:pPr>
        <w:pStyle w:val="Heading4"/>
        <w:numPr>
          <w:ilvl w:val="3"/>
          <w:numId w:val="1"/>
        </w:numPr>
        <w:rPr/>
      </w:pPr>
      <w:bookmarkStart w:id="159" w:name="__RefHeading___Toc1279162_2870459653"/>
      <w:bookmarkStart w:id="160" w:name="_Toc53"/>
      <w:bookmarkEnd w:id="158"/>
      <w:bookmarkEnd w:id="159"/>
      <w:r>
        <w:rPr>
          <w:rtl w:val="true"/>
        </w:rPr>
        <w:t xml:space="preserve">العاشرة </w:t>
      </w:r>
      <w:r>
        <w:rPr>
          <w:rtl w:val="true"/>
        </w:rPr>
        <w:t xml:space="preserve">: </w:t>
      </w:r>
      <w:r>
        <w:rPr>
          <w:rtl w:val="true"/>
        </w:rPr>
        <w:t>رواية المشايخ الثلاثة</w:t>
      </w:r>
      <w:bookmarkEnd w:id="160"/>
    </w:p>
    <w:p>
      <w:pPr>
        <w:pStyle w:val="BookText"/>
        <w:rPr/>
      </w:pPr>
      <w:r>
        <w:rPr>
          <w:rFonts w:ascii="Amiri" w:hAnsi="Amiri" w:eastAsia="Amiri" w:cs="Amiri"/>
          <w:color w:val="111111"/>
          <w:sz w:val="28"/>
          <w:sz w:val="28"/>
          <w:szCs w:val="28"/>
          <w:rtl w:val="true"/>
          <w:lang w:bidi="ar-SA"/>
        </w:rPr>
        <w:t>مما قيل بإفادته وثاقة الراوي هو أن يروي عنه أحد المشايخ الثلاثة، 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أبي عمير، وهو محمّد بن زياد بن عيسى الأزدي، أبو أحمد بغدادي الأصل والمقام، أدرك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وسمع منه، وروى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جليل القدر، عظيم المنزلة، وأوثق الناس عند الخاصة والعامة توفّي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وصفوان بن يحيى، أبو محمد، البجلي، كوفي، ثقة، عين، وكيل الإمامين الرضا والجواد ، وكانت له منزلة عند الأئمة، وفي الزهد والعبادة،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وأحمد بن محمد بن أبي نصر البزنطي، أبو جعفر ، لقي الإمام الرضا والجواد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عظيم المنزلة عندهما ، توفي سنة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الشيخ في كتابه العدّة في حق هؤلاء الثلاثة من أنَّهم لا يروون ولا يرسلون إلا عن ثقة موثوق به،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ممن يعلم أنَّه لا يرسل إلَّا عن ثقة موثوق به فلا ترجيح لخبر غيره على خبره، ولأجل ذلك سوّت الطائفة بين ما يرويه محمد بن أبي عمير، وصفوان بن يحيى، وأحمد بن محمد بن أبي نصر، وغيرهم من الثقات الذين عرفوا بأنهم لا يروون ولا يرسلون إلَّا عمّن يوثق به وبين ما أسنده غيرهم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ووقع الاختلاف في فهم العبارة المذكورة على رأيين أساسين</w:t>
      </w:r>
      <w:r>
        <w:rPr>
          <w:rFonts w:eastAsia="Amiri" w:cs="Amiri" w:ascii="Amiri" w:hAnsi="Amiri"/>
          <w:color w:val="111111"/>
          <w:sz w:val="28"/>
          <w:szCs w:val="28"/>
          <w:rtl w:val="true"/>
          <w:lang w:bidi="ar-SA"/>
        </w:rPr>
        <w:t xml:space="preserve">: </w:t>
      </w:r>
      <w:bookmarkStart w:id="161" w:name="pg8927_84458"/>
    </w:p>
    <w:p>
      <w:pPr>
        <w:pStyle w:val="BookText"/>
        <w:rPr/>
      </w:pPr>
      <w:bookmarkEnd w:id="161"/>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أنَّ المشايخ الثلاثة لا يروون إلا عن الثقة من الرواة، فكلّ راوِ روى عنه أحدهم بسند معتبر إليه فهو ثقة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تدلّ على وثوق المشايخ الثلاثة بمن رووا عنه، وهو لا يقتضي أن يكون ثقة عند غيرهم، بل يبقى مجهولاً مع عدم توفّر ما يقتضي وثاقته؛ لأنَّ روايتهم عنه يمكن أنْ تكون لوثاقته، أو لتوفّرهم على قرائن اقتضت الوثوق بالخبر مع جهالة راويه أو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اختاره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شأنهم في ذلك شأن أصحاب الإجماع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واحتمال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تقدح جهالة كردويه، لكون الراوي عنه ابن أبي عمير، وهو من أصحاب الإجماع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الأقوى خلاف ذلك عندنا في أصحاب الإجماع</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مراسيل ابن أبي عمير بحكم المسانيد، لأنَّه ممن لا ممن لا يروي إلا عن الثقة، فسفيان بن السمط حينئذ ثقة عنده، وعند غيره من العصابة، وإن كان مجهولاً عندنا الآن</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ويظهر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وعند غيره من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يرى أنَّ من ذكرهم الكثّيّ في أصحاب الإجماع يندرجون تحت قول الشيخ المتقدم عن العدّة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وغيرهم من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على ابن أبي عمير وأخويه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1279164_2870459653"/>
      <w:bookmarkStart w:id="163" w:name="_Toc54"/>
      <w:bookmarkEnd w:id="162"/>
      <w:r>
        <w:rPr>
          <w:rtl w:val="true"/>
        </w:rPr>
        <w:t>الحادية عشر</w:t>
      </w:r>
      <w:r>
        <w:rPr>
          <w:rtl w:val="true"/>
        </w:rPr>
        <w:t xml:space="preserve">: </w:t>
      </w:r>
      <w:r>
        <w:rPr>
          <w:rtl w:val="true"/>
        </w:rPr>
        <w:t>رواية الأجلاء</w:t>
      </w:r>
      <w:bookmarkEnd w:id="163"/>
    </w:p>
    <w:p>
      <w:pPr>
        <w:pStyle w:val="BookText"/>
        <w:rPr/>
      </w:pPr>
      <w:r>
        <w:rPr>
          <w:rFonts w:ascii="Amiri" w:hAnsi="Amiri" w:eastAsia="Amiri" w:cs="Amiri"/>
          <w:color w:val="111111"/>
          <w:sz w:val="28"/>
          <w:sz w:val="28"/>
          <w:szCs w:val="28"/>
          <w:rtl w:val="true"/>
          <w:lang w:bidi="ar-SA"/>
        </w:rPr>
        <w:t>مما قيل بدلالته على وثاقة الراوي أو حسنه هو رواية الأجلّاء عنه، وهنا أمران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وصف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متفرقات كلماته </w:t>
      </w:r>
    </w:p>
    <w:p>
      <w:pPr>
        <w:pStyle w:val="BookText"/>
        <w:rPr/>
      </w:pPr>
      <w:r>
        <w:rPr>
          <w:rFonts w:ascii="Amiri" w:hAnsi="Amiri" w:eastAsia="Amiri" w:cs="Amiri"/>
          <w:color w:val="111111"/>
          <w:sz w:val="28"/>
          <w:sz w:val="28"/>
          <w:szCs w:val="28"/>
          <w:rtl w:val="true"/>
          <w:lang w:bidi="ar-SA"/>
        </w:rPr>
        <w:t xml:space="preserve">عدَّةَ رواة بأنّهم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حكي عن ظاهر الصدوق في الأمالي من القول بالاستحباب مع نسبته له إلى الإماميّة، ولا ريب أنَّ الكليني</w:t>
      </w:r>
      <w:r>
        <w:rPr>
          <w:rStyle w:val="FootnoteAnchor"/>
          <w:rtl w:val="true"/>
        </w:rPr>
        <w:footnoteReference w:id="389"/>
      </w:r>
      <w:r>
        <w:rPr>
          <w:rFonts w:ascii="IRNazanin" w:hAnsi="IRNazanin" w:eastAsia="IRNazanin"/>
          <w:color w:val="111111"/>
          <w:sz w:val="28"/>
          <w:sz w:val="28"/>
          <w:szCs w:val="28"/>
          <w:rtl w:val="true"/>
          <w:lang w:bidi="fa-IR"/>
        </w:rPr>
        <w:t>، ووالده</w:t>
      </w:r>
      <w:r>
        <w:rPr>
          <w:rStyle w:val="FootnoteAnchor"/>
          <w:rtl w:val="true"/>
        </w:rPr>
        <w:footnoteReference w:id="390"/>
      </w:r>
      <w:r>
        <w:rPr>
          <w:rFonts w:ascii="Amiri" w:hAnsi="Amiri" w:eastAsia="Amiri" w:cs="Amiri"/>
          <w:color w:val="111111"/>
          <w:sz w:val="28"/>
          <w:sz w:val="28"/>
          <w:szCs w:val="28"/>
          <w:rtl w:val="true"/>
          <w:lang w:bidi="ar-SA"/>
        </w:rPr>
        <w:t>من أجلاء الإمامية، مع أنهما عنده بمكانة عظيمة جداً سيما والده، بل والكليني أيضاً؛ لأنَّه أستاذه</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ويشهد له ما رواه 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أخبرني أبو القاسم جعفر بن محمد بن قولويه، وأبو جعفر محمد بن علي بن الحسين ابن بابويه جميعاً، عن محمد بن يعقوب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ذبائح أهل الكتاب</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اشتهر من نسبة ذلك إلى هشام بن الحكم، وهو من أجلاء أصحابنا ومتكلّميهم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كتاب يرويه عنه جملة من الأجلاء منهم محمّد بن علي، وسعد، والصفار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وغيرها من الكتب المتقدّمة للثقات الأجلاء المعدودين من أجلاء</w:t>
      </w:r>
    </w:p>
    <w:p>
      <w:pPr>
        <w:pStyle w:val="BookText"/>
        <w:rPr/>
      </w:pPr>
      <w:r>
        <w:rPr>
          <w:rFonts w:ascii="Amiri" w:hAnsi="Amiri" w:eastAsia="Amiri" w:cs="Amiri"/>
          <w:color w:val="111111"/>
          <w:sz w:val="28"/>
          <w:sz w:val="28"/>
          <w:szCs w:val="28"/>
          <w:rtl w:val="true"/>
          <w:lang w:bidi="ar-SA"/>
        </w:rPr>
        <w:t>الفقهاء، وتمن أجمعت العصابة على تصحيح ما يصح عنه</w:t>
      </w:r>
      <w:r>
        <w:rPr>
          <w:rFonts w:eastAsia="Amiri" w:cs="Amiri" w:ascii="Amiri" w:hAnsi="Amiri"/>
          <w:color w:val="111111"/>
          <w:sz w:val="28"/>
          <w:szCs w:val="28"/>
          <w:rtl w:val="true"/>
          <w:lang w:bidi="ar-SA"/>
        </w:rPr>
        <w:t>)</w:t>
      </w:r>
      <w:r>
        <w:rPr>
          <w:rStyle w:val="FootnoteAnchor"/>
          <w:rtl w:val="true"/>
        </w:rPr>
        <w:footnoteReference w:id="392"/>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روى عنه الأجلّاء كعبد الله بن مسكان وابن بكير، وابن أبي عمير والحسن بن محبوب، بل في بعض طرق کتابه صفوان بن يحيى، وهم من أصحاب الإجماع</w:t>
      </w:r>
      <w:r>
        <w:rPr>
          <w:rFonts w:eastAsia="IRNazanin" w:cs="IRNazanin"/>
          <w:color w:val="111111"/>
          <w:sz w:val="28"/>
          <w:szCs w:val="28"/>
          <w:rtl w:val="true"/>
          <w:lang w:bidi="fa-IR"/>
        </w:rPr>
        <w:t>)</w:t>
      </w:r>
      <w:r>
        <w:rPr>
          <w:rStyle w:val="FootnoteAnchor"/>
          <w:rtl w:val="true"/>
        </w:rPr>
        <w:footnoteReference w:id="393"/>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المحكي عن يونس بن عبد الرحمن، من أجلاء رجال 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وملاحظة أحوال من وصفهم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أنَّه قصد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ثبت في حقهم أعلى درجات الوثاقة من خلال ما وصفهم به أئمة الرجال،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جليل القدر، من خواص الإمام، شيخ الطائفة، ووجهها، شيخ القمّيّين في زمانه، ثقة، عين، فقيه، صحيح المذهب، كالحسن بن محبوب</w:t>
      </w:r>
      <w:r>
        <w:rPr>
          <w:rStyle w:val="FootnoteAnchor"/>
          <w:rtl w:val="true"/>
        </w:rPr>
        <w:footnoteReference w:id="395"/>
      </w:r>
      <w:r>
        <w:rPr>
          <w:rFonts w:ascii="Amiri" w:hAnsi="Amiri" w:eastAsia="Amiri" w:cs="Amiri"/>
          <w:color w:val="111111"/>
          <w:sz w:val="28"/>
          <w:sz w:val="28"/>
          <w:szCs w:val="28"/>
          <w:rtl w:val="true"/>
          <w:lang w:bidi="ar-SA"/>
        </w:rPr>
        <w:t>، وسعد بن عبد الله الأشعري</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فهرست أسماء مصنّفي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وصفوان بن يحيى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وعبد الله بن مسكان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ومحمّد بن أبي عمير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ومحمد بن</w:t>
      </w:r>
    </w:p>
    <w:p>
      <w:pPr>
        <w:pStyle w:val="BookText"/>
        <w:rPr/>
      </w:pPr>
      <w:r>
        <w:rPr>
          <w:rFonts w:ascii="Amiri" w:hAnsi="Amiri" w:eastAsia="Amiri" w:cs="Amiri"/>
          <w:color w:val="111111"/>
          <w:sz w:val="28"/>
          <w:sz w:val="28"/>
          <w:szCs w:val="28"/>
          <w:rtl w:val="true"/>
          <w:lang w:bidi="ar-SA"/>
        </w:rPr>
        <w:t>علي بن محبوب</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صحيح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ومحمّد بن الحسن الصفّار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وهشام بن الحكم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ويونس ابن عبد الرحمن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وأصحاب الإجماع كعبد الله بن مسكان، وكذا الكليني، والصدوق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ووالده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رواية الأجلاء عن شخص على وثاقته أو حُسنه أو لا؟</w:t>
      </w:r>
    </w:p>
    <w:p>
      <w:pPr>
        <w:pStyle w:val="BookText"/>
        <w:rPr/>
      </w:pPr>
      <w:r>
        <w:rPr>
          <w:rFonts w:ascii="Amiri" w:hAnsi="Amiri" w:eastAsia="Amiri" w:cs="Amiri"/>
          <w:color w:val="111111"/>
          <w:sz w:val="28"/>
          <w:sz w:val="28"/>
          <w:szCs w:val="28"/>
          <w:rtl w:val="true"/>
          <w:lang w:bidi="ar-SA"/>
        </w:rPr>
        <w:t>ذهب جملة من الأعلام إلى أنَّ رواية الأجلاء عن شخص تدلّ على وثاقته أو حسنه، فإنَّ الظاهر من جلالتهم، وعلوّ منزلتهم يمنع من اتفاقهم في الرواية عن الضعيف أو المجهول، خصوصاً مع ملاحظة ملاحظة أنَّه مما يُعاب به على الراوي روايته عن الضعفاء والمجاهيل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الاعتماد على رواية الأجلاء في إثبات وثاقة الراوي أو حُسنه، ولذا لم يعتمد عليها إلّا ،مؤيّدة، كما في إبراهيم بن هاشم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مع أنَّه من مشايخ الإجازة فلا يحتاج إلى توثيقه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زيادة على ذلك اعتماد أجلاء الأصحاب وثقاتهم</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الوجه فيه هو وقوع رواية الأجلاء عن الضعفاء</w:t>
      </w:r>
      <w:r>
        <w:rPr>
          <w:rStyle w:val="FootnoteAnchor"/>
          <w:rtl w:val="true"/>
        </w:rPr>
        <w:footnoteReference w:id="400"/>
      </w:r>
      <w:r>
        <w:rPr>
          <w:rFonts w:ascii="Amiri" w:hAnsi="Amiri" w:eastAsia="Amiri" w:cs="Amiri"/>
          <w:color w:val="111111"/>
          <w:sz w:val="28"/>
          <w:sz w:val="28"/>
          <w:szCs w:val="28"/>
          <w:rtl w:val="true"/>
          <w:lang w:bidi="ar-SA"/>
        </w:rPr>
        <w:t>، وأنَّ ذلك لا يخدش بجلالتهم؛ إذ ما هو معيب عندهم هو الإكثار عن الضعفاء، لا مجرّد الرواية عنهم في بعض المواضع، مضافاً إلى أنَّه من الممكن أنَّهم توفّروا على قرائن أوجبت الوثوق بما رووه عنهم على ضعفهم أو جهالتهم</w:t>
      </w:r>
      <w:r>
        <w:rPr>
          <w:rFonts w:eastAsia="Amiri" w:cs="Amiri" w:ascii="Amiri" w:hAnsi="Amiri"/>
          <w:color w:val="111111"/>
          <w:sz w:val="28"/>
          <w:szCs w:val="28"/>
          <w:rtl w:val="true"/>
          <w:lang w:bidi="ar-SA"/>
        </w:rPr>
        <w:t xml:space="preserve">. </w:t>
      </w:r>
      <w:bookmarkStart w:id="164" w:name="pg8927_84463"/>
    </w:p>
    <w:p>
      <w:pPr>
        <w:pStyle w:val="Heading4"/>
        <w:numPr>
          <w:ilvl w:val="3"/>
          <w:numId w:val="1"/>
        </w:numPr>
        <w:rPr/>
      </w:pPr>
      <w:bookmarkStart w:id="165" w:name="__RefHeading___Toc1279166_2870459653"/>
      <w:bookmarkStart w:id="166" w:name="_Toc55"/>
      <w:bookmarkEnd w:id="164"/>
      <w:bookmarkEnd w:id="165"/>
      <w:r>
        <w:rPr>
          <w:rtl w:val="true"/>
        </w:rPr>
        <w:t xml:space="preserve">الثانية عشر </w:t>
      </w:r>
      <w:r>
        <w:rPr>
          <w:rtl w:val="true"/>
        </w:rPr>
        <w:t xml:space="preserve">: </w:t>
      </w:r>
      <w:r>
        <w:rPr>
          <w:rtl w:val="true"/>
        </w:rPr>
        <w:t>إكثار الكليني</w:t>
      </w:r>
      <w:bookmarkEnd w:id="166"/>
    </w:p>
    <w:p>
      <w:pPr>
        <w:pStyle w:val="BookText"/>
        <w:rPr/>
      </w:pPr>
      <w:r>
        <w:rPr>
          <w:rFonts w:ascii="IRNazanin" w:hAnsi="IRNazanin" w:eastAsia="IRNazanin"/>
          <w:color w:val="111111"/>
          <w:sz w:val="28"/>
          <w:sz w:val="28"/>
          <w:szCs w:val="28"/>
          <w:rtl w:val="true"/>
          <w:lang w:bidi="fa-IR"/>
        </w:rPr>
        <w:t>مما قيل بدلالته على حُسن الراوي هو أن يكثر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الرواية عنه في كتابه الكافي</w:t>
      </w:r>
      <w:r>
        <w:rPr>
          <w:rStyle w:val="FootnoteAnchor"/>
          <w:rtl w:val="true"/>
        </w:rPr>
        <w:footnoteReference w:id="401"/>
      </w:r>
      <w:r>
        <w:rPr>
          <w:rFonts w:ascii="IRNazanin" w:hAnsi="IRNazanin" w:eastAsia="IRNazanin"/>
          <w:color w:val="111111"/>
          <w:sz w:val="28"/>
          <w:sz w:val="28"/>
          <w:szCs w:val="28"/>
          <w:rtl w:val="true"/>
          <w:lang w:bidi="fa-IR"/>
        </w:rPr>
        <w:t>، والوجه فيه هو ما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أوَّل كتابه أن جميع ما فيه من الروايات الصادرة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 حيث قال في بيان الطلب الذي وجّه إليه في تأليفه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تحب أن يكون عندك كتاب كافٍ يجمع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جميع فنون علم الدين، ما يكتفي به المتعلم، ويرجع إليه المسترشد، ويأخذ منه من يريد علم الدين والعمل به بالآثار الصحيحة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والسنن القائمة التي عليها العمل، وبها يؤدّي فرض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وسنة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ما سألت، وأرجو أن يكون بحيث توخيت، فمهما كان فيه من تقصير فلم تقصر نيّتنا في إهداء النصيحة؛ إذ كانت واجبة لإخواننا، وأهل ملّتنا، مع ما رجونا أن نكون مشاركين لكل من اقتبس منه، وعمل بما فيه دهرنا هذا ، وفي غابره إلى انقضاء الدنيا</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وإكثاره عن راوِ يدلّ على أنَّ رواياته من الآثار الصحيحة عن الصادقين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مدح معتد به يجعل حديثه من الحسان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كبعض الأعلام</w:t>
      </w:r>
      <w:r>
        <w:rPr>
          <w:rStyle w:val="FootnoteAnchor"/>
          <w:rtl w:val="true"/>
        </w:rPr>
        <w:footnoteReference w:id="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المباشرة في الإكثار، </w:t>
      </w:r>
      <w:bookmarkStart w:id="167" w:name="pg8927_84464"/>
    </w:p>
    <w:p>
      <w:pPr>
        <w:pStyle w:val="BookText"/>
        <w:rPr/>
      </w:pPr>
      <w:bookmarkEnd w:id="167"/>
      <w:r>
        <w:rPr>
          <w:rFonts w:ascii="Amiri" w:hAnsi="Amiri" w:eastAsia="Amiri" w:cs="Amiri"/>
          <w:color w:val="111111"/>
          <w:sz w:val="28"/>
          <w:sz w:val="28"/>
          <w:szCs w:val="28"/>
          <w:rtl w:val="true"/>
          <w:lang w:bidi="ar-SA"/>
        </w:rPr>
        <w:t>ولذا وظفه في عناصر معرفة حال إبراهيم بن هاشم الذي يروي عنه الكليني بواسطة ابنه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يبن على كفاية إكثار الكليني في الكشف عن حسن الراوي بشاهد جعله مؤيّداً، ولمرّة واحدة فقط، وذلك في إبراهيم بن هاشم،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إبراهيم بن هاشم مع انه من مشايخ الإجازة فلا يحتاج إلى توثيقه في وجه عدم نصهم على توثيقه؛ لعله لجلالة قدره، وعظم منزلته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زيادة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الكليني من الرواية عنه</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الوجه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ذكره أستاذه الوحيد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الحديث 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القدماء هو ما وثقوا بكونه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منشأ وثوقهم كون الراوي من الثقات أو أمارات أُخر</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1279168_2870459653"/>
      <w:bookmarkStart w:id="169" w:name="_Toc56"/>
      <w:bookmarkEnd w:id="168"/>
      <w:r>
        <w:rPr>
          <w:rtl w:val="true"/>
        </w:rPr>
        <w:t>الثالثة عشر</w:t>
      </w:r>
      <w:r>
        <w:rPr>
          <w:rtl w:val="true"/>
        </w:rPr>
        <w:t xml:space="preserve">: </w:t>
      </w:r>
      <w:r>
        <w:rPr>
          <w:rtl w:val="true"/>
        </w:rPr>
        <w:t>مشيخة الإجازة</w:t>
      </w:r>
      <w:bookmarkEnd w:id="169"/>
    </w:p>
    <w:p>
      <w:pPr>
        <w:pStyle w:val="BookText"/>
        <w:rPr/>
      </w:pPr>
      <w:r>
        <w:rPr>
          <w:rFonts w:ascii="Amiri" w:hAnsi="Amiri" w:eastAsia="Amiri" w:cs="Amiri"/>
          <w:color w:val="111111"/>
          <w:sz w:val="28"/>
          <w:sz w:val="28"/>
          <w:szCs w:val="28"/>
          <w:rtl w:val="true"/>
          <w:lang w:bidi="ar-SA"/>
        </w:rPr>
        <w:t>المراد من شيخ الإجازة من تُحمِّلَ منه الحديث، أو كتبه قراءة أو سماعاً أو مناولة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 كفايتها في إثبات وثاقة الراوي أو حسنه على أقوال ثلاثة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تدلّ على وثاقة الراوي؛ لأنَّ اعتماد المشايخ المتقدمين على النقل عنهم، وأخذ الأخبار منهم، والتلمذ عليهم يزيد على قولهم في كتب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ثقة</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ولذا لم يُتعرّض لجملة منهم، أو لأحوالهم في الأصول الرجالية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وثاقة الراوي وحسنه؛ إذ فائدة الإجازة هي اتصال الحديث بسلسلة رواته، وهي غير متوقفة على وثاقة الشيخ أو حسنه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تدلّ على وثاقة الراوي إلَّا إذا توفّر ما يدلّ على أنهم لم ينصوا على وثاقته لمعلومية حاله في الوثاقة والجلالة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يظهر من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مع تصريحه بعدم كفاية مشيخة الإجازة لإحراز الوثاقة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أفاده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القصور في السند بعبد الواحد وعلي اللذين لم ينص على توثيقهما، وكونهما شيخي إجازة لا يستلزمها</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ونسبته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وهو ما أفاده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أقل من أن يكونا هما من مشايخ الإجازة المتفق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احتياجهم التوثيق</w:t>
      </w:r>
      <w:r>
        <w:rPr>
          <w:rFonts w:eastAsia="Amiri" w:cs="Amiri" w:ascii="Amiri" w:hAnsi="Amiri"/>
          <w:color w:val="111111"/>
          <w:sz w:val="28"/>
          <w:szCs w:val="28"/>
          <w:rtl w:val="true"/>
          <w:lang w:bidi="ar-SA"/>
        </w:rPr>
        <w:t>)</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وثاقة إبراهيم بن هاشم استناداً لها بعد توفّر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إبراهيم بن هاشم مع أنَّه من مشايخ الإجازة فلا يحتاج إلى توثيقه في وجه عدم نصهم على توثيقه لعله لجلالة قدره، وعظم منزلته، كما لعله الظاهر، ويشعر به ما حكاه النجاشي عن أصحابنا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هاشم هو أول من نشر أحاديث الكوفيين بقم بعد انتقاله من الكوفة، فإنَّه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ثقة معتمداً عند أئمة الحديث من أصحابنا؛ إذ نشر الأحاديث لا يكون إلا مع التلقي والقبول، وكفى بذلك توثيقاً سيما بعد ما عُلم من طريقة أهل قمّ من تضييق أمر العدالة، وتسرعهم جرح الرواة، والطعن عليهم، وإخراجهم من بلدة قم بأدنى ريبة وتهمة، حتى أنّهم غمزوا في أحمد بن محمد بن خالد البرقي مع ظهور عدالته وجلالته بروايته عن الضعفاء، واعتماده </w:t>
      </w:r>
    </w:p>
    <w:p>
      <w:pPr>
        <w:pStyle w:val="BookText"/>
        <w:rPr/>
      </w:pPr>
      <w:r>
        <w:rPr>
          <w:rFonts w:ascii="Amiri" w:hAnsi="Amiri" w:eastAsia="Amiri" w:cs="Amiri"/>
          <w:color w:val="111111"/>
          <w:sz w:val="28"/>
          <w:sz w:val="28"/>
          <w:szCs w:val="28"/>
          <w:rtl w:val="true"/>
          <w:lang w:bidi="ar-SA"/>
        </w:rPr>
        <w:t>المراسيل، وأخرجوه من قم، فلولا أنَّ إبراهيم بن هاشم بمكان من الوثاقة والاعتماد عندهم لَمَا سَلِمَ من طعنهم وغمزهم بمقتضى العادة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ظاهر كلامه الاستناد إلى مشيخة الإجازة في إحراز وثاقة إبراهيم لتوفّر ما يدلّ على أنَّهم لم يتعرّضوا لوثاقته المعلوميتها عندهم، وهو كونه أوّل من نشر حديث الكوفيين بقم، وقبول القميّين لرّواياته من غير أن يقدحوا به مع معروفيتهم بقدح الرواة بأدنى ريبة وتهمة</w:t>
      </w:r>
      <w:r>
        <w:rPr>
          <w:rFonts w:eastAsia="Amiri" w:cs="Amiri" w:ascii="Amiri" w:hAnsi="Amiri"/>
          <w:color w:val="111111"/>
          <w:sz w:val="28"/>
          <w:szCs w:val="28"/>
          <w:rtl w:val="true"/>
          <w:lang w:bidi="ar-SA"/>
        </w:rPr>
        <w:t xml:space="preserve">. </w:t>
      </w:r>
      <w:bookmarkStart w:id="170" w:name="pg8927_84467"/>
    </w:p>
    <w:p>
      <w:pPr>
        <w:pStyle w:val="Heading4"/>
        <w:numPr>
          <w:ilvl w:val="3"/>
          <w:numId w:val="1"/>
        </w:numPr>
        <w:rPr/>
      </w:pPr>
      <w:bookmarkStart w:id="171" w:name="__RefHeading___Toc1279170_2870459653"/>
      <w:bookmarkStart w:id="172" w:name="_Toc57"/>
      <w:bookmarkEnd w:id="170"/>
      <w:bookmarkEnd w:id="171"/>
      <w:r>
        <w:rPr>
          <w:rtl w:val="true"/>
        </w:rPr>
        <w:t xml:space="preserve">خاتمة </w:t>
      </w:r>
      <w:r>
        <w:rPr>
          <w:rtl w:val="true"/>
        </w:rPr>
        <w:t xml:space="preserve">.. </w:t>
      </w:r>
      <w:r>
        <w:rPr>
          <w:rtl w:val="true"/>
        </w:rPr>
        <w:t>التحشيد</w:t>
      </w:r>
      <w:bookmarkEnd w:id="172"/>
    </w:p>
    <w:p>
      <w:pPr>
        <w:pStyle w:val="BookText"/>
        <w:rPr/>
      </w:pPr>
      <w:r>
        <w:rPr>
          <w:rFonts w:ascii="Amiri" w:hAnsi="Amiri" w:eastAsia="Amiri" w:cs="Amiri"/>
          <w:color w:val="111111"/>
          <w:sz w:val="28"/>
          <w:sz w:val="28"/>
          <w:szCs w:val="28"/>
          <w:rtl w:val="true"/>
          <w:lang w:bidi="ar-SA"/>
        </w:rPr>
        <w:t>قد اتضح مما تقدّم أن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يبني على جملة مما قيل بدلالته على وثاقة الراوي أو حسنه كرواية أصحاب الإجماع، والمشايخ الثلاثة، ورواية الأجلاء، ومشيخة الإجازة، لكنَّ الملاحظ من منهجه أنَّه إذا كان الخبر ضعيفاً، أو قيل بوجود ما يخدشه سنداً مع توفّر الجابر له من شهرة أو إجماع، حينئذ قد يعمد صاحب الجواهر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تحشيد ما قيل في اعتبار سنده ولو لم يكن تامّاً في نظره كالكبريات المتقدمة، وظاهره إخراجها على سبيل التأييد لحجيّة الخبر الحاصلة من الانجبار، وقد تكرّر ذلك منه في عدة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والخبر العامّي إذا تناقلته الأصحاب في كتبهم وعملوا به لا بأس بالعمل به عندنا؛ إذ هو أعظم طرق التبيّن، كما يكشف عن ذلك تصفّح كلام الأصحاب في القصاص والديات وغيرهما من المقامات، ويوسف بن إبراهيم لا يقدح جهله بعد أن كان الراوي عنه صفوان بن يحيى الذي أجمعت العصابة على تصحيح ما يصح عنه، وأنَّه لا يروي إلا عن ثقة</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بعد ذكر الإجماع على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في المدارك من أنَّ في الطريق محمّد ابن أحمد العلوي ولم يثبت توثيقه، قد يدفعه ما قيل من تصحيح الفاضل في غير موضع من المنتهى والمختلف روايته، وأنَّه ممن يروي عنه محمّد بن أحمد بن يحيى، ولم يستثن من کتاب نوادر الحكمة، بل في شرح المفاتيح أنَّه ربَّما يظهر من ترجمة العمركي كونه من شيوخ أصحابنا، ويروي عنه الأجلاء</w:t>
      </w:r>
      <w:r>
        <w:rPr>
          <w:rFonts w:eastAsia="IRNazanin" w:cs="IRNazanin"/>
          <w:color w:val="111111"/>
          <w:sz w:val="28"/>
          <w:szCs w:val="28"/>
          <w:rtl w:val="true"/>
          <w:lang w:bidi="fa-IR"/>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والمناقشة في سندها باشتراك النهدي بين جماعة منهم من لم يثبت توثيقه 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انجبارها بما سمعت مما يستغنى به عن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كونه الهيثم بن مسروق بقرينة رواية محمّد بن محبوب عنه، وهو ممدوح في كتب الرجال، وله كتاب يرويه عنه جملة من الأجلاء منهم محمد بن علي، وسعد، والصفّار، فحديثه إن لم يكن صحيحاً بناءً على الظنون الاجتهادية وإلّا فهو في مرتبة من الحسن</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مع صراحته في المطلوب، وانجباره بالشهرة العظيمة، ومحكي الإجماع أو محصله لا قدح في سنده؛ إذ حمزة</w:t>
      </w:r>
      <w:r>
        <w:rPr>
          <w:rStyle w:val="FootnoteAnchor"/>
          <w:rtl w:val="true"/>
        </w:rPr>
        <w:footnoteReference w:id="415"/>
      </w:r>
      <w:r>
        <w:rPr>
          <w:rFonts w:ascii="Amiri" w:hAnsi="Amiri" w:eastAsia="Amiri" w:cs="Amiri"/>
          <w:color w:val="111111"/>
          <w:sz w:val="28"/>
          <w:sz w:val="28"/>
          <w:szCs w:val="28"/>
          <w:rtl w:val="true"/>
          <w:lang w:bidi="ar-SA"/>
        </w:rPr>
        <w:t>مع كونه من آل أعين المعلوم جلالتهم، وعظم منزلتهم في الشيعة، سديد الحديث، كثير الرواية، قد روى عنه الأجلاء كعبد الله ابن ،مسكان وابن بكير، وابن أبي عمير، والحسن بن محبوب، بل في بعض طرق كتابه صفوان بن يحيى وهم من أصحاب الإجماع</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مما سيأتي التعرّض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القسم الثالث من هذا البحث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وظّف ذلك أيضاً في غير موضع في تأييد اعتبار الرواية وإن كان يوجد فيها ما يخل سنداً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يناقش فيه بأنَّه يكفي فيه إطلاق الإجماعات السابقة المعتضدة بعدم ظهور مخالف محقق فيه قبله، مضافاً إلى خبر إسماعيل بن جابر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صحيحه بناءً على توثيق محمد بن سنان، بل إرسال الصدوق له في الفقيه إلى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سبيل الجزم مما يُشعر بوصوله إليه بطريق صحيح، خصوصاً بعد التزامه أنَّه لا يورد فيه إلَّا ما هو حجّة بينه وبين ربه</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مضمون رواية بكر مما لا كلام فيه، والإجماع منقول بل محصل عليه، مع أنَّ في سندها صفوان وقد قيل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 أجمعت العصابة على تصحيح ما يصح عنه، وعن الشيخ في العدّة أنَّه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يروي إلَّا عن ثقة، مضافاً إلى أنَّ المشايخ ذكروها على سبيل الاعتماد والاعتداد، مع أنّها معتضدة بما سمعت من الأخبار وفيها الصحيح وغيره</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ويوسف بن إبراهيم لا يقدح جهله بعد أن كان الراوي عنه صفوان ابن يحيى الذي أجمعت العصابة على تصحيح ما يصح عنه، وأنَّه لا يروي إلَّا عن ثقة، على أنَّ هذا الخبر قد رواه المحمّدون الثلاثة، وفيهم الصدوق الذي أخذ على نفسه أن لا يروي فيه إلَّا ما هو حجّة بينه وبين ربه، بل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هذا ملقب بالطاطري، وقد نقل الشيخ في العدّة إجماع الشيعة على العمل بما رواه الطاطريون، كل ذا مع قطع النظر عن الشهرة العظيمة</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أسامة بن حفص القيّم لأبي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بوجود المجمع على تصحيح ما يصح عنه في سنده، وبالانجبار بما 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الإجماع</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أبي الديلم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المنجبر بالعمل، وبرواية من أجمعت العصابة على تصحيح ما يصح عنه له</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الحلقة الأولى، وآخر دعوانا أن الحمد لله ربِّ العالمين وصلى الله على خير خلقه محمد وآله الطيبين الطاهرين</w:t>
      </w:r>
      <w:r>
        <w:rPr>
          <w:rFonts w:eastAsia="Amiri" w:cs="Amiri" w:ascii="Amiri" w:hAnsi="Amiri"/>
          <w:color w:val="111111"/>
          <w:sz w:val="28"/>
          <w:szCs w:val="28"/>
          <w:rtl w:val="true"/>
          <w:lang w:bidi="ar-SA"/>
        </w:rPr>
        <w:t>.</w:t>
      </w:r>
      <w:bookmarkStart w:id="173" w:name="pg8927_84471"/>
    </w:p>
    <w:p>
      <w:pPr>
        <w:pStyle w:val="Heading2"/>
        <w:numPr>
          <w:ilvl w:val="1"/>
          <w:numId w:val="1"/>
        </w:numPr>
        <w:rPr/>
      </w:pPr>
      <w:bookmarkStart w:id="174" w:name="__RefHeading___Toc1279172_2870459653"/>
      <w:bookmarkStart w:id="175" w:name="_Toc58"/>
      <w:bookmarkEnd w:id="173"/>
      <w:bookmarkEnd w:id="174"/>
      <w:r>
        <w:rPr>
          <w:rtl w:val="true"/>
        </w:rPr>
        <w:t>دراسة في أحوال رجال نوادر الحكمة</w:t>
      </w:r>
      <w:bookmarkEnd w:id="175"/>
    </w:p>
    <w:p>
      <w:pPr>
        <w:pStyle w:val="Heading3"/>
        <w:numPr>
          <w:ilvl w:val="2"/>
          <w:numId w:val="1"/>
        </w:numPr>
        <w:rPr/>
      </w:pPr>
      <w:bookmarkStart w:id="176" w:name="__RefHeading___Toc1279174_2870459653"/>
      <w:bookmarkStart w:id="177" w:name="_Toc59"/>
      <w:bookmarkEnd w:id="176"/>
      <w:r>
        <w:rPr>
          <w:rtl w:val="true"/>
        </w:rPr>
        <w:t>الشيخ إسكندر الجعفري</w:t>
      </w:r>
      <w:r>
        <w:rPr>
          <w:rtl w:val="true"/>
        </w:rPr>
        <w:t>(</w:t>
      </w:r>
      <w:r>
        <w:rPr>
          <w:rtl w:val="true"/>
        </w:rPr>
        <w:t>دام ظله</w:t>
      </w:r>
      <w:r>
        <w:rPr>
          <w:rtl w:val="true"/>
        </w:rPr>
        <w:t>)</w:t>
      </w:r>
      <w:bookmarkEnd w:id="177"/>
    </w:p>
    <w:p>
      <w:pPr>
        <w:pStyle w:val="BookText"/>
        <w:rPr/>
      </w:pPr>
      <w:r>
        <w:rPr>
          <w:rFonts w:ascii="IRNazanin" w:hAnsi="IRNazanin" w:eastAsia="IRNazanin"/>
          <w:color w:val="111111"/>
          <w:sz w:val="28"/>
          <w:sz w:val="28"/>
          <w:szCs w:val="28"/>
          <w:rtl w:val="true"/>
          <w:lang w:bidi="fa-IR"/>
        </w:rPr>
        <w:t xml:space="preserve">البحث الذي بين يديك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عزيزي القارئ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لفهم ما صنعه الشيخ ابن الوليد في كتاب نوادر الحكمة لمؤلّفه الشيخ محمد بن أحمد بن يحيى الأشعري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قام باستثناء الرّواة الضعاف فقط، أو استثنى الرّوايات، أو استثنى المجموع؟</w:t>
      </w:r>
    </w:p>
    <w:p>
      <w:pPr>
        <w:pStyle w:val="BookText"/>
        <w:rPr/>
      </w:pPr>
      <w:r>
        <w:rPr>
          <w:rFonts w:ascii="Amiri" w:hAnsi="Amiri" w:eastAsia="Amiri" w:cs="Amiri"/>
          <w:color w:val="111111"/>
          <w:sz w:val="28"/>
          <w:sz w:val="28"/>
          <w:szCs w:val="28"/>
          <w:rtl w:val="true"/>
          <w:lang w:bidi="ar-SA"/>
        </w:rPr>
        <w:t>ثُمَّ من لم يقم باستثنائه هل يستفاد وثاقته أو 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سنطلع عليه في مطاوي هذا البحث</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IRNazanin" w:hAnsi="IRNazanin" w:eastAsia="IRNazanin"/>
          <w:color w:val="111111"/>
          <w:sz w:val="28"/>
          <w:sz w:val="28"/>
          <w:szCs w:val="28"/>
          <w:rtl w:val="true"/>
          <w:lang w:bidi="fa-IR"/>
        </w:rPr>
        <w:t>لقد اهتم أصحابنا بتدوين الحديث وكتابته، وضبطه، من عهد الإمام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وحتى عصور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المتأخرة، فنتج عن ذلك الكثير من الكتب والأصول والمصنّفات والنوادر ، وذكر الشيخ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ذيل الفائدة الرابعة أنها كانت تزيد على ستة آلاف وستمائة كتاب</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منها واشتهر أربعمائة أصل سمّيت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عن الشهيد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استقرّ أمر المتقدمين على أربعمائة مصنف لأربعمائة مصنف، سمّوها أصولاً، ثُمَّ تداعت الحال إلى ذهاب معظم تلك الأصول، ولخصها جماعة في كتب خاصة تقريباً على المتناول</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موسوعة طبقات الفقهاء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وبما أنّ معظم أصحاب الأصول من أصحاب </w:t>
      </w:r>
    </w:p>
    <w:p>
      <w:pPr>
        <w:pStyle w:val="BookText"/>
        <w:rPr/>
      </w:pPr>
      <w:r>
        <w:rPr>
          <w:rFonts w:ascii="IRNazanin" w:hAnsi="IRNazanin" w:eastAsia="IRNazanin"/>
          <w:color w:val="111111"/>
          <w:sz w:val="28"/>
          <w:sz w:val="28"/>
          <w:szCs w:val="28"/>
          <w:rtl w:val="true"/>
          <w:lang w:bidi="fa-IR"/>
        </w:rPr>
        <w:t>الباقر والصادق والكاظم والرضا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يمكن الحدس بأنّ أكثرها أُلّفت في فترة ظهور الضعف في الدولة الأموية عام </w:t>
      </w:r>
      <w:r>
        <w:rPr>
          <w:rFonts w:eastAsia="IRNazanin" w:cs="IRNazanin"/>
          <w:color w:val="111111"/>
          <w:sz w:val="28"/>
          <w:szCs w:val="28"/>
          <w:rtl w:val="true"/>
          <w:lang w:bidi="fa-IR"/>
        </w:rPr>
        <w:t>(</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عصر هارون الرشيد عام </w:t>
      </w:r>
      <w:r>
        <w:rPr>
          <w:rFonts w:eastAsia="IRNazanin" w:cs="IRNazanin"/>
          <w:color w:val="111111"/>
          <w:sz w:val="28"/>
          <w:szCs w:val="28"/>
          <w:rtl w:val="true"/>
          <w:lang w:bidi="fa-IR"/>
        </w:rPr>
        <w:t>(</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بلغت فيه الدولة العباسية من القوّة بمكان</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إلى جانب هذه الأصول كتب كثيرة للأصحاب، والذي يبدو أنها غير الأصول الأربعمائة؛ لأنَّ هناك كتباً لم يعدّوها من الأصول، مثل كتب الحسن بن محبوب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الجامع لأحمد بن محمد بن أبي نصر البزنطي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المحقق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وكتُبُ حريز بن عبد الله السجستاني كلّها تُعَدُّ في الأصول ولا تُعَدّ فيها كتب الحسن بن محبوب السرّاد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الثقة الجليل القدر من أصحاب أبي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أحد الاثنين والعشرين المجمع على فقههم وعلمهم وثقتهم وتصحيح ما يصح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ستين رجلاً من أصحاب أبي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صاحب كتاب المشيخة، والمعدود في الأركان الأربعة في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كتاب الجامع المعوّل عليه لأحمد بن محمّد بن أبي نصر البزنطي غير معدود في الأصول، بل معدود في الكتب</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تلك الكتب كتب النوادر ، فقد ألّف الكثير من أصحابنا كتباً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 أقدم من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العنوان هو جابر بن يزيد الجعفي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الشيخ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له كتاب النوادر</w:t>
      </w:r>
      <w:r>
        <w:rPr>
          <w:rStyle w:val="FootnoteAnchor"/>
          <w:rtl w:val="true"/>
        </w:rPr>
        <w:footnoteReference w:id="426"/>
      </w:r>
      <w:r>
        <w:rPr>
          <w:rFonts w:ascii="Amiri" w:hAnsi="Amiri" w:eastAsia="Amiri" w:cs="Amiri"/>
          <w:color w:val="111111"/>
          <w:sz w:val="28"/>
          <w:sz w:val="28"/>
          <w:szCs w:val="28"/>
          <w:rtl w:val="true"/>
          <w:lang w:bidi="ar-SA"/>
        </w:rPr>
        <w:t xml:space="preserve">، وممن كتب في هذا العنوان أبو حمزة الثمالي،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نصّ الشيخ النجاشي أنّ له كتاب </w:t>
      </w:r>
    </w:p>
    <w:p>
      <w:pPr>
        <w:pStyle w:val="BookText"/>
        <w:rPr/>
      </w:pPr>
      <w:r>
        <w:rPr>
          <w:rFonts w:ascii="IRNazanin" w:hAnsi="IRNazanin" w:eastAsia="IRNazanin"/>
          <w:color w:val="111111"/>
          <w:sz w:val="28"/>
          <w:sz w:val="28"/>
          <w:szCs w:val="28"/>
          <w:rtl w:val="true"/>
          <w:lang w:bidi="fa-IR"/>
        </w:rPr>
        <w:t>النوادر</w:t>
      </w:r>
      <w:r>
        <w:rPr>
          <w:rStyle w:val="FootnoteAnchor"/>
          <w:rtl w:val="true"/>
        </w:rPr>
        <w:footnoteReference w:id="427"/>
      </w:r>
      <w:r>
        <w:rPr>
          <w:rFonts w:ascii="Amiri" w:hAnsi="Amiri" w:eastAsia="Amiri" w:cs="Amiri"/>
          <w:color w:val="111111"/>
          <w:sz w:val="28"/>
          <w:sz w:val="28"/>
          <w:szCs w:val="28"/>
          <w:rtl w:val="true"/>
          <w:lang w:bidi="ar-SA"/>
        </w:rPr>
        <w:t xml:space="preserve">، وتمن ألف في هذا العنوان من أساتذة محمّد بن 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النوادر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حمزة بن اليسع القمي</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البزنطي</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أحاديث متفرّقة لا تنضبط في باب، بأن يكون حديثاً أو حديثين أو أكثر، ولكنّها قليلة جداً، ومن هذا قولهم في الكتب المتداولة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الصلاة، ونوادر الزكاة، وأمثال ذلك</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ولعلّ ما يؤكّد هذا المعنى في تفسير النوادر ما جاء في تشبيه كتاب نوادر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دبة شبيب</w:t>
      </w:r>
      <w:r>
        <w:rPr>
          <w:rFonts w:eastAsia="Amiri" w:cs="Amiri" w:ascii="Amiri" w:hAnsi="Amiri"/>
          <w:color w:val="111111"/>
          <w:sz w:val="28"/>
          <w:szCs w:val="28"/>
          <w:rtl w:val="true"/>
          <w:lang w:bidi="ar-SA"/>
        </w:rPr>
        <w:t>)</w:t>
      </w:r>
      <w:r>
        <w:rPr>
          <w:rStyle w:val="FootnoteAnchor"/>
          <w:rtl w:val="true"/>
        </w:rPr>
        <w:footnoteReference w:id="432"/>
      </w:r>
      <w:r>
        <w:rPr>
          <w:rFonts w:ascii="Amiri" w:hAnsi="Amiri" w:eastAsia="Amiri" w:cs="Amiri"/>
          <w:color w:val="111111"/>
          <w:sz w:val="28"/>
          <w:sz w:val="28"/>
          <w:szCs w:val="28"/>
          <w:rtl w:val="true"/>
          <w:lang w:bidi="ar-SA"/>
        </w:rPr>
        <w:t xml:space="preserve">على ما سيأتي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الرجاليون المتقدمون لترجمة المؤلّف وكتابه، وتحدّثوا عن حاله ووثاقته، وذكروا كتبه ومروياته وطرقهم إليها ونحو ذلك، ونحن فيما يلي نذكر ما ذكروه، نستخلص النتائج، ضمن العرض التالي</w:t>
      </w:r>
      <w:r>
        <w:rPr>
          <w:rFonts w:eastAsia="Amiri" w:cs="Amiri" w:ascii="Amiri" w:hAnsi="Amiri"/>
          <w:color w:val="111111"/>
          <w:sz w:val="28"/>
          <w:szCs w:val="28"/>
          <w:rtl w:val="true"/>
          <w:lang w:bidi="ar-SA"/>
        </w:rPr>
        <w:t xml:space="preserve">: </w:t>
      </w:r>
      <w:bookmarkStart w:id="178" w:name="pg8927_84476"/>
    </w:p>
    <w:p>
      <w:pPr>
        <w:pStyle w:val="BookText"/>
        <w:rPr/>
      </w:pPr>
      <w:bookmarkEnd w:id="178"/>
      <w:r>
        <w:rPr>
          <w:rFonts w:ascii="Amiri" w:hAnsi="Amiri" w:eastAsia="Amiri" w:cs="Amiri"/>
          <w:color w:val="111111"/>
          <w:sz w:val="28"/>
          <w:sz w:val="28"/>
          <w:szCs w:val="28"/>
          <w:rtl w:val="true"/>
          <w:lang w:bidi="ar-SA"/>
        </w:rPr>
        <w:t>تمهيد في ترجمة المؤلّف، وأقوال الرجاليين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التعريف بكتابه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الاستثناء على ضعف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المطلب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الاستثناء على وثاقة الباقين</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279176_2870459653"/>
      <w:bookmarkStart w:id="180" w:name="_Toc60"/>
      <w:bookmarkEnd w:id="179"/>
      <w:r>
        <w:rPr>
          <w:rtl w:val="true"/>
        </w:rPr>
        <w:t>تمهيد في ترجمة المؤلّف وأقوال الرجاليين في حقه</w:t>
      </w:r>
      <w:bookmarkEnd w:id="180"/>
    </w:p>
    <w:p>
      <w:pPr>
        <w:pStyle w:val="BookText"/>
        <w:rPr/>
      </w:pPr>
      <w:r>
        <w:rPr>
          <w:rFonts w:ascii="Amiri" w:hAnsi="Amiri" w:eastAsia="Amiri" w:cs="Amiri"/>
          <w:color w:val="111111"/>
          <w:sz w:val="28"/>
          <w:sz w:val="28"/>
          <w:szCs w:val="28"/>
          <w:rtl w:val="true"/>
          <w:lang w:bidi="ar-SA"/>
        </w:rPr>
        <w:t>هو محمد بن أحمد بن يحيى بن عمران بن عبد الله بن سعد بن مالك الأشعري القمي، كما نص على ذلك الرجاليون، وسيأتي لاحقاً التعرّض لكلماتهم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ولادته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يتعرّض الرجاليون والمؤرّخون لسنة ولادته ووفاته، ولكن يمكن أن نعطي شيئاً تقريبيّاً عن الفترة التي عاشها، وذلك من خلال الرواة الذين روى عنهم، والذين رووا عنه، فقد روى عن ابن أبي عمير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المعلوم أنّ الراوي يحتاج إلى أكثر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مؤهلاً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الوضع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ليتحمّل الحديث وروايته، فلا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صاحب النوادر مولوداً قبل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قد أدرك ابن أبي عمير قبل وفاته بسنة أو سنتين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لاحظنا أنّ محمّد بن جعفر الرزّاز ، الراوي عن صاحب النوادر 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 صاحب النوادر قد كان حيّاً حتى أوائل العقد الخمسين من القرن الثالث، ولا يمكن أن يكون قد تُوفّي قبل ذلك؛ لأنّ محمّد بن جعفر قبل الخمسينيات من ذلك القرن لا يستطيع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يتحمّل الحديث، وحيث إنّ صاحب النوادر قد روى عن أحمد بن محمد بن خالد البرقي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المظنون قوياً أن </w:t>
      </w:r>
      <w:bookmarkStart w:id="181" w:name="pg8927_84477"/>
    </w:p>
    <w:p>
      <w:pPr>
        <w:pStyle w:val="BookText"/>
        <w:rPr/>
      </w:pPr>
      <w:bookmarkEnd w:id="181"/>
      <w:r>
        <w:rPr>
          <w:rFonts w:ascii="Amiri" w:hAnsi="Amiri" w:eastAsia="Amiri" w:cs="Amiri"/>
          <w:color w:val="111111"/>
          <w:sz w:val="28"/>
          <w:sz w:val="28"/>
          <w:szCs w:val="28"/>
          <w:rtl w:val="true"/>
          <w:lang w:bidi="ar-SA"/>
        </w:rPr>
        <w:t>يكون حيّاً إلى هذا التاريخ؛ لأنّ الحالة المألوفة أن يموت الأسنّ في الطبقة أسبق من لاحقه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النوادر بقرينة من روى عنه ومن رووا عنه يكون من السابعة، أي متحداً مع البرقي، فلماذا نفترض أنه مات بعده ، ولم لا يكون صاحب النوادر هو من مات قبل البرقي؟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النوادر قد روى عن البرقي الذي هو من السابعة، فيكون صاحب النوادر من صغار السابعة بينما البرقي من كبارها، فهو وإن كان معدوداً في نفس طبقته، ولكنّه متأخر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يرجّح أن يكون محمّد بن أحمد بن يحيى حيّاً إلى أواخر السبعينيات أو ما بعد ذلك، فيكون عمره أكثر من سبعين سنة</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1279178_2870459653"/>
      <w:bookmarkStart w:id="183" w:name="_Toc61"/>
      <w:bookmarkEnd w:id="182"/>
      <w:r>
        <w:rPr>
          <w:rtl w:val="true"/>
        </w:rPr>
        <w:t>أقوال الرجاليين في حقه</w:t>
      </w:r>
      <w:bookmarkEnd w:id="183"/>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أحمد بن يحيى بن عمران بن عبد الله بن سعد بن مالك الأشعري القمّي أبو جعفر، كان ثقة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يروي عن الضعفاء ويعتمد المراسيل ولا يبالي عمّن أخذ، وما عليه في نفسه مطعن في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ولمحمّد بن أحمد بن يحيى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نوادر الحكمة وهو كتاب حسن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 القميون بدبّة شبيب،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وشبيب فامي كان بقمّ له دبّة ذات بيوت، يعطي منها ما يطلب منه من دهن، فشبّهوا هذا الكتاب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الملاحم، وكتاب الطبّ، وكتاب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الإمامة، كتاب المزار</w:t>
      </w:r>
      <w:r>
        <w:rPr>
          <w:rFonts w:eastAsia="IRNazanin" w:cs="IRNazanin"/>
          <w:color w:val="111111"/>
          <w:sz w:val="28"/>
          <w:szCs w:val="28"/>
          <w:rtl w:val="true"/>
          <w:lang w:bidi="fa-IR"/>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يحيى بن عمران الأشعري القمّي،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جليل القدر ، كثير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كتاب نوادر الحكمة، وهو يشتمل على كتب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كتاب التوحيد، وكتاب الوضوء، وكتاب الصلاة، وكتاب الزكاة، وكتاب الصوم، وكتاب الحج ، وكتاب النكاح، وكتاب الطلاق، وكتاب الأنبياء، وكتاب مناقب الرجال، وكتاب فضل العرب، وكتاب فضل العربية والعجمية، وكتاب الوصايا والصدقة، وكتاب النحل والهبات، وكتاب السكنى، وكتاب الأوقات، وكتاب الفرائض، وكتاب الأيمان والنذور والكفّارات ، وكتاب العتق والتدبير والولاء والمكاتب وأمهات الأولاد، وكتاب الحدود والديات، وكتاب الشهادات، وكتاب القضايا والأحكام، العدد اثنان وعشرون كتاباً</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أحمد بن يحيى بن عمران الأشعري القمي له كتاب نوادر الحكمة مشتمل على اثنين وعشرين كتاباً، كتاب التوحيد، الأنبياء، مناقب الرجال، فضل العجم، فضل العرب والعربية، والوضوء، الصلاة على نسق كتب الفقه</w:t>
      </w:r>
      <w:r>
        <w:rPr>
          <w:rFonts w:eastAsia="IRNazanin" w:cs="IRNazanin"/>
          <w:color w:val="111111"/>
          <w:sz w:val="28"/>
          <w:szCs w:val="28"/>
          <w:rtl w:val="true"/>
          <w:lang w:bidi="fa-IR"/>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يحيى بن عمران بن عبد الله ابن سعد بن مالك الأشعري، ثقة، يروي عن الضعفاء ويعتمد المراسيل، واستثنى الشيخ محمّد بن الحسن بن الوليد ما يرويه عن جماعة ذكرتهم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المقال في 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كتب منها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حسن كبير يعرفه القميون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دبّة شبيب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بفتح الدال المهملة وتشديد الباء المنقطة تحتها نقطة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وشبيب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بالشين </w:t>
      </w:r>
    </w:p>
    <w:p>
      <w:pPr>
        <w:pStyle w:val="BookText"/>
        <w:rPr/>
      </w:pPr>
      <w:r>
        <w:rPr>
          <w:rFonts w:ascii="Amiri" w:hAnsi="Amiri" w:eastAsia="Amiri" w:cs="Amiri"/>
          <w:color w:val="111111"/>
          <w:sz w:val="28"/>
          <w:sz w:val="28"/>
          <w:szCs w:val="28"/>
          <w:rtl w:val="true"/>
          <w:lang w:bidi="ar-SA"/>
        </w:rPr>
        <w:t>المعجمة، والباء المنقطة تحتها نقطة قبل الياء المنقطة تحتها نقطتين وبعدها 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بالفاء، والميم بعد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بياع كلّ شيء، كان بقم له دبّة ذات بيوت يعطي منها ما يطلب منه من دهن، فشبّهوا هذا الكتاب بذلك</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أحمد بن يحيى الأشعري 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الحكمة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جليل القدر كثير الرواية، لكن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كان لا يبالي عمّن روى</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 ما جاء في حق الرجل، ولم يرد ذكره في كتب العامة، ويمكن استخلاص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محمّد بن أحمد بن يحيى بن عمران بن عبد الله بن سعد بن مالك الأشعري القمي، وكنيته أبو جعفر، ويبدو أن والده أحمد بن يحيى كان راوياً للحديث، فإنّ المترجم له قد روى عنه في التهذيب رواية</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اتفقت كلمة الرجاليين على وثاقته وجلالة قدره، ولم يشكك أحد في ذلك، ولكنّهم غمزوا فيه من جهة روايته عن الضعفاء، وأنّه يروي المراسيل، ولا يبالي عمّن أخذ</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عدة كتب، منها كتاب نوادر الحكمة، ومنها كتاب الملاحم، ومنها كتاب الطبّ، وغيرها</w:t>
      </w:r>
      <w:r>
        <w:rPr>
          <w:rFonts w:eastAsia="Amiri" w:cs="Amiri" w:ascii="Amiri" w:hAnsi="Amiri"/>
          <w:color w:val="111111"/>
          <w:sz w:val="28"/>
          <w:szCs w:val="28"/>
          <w:rtl w:val="true"/>
          <w:lang w:bidi="ar-SA"/>
        </w:rPr>
        <w:t xml:space="preserve">. </w:t>
      </w:r>
      <w:bookmarkStart w:id="184" w:name="pg8927_84480"/>
    </w:p>
    <w:p>
      <w:pPr>
        <w:pStyle w:val="Heading3"/>
        <w:numPr>
          <w:ilvl w:val="2"/>
          <w:numId w:val="1"/>
        </w:numPr>
        <w:rPr/>
      </w:pPr>
      <w:bookmarkStart w:id="185" w:name="__RefHeading___Toc1279180_2870459653"/>
      <w:bookmarkStart w:id="186" w:name="_Toc62"/>
      <w:bookmarkEnd w:id="184"/>
      <w:bookmarkEnd w:id="185"/>
      <w:r>
        <w:rPr>
          <w:rtl w:val="true"/>
        </w:rPr>
        <w:t>طبقته في الحديث</w:t>
      </w:r>
      <w:bookmarkEnd w:id="186"/>
    </w:p>
    <w:p>
      <w:pPr>
        <w:pStyle w:val="BookText"/>
        <w:rPr/>
      </w:pPr>
      <w:r>
        <w:rPr>
          <w:rFonts w:ascii="Amiri" w:hAnsi="Amiri" w:eastAsia="Amiri" w:cs="Amiri"/>
          <w:color w:val="111111"/>
          <w:sz w:val="28"/>
          <w:sz w:val="28"/>
          <w:szCs w:val="28"/>
          <w:rtl w:val="true"/>
          <w:lang w:bidi="ar-SA"/>
        </w:rPr>
        <w:t xml:space="preserve">تبلغ رواياته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في الكتب الأربعة</w:t>
      </w:r>
      <w:r>
        <w:rPr>
          <w:rStyle w:val="FootnoteAnchor"/>
          <w:rtl w:val="true"/>
        </w:rPr>
        <w:footnoteReference w:id="439"/>
      </w:r>
      <w:r>
        <w:rPr>
          <w:rFonts w:ascii="Amiri" w:hAnsi="Amiri" w:eastAsia="Amiri" w:cs="Amiri"/>
          <w:color w:val="111111"/>
          <w:sz w:val="28"/>
          <w:sz w:val="28"/>
          <w:szCs w:val="28"/>
          <w:rtl w:val="true"/>
          <w:lang w:bidi="ar-SA"/>
        </w:rPr>
        <w:t>، وقد روى عن جماعة كثيرة، كما روت عنه جماعة كثيرة أيضاً، وفيما يلي نذكر بعضاً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أبي عمير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الطبقة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أحمد بن محمد بن أبي نصر البزنطي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من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جماعة منهم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 الله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الطبقة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أبو جعفر العطّار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الثامنة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الرزاز، خال والد أبي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هـ وتوفي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فهو من الثامنة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غيرهم، ومنه يتضح أنّه من الطبقة السابعة؛ لأنَّه قد روى عن السادسة، وروت الثامنة عنه</w:t>
      </w:r>
      <w:r>
        <w:rPr>
          <w:rFonts w:eastAsia="Amiri" w:cs="Amiri" w:ascii="Amiri" w:hAnsi="Amiri"/>
          <w:color w:val="111111"/>
          <w:sz w:val="28"/>
          <w:szCs w:val="28"/>
          <w:rtl w:val="true"/>
          <w:lang w:bidi="ar-SA"/>
        </w:rPr>
        <w:t xml:space="preserve">. </w:t>
      </w:r>
      <w:bookmarkStart w:id="187" w:name="pg8927_84481"/>
    </w:p>
    <w:p>
      <w:pPr>
        <w:pStyle w:val="Heading3"/>
        <w:numPr>
          <w:ilvl w:val="2"/>
          <w:numId w:val="1"/>
        </w:numPr>
        <w:rPr/>
      </w:pPr>
      <w:bookmarkStart w:id="188" w:name="__RefHeading___Toc1279182_2870459653"/>
      <w:bookmarkStart w:id="189" w:name="_Toc63"/>
      <w:bookmarkEnd w:id="187"/>
      <w:bookmarkEnd w:id="188"/>
      <w:r>
        <w:rPr>
          <w:rtl w:val="true"/>
        </w:rPr>
        <w:t>التعريف بكتابه</w:t>
      </w:r>
      <w:bookmarkEnd w:id="189"/>
    </w:p>
    <w:p>
      <w:pPr>
        <w:pStyle w:val="BookText"/>
        <w:rPr/>
      </w:pPr>
      <w:r>
        <w:rPr>
          <w:rFonts w:ascii="Amiri" w:hAnsi="Amiri" w:eastAsia="Amiri" w:cs="Amiri"/>
          <w:color w:val="111111"/>
          <w:sz w:val="28"/>
          <w:sz w:val="28"/>
          <w:szCs w:val="28"/>
          <w:rtl w:val="true"/>
          <w:lang w:bidi="ar-SA"/>
        </w:rPr>
        <w:t xml:space="preserve">لمحمد بن أحمد بن يحيى عدّة كتب أشهرها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أثنى على كتابه العلماء، واعتمدوا رواياته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وصفه الشيخ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سيأتي لاحقاً من التعرّض لكلامه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كبير يعرفه القميون بدبّة شبيب، وشبيب فامي كان بقم، له دبّة ذات بيوت، يعطي منها ما يطلب منه من دهن، فشبّهوا هذا الكتاب بذلك</w:t>
      </w:r>
      <w:r>
        <w:rPr>
          <w:rFonts w:eastAsia="IRNazanin" w:cs="IRNazanin"/>
          <w:color w:val="111111"/>
          <w:sz w:val="28"/>
          <w:szCs w:val="28"/>
          <w:rtl w:val="true"/>
          <w:lang w:bidi="fa-IR"/>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وفامي يمكن أن يكون المراد منه بياع الفوم، نسبة إلى بيع الفواكه اليابسة، ويُقال لبائعها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البقال أيضاً</w:t>
      </w:r>
      <w:r>
        <w:rPr>
          <w:rStyle w:val="FootnoteAnchor"/>
          <w:rtl w:val="true"/>
        </w:rPr>
        <w:footnoteReference w:id="441"/>
      </w:r>
      <w:r>
        <w:rPr>
          <w:rFonts w:ascii="Amiri" w:hAnsi="Amiri" w:eastAsia="Amiri" w:cs="Amiri"/>
          <w:color w:val="111111"/>
          <w:sz w:val="28"/>
          <w:sz w:val="28"/>
          <w:szCs w:val="28"/>
          <w:rtl w:val="true"/>
          <w:lang w:bidi="ar-SA"/>
        </w:rPr>
        <w:t xml:space="preserve">، ويُحتمل أنّ المراد منه الحنطة، كما يُحتمل أنه الثوم بقلب الثاء فاء، كما يُحتمل أن يكون المراد من فامي نسبة إلى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 الصلح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قرية من قرى واسط، أو مدينة فاميّة، وهي مدينة حصينة من سواحل الشام، وكورة من كور حمص</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والنوادر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فيه عدّة روايات من أبواب مختلفة لا تنضبط، وعدد الروايات في كل باب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يكون كتاب النوادر المبحوث عنه من هذا القبيل، أي مشتمل على أبواب متعدّدة، وفي كل باب منها عدة روايات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ذكر الشيخ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الكتاب المذكور قد اشتمل على عدة كتب، وعددها اثنان وعشرون كتاباً</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لم يصل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حال المئات من الكتب والأصول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ولكنّه وصل إلى الطبقة المتقدّمة من فقهائنا المتقدّمين، وقد أودعه المشايخ الثلاثة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ومَن لا يحضره الفقيه والتهذيبين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وفرّقوا رواياته على حسب الأبواب</w:t>
      </w:r>
      <w:r>
        <w:rPr>
          <w:rFonts w:eastAsia="Amiri" w:cs="Amiri" w:ascii="Amiri" w:hAnsi="Amiri"/>
          <w:color w:val="111111"/>
          <w:sz w:val="28"/>
          <w:szCs w:val="28"/>
          <w:rtl w:val="true"/>
          <w:lang w:bidi="ar-SA"/>
        </w:rPr>
        <w:t xml:space="preserve">. </w:t>
      </w:r>
      <w:bookmarkStart w:id="190" w:name="pg8927_84483"/>
    </w:p>
    <w:p>
      <w:pPr>
        <w:pStyle w:val="Heading3"/>
        <w:numPr>
          <w:ilvl w:val="2"/>
          <w:numId w:val="1"/>
        </w:numPr>
        <w:rPr/>
      </w:pPr>
      <w:bookmarkStart w:id="191" w:name="__RefHeading___Toc1279184_2870459653"/>
      <w:bookmarkStart w:id="192" w:name="_Toc64"/>
      <w:bookmarkEnd w:id="190"/>
      <w:bookmarkEnd w:id="191"/>
      <w:r>
        <w:rPr>
          <w:rtl w:val="true"/>
        </w:rPr>
        <w:t>المطلب الأوّل</w:t>
      </w:r>
      <w:bookmarkEnd w:id="192"/>
    </w:p>
    <w:p>
      <w:pPr>
        <w:pStyle w:val="BookText"/>
        <w:rPr/>
      </w:pPr>
      <w:r>
        <w:rPr>
          <w:rFonts w:ascii="Amiri" w:hAnsi="Amiri" w:eastAsia="Amiri" w:cs="Amiri"/>
          <w:color w:val="111111"/>
          <w:sz w:val="28"/>
          <w:sz w:val="28"/>
          <w:szCs w:val="28"/>
          <w:rtl w:val="true"/>
          <w:lang w:bidi="ar-SA"/>
        </w:rPr>
        <w:t>في دلالة الاستثناء على ضعف المستثنى</w:t>
      </w:r>
    </w:p>
    <w:p>
      <w:pPr>
        <w:pStyle w:val="BookText"/>
        <w:rPr/>
      </w:pPr>
      <w:r>
        <w:rPr>
          <w:rFonts w:ascii="IRNazanin" w:hAnsi="IRNazanin" w:eastAsia="IRNazanin"/>
          <w:color w:val="111111"/>
          <w:sz w:val="28"/>
          <w:sz w:val="28"/>
          <w:szCs w:val="28"/>
          <w:rtl w:val="true"/>
          <w:lang w:bidi="fa-IR"/>
        </w:rPr>
        <w:t>اتفقت عبارة الشيخين النجاشي والطوسي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أنّ ابن الوليد قد استثنى جماعة من رواة كتاب نوادر الحكمة، ولا بأس بنقل محلّ الشاهد من عبارتيهما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الشيخ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ذكر اسمه وكنيته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ثقة في الحديث، إلَّا أنّ أصحابنا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يروي عن الضعفاء ويعتمد المراسيل ولا يبالي عمّن أخذ، وما عليه في نفسه مطعن في شيء، وكان محمّد بن الحسن بن الوليد يستثني من رواية محمد بن أحمد ابن يحيى ما رواه عن محمد بن موسى الهمداني، أو ما رواه عن رجل، أو يقول بعض أصحابنا، أو عن محمّد بن يحيى المعاذي، أو عن أبي عبد الله الرازي الجاموراني، أو عن أبي عبد الله السياري، أو عن يوسف بن السخت، أو عن وهب بن منبه، أو عن أبي علي النيشابوري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النيسابوري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عن أبي يحيى الواسطي، أو عن محمد بن علي أبي سمينة، أو يقول في حديث، أو كتاب ولم أروه، أو عن سهل بن زياد الآدمي، أو عن محمد بن عيسى بن عبيد بإسناد منقطع ، أو عن أحمد بن هلال، أو محمّد بن علي الهمداني، أو عبد الله بن محمد الشامي، أو عبد الله بن أحمد الرازي أو أحمد بن الحسين بن سعيد، أو أحمد ابن بشير الرقي أو عن محمّد بن هارون، أو عن ممويه بن معروف، أو عن محمد بن عبد الله بن مهران، أو ما ينفرد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الحسن بن الحسين اللؤلؤي وما يرويه عن جعفر بن محمد بن مالك، أو يوسف بن الحارث ، أو عبد الله بن محمد الدمشقي</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أصاب شيخنا أبو جعفر محمد بن الحسن بنالوليد في ذلك كله وتبعه أبو جعفر 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ذلك إلا في محمّد بن عيسى بن </w:t>
      </w:r>
    </w:p>
    <w:p>
      <w:pPr>
        <w:pStyle w:val="BookText"/>
        <w:rPr/>
      </w:pPr>
      <w:r>
        <w:rPr>
          <w:rFonts w:ascii="Amiri" w:hAnsi="Amiri" w:eastAsia="Amiri" w:cs="Amiri"/>
          <w:color w:val="111111"/>
          <w:sz w:val="28"/>
          <w:sz w:val="28"/>
          <w:szCs w:val="28"/>
          <w:rtl w:val="true"/>
          <w:lang w:bidi="ar-SA"/>
        </w:rPr>
        <w:t>عبيد فلا أدري ما رابه فيه؛ لأنّه كان على ظاهر العدالة والثقة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الطوسي بعد ذكر الاسم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جليل القدر كثير الرواية، له كتاب نوادر الحكمة، وهو يشتمل على كتب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غلوّ أو تخليط، وهو الذي يكون طريقه محمّد بن موسى الهمداني، أو يرويه عن رجل، أو عن بعض أصحابنا،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أو يرويه عن محمد بن يحيى المعاذي، أو عن أبي عبد الله الرازي الجاموراني، أو عن السياري، أو يرويه عن يوسف ابن السخت، أو عن وهب بن منبه، أو عن أبي علي النيشابوري، أو أبي يحيى الواسطي، أو محمد بن عليّ الصيرفي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ولم أروه، أو عن محمّد بن عيسى بن عبيد بإسناد منقطع ينفرد به، أو عن الهيثم بن عدي، أو عن سهل بن زياد الآدمي، أو عن أحمد بن هلال، أو عن محمد بن علي الهمداني، أو عن عبد الله بن محمد الشامي، أو عن عبد الله ابن أحمد الرازي، أو عن أحمد بن الحسين بن سعيد، أو عن أحمد بن بشير الرقي، أو عن محمّد بن هارون، أو عن ممويه بن ،معروف، أو عن محمّد بن عبد الله بن مهران، أو ينفرد به الحسن بن الحسين بن سعيد اللؤلؤي، أو جعفر بن محمد الكوفي، أو جعفر بن محمد بن مالك، أو يوسف بن الحارث، أو عبد الله بن محمّد الدمشقي</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ولنذكر فيما يلي الجماعة الذين تم استثناؤهم،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اتفق على ذكره العلمان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الهمداني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المعاذي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الرازي الجاموراني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السياري، والذي يبدو لي أنّه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ذكره الشيخ</w:t>
      </w:r>
    </w:p>
    <w:p>
      <w:pPr>
        <w:pStyle w:val="BookText"/>
        <w:rPr/>
      </w:pPr>
      <w:r>
        <w:rPr>
          <w:rFonts w:ascii="Amiri" w:hAnsi="Amiri" w:eastAsia="Amiri" w:cs="Amiri"/>
          <w:color w:val="111111"/>
          <w:sz w:val="28"/>
          <w:sz w:val="28"/>
          <w:szCs w:val="28"/>
          <w:rtl w:val="true"/>
          <w:lang w:bidi="ar-SA"/>
        </w:rPr>
        <w:t>الطوسي، كما سيأتي في ترجمته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يوسف بن السخت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منبه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النيشابوري، وفي نسخة أخرى للنجاشي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النيسابوري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الواسطي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علي أبو سمينة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ومحمّد بن علي الصيرفي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الآدمي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بن عبيد بإسناد منقطع، وأضاف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ينفرد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هلال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الهمداني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بشير الرقّي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هارون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ممويه بن معروف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بن مهران </w:t>
      </w:r>
      <w:bookmarkStart w:id="193" w:name="pg8927_84486"/>
    </w:p>
    <w:p>
      <w:pPr>
        <w:pStyle w:val="BookText"/>
        <w:rPr/>
      </w:pPr>
      <w:bookmarkEnd w:id="193"/>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ينفرد به الحسن بن الحسين اللؤلؤي، وأضاف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سعيد اللؤلؤي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يبدو اتحاد جعفر بن محمد بن مالك مع جعفر ابن محمد الكوفي الذي ذكره الشيخ الطوسي؛ لأنَّ ابن مالك 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الحارث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أضاف الشيخ الطوسي شخصاً واحداً لم يذكره الشيخ النجاشي، وهو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قد استثناها ابن الوليد وهي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رواه عن رجل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عن بعض أصحابنا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أو كتاب ولم أروه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في كتاب ولم أروه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 الشيخ الطوسي مورداً لم يذكره الشيخ النجاشي،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pStyle w:val="Heading3"/>
        <w:numPr>
          <w:ilvl w:val="2"/>
          <w:numId w:val="1"/>
        </w:numPr>
        <w:rPr/>
      </w:pPr>
      <w:bookmarkStart w:id="194" w:name="__RefHeading___Toc1279186_2870459653"/>
      <w:bookmarkStart w:id="195" w:name="_Toc65"/>
      <w:bookmarkEnd w:id="194"/>
      <w:r>
        <w:rPr>
          <w:rtl w:val="true"/>
        </w:rPr>
        <w:t>ترجمة المستثنين في كلام ابن الوليد</w:t>
      </w:r>
      <w:bookmarkEnd w:id="195"/>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موسى الهمداني ، 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موسى بن عيسى أبو جعفر الهمداني السمّان، ضعفه القميون بالغلو، وكان ابن الوليد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يضع الحديث، والله أعلم</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المعاذي، ضعفه العلّامة، وابن داود</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الرازي الجاموراني، ضعفه ابن الغضائري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ضعفه القميون، واسْتَثْنَوا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مذهبه ارتفاع</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عبد الله السياري، ضعفه العلّامة، وابن داود</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نفس الشخص الذي ذكره الشيخ الطوسي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بن السخت، قال العلامة في الخلاصة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بصري، ضعيف، مرتفع القول، استثناه القميون من نوادر الحكمة</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وهب بن منبه، لم يرد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علي النيشابوري، لم يرد ذكره في كتبنا، ويُحتمل كونه من رجال العامة، فإنَّ أستاذ الحاكم النيسابوري صاحب المستدرك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علي النيشابوري</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يحيى الواسطي، وهو سهيل بن زياد، قال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سهيل بكل الثبت في الحديث</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أبو سمينة، 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القرشي، مولاهم صير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يلقب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سمينة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ضعيف جداً، فاسد الاعتقاد، لا يعتمد </w:t>
      </w:r>
    </w:p>
    <w:p>
      <w:pPr>
        <w:pStyle w:val="BookText"/>
        <w:rPr/>
      </w:pP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w:t>
      </w:r>
      <w:r>
        <w:rPr>
          <w:rStyle w:val="FootnoteAnchor"/>
          <w:rtl w:val="true"/>
        </w:rPr>
        <w:footnoteReference w:id="4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الكشي عن الفضل بن شاذان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الكذابون المشهورون أبو الخطاب، ويونس بن ظبيان، ويزيد الصايغ، ومحمد بن سنان، وأبو سمينة أشهرهم</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سهل بن زياد الآدمي ، قال الشيخ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ضعيفاً في الحديث، غير معتمد عليه فيه وكان أحمد بن محمّد بن عيسى يشهد عليه بالغلو والكذب</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وقال الشيخ الطوسي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له كتاب</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 xml:space="preserve">، وقال في 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ضعيف جداً عند نقاد الأخبار، وقد استثناه أبو جعفر ابن بابويه في رجال نوادر الحكمة</w:t>
      </w:r>
      <w:r>
        <w:rPr>
          <w:rFonts w:eastAsia="Amiri" w:cs="Amiri" w:ascii="Amiri" w:hAnsi="Amiri"/>
          <w:color w:val="111111"/>
          <w:sz w:val="28"/>
          <w:szCs w:val="28"/>
          <w:rtl w:val="true"/>
          <w:lang w:bidi="ar-SA"/>
        </w:rPr>
        <w:t>)</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وثقه في رجاله</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عيسى بن عبيد، وثقه الشيخ النجاشي</w:t>
      </w:r>
      <w:r>
        <w:rPr>
          <w:rStyle w:val="FootnoteAnchor"/>
          <w:rtl w:val="true"/>
        </w:rPr>
        <w:footnoteReference w:id="458"/>
      </w:r>
      <w:r>
        <w:rPr>
          <w:rFonts w:ascii="Amiri" w:hAnsi="Amiri" w:eastAsia="Amiri" w:cs="Amiri"/>
          <w:color w:val="111111"/>
          <w:sz w:val="28"/>
          <w:sz w:val="28"/>
          <w:szCs w:val="28"/>
          <w:rtl w:val="true"/>
          <w:lang w:bidi="ar-SA"/>
        </w:rPr>
        <w:t>، وضعفه الشيخ الطوسي استناداً إلى الاستثناء المذكور</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 بن هلال، قال الشيخ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جعفر العبرتائي، صالح الرواية، يعرف منها وينكر ، وقد روي فيه ذموم من سيّدنا أبي محمد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 xml:space="preserve">، وقال </w:t>
      </w:r>
    </w:p>
    <w:p>
      <w:pPr>
        <w:pStyle w:val="BookText"/>
        <w:rPr/>
      </w:pPr>
      <w:r>
        <w:rPr>
          <w:rFonts w:ascii="Amiri" w:hAnsi="Amiri" w:eastAsia="Amiri" w:cs="Amiri"/>
          <w:color w:val="111111"/>
          <w:sz w:val="28"/>
          <w:sz w:val="28"/>
          <w:szCs w:val="28"/>
          <w:rtl w:val="true"/>
          <w:lang w:bidi="ar-SA"/>
        </w:rPr>
        <w:t>الشيخ الطوسي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غالياً، متهماً في دينه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 وقال 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أحمد بن هلال، فإنَّه مشهور بالغلو واللعنة، وما يختص بروايته لا نعمل عليه</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xml:space="preserve">، وفي 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فاسد المذهب، لا يلتفت إلى حديثه فيما يختص بنقله</w:t>
      </w:r>
      <w:r>
        <w:rPr>
          <w:rFonts w:eastAsia="Amiri" w:cs="Amiri" w:ascii="Amiri" w:hAnsi="Amiri"/>
          <w:color w:val="111111"/>
          <w:sz w:val="28"/>
          <w:szCs w:val="28"/>
          <w:rtl w:val="true"/>
          <w:lang w:bidi="ar-SA"/>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الهمداني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يروي عنه محمد بن أحمد ابن يحيى</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الشامي، لم يذكر ، ولكن روى عنه البزنطي بسند صحيح</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أحمد الرازي، 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الحسين بن سعيد، قال الشيخ النجاشي والشيخ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جعفر الأهوازي، الملقب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أصحابنا القميون ضعفوه،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غال، وحديثه يعرف وينكر، وله كتب</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وقال ابن الغضائري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القميون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غالياً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في ما رأيته سالم</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بشير الرقي، يبدو أنّه البرقي، 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عنه محمد بن أحمد بن يحيى، ضعيف</w:t>
      </w:r>
      <w:r>
        <w:rPr>
          <w:rFonts w:eastAsia="Amiri" w:cs="Amiri" w:ascii="Amiri" w:hAnsi="Amiri"/>
          <w:color w:val="111111"/>
          <w:sz w:val="28"/>
          <w:szCs w:val="28"/>
          <w:rtl w:val="true"/>
          <w:lang w:bidi="ar-SA"/>
        </w:rPr>
        <w:t>)</w:t>
      </w:r>
      <w:r>
        <w:rPr>
          <w:rStyle w:val="FootnoteAnchor"/>
          <w:rtl w:val="true"/>
        </w:rPr>
        <w:footnoteReference w:id="468"/>
      </w:r>
      <w:r>
        <w:rPr>
          <w:rFonts w:ascii="Amiri" w:hAnsi="Amiri" w:eastAsia="Amiri" w:cs="Amiri"/>
          <w:color w:val="111111"/>
          <w:sz w:val="28"/>
          <w:sz w:val="28"/>
          <w:szCs w:val="28"/>
          <w:rtl w:val="true"/>
          <w:lang w:bidi="ar-SA"/>
        </w:rPr>
        <w:t xml:space="preserve">، وهو يشير إلى الاستثناء، وقد ذكر الشيخ أنّه البرقي في نفس </w:t>
      </w:r>
    </w:p>
    <w:p>
      <w:pPr>
        <w:pStyle w:val="BookText"/>
        <w:rPr/>
      </w:pPr>
      <w:r>
        <w:rPr>
          <w:rFonts w:ascii="Amiri" w:hAnsi="Amiri" w:eastAsia="Amiri" w:cs="Amiri"/>
          <w:color w:val="111111"/>
          <w:sz w:val="28"/>
          <w:sz w:val="28"/>
          <w:szCs w:val="28"/>
          <w:rtl w:val="true"/>
          <w:lang w:bidi="ar-SA"/>
        </w:rPr>
        <w:t>الموضع المشار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هارون، قال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روى عنه محمد بن أحمد بن يحيى، استثناه ابن الوليد من نوادر الحكمة</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ممويه بن معروف، كسابقه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مهران، قال الشيخ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 كذاب، فاسد المذهب والحديث، مشهور بذلك</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الحسين اللؤلؤي ، وثقه الشيخ النجاشي،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كثير الرواية</w:t>
      </w:r>
      <w:r>
        <w:rPr>
          <w:rFonts w:eastAsia="Amiri" w:cs="Amiri" w:ascii="Amiri" w:hAnsi="Amiri"/>
          <w:color w:val="111111"/>
          <w:sz w:val="28"/>
          <w:szCs w:val="28"/>
          <w:rtl w:val="true"/>
          <w:lang w:bidi="ar-SA"/>
        </w:rPr>
        <w:t>)</w:t>
      </w:r>
      <w:r>
        <w:rPr>
          <w:rStyle w:val="FootnoteAnchor"/>
          <w:rtl w:val="true"/>
        </w:rPr>
        <w:footnoteReference w:id="472"/>
      </w:r>
      <w:r>
        <w:rPr>
          <w:rFonts w:ascii="Amiri" w:hAnsi="Amiri" w:eastAsia="Amiri" w:cs="Amiri"/>
          <w:color w:val="111111"/>
          <w:sz w:val="28"/>
          <w:sz w:val="28"/>
          <w:szCs w:val="28"/>
          <w:rtl w:val="true"/>
          <w:lang w:bidi="ar-SA"/>
        </w:rPr>
        <w:t>، 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يروي عنه محمّد بن أحمد بن يحيى، ضعفه ابن بابويه</w:t>
      </w:r>
      <w:r>
        <w:rPr>
          <w:rFonts w:eastAsia="Amiri" w:cs="Amiri" w:ascii="Amiri" w:hAnsi="Amiri"/>
          <w:color w:val="111111"/>
          <w:sz w:val="28"/>
          <w:szCs w:val="28"/>
          <w:rtl w:val="true"/>
          <w:lang w:bidi="ar-SA"/>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جعفر بن محمد بن مالك، قال الشيخ النجاشي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ضعيفاً في الحديث، قال أحمد بن الحسين</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يضع الحديث وضعاً، ويروي عن المجاهيل وسمعت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أيضاً فاسد المذهب والرواية، ولا أدري كيف روى عنه شيخنا النبيل الثقة أبو علي ابن همام، وشيخنا الثقة الجليل أبو غالب الزراري ؟</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 وقال الشيخ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كوفي، </w:t>
      </w:r>
    </w:p>
    <w:p>
      <w:pPr>
        <w:pStyle w:val="BookText"/>
        <w:rPr/>
      </w:pPr>
      <w:r>
        <w:rPr>
          <w:rFonts w:ascii="Amiri" w:hAnsi="Amiri" w:eastAsia="Amiri" w:cs="Amiri"/>
          <w:color w:val="111111"/>
          <w:sz w:val="28"/>
          <w:sz w:val="28"/>
          <w:szCs w:val="28"/>
          <w:rtl w:val="true"/>
          <w:lang w:bidi="ar-SA"/>
        </w:rPr>
        <w:t>ثقة، ويضعفه قوم</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الحارث، لم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محمد الدمشقي، يحتمل اتحاده مع عبد الله بن محمد الشامي المتقدّم، وعلى كلا التقديرين هو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انفرد بذكرهم الشيخ الطوسي فهم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الهيثم بن عدي، لم يذكر في كتب أصحابنا، ولعلّه من رجال العامة، فقد ذكر المحقق التستري عن معارف 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الهيثم بن عدي الطائي كان يرى رأي الخوارج،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عن الحموي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أخبارياً، علّامة، راوية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السياري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احتمال أن يكون نفس أبي عبد الله السياري الذي ذكره النجاشي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أحمد بن محمد بن سيار، قال كل من الشيخ النجاشي والشيخ الطوسي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كُتاب آل طاهر في زمن أبي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ويعرف بالسياري، ضعيف الحديث، فاسد المذهب مجفوّ الرواية، كثير المراسيل، وصنف كتباً كثيرة</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الكوفي، يحتمل قوياً اتحاده مع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ضعفه النجاشي، وعلى كلّ التقادير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ضعيفاً، وإما أن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العرض المتقدّم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أربعة من الرواة تعارض فيهم التوثيق والتضعيف</w:t>
      </w:r>
      <w:r>
        <w:rPr>
          <w:rFonts w:eastAsia="Amiri" w:cs="Amiri" w:ascii="Amiri" w:hAnsi="Amiri"/>
          <w:color w:val="111111"/>
          <w:sz w:val="28"/>
          <w:szCs w:val="28"/>
          <w:rtl w:val="true"/>
          <w:lang w:bidi="ar-SA"/>
        </w:rPr>
        <w:t>.</w:t>
      </w:r>
      <w:bookmarkStart w:id="196" w:name="pg8927_84492"/>
    </w:p>
    <w:p>
      <w:pPr>
        <w:pStyle w:val="BookText"/>
        <w:rPr/>
      </w:pPr>
      <w:bookmarkEnd w:id="19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تسعة منهم صرّح الأعلام المتقدّمون بضعفهم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البقية إمّا مجهول، وإمّا مهمل</w:t>
      </w:r>
      <w:r>
        <w:rPr>
          <w:rFonts w:eastAsia="Amiri" w:cs="Amiri" w:ascii="Amiri" w:hAnsi="Amiri"/>
          <w:color w:val="111111"/>
          <w:sz w:val="28"/>
          <w:szCs w:val="28"/>
          <w:rtl w:val="true"/>
          <w:lang w:bidi="ar-SA"/>
        </w:rPr>
        <w:t>.</w:t>
      </w:r>
    </w:p>
    <w:p>
      <w:pPr>
        <w:pStyle w:val="Heading3"/>
        <w:numPr>
          <w:ilvl w:val="2"/>
          <w:numId w:val="1"/>
        </w:numPr>
        <w:rPr/>
      </w:pPr>
      <w:bookmarkStart w:id="197" w:name="__RefHeading___Toc1279188_2870459653"/>
      <w:bookmarkStart w:id="198" w:name="_Toc66"/>
      <w:bookmarkEnd w:id="197"/>
      <w:r>
        <w:rPr>
          <w:rtl w:val="true"/>
        </w:rPr>
        <w:t>الأقوال في هذا الاستثناء</w:t>
      </w:r>
      <w:bookmarkEnd w:id="198"/>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التضعيف، وهو مختار جمع من الأعلام، كما هو ظاهر الصدوق والشيخ وابن الغضائري، وأيضاً العلّامة وابن داود حيث صرحا</w:t>
      </w:r>
      <w:r>
        <w:rPr>
          <w:rStyle w:val="FootnoteAnchor"/>
          <w:rtl w:val="true"/>
        </w:rPr>
        <w:footnoteReference w:id="479"/>
      </w:r>
      <w:r>
        <w:rPr>
          <w:rFonts w:ascii="IRNazanin" w:hAnsi="IRNazanin" w:eastAsia="IRNazanin"/>
          <w:color w:val="111111"/>
          <w:sz w:val="28"/>
          <w:sz w:val="28"/>
          <w:szCs w:val="28"/>
          <w:rtl w:val="true"/>
          <w:lang w:bidi="fa-IR"/>
        </w:rPr>
        <w:t>أو لوحا</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 xml:space="preserve">ومن موارد تلويح ابن داود ما ذكره في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المعاذي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ضعيف، روى عنه</w:t>
      </w:r>
    </w:p>
    <w:p>
      <w:pPr>
        <w:pStyle w:val="BookText"/>
        <w:rPr/>
      </w:pPr>
      <w:r>
        <w:rPr>
          <w:rFonts w:ascii="Amiri" w:hAnsi="Amiri" w:eastAsia="Amiri" w:cs="Amiri"/>
          <w:color w:val="111111"/>
          <w:sz w:val="28"/>
          <w:sz w:val="28"/>
          <w:szCs w:val="28"/>
          <w:rtl w:val="true"/>
          <w:lang w:bidi="ar-SA"/>
        </w:rPr>
        <w:t>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يلوح إلى استثناء ابن الوليد يلاحظ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بضعف بعض المذكورين استناداً إلى الاستثناء المذكور، وكذلك المحقق التستري في قاموس الرجال، ومن المعاصرين الشيخ مسلم الداوري،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استفادة التضعيف، وهو مختار جماعة، منهم العلّامة المامقاني 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 المحقق التستري في 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المعاصرين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المعجم، والشيخ محمد آصف المحسني في بحوث في علم الرجال، وغيرهما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للقول الأوّل بما يلي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ظاهر الاستثناء ضعف المذكورين بقرينة تعجّب أبي العبّاس ابن نوح من إدراج محمد بن عيسى في جملتهم،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أدري ما رابه فيه؛ لأنّه كان على ظاهر العدالة والثقة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لم يكن الاستثناء دالاً على القدح لما كان لهذا التعجب معنى، خصوصاً وأنّ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رابه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وجود الريب في المذكورين، وبحسب مناسبات الحكم والموضوع يستفاد تعلّق الريب بصفة الوثاقة ونحوها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الكثير من الأعلام المتقدمين قد فهموا التضعيف المستند إلى نفس الرواة، فهذا أبو جعفر ابن بابويه الصدوق قد أقرّ أستاذه على ذلك، وتكرّر منه الإشارة إلى التضعيف المستند إلى الاستثناء المذكور ، وهكذا أبو العباس ابن نوح الذي صرّح بتصويب ما صنعه ابن الوليد، إلا في محمّد بن عيسى، حيث يفهم من عبارته أنّ الاستثناء تضعيف للرواة، وكذلك الشيخ النجاشي، فإنّه قد ذكر قبل نقله للاستثناء أنّ صاحب 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ثقة في الحديث، إلَّا أنّ أصحابنا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يروي عن الضعفاء ويعتمد المراسيل ولا يبالي عمّن أخذ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 بعد ذلك استثناء ابن الوليد، ونقل بعده كلام ابن نوح، فيفهم من المجموع أنّ ما صنعه ابن الوليد هو تمييز الرواة الضعاف الذين روى عنهم صاحب النوادر ، وهكذا الشيخ الطوسي الذي صرّح في مواضع متعدّدة بضعف المذكورين استناداً إلى هذا الاستثناء، وقد تقدّمت الإشارة إلى ذلك عند بيان أحوال المذكورين، ومن تلك الموارد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ذكره في حق الحسن بن الحسين اللؤلؤي ،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عنه محمد بن أحمد ابن يحيى، ضعفه ابن بابویه</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يحيى المعاذي، ومحمد بن علي الهمداني، ومحمد بن هارون، </w:t>
      </w:r>
    </w:p>
    <w:p>
      <w:pPr>
        <w:pStyle w:val="BookText"/>
        <w:rPr/>
      </w:pPr>
      <w:r>
        <w:rPr>
          <w:rFonts w:ascii="Amiri" w:hAnsi="Amiri" w:eastAsia="Amiri" w:cs="Amiri"/>
          <w:color w:val="111111"/>
          <w:sz w:val="28"/>
          <w:sz w:val="28"/>
          <w:szCs w:val="28"/>
          <w:rtl w:val="true"/>
          <w:lang w:bidi="ar-SA"/>
        </w:rPr>
        <w:t>وممويه، ومحمد بن عبد الله بن مهران، ضعفاء، روى عنهم محمد بن أحمد بن يحيى</w:t>
      </w:r>
      <w:r>
        <w:rPr>
          <w:rFonts w:eastAsia="Amiri" w:cs="Amiri" w:ascii="Amiri" w:hAnsi="Amiri"/>
          <w:color w:val="111111"/>
          <w:sz w:val="28"/>
          <w:szCs w:val="28"/>
          <w:rtl w:val="true"/>
          <w:lang w:bidi="ar-SA"/>
        </w:rPr>
        <w:t>)</w:t>
      </w:r>
      <w:r>
        <w:rPr>
          <w:rStyle w:val="FootnoteAnchor"/>
          <w:rtl w:val="true"/>
        </w:rPr>
        <w:footnoteReference w:id="482"/>
      </w:r>
      <w:r>
        <w:rPr>
          <w:rFonts w:ascii="Amiri" w:hAnsi="Amiri" w:eastAsia="Amiri" w:cs="Amiri"/>
          <w:color w:val="111111"/>
          <w:sz w:val="28"/>
          <w:sz w:val="28"/>
          <w:szCs w:val="28"/>
          <w:rtl w:val="true"/>
          <w:lang w:bidi="ar-SA"/>
        </w:rPr>
        <w:t>،إلى غيرها من الموارد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يضاف إلى ذلك تضعيفات ابن الغضائري للمذكورين التي لا مستند لها ظاهراً سوی الاستثناء المذكور، فقد تقدّم في ترجمة بعض المستثنين أنه لم يذكر غير تضعيف القميين له واستثنائهم، مما يفهم منه أنه قد فهم من الاستثناء التضعيف، كما تقدّم في أبي عبد الله الرازي الجاموراني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ويمكن أن يذكر ما قد يكون دليلاً أو شاهداً على أنَّ الاستثناء إنما كان لضعفهم ، وهو ما ذكره الشيخ الصدوق في خبر صلاة يوم غدير خم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خبر صلاة يوم غدير خم والثواب المذكور فيه لمن صامه فإنّ شيخنا محمد بن الحسن كان لا يصححه،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طريق محمّد بن موسى الهمداني، وكان كذاباً غير ثقة، وكلّ ما لم يصححه ذلك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يحكم بصحته من الأخبار فهو عندنا متروك غير صحيح</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محمّد بن موسى الهمداني هو أحد المستثنين، ومن الواضح أنَّ سبب تضعيف ابن الوليد له في هذا الموضع هو كونه كذاباً غير ثقة، فيمكن أن يكون قرينة على أن سبب استثنائه إنما كان لكذبه أيضاً</w:t>
      </w:r>
      <w:r>
        <w:rPr>
          <w:rFonts w:eastAsia="Amiri" w:cs="Amiri" w:ascii="Amiri" w:hAnsi="Amiri"/>
          <w:color w:val="111111"/>
          <w:sz w:val="28"/>
          <w:szCs w:val="28"/>
          <w:rtl w:val="true"/>
          <w:lang w:bidi="ar-SA"/>
        </w:rPr>
        <w:t xml:space="preserve">. </w:t>
      </w:r>
      <w:bookmarkStart w:id="199" w:name="pg8927_84495"/>
    </w:p>
    <w:p>
      <w:pPr>
        <w:pStyle w:val="Heading3"/>
        <w:numPr>
          <w:ilvl w:val="2"/>
          <w:numId w:val="1"/>
        </w:numPr>
        <w:rPr/>
      </w:pPr>
      <w:bookmarkStart w:id="200" w:name="__RefHeading___Toc1279190_2870459653"/>
      <w:bookmarkStart w:id="201" w:name="_Toc67"/>
      <w:bookmarkEnd w:id="199"/>
      <w:bookmarkEnd w:id="200"/>
      <w:r>
        <w:rPr>
          <w:rtl w:val="true"/>
        </w:rPr>
        <w:t>الإشكالات وما يرد عليها</w:t>
      </w:r>
      <w:bookmarkEnd w:id="201"/>
    </w:p>
    <w:p>
      <w:pPr>
        <w:pStyle w:val="BookText"/>
        <w:rPr/>
      </w:pPr>
      <w:r>
        <w:rPr>
          <w:rFonts w:ascii="Amiri" w:hAnsi="Amiri" w:eastAsia="Amiri" w:cs="Amiri"/>
          <w:color w:val="111111"/>
          <w:sz w:val="28"/>
          <w:sz w:val="28"/>
          <w:szCs w:val="28"/>
          <w:rtl w:val="true"/>
          <w:lang w:bidi="ar-SA"/>
        </w:rPr>
        <w:t>ذُكرت عدة إشكالات على هذا الفهم، نذكر 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العلّامة الشيخ غلام رضا عرفانيان، وهو يتألف من ثلاث مناقشات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هناك عام لفظي موثق لمن روى عنه محمّد بن أحمد بن يحيى، ثُمَّ ورد الاستثناء عليه لكان مجال للقول بأنه في غير مورد الاستثناء يتمسّك بعموم العام، وإذ ليس، فلا اعتبار بالاستثناء الساذج المنفرد</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وكلامه ينحل إلى 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العموم اللفظي يجعل الاستثناء دالاً على ضعف المستثنين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وجوده يوفّر لنا فرصة التمسك به لإثبات وثاقة غير المستثنين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 استفادة التضعيف لا تتوقف على وجود العموم المذكور، بل تتوقف على استظهاره من كلامه، والقرائن الدالّة عليه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الأخرى فمع وجود العموم المذكور لا حاجة معه للاستثناء لتستفاد وثاقة غير المستثنين، بل تستفاد من العموم بشكل مباشر، كما أنَّ العموم إنّما يرجع إليه مع الشك في الوثاقة وعدمها، وفي مفروض الكلام ليس الأمر كذلك، فنحن لا نشك ابتداءً بوثاقتهم لنبحث عن عموم أو إطلاق، وإنّما نحاول أن نستفيد من الاستثناء كونهم ثقات على ما </w:t>
      </w:r>
    </w:p>
    <w:p>
      <w:pPr>
        <w:pStyle w:val="BookText"/>
        <w:rPr/>
      </w:pPr>
      <w:r>
        <w:rPr>
          <w:rFonts w:ascii="Amiri" w:hAnsi="Amiri" w:eastAsia="Amiri" w:cs="Amiri"/>
          <w:color w:val="111111"/>
          <w:sz w:val="28"/>
          <w:sz w:val="28"/>
          <w:szCs w:val="28"/>
          <w:rtl w:val="true"/>
          <w:lang w:bidi="ar-SA"/>
        </w:rPr>
        <w:t>سيأتي في البحث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المناقشة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صنعه ابن الوليد مجرّد اجتهاد منه، وتصويب ابن نوح ومتابعة الصدوق له مجرّد تقليد ليس إلا، وأمارة الاجتهاد في ذلك تصويب ابن نوح له في كل ما ذكره، وتخطئته له في خصوص محمّد بن عيسى، حيث اعترض على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أدري ما رابه فيه؛ لأنّه على ظاهر العدالة والثقة</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مجرّد دعوى، وما ذُكر من الشاهد لا يصلح لإثبات المطلوب؛ إذ مجرّد التخطئة لا تكفي لإثباته، وإلا لكان كثير من التوثيقات والتضعيفات قضايا اجتهادية؛ لكثرة تخطئة الأعلام بعضهم للبعض الآخر، وتشكيكهم واعتراضهم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تعجب ابن نوح في غير محله؛ لأنَّ ابن الوليد إنّما استثنى ما يرويه محمّد بن أحمد بن يحيى عن محمّد بن عيسى إذا كان الإسناد منقطعاً، وظاهره استثناء الرواية لا الراوي، فهو لم يستثن محمّد بن عيسى مطلقاً كما صنع مع الآخرين، وإنّما استثنى رواياته ذات الإسناد المنقطع، ومعه ينتفي الشاهد من الأساس</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دعوى اتباع الصدوق وابن نوح والشيخ وابن الغضائري وتقرير النجاشي لابن الوليد تقليداً مجانبة للصواب، وبعيدة كل البعد عن طريقة الأعلام المتقدمين القائمة على البحث والتحقيق والمتابعة، وقد سمعنا مراراً وتكراراً اعتراض النجاشي على القميين في بعض التضعيفات محتجاً بعدم وجدانه لما يشهد لهم في المرويات، مما يدلّ على أنّ الأعلام لم يكونوا يعتمدون في التوثيق والتضعيف على مجرد سماعه من الغير دون التدقيق والتحقيق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لو سلمنا وقلنا إن تضعيف ابن الوليد للمذكورين كان عن اجتهاد، فلا نسلّم أنَّ اجتهاده في هذا الموضع ليس حجّة علينا بعدما علمت من اتفاق الأعلام معه وتأييدهم له؛ إذ من البعيد جداً أن لا يحصل الاطمئنان من اتفاق هذا العدد الكبير من أصحاب الاختصاص والخبروية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المناقشة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تضعيف ابن الوليد لهؤلاء معارض ومنقوض بتوثيق جمع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ثبت لهم الوثاقة والاعتبار من الخارج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سعيد، قال ابن الغضائري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فيما رأيته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بن الحسين اللؤلؤي وثّقه النجاشي،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بن محمد الشامي، روى عنه البزنطي الراوي عن الثقة، وسهل بن زياد</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غريب حقاً؛ فإنَّ وجود التوثيق المعارض لا علاقة له بدلالة الاستثناء على التضعيف وعدمه، فإنَّ محلَّ الكلام في دلالة الاستثناء على التضعيف، وهذا لا يتنافى مع توثيق الغير لبعضهم، كما هو الحال في الكثير من الرواة الذين تعارض فيهم التوثيق والتضعيف</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مجرّد مصادرات، فأين ذلك الجمع الذي ثبت وثاقتهم؟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أحمد بن الحسين بن سعيد قد ضعفه القمّيون، كما صرّح بذلك الشيخ الطوسي والشيخ النجاشي، وأنَّ حديثه يعرف وينكر ، وقد تقدّم نقل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الحسن اللؤلؤي فقد وثقه النجاشي، ولكن ضعفه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عبد عبد الله بن محمد الشامي الذي روى عنه البزنطي فوثاقته مبنية على الإيمان بهذا المسلك، خصوصاً وأنَّه مسلك لم يظهر تبنيه إلَّا </w:t>
      </w:r>
    </w:p>
    <w:p>
      <w:pPr>
        <w:pStyle w:val="BookText"/>
        <w:rPr/>
      </w:pPr>
      <w:r>
        <w:rPr>
          <w:rFonts w:ascii="Amiri" w:hAnsi="Amiri" w:eastAsia="Amiri" w:cs="Amiri"/>
          <w:color w:val="111111"/>
          <w:sz w:val="28"/>
          <w:sz w:val="28"/>
          <w:szCs w:val="28"/>
          <w:rtl w:val="true"/>
          <w:lang w:bidi="ar-SA"/>
        </w:rPr>
        <w:t>مؤخراً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سهل فقد تقدّم تضعيف النجاشي له، وكذا الشيخ الطوسي في الفهرست وإن وثقه في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الإشكال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جماعة من الأعلام منهم سماحة الشيخ المحسني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بحوثه،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ذكره أنَّ الاستثناء قد يستظهر منه التضعيف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يمكن أن نتجاوز هذا الظهور بظهور أقوى، وهو أنّ الاستثناء لم يتعلّق بالأفراد، بل برواياتهم، ولذا وقع ما رواه عن رجل، أو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يقول في حديث، أو کتاب، ولم أروه، أو عن محمّد بن عيسى بإسناد منقطع، في حيّز الاستثناء؛ إذ في كلّ ذلك لا طريق لابن الوليد إلى ضعف الراوي المجهول، فأي وجه لاستثنائه إذا قطع النظر عن متون تلكم الروايات؟ فالمستثنى يرجع إلى خلل في متونها، لا في وثاقة رواتها</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استشهد لذلك بما نقله الشيخ عن الصدوق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أبو جعفر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من غلوّ أو تخليط ، وهو الذي يكون طريقه محمد بن موسى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هذه المناقشة قد أشار إلى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يعترف بظهور الاستثناء في ضعف المذكورين، ولكنّه يدعي وجود ظهور أقوى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اعتمد في تقوية ظهوره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ظهور الاستثناء في رجوعه إلى الروايات لا إلى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استثناء ابن الوليد للمراسيل والروايات المقطوعة؛ فإنّ استثناءها يرجع إلى نفس الروايات كما هو واضح</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ما كان فيها من غلوّ أو تخليط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أنّ الاستثناء إنّما كان للرواية وليس للراوي؛ إذ التخليط والغلوّ وصفان للرواية كما هو واضح </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رجعنا إلى عبارة النجاشي وتأملنا فيها لوجدنا أنَّ الاستثناء فيها يرجع إلى الرواة، وإلى الروايات أيضاً، فإنّه قد ذكر في أوّل كلامه أنَّ أصحابنا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ابن أحمد بن يحيى يروي عن الضعاف، ويعتمد المراسيل، ولا يبالي عمّن أخذ، ثُمَّ ذكر بعد ذلك استثناء ابن الوليد، فجاء الاستثناء لتنقية النوادر من هذين العيبين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عن الضعاف، ورواية 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الذي قام به ابن الوليد هو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استثناء الروايات المرسلة والمنقطعة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استثناء الرواة الضعاف، وقد استثناهم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الشيخ عن الصدوق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فيها من غلوّ أو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يتناسب مع استثناء المراسيل والإسناد المنقطع ؛ إذ لا ملازمة بينها وبين اشتمالها على الغلو والتخليط ، وإنّما استثنى المراسيل لجهالة الراوي وعدم معرفة السند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الغلو والتخليط وإن كانا وصفين للروايات، ولكنهما في نفس الوقت يجعلان راويهما متهماً بالكذب وعدم الوثاقة، ومن هنا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استثناهم ابن الوليد متهمون بالكذب لغلوّهم وتخليطهم، فكأنّ مراد الصدوق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كان فيها من روايات الغلاة والمخلطين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هذا المعنى أنه لو كان المقصود هو استثناء روايات التخليط والغلو لا رواتها لأشار ابن الوليد إلى نفس الروايات المشتملة على ذلك؛ إذ من البعيد أن تكون روايات المذكورين كلّها مشتملة على التخليط والغلوّ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تمّ هذا فهو، وإلا لزم رفع اليد عن هذا الظاهر لقرائن معاكسة، منها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نقلناه سابقاً من الشاهد على أنّ الصدوق قد ضعف رواية يرويها محمّد بن موسى الهمداني؛ لتضعيف ابن الوليد له لكذبه وعدم وثاقته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المعنى يتنافى مع فهم الأعلام له، حيث إنّهم قد فهموا رجوع التضعيف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الرواة لا إلى الروايات، كما صرح بذلك الشيخ في مواضع متعدّدة، فلو كان المقصود هو استثناء الروايات لاشتمالها على الغلو والتخليط فلماذا فهم الشيخ من الاستثناء ضعف الرواة، وهو الذي نقل عبارة الصدوق الموهمة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العباس ابن نوح قد فهم من الاستثناء رجوعه إلى الأفراد بقرينة اعتراضه على استثناء محمد بن عيسى، ومن الواضح أنَّ فَهم ابن نوح وأمثاله يُعدّ قرينة على مراد ابن الوليد ومقصوده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بلحاظ الحسن بن الحسين اللؤلؤي،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ينفرد به الحسن بن الحسين اللؤلؤي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رجوعه إلى الراوي لا إلى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الشكّ في رجوع الاستثناء إلى الأفراد فيما صرح به من الأسماء، ورجوعه إلى الروايات فيما صرّح به من ألفاظ الإرسال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رجوع الاستثناء إلى الأفراد لا إلى الروايات ما ذكره الشيخ في العدّة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وجدنا الطائفة ميّزت الرجال الناقلة لهذه الأخبار، ووثقت الثقات منهم، وضعفت الضعفاء، وفرّقوا بين من يعتمد على حديثه وروايته، ومن لا يعتمد على خبره، ومدحوا الممدوح منهم، وذمّوا المذموم، وقالوا فلان متهم في حديثه، وفلان كذَّاب، وفلان مخلط، وفلان مخالف في المذهب والاعتقاد، وفلان واقفي، وفلان فطحي، وغير ذلك من الطعون التي ذكروها، وصنفوا في ذلك الكتب، واستثنوا الرجال من جملة ما رووه من التصانيف في فهارسهم، حتّى أنَّ واحداً منهم إذا أنكر حديثاً نظر في إسناده </w:t>
      </w:r>
    </w:p>
    <w:p>
      <w:pPr>
        <w:pStyle w:val="BookText"/>
        <w:rPr/>
      </w:pPr>
      <w:r>
        <w:rPr>
          <w:rFonts w:ascii="Amiri" w:hAnsi="Amiri" w:eastAsia="Amiri" w:cs="Amiri"/>
          <w:color w:val="111111"/>
          <w:sz w:val="28"/>
          <w:sz w:val="28"/>
          <w:szCs w:val="28"/>
          <w:rtl w:val="true"/>
          <w:lang w:bidi="ar-SA"/>
        </w:rPr>
        <w:t>وضعفه برواته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عادتهم على قديم الوقت وحديثه لا تنخرم</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واستثنوا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بإطلاقه لاستثناء ابن الوليد رواة نوادر الحكمة ومن الواضح أنَّ الشيخ يصرح برجوع الاستثناء لنفس الرجال لا إلى الروايات</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يتحصّل ظهور الاستثناء في ضعف المستثنين</w:t>
      </w:r>
      <w:r>
        <w:rPr>
          <w:rFonts w:eastAsia="Amiri" w:cs="Amiri" w:ascii="Amiri" w:hAnsi="Amiri"/>
          <w:color w:val="111111"/>
          <w:sz w:val="28"/>
          <w:szCs w:val="28"/>
          <w:rtl w:val="true"/>
          <w:lang w:bidi="ar-SA"/>
        </w:rPr>
        <w:t xml:space="preserve">. </w:t>
      </w:r>
      <w:bookmarkStart w:id="202" w:name="pg8927_84502"/>
    </w:p>
    <w:p>
      <w:pPr>
        <w:pStyle w:val="Heading3"/>
        <w:numPr>
          <w:ilvl w:val="2"/>
          <w:numId w:val="1"/>
        </w:numPr>
        <w:rPr/>
      </w:pPr>
      <w:bookmarkStart w:id="203" w:name="__RefHeading___Toc1279192_2870459653"/>
      <w:bookmarkStart w:id="204" w:name="_Toc68"/>
      <w:bookmarkEnd w:id="202"/>
      <w:bookmarkEnd w:id="203"/>
      <w:r>
        <w:rPr>
          <w:rtl w:val="true"/>
        </w:rPr>
        <w:t>المطلب الآخر</w:t>
      </w:r>
      <w:bookmarkEnd w:id="204"/>
    </w:p>
    <w:p>
      <w:pPr>
        <w:pStyle w:val="BookText"/>
        <w:rPr/>
      </w:pPr>
      <w:r>
        <w:rPr>
          <w:rFonts w:ascii="Amiri" w:hAnsi="Amiri" w:eastAsia="Amiri" w:cs="Amiri"/>
          <w:color w:val="111111"/>
          <w:sz w:val="28"/>
          <w:sz w:val="28"/>
          <w:szCs w:val="28"/>
          <w:rtl w:val="true"/>
          <w:lang w:bidi="ar-SA"/>
        </w:rPr>
        <w:t>في دلالة الاستثناء على وثاقة الباقين</w:t>
      </w:r>
    </w:p>
    <w:p>
      <w:pPr>
        <w:pStyle w:val="BookText"/>
        <w:rPr/>
      </w:pPr>
      <w:r>
        <w:rPr>
          <w:rFonts w:ascii="Amiri" w:hAnsi="Amiri" w:eastAsia="Amiri" w:cs="Amiri"/>
          <w:color w:val="111111"/>
          <w:sz w:val="28"/>
          <w:sz w:val="28"/>
          <w:szCs w:val="28"/>
          <w:rtl w:val="true"/>
          <w:lang w:bidi="ar-SA"/>
        </w:rPr>
        <w:t>ذكرنا سابقاً أنَّ استثناء ابن الوليد فيه دلالتان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ضعف المستثنين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الاستثناء على وثاقة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اتضح تماميّة الدلالة الأولى، وبقي الحديث عن تماميّة الدلالة الأخرى، وهو ما سنتحدّث عنه في هذا المطلب</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279194_2870459653"/>
      <w:bookmarkStart w:id="206" w:name="_Toc69"/>
      <w:bookmarkEnd w:id="205"/>
      <w:r>
        <w:rPr>
          <w:rtl w:val="true"/>
        </w:rPr>
        <w:t>أقوال الأعلام</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ذهب جماعة من الأعلام إلى عدم دلالته على وثاقة الباقين، منهم السيد حسن الصدر في نهاية الدراية</w:t>
      </w:r>
      <w:r>
        <w:rPr>
          <w:rStyle w:val="FootnoteAnchor"/>
          <w:rtl w:val="true"/>
        </w:rPr>
        <w:footnoteReference w:id="489"/>
      </w:r>
      <w:r>
        <w:rPr>
          <w:rFonts w:ascii="Amiri" w:hAnsi="Amiri" w:eastAsia="Amiri" w:cs="Amiri"/>
          <w:color w:val="111111"/>
          <w:sz w:val="28"/>
          <w:sz w:val="28"/>
          <w:szCs w:val="28"/>
          <w:rtl w:val="true"/>
          <w:lang w:bidi="ar-SA"/>
        </w:rPr>
        <w:t>، والسيد الخوئي في المعجم</w:t>
      </w:r>
      <w:r>
        <w:rPr>
          <w:rStyle w:val="FootnoteAnchor"/>
          <w:rtl w:val="true"/>
        </w:rPr>
        <w:footnoteReference w:id="490"/>
      </w:r>
      <w:r>
        <w:rPr>
          <w:rFonts w:ascii="Amiri" w:hAnsi="Amiri" w:eastAsia="Amiri" w:cs="Amiri"/>
          <w:color w:val="111111"/>
          <w:sz w:val="28"/>
          <w:sz w:val="28"/>
          <w:szCs w:val="28"/>
          <w:rtl w:val="true"/>
          <w:lang w:bidi="ar-SA"/>
        </w:rPr>
        <w:t>، والشيخ محمد آصف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بحوثه</w:t>
      </w:r>
      <w:r>
        <w:rPr>
          <w:rStyle w:val="FootnoteAnchor"/>
          <w:rtl w:val="true"/>
        </w:rPr>
        <w:footnoteReference w:id="491"/>
      </w:r>
      <w:r>
        <w:rPr>
          <w:rFonts w:ascii="Amiri" w:hAnsi="Amiri" w:eastAsia="Amiri" w:cs="Amiri"/>
          <w:color w:val="111111"/>
          <w:sz w:val="28"/>
          <w:sz w:val="28"/>
          <w:szCs w:val="28"/>
          <w:rtl w:val="true"/>
          <w:lang w:bidi="ar-SA"/>
        </w:rPr>
        <w:t>،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وذهب جمع آخر إلى استفادة الوثاقة أو الحسن أو المدح أو نحو ذلك من أمارات الاعتماد، وهم جماعة كثيرة، منهم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المحقق السبزواري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محسن الأعرجي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مراتبه المدح، بل جعل طريقاً إلى التوثيق</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مهدي الكجوري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وستعرف أن تضعيف القميين وإن كان مما يتأمّل في كونه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عدم استثنائهم دالّ على كمال الوثاقة</w:t>
      </w:r>
      <w:r>
        <w:rPr>
          <w:rFonts w:eastAsia="Amiri" w:cs="Amiri" w:ascii="Amiri" w:hAnsi="Amiri"/>
          <w:color w:val="111111"/>
          <w:sz w:val="28"/>
          <w:szCs w:val="28"/>
          <w:rtl w:val="true"/>
          <w:lang w:bidi="ar-SA"/>
        </w:rPr>
        <w:t>)</w:t>
      </w:r>
      <w:r>
        <w:rPr>
          <w:rStyle w:val="FootnoteAnchor"/>
          <w:rtl w:val="true"/>
        </w:rPr>
        <w:footnoteReference w:id="494"/>
      </w:r>
      <w:r>
        <w:rPr>
          <w:rFonts w:ascii="Amiri" w:hAnsi="Amiri" w:eastAsia="Amiri" w:cs="Amiri"/>
          <w:color w:val="111111"/>
          <w:sz w:val="28"/>
          <w:sz w:val="28"/>
          <w:szCs w:val="28"/>
          <w:rtl w:val="true"/>
          <w:lang w:bidi="ar-SA"/>
        </w:rPr>
        <w:t>، وظاهره أنَّ الاستثناء لا يدلّ على ضعف المستثنين، ولكنّه يدلّ على وثاقة غير المستثنين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يروي عنه محمد بن أحمد ابن يحيى ولم يكن من جملة ما استثنوه؛ إذ الظاهر أنّه أمارة الاعتماد عليه، بل ربما يكون أمارة الوثاقة</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الوحيد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أمارة الاعتماد عليه، بل ربما يكون أمارة لوثاقته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محمّد بن إسماعيل المازندراني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أسباب المدح</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مسلم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هناك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وفيما يلي نعرض ما يفيد الوثاقة، ثُمَّ نذكر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تقريب الوثاقة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أن اتضح ضعف المستثنين، وأنَّ ابن الوليد إنَّما استثناهم لضعفهم، يفهم منه عرفاً وثاقة الباقين واعتبارهم؛ لأنَّه كان بصدد تنقية رجال النوادر ورواياته من الضعاف والمراسيل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الوليد يريد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قمت باستثنائهم لا يصح الاعتماد على روايتهم، فيفهم منه أنَّ من لم يقم باستثنائهم يصح الاعتماد على روايتهم، وهو أمارة الوثاقة والمقبولية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يُدعم هذا التقريب بعدة شواهد بعضها من داخل النص وبعضها من خارجه</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ابن نوح عقيب الاستثناء على ما نقله عنه النجاشي، فإنّه قد صوّب ابن الوليد في كلّ ما صنعه إلَّا في محمّد بن عيسى،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أدري ما رابه فيه؛ لأنّه كان على ظاهر العدالة والثقة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الذين تمّ استثناؤهم فيهم ريب، كما أنهم لم تُحرز عدالتهم ووثاقتهم؛ إذ يكفي لإدراجهم في المستثنى عدم إحراز العدالة والوثاقة، فلو لم يكن محمّد ابن عيسى محرز العدالة والوثاقة لما اعترض ابن نوح على استثنائه، فلازمه أنّ من تمّ استثناؤهم لم تكن عدالتهم محرزة، وبمقتضى المقابلة كون الباقين ممن أحرزت عدالتهم ووثاقتهم وإلا لاستحقوا أن يذكروا في المستثنى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وبتعبير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ملازمة بين وجود الريب وعدم العدالة، فمع ثبوت العدالة ينتفي الريب، ومع وجود الريب تنتفي العدالة، ومعه فمن ذُكر في الاستثناء لم تحرز عدالتهم لوجود الريب فيهم، ومن لم يذكروا لا ريب فيهم، ولازمه ثبوت عدالتهم؛ لأنَّ الريب </w:t>
      </w:r>
      <w:bookmarkStart w:id="207" w:name="pg8927_84505"/>
    </w:p>
    <w:p>
      <w:pPr>
        <w:pStyle w:val="BookText"/>
        <w:rPr/>
      </w:pPr>
      <w:bookmarkEnd w:id="207"/>
      <w:r>
        <w:rPr>
          <w:rFonts w:ascii="Amiri" w:hAnsi="Amiri" w:eastAsia="Amiri" w:cs="Amiri"/>
          <w:color w:val="111111"/>
          <w:sz w:val="28"/>
          <w:sz w:val="28"/>
          <w:szCs w:val="28"/>
          <w:rtl w:val="true"/>
          <w:lang w:bidi="ar-SA"/>
        </w:rPr>
        <w:t>مبرّر لاستثنائهم، وحيث إنّ محمّد بن عيسى كان على ظاهر العدالة والثقة فلا ينبغي الريب فيه، فيفهم منه أنَّ كلّ المستثنين فيهم ريب، ومن عداهم لا ريب فيهم، وإلا الذكروا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المستثنين الحسن بن الحسين اللؤلؤي ، وقد استثنى خصوص ما يتفرّد به، ونحن نعلم أنَّ هذا أقل مراتب الغمز أو القدح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درجاته المخفّفة، مما يكشف عن أنَّ الاستثناء قد طال كلّ مَن فيه قدح أو غمز ولو في أدنى مراتبه، ما يعني سلامة غيرهم من الغمز والقدح مطلقاً، وهو كافٍ في وثاقتهم، أو على الأقل مقبوليتهم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المستثنين لم يُذكروا بقدح في كلمات الرجاليين، بل لم يترجم لبعضهم، فهم من المجهولين أو المهملين، ومع ذلك قام ابن الوليد باستثنائهم، مما يُشعر أنَّ المجهولين والمهملين ضعاف عند ابن الوليد وعند الأعلام الذين أقروه على صنيعه، ولازمه أنَّ غير المستثنين ليسوا مجهولين ولا مهملين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الشاهد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المتابع لحال القميين يدرك جيداً تشدّدهم في الأخذ بالأخبار والنقل عن الرواة، فإنَّ المعروف عنهم الغمز في الراوي لأدنى سبب، ولو لتهمة الغلو،فضلا عن الضعف وعدم  الوثاقة، ومنه يتضح أن الرواة الذين لم يتم استثناؤهم لم يجد القميون فيهم ما يوجب الغمز ؛ إذ لو وجدوا فيهم لاستثنوهم</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279196_2870459653"/>
      <w:bookmarkStart w:id="209" w:name="_Toc70"/>
      <w:bookmarkEnd w:id="208"/>
      <w:r>
        <w:rPr>
          <w:rtl w:val="true"/>
        </w:rPr>
        <w:t>الإشكالات الواردة على هذا التقريب وما يرد عليها</w:t>
      </w:r>
      <w:bookmarkEnd w:id="20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اعتماد ابن الوليد أو غيره من الأعلام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شخص والحكم بصحتها لا يكشف </w:t>
      </w:r>
    </w:p>
    <w:p>
      <w:pPr>
        <w:pStyle w:val="BookText"/>
        <w:rPr/>
      </w:pPr>
      <w:r>
        <w:rPr>
          <w:rFonts w:ascii="IRNazanin" w:hAnsi="IRNazanin" w:eastAsia="IRNazanin"/>
          <w:color w:val="111111"/>
          <w:sz w:val="28"/>
          <w:sz w:val="28"/>
          <w:szCs w:val="28"/>
          <w:rtl w:val="true"/>
          <w:lang w:bidi="fa-IR"/>
        </w:rPr>
        <w:t>عن وثاقة الراوي أو حسنه، وذلك لاحتمال أن الحكم بالصحة يعتمد على أصالة العدالة، ویرى حجية كل رواية يرويها مؤمن لم يظهر منه فسق، وهذا لا يفيد من يعتبر وثاقة الراوي أو حسنه، في حجّية خبره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بالإضافة إلى تصحيح ابن الوليد وأضرابه من القدماء، الذين قد يصرحون بصحة رواية ما، أو يعتمدون عليها من دون تعرّض لوثاقة رواتها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الصدوق فهو يتبع شيخه في التصحيح وعدمه، كما صرّح هو نفسه بذلك</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احتمال أصالة العدالة عند المتقدمين بشكل معتد به، وهو شيء غير واضح ؛ إذ المؤشرات والقرائن تفيد عكس ذلك، لا سيّما في مثل ابن الوليد وابن بابويه، فإنَّ التشدّد المعروف عن المدرسة القمية لا يتناسب مع فكرة أصالة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يفهم من كلماتهم أنّ حسن الظاهر يكفي في ثبوت العدالة، ولكن هذا شيء آخر غير أصالة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يعتمد على فهم رجوع الاستثناء إلى المروي لا إلى الراوي، مع أنّنا قد قرّبنا رجوعه إلى المروي تارة، وإلى الراوي أخرى، والعمل الذي قام به ابن الوليد هو أنّه استثنى من كتاب النوادر الروايات المرسلة والمقطوعة، واستثنى الرواة الضعاف</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الثاني ما ذكره الشيخ المحسني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يمكن أن يكون السرّ في الاستثناء هو العلم ببطلان المتون في المذهب، فلا يدلّ على صحة بقية الروايات؛ فإنّ المستثنى منها هي الروايات الصحيحة والمجهولة معاً دون خصوص الأولى</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الإشكال يبتني على رجوع الاستثناء إلى خصوص الروايات دون الرواة، وقد اتضح بطلانه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بما ذكره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يتنافى مع استثناء الروايات المرسلة ونحوها؛ إذ لو كان الاستثناء لأجل العلم ببطلانها فماذا يعني استثناء المراسيل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الشيخ المحسني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أيضاً، ولكن جعله مؤيداً لرجوع الاستثناء إلى الروايات فقط، حيث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محكي العيون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حول رواية في سندها محمّد بن عبد الله المسمعي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شيخنا 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سيء الرأي فيه، وإنّما أخرجت هذا الخبر في هذا الكتاب؛ لأنه كان في كتاب الرحمة، وقد قرأته عليه فلم ينكره، ورواه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والحال أنَّ المسمعي غير داخل في من استثني</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يتضح أنَّ مرجع الاستثناء الاستثناء هو الروايات لا الأفراد ؛ إذ لو كان مرجعه الرواة فلماذا لم يتم استثناء المسمعي، مع وروده في روايات محمد بن أحمد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أحمد بن يحيى قد روى عن المسمعي روايتين فقط، كما في التهذيب، ويحتمل قوياً اتحادهما، وهما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أيده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محمد بن أحمد بن داود، عن أبيه، عن أبي الحسن علي بن الحسين، عن محمد بن يحيى، عن محمد بن أحمد بن يحيى، عن محمد بن عبد الله المسمعي ورجل آخر، عن إسماعيل بن مهران، عن سيف بن عميرة،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 القبر وعليك نعل ولا قلنسوة ولا رداء ولا</w:t>
      </w:r>
    </w:p>
    <w:p>
      <w:pPr>
        <w:pStyle w:val="BookText"/>
        <w:rPr/>
      </w:pPr>
      <w:r>
        <w:rPr>
          <w:rFonts w:ascii="Amiri" w:hAnsi="Amiri" w:eastAsia="Amiri" w:cs="Amiri"/>
          <w:color w:val="111111"/>
          <w:sz w:val="28"/>
          <w:sz w:val="28"/>
          <w:szCs w:val="28"/>
          <w:rtl w:val="true"/>
          <w:lang w:bidi="ar-SA"/>
        </w:rPr>
        <w:t>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فالخف؟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بالخف فإنَّ في خلع الخف شناعة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وذكر بعده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الإسناد عن محمّد بن عبد الله المسمعي، عن إسماعيل بن يسار الواسطي، عن سيف بن عميرة، عن أبي بكر الحضرمي،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تنزل القبر وعليك العمامة ولا قلنسوة ولا رداء ولا حذاء، وحل أزرارك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بالخف في وقت الضرورة والتقية، وليجهد في ذلك جهده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رواية محمد بن أحمد بن يحيى عن المسمعي نادرة، فمن المحتمل غفلة ابن الوليد عنه، والغفلة عن مثل هذه الأمور ليست بعزيزة عند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قويّاً أن لا يكون المسمعي من رجال نوادر الحكمة، ولذلك لم يستثنه ابن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كتاب نوادر الحكمة من الكتب التي لم تصل إلينا، ولكنها قد وصلت إلى علمائنا المتقدمين كالكليني والصدوق والطوسي، ويمكن أن نحصل على روايات ورواة الكتاب المذكور كلّاً أو بعضاً من خلال الطريقين التاليين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 من لا يحضره الفقيه، فإنَّ الشيخ الصدوق قد ذكر الكتاب في ضمن الكتب التي اعتمدها في تأليف كتابه، وإذا أراد النقل عنه ابتدأ السند بذكر صاحب الكتاب مع حذف طريقه إليه؛ اعتماداً على ما يذكره من الطرق إلى الكتب في المشيخة، وحينئذ لو ابتدأ السند بذكر محمد بن أحمد بن يحيى فهذا يعني أنّه ينقل الرواية عن كتاب نوادر الحكمة، ومعه يمكن معرفة الرواة الذين روى عنهم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كتابي التهذيبين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الاستبصار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فإنَّه قد التزم فيما لو أراد النقل عن كتاب أن يبتدأ السند بصاحب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هذين الطريقين يمكن معرفة رجال النوادر ، وحينئذ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تتبع الروايات التي يرويها الصدوق والشيخ عن كتاب النوادر، أي التي يبتدآن السند بذكره لا نجد للمسمعي ذكراً، مما يعني أنّه لم يرو عنه في كتاب نوادر الحكمة بحدود ما هو موجود في كتاب الصدوق وكتابي الشيخ، والروايتان اللتان نقلناهما عن التهذيب والتي وقع في سنديهما محمّد بن عبد الله المسمعي لم يبدأ السند فيهما بمحمد بن أحمد بن يحيى،مما يعني ظاهراً أنّه لم ينقلهما عن كتابه، ومعه لا يعلم ورود المسمعي في كتاب النوادر، ليكون عدم استثنائه دليلاً على رجوع الاستثناء إلى الروايات لا إلى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الجواب يبتني على كون الاستثناء مختصاً بكتاب النوادر، وأما لو كان شاملاً لكل روايات محمّد بن أحمد فلا يتم، والظاهر من عبارة النجاشي هو عموم الاستثناء وعدم اختصاصه بكتاب النوادر ؛ لأنه بعد أن ذكر اسمه وكنيته وقول الأصحاب في حقه،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وكان محمد بن الحسن بن الوليد يستثني من رواية محمد بن أحمد بن يحيى ما رواه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كلامه،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ولمحمد بن أحمد بن يحيى كتب،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نوادر الحكمة، وهو كتاب حسن كبير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الملاحم، وكتاب الطب، وكتاب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وكتاب الإمامة، وكتاب المزار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من جميع كلامه عموم الاستثناء الجميع كتبه ومروياته، ومعه لا يتم الجواب المذكور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رجعنا إلى كلام الشيخ نجد أنّه لم يذكر سوى كتاب نوادر الحكمة،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كتاب مشتمل على عدة كتب، ولم يذكر غيره، ثُمَّ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أخبرنا بجميع </w:t>
      </w:r>
    </w:p>
    <w:p>
      <w:pPr>
        <w:pStyle w:val="BookText"/>
        <w:rPr/>
      </w:pPr>
      <w:r>
        <w:rPr>
          <w:rFonts w:ascii="Amiri" w:hAnsi="Amiri" w:eastAsia="Amiri" w:cs="Amiri"/>
          <w:color w:val="111111"/>
          <w:sz w:val="28"/>
          <w:sz w:val="28"/>
          <w:szCs w:val="28"/>
          <w:rtl w:val="true"/>
          <w:lang w:bidi="ar-SA"/>
        </w:rPr>
        <w:t xml:space="preserve">كتبه ورواياته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جعفر ابن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مقصوده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كتب محمّد بن أحمد رجع الاستثناء إلى الجميع، وإن كان مقصوده الكتب المشتمل عليها النوادر رجع الاستثناء إلى كتاب النوادر فقط، وهو الظاهر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يؤكّد اختصاص الاستثناء برجال النوادر ما ذكره الشيخ في ترجمة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عيسى بن عبيد اليقطيني، ضعيف، استثناه أبو جعفر محمد ابن علي ابن بابويه عن رجال نوادر الحكمة</w:t>
      </w:r>
      <w:r>
        <w:rPr>
          <w:rFonts w:eastAsia="IRNazanin" w:cs="IRNazanin"/>
          <w:color w:val="111111"/>
          <w:sz w:val="28"/>
          <w:szCs w:val="28"/>
          <w:rtl w:val="true"/>
          <w:lang w:bidi="fa-IR"/>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اتضح من مطاوي البحث أنَّ ظاهر الاستثناء ضعف المستثنين، واعتبار الباقين، ومن هنا سوف يدخل في دائرة الاعتبار عدد كبير من الرواة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رب العالمين وصلى الله على خير خلقه محمّد وآله الطيبين الطاهرين</w:t>
      </w:r>
      <w:r>
        <w:rPr>
          <w:rFonts w:eastAsia="Amiri" w:cs="Amiri" w:ascii="Amiri" w:hAnsi="Amiri"/>
          <w:color w:val="111111"/>
          <w:sz w:val="28"/>
          <w:szCs w:val="28"/>
          <w:rtl w:val="true"/>
          <w:lang w:bidi="ar-SA"/>
        </w:rPr>
        <w:t xml:space="preserve">. </w:t>
      </w:r>
      <w:bookmarkStart w:id="210" w:name="pg8927_84511"/>
    </w:p>
    <w:p>
      <w:pPr>
        <w:pStyle w:val="Heading3"/>
        <w:numPr>
          <w:ilvl w:val="2"/>
          <w:numId w:val="1"/>
        </w:numPr>
        <w:rPr/>
      </w:pPr>
      <w:bookmarkStart w:id="211" w:name="__RefHeading___Toc1279198_2870459653"/>
      <w:bookmarkStart w:id="212" w:name="_Toc71"/>
      <w:bookmarkEnd w:id="210"/>
      <w:bookmarkEnd w:id="211"/>
      <w:r>
        <w:rPr>
          <w:rtl w:val="true"/>
        </w:rPr>
        <w:t>المصادر</w:t>
      </w:r>
      <w:bookmarkEnd w:id="21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شيخ الطائفة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الشيخ جواد القيّومي الأصفهاني،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الإسلامي التابعة لجماعة المدرّسين بقم المشرفة،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الطائفة أبو جعفر 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السيد مهدي الرجائي،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فيما اختلف من الأخبار، شيخ الطائفة أبو جعفر محمد بن الحسن الطو 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المطبعة خورشيد، ط الرابعة،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أصول علم الرجال بين النظرية والتطبيق تقريراً لأبحاث الشيخ مسلم الداوري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صالح المعلّم،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المحبّين،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ط الأولى،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إيضاح الاشتباه، الشيخ أبو منصور الحسن بن يوسف بن المطهر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لبحلی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محمّد الحسون،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الأولى،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بحار الأنوار الجامعة لدرر أخبار الأئمة الأطهار ، الشيخ محمد باقر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 الثانية،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بحوث في علم الرجال، الشيخ محمد آصف المحسني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كمال سلمان العنزي،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زلال كوثر، ط الخامسة،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تفصيل وسائل الشيعة إلى تحصيل مسائل الشريعة، الشيخ 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لإحياء التراث، سنة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 بيروت، بئر العبد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الأحكام في شرح المقنعة، شيخ الطائفة أبو جعفر محمد بن الحسن الطوسي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حسن الموسوي الخرسان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ط الثالثة،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في معرفة الرجال، الشيخ أبو منصور الحسن بن يوسف بن المطهر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ذخيرة المعاد في شرح الإرشاد الشيخ محمّد باقر السبزواري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لإحياء التراث، طبعة حجرية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رجال ابن داود، الشيخ تقي الدين الحسن بن علي بن داود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حيّاً سنة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صادق آل بحر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الرجال، الشيخ أحمد بن الحسين بن عبيد الله بن إبراهيم الغضائري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رضا الحسيني الجلالي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الحديث،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في دراية الحديث،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الفضل حافظيان البابلي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دار الحديث للطباعة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ط الأولى،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الرواشح السماوية، الميرداماد محمّد باقر الحسيني الأسترآبادي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حسين قيصريةها ونعمت الله الجليلي،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ط الأولى،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طرائف المقال في معرفة طبقات الرجال، السيّد علي أصغر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العدّة في أصول الفقه، شيخ الطائفة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الأنصاري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عوائد الأيّام، الشيخ أحمد بن محمد مهدي النراقي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المطبعة مكتب الإعلام الإسلامي،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أسماء مصنّفي الشيعة رجال النجاشي، الشيخ أحمد بن علي بن أحمد بن العبّاس النجاشي الأسدي الكوفي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موسى الشبيري الزنجاني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التاسعة،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 شيخ الطائفة أبو جعفر محمد بن الحسن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ط 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الرجالية، الشيخ محمّد باقر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الرجالية، الشيخ مهدي الكجوري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 كاظم رحمان ستایش،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الحديث للطباعة والنشر، 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الأولى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قاموس الرجال، الشيخ محمّد تقي التستري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الأولى،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ثقة الإسلام الشيخ أبو جعفر محمّد بن يعقوب بن إسحاق الكليني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329/328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الإسلامية، ط الخامسة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مشايخ الثقات ، الميرزا غلام رضا عرفانیان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طبع و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ط الأولى،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الشيخ محمد بن علي 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معجم البلدان، الشيخ شهاب الدين أبو عبد الله ياقوت بن عبد الله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وتفصيل طبقات رجال الحديث، السيد أبو القاسم الموسوي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مصطلحات الرجال والدراية، الشيخ محمد رضا جديدي نژاد،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کاظم رحمان ستایش، طبع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ط الثانية،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يحضره الفقيه، الشيخ أبو جعفر محمد بن علي بن الحسين ابن بابويه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أكبر الغفاري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المدرسين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المقال في أحوال الرجال، الشيخ محمد بن إسماعيل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ونشر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طبقات الفقهاء، اللجنة العلمية في 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بإشراف الشيخ جعفر السبحاني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الدراية، السيد حسن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ماجد الغرباوي،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المشعر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هداية الأمة إلى أحكام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محمّد بن الحسن الحر العاملي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الحديث في مجمع البحوث الإسلامية،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البحوث الإسلامية،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الطبع والنشر التابعة للأستانة الرضوية المقدّسة</w:t>
      </w:r>
      <w:r>
        <w:rPr>
          <w:rFonts w:eastAsia="IRNazanin" w:cs="IRNazanin"/>
          <w:color w:val="111111"/>
          <w:sz w:val="28"/>
          <w:szCs w:val="28"/>
          <w:rtl w:val="true"/>
          <w:lang w:bidi="fa-IR"/>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8927_84517"/>
      <w:bookmarkStart w:id="214" w:name="pg8927_84517"/>
      <w:bookmarkEnd w:id="214"/>
    </w:p>
    <w:p>
      <w:pPr>
        <w:pStyle w:val="Heading2"/>
        <w:numPr>
          <w:ilvl w:val="1"/>
          <w:numId w:val="1"/>
        </w:numPr>
        <w:rPr/>
      </w:pPr>
      <w:bookmarkStart w:id="215" w:name="pg8927_84517"/>
      <w:bookmarkStart w:id="216" w:name="__RefHeading___Toc1279200_2870459653"/>
      <w:bookmarkStart w:id="217" w:name="_Toc72"/>
      <w:bookmarkEnd w:id="215"/>
      <w:bookmarkEnd w:id="216"/>
      <w:r>
        <w:rPr>
          <w:rtl w:val="true"/>
        </w:rPr>
        <w:t>حاشية شرح القواعد</w:t>
      </w:r>
      <w:bookmarkEnd w:id="217"/>
    </w:p>
    <w:p>
      <w:pPr>
        <w:pStyle w:val="Heading3"/>
        <w:numPr>
          <w:ilvl w:val="2"/>
          <w:numId w:val="1"/>
        </w:numPr>
        <w:rPr/>
      </w:pPr>
      <w:bookmarkStart w:id="218" w:name="__RefHeading___Toc1279202_2870459653"/>
      <w:bookmarkStart w:id="219" w:name="_Toc73"/>
      <w:bookmarkEnd w:id="218"/>
      <w:r>
        <w:rPr>
          <w:rtl w:val="true"/>
        </w:rPr>
        <w:t>للفقيه المدقق</w:t>
      </w:r>
      <w:bookmarkEnd w:id="219"/>
    </w:p>
    <w:p>
      <w:pPr>
        <w:pStyle w:val="BookText"/>
        <w:rPr/>
      </w:pPr>
      <w:r>
        <w:rPr>
          <w:rFonts w:ascii="Amiri" w:hAnsi="Amiri" w:eastAsia="Amiri" w:cs="Amiri"/>
          <w:color w:val="111111"/>
          <w:sz w:val="28"/>
          <w:sz w:val="28"/>
          <w:szCs w:val="28"/>
          <w:rtl w:val="true"/>
          <w:lang w:bidi="ar-SA"/>
        </w:rPr>
        <w:t>الشيخ عبد العالي ابن المحقِّقِ الكركي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محمد الجعفري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مقدّمة التحقيق</w:t>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ascii="Amiri" w:hAnsi="Amiri" w:eastAsia="Amiri" w:cs="Amiri"/>
          <w:color w:val="111111"/>
          <w:sz w:val="28"/>
          <w:sz w:val="28"/>
          <w:szCs w:val="28"/>
          <w:rtl w:val="true"/>
          <w:lang w:bidi="ar-SA"/>
        </w:rPr>
        <w:t>وأحمد الله تعالى على تواتر نعمائه وترادف آلائه، وأصلّي على أفضل أنبيائه وأكمل أصفيائه، محمد خير من شرّع الشرع وبيَّنه، وأحكم أساس العلم وأتقنه، وآله الهداة إلى الصّراط المستقيم، الدّالّين على الطريق الواضح القويم، صلاة تتواصل روادفها بهواديها، وتتلاحق أعجازها ببواديها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فإنّه لمن دواعي السّرور أن أضع بين يدي القارئ الكريم درّة مكنونة لأحد فقهاء القرن العاشر من الهجرة النبويّة المباركة، ألا وهي حاشية الفقيه الشيخ عبد العالي ابن المحقق الكركي على كتاب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بقلم تلميذه حاجي بابا ابن ميرزا جان القزويني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صدّرتُها بترجمة موجزة للأستاذ والتلميذ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 xml:space="preserve">). </w:t>
      </w:r>
      <w:bookmarkStart w:id="220" w:name="pg8927_84520"/>
    </w:p>
    <w:p>
      <w:pPr>
        <w:pStyle w:val="Heading3"/>
        <w:numPr>
          <w:ilvl w:val="2"/>
          <w:numId w:val="1"/>
        </w:numPr>
        <w:rPr/>
      </w:pPr>
      <w:bookmarkStart w:id="221" w:name="__RefHeading___Toc1279204_2870459653"/>
      <w:bookmarkStart w:id="222" w:name="_Toc74"/>
      <w:bookmarkEnd w:id="220"/>
      <w:bookmarkEnd w:id="221"/>
      <w:r>
        <w:rPr>
          <w:rtl w:val="true"/>
        </w:rPr>
        <w:t xml:space="preserve">ترجمة الشيخ عبد العالي الكركي </w:t>
      </w:r>
      <w:r>
        <w:rPr>
          <w:rtl w:val="true"/>
        </w:rPr>
        <w:t>(</w:t>
      </w:r>
      <w:r>
        <w:rPr>
          <w:rtl w:val="true"/>
        </w:rPr>
        <w:t>طاب ثراه</w:t>
      </w:r>
      <w:r>
        <w:rPr>
          <w:rtl w:val="true"/>
        </w:rPr>
        <w:t>)</w:t>
      </w:r>
      <w:bookmarkEnd w:id="222"/>
    </w:p>
    <w:p>
      <w:pPr>
        <w:pStyle w:val="Heading3"/>
        <w:numPr>
          <w:ilvl w:val="2"/>
          <w:numId w:val="1"/>
        </w:numPr>
        <w:rPr/>
      </w:pPr>
      <w:bookmarkStart w:id="223" w:name="__RefHeading___Toc1279206_2870459653"/>
      <w:bookmarkStart w:id="224" w:name="_Toc75"/>
      <w:bookmarkEnd w:id="223"/>
      <w:r>
        <w:rPr>
          <w:rtl w:val="true"/>
        </w:rPr>
        <w:t>اسمه ومولده</w:t>
      </w:r>
      <w:bookmarkEnd w:id="224"/>
    </w:p>
    <w:p>
      <w:pPr>
        <w:pStyle w:val="BookText"/>
        <w:rPr/>
      </w:pPr>
      <w:r>
        <w:rPr>
          <w:rFonts w:ascii="Amiri" w:hAnsi="Amiri" w:eastAsia="Amiri" w:cs="Amiri"/>
          <w:color w:val="111111"/>
          <w:sz w:val="28"/>
          <w:sz w:val="28"/>
          <w:szCs w:val="28"/>
          <w:rtl w:val="true"/>
          <w:lang w:bidi="ar-SA"/>
        </w:rPr>
        <w:t>قال تلميذه حاجي بابا ابن ميرزا جان القزويني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بخط والده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هبته، ولد المولود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نفسه وأهله، تاج الدين أبو محمد عبد العالي بن علي بن حسين بن علي بن محمد بن عبد العالي، تاسع عشر ذي القعدة ليلة الجمعة سنة ست وعشرين وتسعمائة أنشأه الله سبحانه إنشاء مباركاً، وجعله خلفاً صالحاً بحق محمد وآله الطاهرين 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أعلى الله مقامه</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5" w:name="__RefHeading___Toc1279208_2870459653"/>
      <w:bookmarkStart w:id="226" w:name="_Toc76"/>
      <w:bookmarkEnd w:id="225"/>
      <w:r>
        <w:rPr>
          <w:rtl w:val="true"/>
        </w:rPr>
        <w:t>مكان مولده</w:t>
      </w:r>
      <w:bookmarkEnd w:id="226"/>
    </w:p>
    <w:p>
      <w:pPr>
        <w:pStyle w:val="BookText"/>
        <w:rPr/>
      </w:pPr>
      <w:r>
        <w:rPr>
          <w:rFonts w:ascii="Amiri" w:hAnsi="Amiri" w:eastAsia="Amiri" w:cs="Amiri"/>
          <w:color w:val="111111"/>
          <w:sz w:val="28"/>
          <w:sz w:val="28"/>
          <w:szCs w:val="28"/>
          <w:rtl w:val="true"/>
          <w:lang w:bidi="ar-SA"/>
        </w:rPr>
        <w:t>يظهر من الإجازات التي منحها والده المحقق الكركي لتلاميذه في هذه الفترة الزمنية أنَّه كان في النجف الأشرف</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وإجازة الشَّيخ زين الدين بابا شيخ علي ابن العالم الشَّيخ مير حبيب الله ابن السلطان محمد الجزرداني، حيث أجازه في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الخير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كتبها له في 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وإجازة السّيّد الأمير محمد بن أبي طالب الحسيني الموسوي الأسترآبادي، حيث أجازه بتاريخ السابع الأوّل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أعلام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الداثر من مآثر أهل القرن عشر من ربيع العاشر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ولادة الشيخ عبد العالي</w:t>
      </w:r>
      <w:bookmarkStart w:id="227" w:name="pg8927_84521"/>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كانت في النجف الأشرف</w:t>
      </w:r>
      <w:r>
        <w:rPr>
          <w:rFonts w:eastAsia="Amiri" w:cs="Amiri" w:ascii="Amiri" w:hAnsi="Amiri"/>
          <w:color w:val="111111"/>
          <w:sz w:val="28"/>
          <w:szCs w:val="28"/>
          <w:rtl w:val="true"/>
          <w:lang w:bidi="ar-SA"/>
        </w:rPr>
        <w:t>.</w:t>
      </w:r>
    </w:p>
    <w:p>
      <w:pPr>
        <w:pStyle w:val="Heading3"/>
        <w:numPr>
          <w:ilvl w:val="2"/>
          <w:numId w:val="1"/>
        </w:numPr>
        <w:rPr/>
      </w:pPr>
      <w:bookmarkStart w:id="228" w:name="__RefHeading___Toc1279210_2870459653"/>
      <w:bookmarkStart w:id="229" w:name="_Toc77"/>
      <w:bookmarkEnd w:id="228"/>
      <w:r>
        <w:rPr>
          <w:rtl w:val="true"/>
        </w:rPr>
        <w:t>مشايخه في الرّواية</w:t>
      </w:r>
      <w:bookmarkEnd w:id="229"/>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المصادر المتاحة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وأستاذه الشيخ علي ابن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زين الدين بن عليّ الجباعي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تلميذ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الأمير محمد بن أبي طالب الحسيني الموسوي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المطالب المظفرية في شرح الرّسالة الجعفرية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والرّسالة الجعفرية لوالد المترجم له</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279212_2870459653"/>
      <w:bookmarkStart w:id="231" w:name="_Toc78"/>
      <w:bookmarkEnd w:id="230"/>
      <w:r>
        <w:rPr>
          <w:rtl w:val="true"/>
        </w:rPr>
        <w:t>تلامذته والرّاوون عنه</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المولى حاجي بابا ابن ميرزا جان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كاتب الحاشية التي بين أيدينا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حبيب الله بن عليّ الطوسي</w:t>
      </w:r>
      <w:r>
        <w:rPr>
          <w:rStyle w:val="FootnoteAnchor"/>
          <w:rtl w:val="true"/>
        </w:rPr>
        <w:footnoteReference w:id="5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أوائل ق</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الجامعة لدرر أخبار الأئمة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بهاء الدين محمد بن الحسين بن عبد الصمد العاملي، المعروف بالشيخ البهائي</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الفقيه يونس بن الحسن الجزائري</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1037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محمد باقر الدّاماد</w:t>
      </w:r>
      <w:r>
        <w:rPr>
          <w:rStyle w:val="FootnoteAnchor"/>
          <w:rtl w:val="true"/>
        </w:rPr>
        <w:footnoteReference w:id="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حسين ابن السيد حيدر بن قمر الحسيني الكركي العاملي</w:t>
      </w:r>
      <w:r>
        <w:rPr>
          <w:rStyle w:val="FootnoteAnchor"/>
          <w:rtl w:val="true"/>
        </w:rPr>
        <w:footnoteReference w:id="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مصطفى التفريشي</w:t>
      </w:r>
      <w:r>
        <w:rPr>
          <w:rStyle w:val="FootnoteAnchor"/>
          <w:rtl w:val="true"/>
        </w:rPr>
        <w:footnoteReference w:id="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ق </w:t>
      </w:r>
      <w:r>
        <w:rPr>
          <w:rFonts w:eastAsia="IRNazanin" w:cs="IRNazanin"/>
          <w:color w:val="111111"/>
          <w:sz w:val="28"/>
          <w:szCs w:val="28"/>
          <w:lang w:bidi="fa-IR"/>
        </w:rPr>
        <w:t>11</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معاني التبريزي</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نور الدين محمد بن حبيب الله النسّابة الأصفهاني</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أحمد الأردكاني</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القاضي معزّ الدين حسين الأصفهاني</w:t>
      </w:r>
      <w:r>
        <w:rPr>
          <w:rStyle w:val="FootnoteAnchor"/>
          <w:rtl w:val="true"/>
        </w:rPr>
        <w:footnoteReference w:id="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القاضي معزّ الدين محمد بن القاضي جعفر الأصفهاني</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bookmarkStart w:id="232" w:name="pg8927_84523"/>
    </w:p>
    <w:p>
      <w:pPr>
        <w:pStyle w:val="BookText"/>
        <w:rPr/>
      </w:pPr>
      <w:bookmarkEnd w:id="232"/>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السّيّد قوام الدين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أجازه المؤلّف على ظهر رسالته في البلوغ وبيان حده وما يتعلّق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279214_2870459653"/>
      <w:bookmarkStart w:id="234" w:name="_Toc79"/>
      <w:bookmarkEnd w:id="233"/>
      <w:r>
        <w:rPr>
          <w:rtl w:val="true"/>
        </w:rPr>
        <w:t>أقوال العلماء في حقه</w:t>
      </w:r>
      <w:bookmarkEnd w:id="234"/>
    </w:p>
    <w:p>
      <w:pPr>
        <w:pStyle w:val="BookText"/>
        <w:rPr/>
      </w:pPr>
      <w:r>
        <w:rPr>
          <w:rFonts w:ascii="Amiri" w:hAnsi="Amiri" w:eastAsia="Amiri" w:cs="Amiri"/>
          <w:color w:val="111111"/>
          <w:sz w:val="28"/>
          <w:sz w:val="28"/>
          <w:szCs w:val="28"/>
          <w:rtl w:val="true"/>
          <w:lang w:bidi="ar-SA"/>
        </w:rPr>
        <w:t xml:space="preserve">قد أطبقت كلمات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التعرّض لذكره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غاية الثناء والتبجيل في حقه علماً وورعاً وتقوى، وفيما يلي ذكر طرف من كلماتهم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تلميذه السّيّد مصطفى التفريشي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العالي بن عليّ بن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جليل القدر، عظيم المنزلة، رفيع الشأن، نقيّ الكلام، كثير الحفظ، كان من تلاميذ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ورفع في الجنان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تشرفت بخدمته رضي الله عنه وأرضاه</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تلميذه السّيّد حسين ابن السّيّد حيدر بن قمر الحسيني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1041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شيخنا الإمام العلّامة، قدوة المحققين، لسان المتقدمين، حجّة المتأخرين، خلاصة المجتهدين، شيخنا الشيخ عبد العالي قدس الله روحه، وشيخنا هذا كان أعلم أهل زمانه، ذا فطنة وقادة، ونفس قدسيّة سريعة الانتقال من المبادئ إلى المطالب، قرأتُ عليه شرحه الكبير على الرّسالة الألفية، والرّسالة العمليّة في فقه الصّلاة اليومية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الميرزا عبد الله الأفندي في رياضه عن صاحب تاريخ عالم آرا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 المجلد الثاني قصة وفاة السّيّد حسين المجتهد في أواخر وقائع سنة إحدى وألف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جناب شيخ المحققين الشيخ عبد العالي ابن الشيخ علي الكركي المجتهد المشهور قد وصل إلى رتبة عالية في الاجتهاد، وقد أذعن له جميع العلماء بالاجتهاد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المجلد الأوّل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عبد العالي المجتهد ابن الشيخ علي بن عبد العالي كان من علماء دولة السلطان شاه طهماسب، وبقي بعده أيضاً، وكان في العلوم العقلية والنقليّة رئيس أهل عصره، وكان حسن المنظر، جيّد المحاورة، وصاحب الأخلاق الحسنة، وقد جلس على مسند الاجتهاد بالاستقلال</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الشيخ عبد العالي ابن الشيخ نور الدين علي بن عبد العالي العاملي الكركي، كان فاضلاً فقيهاً، محققاً محدثاً، متكلّماً عابداً، من المشايخ الأجلاء، روى عن أبيه وغيره من المعاصرين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الميرزا عبد الله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الفاضل، العالم، الفقيه، الجليل، ابن الفقيه الجليل الشّيخ علي الكركيّ شارح القواعد، قد كان ظهر الشيعة وظهيرها بعد أبيه، ورأس الإمامية إثر والده النبيه</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أسد الله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1237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تلميذه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تلميذ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السديد، الفقيه العابد السعيد، المحدث الحفظة الرشيد، المحقق المدقق المتكلّم </w:t>
      </w:r>
      <w:bookmarkStart w:id="235" w:name="pg8927_84525"/>
    </w:p>
    <w:p>
      <w:pPr>
        <w:pStyle w:val="BookText"/>
        <w:rPr/>
      </w:pPr>
      <w:bookmarkEnd w:id="235"/>
      <w:r>
        <w:rPr>
          <w:rFonts w:ascii="Amiri" w:hAnsi="Amiri" w:eastAsia="Amiri" w:cs="Amiri"/>
          <w:color w:val="111111"/>
          <w:sz w:val="28"/>
          <w:sz w:val="28"/>
          <w:szCs w:val="28"/>
          <w:rtl w:val="true"/>
          <w:lang w:bidi="ar-SA"/>
        </w:rPr>
        <w:t>المجيد، صاحب المفاخر والمعالي الشيخ عبد العالي، بلّغه الله في الجنان إلى منتهى الأماني والأعالي</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6" w:name="__RefHeading___Toc1279216_2870459653"/>
      <w:bookmarkStart w:id="237" w:name="_Toc80"/>
      <w:bookmarkEnd w:id="236"/>
      <w:r>
        <w:rPr>
          <w:rtl w:val="true"/>
        </w:rPr>
        <w:t>مؤلفاته</w:t>
      </w:r>
      <w:bookmarkEnd w:id="2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شرح الإرشاد، وقد رآها صاحب الرّياض عند الفاضل الهندي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الذريعة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الرّياض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خطّ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وصل فيه إلى كتاب النكاح، ويظهر من مفتاح الكرامة أنّ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العلائي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ونسخة منه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مكتبة مدرسة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طهران، وهي إلى صلاة المسافر</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حاشية على ألفية الشّهيد، أيضاً رآها صاحب الرياض عند الفاضل الهندي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عدم وجوب صلاة الجمعة، مختصرة، كان عند صاحب الرياض منها نسخة</w:t>
      </w:r>
      <w:r>
        <w:rPr>
          <w:rStyle w:val="FootnoteAnchor"/>
          <w:rtl w:val="true"/>
        </w:rPr>
        <w:footnoteReference w:id="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اللّمعة في عدم عينية الجمعة</w:t>
      </w:r>
      <w:r>
        <w:rPr>
          <w:rFonts w:eastAsia="Amiri" w:cs="Amiri" w:ascii="Amiri" w:hAnsi="Amiri"/>
          <w:color w:val="111111"/>
          <w:sz w:val="28"/>
          <w:szCs w:val="28"/>
          <w:rtl w:val="true"/>
          <w:lang w:bidi="ar-SA"/>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حاشية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نسخة منها العلّامة الطهراني عند الشيخ عبد الله </w:t>
      </w:r>
    </w:p>
    <w:p>
      <w:pPr>
        <w:pStyle w:val="BookText"/>
        <w:rPr/>
      </w:pPr>
      <w:r>
        <w:rPr>
          <w:rFonts w:ascii="Amiri" w:hAnsi="Amiri" w:eastAsia="Amiri" w:cs="Amiri"/>
          <w:color w:val="111111"/>
          <w:sz w:val="28"/>
          <w:sz w:val="28"/>
          <w:szCs w:val="28"/>
          <w:rtl w:val="true"/>
          <w:lang w:bidi="ar-SA"/>
        </w:rPr>
        <w:t>المامقاني، وهي من أوّله إلى أواخر كتاب الوقف، يقرب من ثلاثين ألف بيت</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في البلوغ، وبيان حدّه ، وما يتعلق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في مكتبة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الرّسالة العمليّة في فقه الصّلاة اليوميّة</w:t>
      </w:r>
      <w:r>
        <w:rPr>
          <w:rStyle w:val="FootnoteAnchor"/>
          <w:rtl w:val="true"/>
        </w:rPr>
        <w:footnoteReference w:id="528"/>
      </w:r>
      <w:r>
        <w:rPr>
          <w:rFonts w:ascii="Amiri" w:hAnsi="Amiri" w:eastAsia="Amiri" w:cs="Amiri"/>
          <w:color w:val="111111"/>
          <w:sz w:val="28"/>
          <w:sz w:val="28"/>
          <w:szCs w:val="28"/>
          <w:rtl w:val="true"/>
          <w:lang w:bidi="ar-SA"/>
        </w:rPr>
        <w:t>، قرأها عليه تلميذه السّيّد حسين الكركي كما تقدّم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حاشية على رسالة في الطّهارة للشيخ علي بن هلال الكركي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الرّاوي عن أبيه</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حاشية شرح القواعد ، وهي هذه التي بين أيدينا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رسالة في القبلة عموماً وفي خراسان خصوصاً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المناظرات مع الميرزا مخدوم الشّريفي الناصبي، في الإمامة</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النّظاميّة في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ألّفها باسم نظام شاه الهندي، وسمّاها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هادي المضلين ومرشد المصلين</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ألفية الشهيد، كبير مبسوط</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فقرات </w:t>
      </w:r>
      <w:bookmarkStart w:id="238" w:name="pg8927_84527"/>
    </w:p>
    <w:p>
      <w:pPr>
        <w:pStyle w:val="BookText"/>
        <w:rPr/>
      </w:pPr>
      <w:bookmarkEnd w:id="238"/>
      <w:r>
        <w:rPr>
          <w:rFonts w:ascii="Amiri" w:hAnsi="Amiri" w:eastAsia="Amiri" w:cs="Amiri"/>
          <w:color w:val="111111"/>
          <w:sz w:val="28"/>
          <w:sz w:val="28"/>
          <w:szCs w:val="28"/>
          <w:rtl w:val="true"/>
          <w:lang w:bidi="ar-SA"/>
        </w:rPr>
        <w:t>لطيفة في الثناء على خاله على ظهر بعض نسخ شرحه هذا</w:t>
      </w:r>
      <w:r>
        <w:rPr>
          <w:rStyle w:val="FootnoteAnchor"/>
          <w:rtl w:val="true"/>
        </w:rPr>
        <w:footnoteReference w:id="534"/>
      </w:r>
      <w:r>
        <w:rPr>
          <w:rFonts w:ascii="Amiri" w:hAnsi="Amiri" w:eastAsia="Amiri" w:cs="Amiri"/>
          <w:color w:val="111111"/>
          <w:sz w:val="28"/>
          <w:sz w:val="28"/>
          <w:szCs w:val="28"/>
          <w:rtl w:val="true"/>
          <w:lang w:bidi="ar-SA"/>
        </w:rPr>
        <w:t>، قرأه عليه تلميذه السيد حسين الكركي كما تقدّم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279218_2870459653"/>
      <w:bookmarkStart w:id="240" w:name="_Toc81"/>
      <w:bookmarkEnd w:id="239"/>
      <w:r>
        <w:rPr>
          <w:rtl w:val="true"/>
        </w:rPr>
        <w:t>نشاطه العلمي والاجتماعي</w:t>
      </w:r>
      <w:bookmarkEnd w:id="240"/>
    </w:p>
    <w:p>
      <w:pPr>
        <w:pStyle w:val="BookText"/>
        <w:rPr/>
      </w:pPr>
      <w:r>
        <w:rPr>
          <w:rFonts w:ascii="Amiri" w:hAnsi="Amiri" w:eastAsia="Amiri" w:cs="Amiri"/>
          <w:color w:val="111111"/>
          <w:sz w:val="28"/>
          <w:sz w:val="28"/>
          <w:szCs w:val="28"/>
          <w:rtl w:val="true"/>
          <w:lang w:bidi="ar-SA"/>
        </w:rPr>
        <w:t xml:space="preserve">قال صاحب تاريخ عالم آرا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المعاصر للشّيخ عبد العالي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كان أغلب إقامة الشّيخ عبد العالي بكاشان، ويشتغل فيها بالتدريس وإفادة العلوم، ويعيّن جماعة فيها لفصل القضايا الشّرعيّة والإصلاح بين الناس، ويتوجه بنفسه أحياناً أيضاً لذلك، وإذا جاء إلى معسكر السلطان شاه طهماسب كان ذلك السلطان يبالغ في تعظيمه وتكريمه، وكان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مرجعاً للفضلاء والعلماء، وأكثر علماء عصره أذعن لاجتهاده، ويعمل على قوله في الأصول والفروع، وهو في الحقيقة زينة لبلاد إيران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279220_2870459653"/>
      <w:bookmarkStart w:id="242" w:name="_Toc82"/>
      <w:bookmarkEnd w:id="241"/>
      <w:r>
        <w:rPr>
          <w:rtl w:val="true"/>
        </w:rPr>
        <w:t>محاولة اغتياله</w:t>
      </w:r>
      <w:bookmarkEnd w:id="24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في الرّياض عن رسالة بعض تلامذة الشيخ البهائي في شرح أحوال أستاذه الشيخ البهائي بالفارسية ما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إسماعيل ميرزا الصفوي بعدما تسلّط في بلاد إيران بعقب والده السلطان شاه طهماسب الصفوي أراد أن يسمّ الشيخ عبد العالي مع الأمير السّيّد حسين في قزوين لأجل تسنّنه وتشيّعهما، فهرب لذلك الشيخ عبد العالي </w:t>
      </w:r>
      <w:bookmarkStart w:id="243" w:name="pg8927_84528"/>
    </w:p>
    <w:p>
      <w:pPr>
        <w:pStyle w:val="BookText"/>
        <w:rPr/>
      </w:pPr>
      <w:bookmarkEnd w:id="243"/>
      <w:r>
        <w:rPr>
          <w:rFonts w:ascii="Amiri" w:hAnsi="Amiri" w:eastAsia="Amiri" w:cs="Amiri"/>
          <w:color w:val="111111"/>
          <w:sz w:val="28"/>
          <w:sz w:val="28"/>
          <w:szCs w:val="28"/>
          <w:rtl w:val="true"/>
          <w:lang w:bidi="ar-SA"/>
        </w:rPr>
        <w:t>من قزوين إلى همدان، ونجى من غائلته</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279222_2870459653"/>
      <w:bookmarkStart w:id="245" w:name="_Toc83"/>
      <w:bookmarkEnd w:id="244"/>
      <w:r>
        <w:rPr>
          <w:rtl w:val="true"/>
        </w:rPr>
        <w:t>وفاته</w:t>
      </w:r>
      <w:bookmarkEnd w:id="245"/>
    </w:p>
    <w:p>
      <w:pPr>
        <w:pStyle w:val="BookText"/>
        <w:rPr/>
      </w:pPr>
      <w:r>
        <w:rPr>
          <w:rFonts w:ascii="Amiri" w:hAnsi="Amiri" w:eastAsia="Amiri" w:cs="Amiri"/>
          <w:color w:val="111111"/>
          <w:sz w:val="28"/>
          <w:sz w:val="28"/>
          <w:szCs w:val="28"/>
          <w:rtl w:val="true"/>
          <w:lang w:bidi="ar-SA"/>
        </w:rPr>
        <w:t>قال تلميذه حاجي بابا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قدس الله روحه، ونوّر ضريحه، ضحوة يوم السبت الثّامن والعشرين من شهر رجب المرجب سنة ثلاث وتسعين وتسعمائة</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أنّ تاريخ وفاة الشيخ عبد العالي يساوي في حساب الجمل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مقتداي شيعه</w:t>
      </w:r>
      <w:r>
        <w:rPr>
          <w:rFonts w:eastAsia="Amiri" w:cs="Amiri" w:ascii="Amiri" w:hAnsi="Amiri"/>
          <w:color w:val="111111"/>
          <w:sz w:val="28"/>
          <w:szCs w:val="28"/>
          <w:rtl w:val="true"/>
          <w:lang w:bidi="ar-SA"/>
        </w:rPr>
        <w:t>)</w:t>
      </w:r>
      <w:r>
        <w:rPr>
          <w:rStyle w:val="FootnoteAnchor"/>
          <w:rtl w:val="true"/>
        </w:rPr>
        <w:footnoteReference w:id="538"/>
      </w:r>
      <w:r>
        <w:rPr>
          <w:rFonts w:ascii="Amiri" w:hAnsi="Amiri" w:eastAsia="Amiri" w:cs="Amiri"/>
          <w:color w:val="111111"/>
          <w:sz w:val="28"/>
          <w:sz w:val="28"/>
          <w:szCs w:val="28"/>
          <w:rtl w:val="true"/>
          <w:lang w:bidi="ar-SA"/>
        </w:rPr>
        <w:t xml:space="preserve">، كما أنّ تاريخ وفاة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مقتداي شيعه</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1279224_2870459653"/>
      <w:bookmarkStart w:id="247" w:name="_Toc84"/>
      <w:bookmarkEnd w:id="246"/>
      <w:r>
        <w:rPr>
          <w:rtl w:val="true"/>
        </w:rPr>
        <w:t>مدفنه</w:t>
      </w:r>
      <w:bookmarkEnd w:id="2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تلميذه السّيّد حسين ابن السّيّد حيدر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انتقل إلى رحمة الله تعالى ورضوانه في بلدة أصفهان، ودفن في الزاوية المنسوبة إلى سيد الساجدين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بعد ثلاثين سنة تقريباً نقل هو والشّيخ الفقيه علي بن هلال الكركي إلى المشهد المقدّس الرّضويّ، على مشرّفه السّلام، ودفنا هناك في دار السيادة</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248" w:name="pg8927_84529"/>
    </w:p>
    <w:p>
      <w:pPr>
        <w:pStyle w:val="BookText"/>
        <w:rPr/>
      </w:pPr>
      <w:bookmarkEnd w:id="248"/>
      <w:r>
        <w:rPr>
          <w:rFonts w:ascii="Amiri" w:hAnsi="Amiri" w:eastAsia="Amiri" w:cs="Amiri"/>
          <w:color w:val="111111"/>
          <w:sz w:val="28"/>
          <w:sz w:val="28"/>
          <w:szCs w:val="28"/>
          <w:rtl w:val="true"/>
          <w:lang w:bidi="ar-SA"/>
        </w:rPr>
        <w:t xml:space="preserve">ترجمة المولى حاجي بابا ابن ميرزا جان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w:t>
      </w:r>
    </w:p>
    <w:p>
      <w:pPr>
        <w:pStyle w:val="BookText"/>
        <w:rPr/>
      </w:pPr>
      <w:r>
        <w:rPr>
          <w:rFonts w:ascii="Amiri" w:hAnsi="Amiri" w:eastAsia="Amiri" w:cs="Amiri"/>
          <w:color w:val="111111"/>
          <w:sz w:val="28"/>
          <w:sz w:val="28"/>
          <w:szCs w:val="28"/>
          <w:rtl w:val="true"/>
          <w:lang w:bidi="ar-SA"/>
        </w:rPr>
        <w:t xml:space="preserve">كما خطه على كتبه التي قرأها على أستاذيه الشيخ البهائي والشيخ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حاجي بابا ابن ميرزا جان القزويني</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1279226_2870459653"/>
      <w:bookmarkStart w:id="250" w:name="_Toc85"/>
      <w:bookmarkEnd w:id="249"/>
      <w:r>
        <w:rPr>
          <w:rtl w:val="true"/>
        </w:rPr>
        <w:t>لقبه</w:t>
      </w:r>
      <w:bookmarkEnd w:id="250"/>
    </w:p>
    <w:p>
      <w:pPr>
        <w:pStyle w:val="BookText"/>
        <w:rPr/>
      </w:pPr>
      <w:r>
        <w:rPr>
          <w:rFonts w:ascii="Amiri" w:hAnsi="Amiri" w:eastAsia="Amiri" w:cs="Amiri"/>
          <w:color w:val="111111"/>
          <w:sz w:val="28"/>
          <w:sz w:val="28"/>
          <w:szCs w:val="28"/>
          <w:rtl w:val="true"/>
          <w:lang w:bidi="ar-SA"/>
        </w:rPr>
        <w:t xml:space="preserve">كمال الدين، كما ذكره أستاذه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إجازاته له كما سيأتي</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279228_2870459653"/>
      <w:bookmarkStart w:id="252" w:name="_Toc86"/>
      <w:bookmarkEnd w:id="251"/>
      <w:r>
        <w:rPr>
          <w:rtl w:val="true"/>
        </w:rPr>
        <w:t>أساتذته</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عبد العالي ابن المحقق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بهاء الدين محمد ابن الشيخ حسين بن عبد الصمد الحارثي الجبعي العاملي، المعروف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Heading3"/>
        <w:numPr>
          <w:ilvl w:val="2"/>
          <w:numId w:val="1"/>
        </w:numPr>
        <w:rPr/>
      </w:pPr>
      <w:bookmarkStart w:id="253" w:name="__RefHeading___Toc1279230_2870459653"/>
      <w:bookmarkStart w:id="254" w:name="_Toc87"/>
      <w:bookmarkEnd w:id="253"/>
      <w:r>
        <w:rPr>
          <w:rtl w:val="true"/>
        </w:rPr>
        <w:t>إجازاته</w:t>
      </w:r>
      <w:bookmarkEnd w:id="254"/>
    </w:p>
    <w:p>
      <w:pPr>
        <w:pStyle w:val="BookText"/>
        <w:rPr/>
      </w:pPr>
      <w:r>
        <w:rPr>
          <w:rFonts w:ascii="Amiri" w:hAnsi="Amiri" w:eastAsia="Amiri" w:cs="Amiri"/>
          <w:color w:val="111111"/>
          <w:sz w:val="28"/>
          <w:sz w:val="28"/>
          <w:szCs w:val="28"/>
          <w:rtl w:val="true"/>
          <w:lang w:bidi="ar-SA"/>
        </w:rPr>
        <w:t xml:space="preserve">وما بأيدينا من إجازاته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منحصر بما جاء عن طريق أستاذه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ثلاثة منها وردت في ظهر الاثني عشريّات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الصّلاتيّة والحجّيّة والصومية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قراءتها على أستاذه، وهي موجودة في هذه المجموعة التي هي هي بخطّ يده ، واثنتان نقلناهما عن مصادر أخر ، فيكون مجموعها خمس إجازات، وهي كما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الاثنا عشريّة في الصّلاة، وقد كتبها على ظهر الرّسالة، ونصها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الأخ الأعزّ الفاضل التقيّ الزّكي، الذكيّ الصّفي، الوفي الألمعي، مولانا كمال الدين حاجي بابا بلغه الله غاية الآمال، ورقاه إلى أرفع درج الكمال، هذه المقالة الاثني عشرية قراءة تدقيق وإتقان، وتحقيق وإمعان، وقد أجزت له أن يرويها عنّي إلى مَنْ هو أهل لها، مراعياً شروط الرّواية ، والله سبحانه ولي التوفيق والهداية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الفقير مؤلّف المقالة محمد المشتهر ببهاء الدين العاملي، وفقه الله للعمل في يومه لغده، قبل أن يخرج الأمر من يده، في العشر الثّاني من الشّهر الثّاني من السنة السّادسة عشر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وذيلها المجاز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وكانت قراءتها من مطالعها إلى مقاطعها في القرية المشهورة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المتوسطة بين ديلمان وقزوين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وحده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قد كتب المولى حاجي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نسخته قبل الإجازة المسطورة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تمت مقابلتها مع النسخة المقروءة على مؤلّفها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تعالى ظلال إفادته البهيّ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العشر الأول من جمادى الآخرة سنة ألف وثلاث عشرة حامداً مصلّياً مستغفراً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الرّاجي بشفاعة آل العبا ابن ميرزا جان حاجي بابا عفي عنه</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الاثنا عشريّة في الصوم، وقد كتبها في آخر صفحة من الرّسالة، ونصها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أجزت للأخ الأعزّ الأمجد، الفاضل التقي، كاتب هذه الاثني عشرية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يرويها عنّي لمن هو أهل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حرّره الفقير محمد المشتهر ببهاء الدين العاملي عفي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قد كتب المولى حاجي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نسخته قبل الإجازة المسطورة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فرغ من تسويده أفقر العباد إلى الله الغني ابن ميرزا جان حاجي بابا القزويني مولداً في أوائل شهر رمضان المبارك سنة ألف وعشرين من الهجرة في بلدة 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وظاهراً وباطناً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الاثنا عشريّة في الحجّ، وعليها إجازة عامة لجميع مؤلفات أستاذه البهائي، وقد كتبها على ظهر الرّسالة، ونصها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أجزت للأخ الأعزّ الفاضل الزكي، الذكي التقي الألمعي، وفقه الله سبحانه لارتقاء أرفع درج الكمال أن يروي عنّي الاثني عشريّات الثلاث بأجمعها، وكذا باقي مؤلّفاتي في المعقول والمنقول، والتمستُ منه أن يجريني على خاطره الشّريف في محال الإنابة، ومظان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حرّره الفقير محمد المشتهر ببهاء الدين العاملي عفى الله عنه في ثالث شهر شوّال، ختم بالخير والإقبال، سنة ألف وعشرين بمحروسة أصفهان، حرست عن طوارق الحدثان</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قد كتب المولى حاجي 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نسخته من الرسالة قبل الإجازة المسطورة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 الفراغ من تسويده يوم الثلاثاء سادس عشر شهر رمضان المبارك سنة ألف وعشرين من الهجرة على صادعها ألف ألف صلاة وألف ألف تحية في بلدة أصفهان على يد أفقر العباد إلى رحمة ربّه الغني ابن ميرزا جان حاجي بابا القزويني عفى الله تعالى عنهما بالنّبي والوصي صلوات الله وسلامه عليهما وآلهما الطيبين الطاهرين، برحمتك يا أرحم الرّاحمين</w:t>
      </w:r>
      <w:r>
        <w:rPr>
          <w:rFonts w:eastAsia="Amiri" w:cs="Amiri" w:ascii="Amiri" w:hAnsi="Amiri"/>
          <w:color w:val="111111"/>
          <w:sz w:val="28"/>
          <w:szCs w:val="28"/>
          <w:rtl w:val="true"/>
          <w:lang w:bidi="ar-SA"/>
        </w:rPr>
        <w:t>)</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النسخ الخطّيّة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نقله السّيّد حسن الصدر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إجازة لشيخنا البهائي على ظهر كتابه الحبل المتين، للمولى كمال الدين الحاج بابا ابن الميرزا جان القزويني يقول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لديّ الأخ الأعزّ الفاضل، النّقيّ الصّفي الوفي، خلاصة الإخوان، وزبدة فقد سمع الخلّان كمالاً للإفادة والأُخُوّة والدين، مولانا كمال الدين حاجي بابا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وتاريخها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وزاد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إجازة متوسطة رآها في مكتبة الخوانساري</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إجازة على ظهر نسخته من كتاب أستاذه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الشمسين وأكسير السعادتين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المقابلة على نسخة أستاذه بعد قراءته عليه، تاريخها محرم </w:t>
      </w:r>
      <w:r>
        <w:rPr>
          <w:rFonts w:eastAsia="Amiri" w:cs="Amiri" w:ascii="Amiri" w:hAnsi="Amiri"/>
          <w:color w:val="111111"/>
          <w:sz w:val="28"/>
          <w:szCs w:val="28"/>
          <w:lang w:bidi="ar-SA"/>
        </w:rPr>
        <w:t>1028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والموجودة في مكتبة السّيّد المرعشي في قم المقدّسة، تاريخ كتابتها ربيع الثاني </w:t>
      </w:r>
      <w:r>
        <w:rPr>
          <w:rFonts w:eastAsia="Amiri" w:cs="Amiri" w:ascii="Amiri" w:hAnsi="Amiri"/>
          <w:color w:val="111111"/>
          <w:sz w:val="28"/>
          <w:szCs w:val="28"/>
          <w:lang w:bidi="ar-SA"/>
        </w:rPr>
        <w:t>1022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55" w:name="pg8927_84533"/>
    </w:p>
    <w:p>
      <w:pPr>
        <w:pStyle w:val="BookText"/>
        <w:rPr/>
      </w:pPr>
      <w:bookmarkEnd w:id="255"/>
      <w:r>
        <w:rPr>
          <w:rFonts w:ascii="Amiri" w:hAnsi="Amiri" w:eastAsia="Amiri" w:cs="Amiri"/>
          <w:color w:val="111111"/>
          <w:sz w:val="28"/>
          <w:sz w:val="28"/>
          <w:szCs w:val="28"/>
          <w:rtl w:val="true"/>
          <w:lang w:bidi="ar-SA"/>
        </w:rPr>
        <w:t xml:space="preserve">هذا ما عثرنا عليه من إجازاته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مطبقة على أنّ اسم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جان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تعابير هذه الإجازات أنّ المترجم له كان من الفضلاء الأجلاء، ولم نقف على ترجمة تبين تلامذته، أو تاريخ وفاته بالدقة</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1279232_2870459653"/>
      <w:bookmarkStart w:id="257" w:name="_Toc88"/>
      <w:bookmarkEnd w:id="256"/>
      <w:r>
        <w:rPr>
          <w:rtl w:val="true"/>
        </w:rPr>
        <w:t>نشاطه العلمي</w:t>
      </w:r>
      <w:bookmarkEnd w:id="257"/>
    </w:p>
    <w:p>
      <w:pPr>
        <w:pStyle w:val="BookText"/>
        <w:rPr/>
      </w:pPr>
      <w:r>
        <w:rPr>
          <w:rFonts w:ascii="Amiri" w:hAnsi="Amiri" w:eastAsia="Amiri" w:cs="Amiri"/>
          <w:color w:val="111111"/>
          <w:sz w:val="28"/>
          <w:sz w:val="28"/>
          <w:szCs w:val="28"/>
          <w:rtl w:val="true"/>
          <w:lang w:bidi="ar-SA"/>
        </w:rPr>
        <w:t>بالإضافة إلى قراءته الكتب السالفة الذكر، وإجازاته الخاصة والعامة، المفصَّلة والمختصرة الممنوحة له، فإنَّ للمولى حاجي بابا نشاطات علمية أخرى،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تأليفه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هو على 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 الميرزا الأفندي</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قراءته حاشية شرح القواعد على أستاذه الشيخ عبد العالي الكركي، وهي رسالتنا هذه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ذكره الميرزا الأفندي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رأيت في بلدة أردبيل نسخة من إرشاد العلّامة، وقد قرأها هذا المولى على الشيخ البهائي، وعليها خطوط الشيخ البهائي، وكتب عليها هذا المولى أيضاً حواشي وإفادات جيّدات</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ذكره العلّامة الطهراني</w:t>
      </w:r>
      <w:r>
        <w:rPr>
          <w:rStyle w:val="FootnoteAnchor"/>
          <w:rtl w:val="true"/>
        </w:rPr>
        <w:footnoteReference w:id="547"/>
      </w:r>
      <w:r>
        <w:rPr>
          <w:rFonts w:ascii="Amiri" w:hAnsi="Amiri" w:eastAsia="Amiri" w:cs="Amiri"/>
          <w:color w:val="111111"/>
          <w:sz w:val="28"/>
          <w:sz w:val="28"/>
          <w:szCs w:val="28"/>
          <w:rtl w:val="true"/>
          <w:lang w:bidi="ar-SA"/>
        </w:rPr>
        <w:t xml:space="preserve">من أنَّه رأى بخطه مجموعة من رسائل الشيخ حسين بن عبد الصمد والد الشيخ البهائي كتبها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bookmarkStart w:id="258" w:name="pg8927_84534"/>
    </w:p>
    <w:p>
      <w:pPr>
        <w:pStyle w:val="BookText"/>
        <w:rPr/>
      </w:pPr>
      <w:bookmarkEnd w:id="258"/>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الطهماسبي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 تعارض اليد والشياع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الاعتراضات العشر عن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من دنياكم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الرّائيّة له في مدح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موجودة في مدينة خوي، مكتبة نمازي، تاريخ كتابتها </w:t>
      </w:r>
      <w:r>
        <w:rPr>
          <w:rFonts w:eastAsia="Amiri" w:cs="Amiri" w:ascii="Amiri" w:hAnsi="Amiri"/>
          <w:color w:val="111111"/>
          <w:sz w:val="28"/>
          <w:szCs w:val="28"/>
          <w:lang w:bidi="ar-SA"/>
        </w:rPr>
        <w:t>980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كربلاء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كنز العرفان في فقه القرآن، موجودة في مدينة قم، مكتبة السّيّد المرعشي، تاريخ كتابتها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كربلاء</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9" w:name="__RefHeading___Toc1279234_2870459653"/>
      <w:bookmarkStart w:id="260" w:name="_Toc89"/>
      <w:bookmarkEnd w:id="259"/>
      <w:r>
        <w:rPr>
          <w:rtl w:val="true"/>
        </w:rPr>
        <w:t>المولى حاجي بابا واحد أم اثنان؟</w:t>
      </w:r>
      <w:bookmarkEnd w:id="260"/>
    </w:p>
    <w:p>
      <w:pPr>
        <w:pStyle w:val="BookText"/>
        <w:rPr/>
      </w:pPr>
      <w:r>
        <w:rPr>
          <w:rFonts w:ascii="Amiri" w:hAnsi="Amiri" w:eastAsia="Amiri" w:cs="Amiri"/>
          <w:color w:val="111111"/>
          <w:sz w:val="28"/>
          <w:sz w:val="28"/>
          <w:szCs w:val="28"/>
          <w:rtl w:val="true"/>
          <w:lang w:bidi="ar-SA"/>
        </w:rPr>
        <w:t>حيث إنّ هناك عنواناً آخر،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حاجي بابا بن محمد صالح 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ترجمه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مولانا حاجي بابا بن محمد صالح القزويني، عالم، فاضل، متكلّم، معاصر</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الأفندي في رياضه،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مولانا حاجي بابا بن محمد صالح </w:t>
      </w:r>
    </w:p>
    <w:p>
      <w:pPr>
        <w:pStyle w:val="BookText"/>
        <w:rPr/>
      </w:pP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فاضل متكلّم معاصر</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فيظهر من العلمين أنهما اتفقا على اسم أبيه، وأنّه كان متكلّماً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عاد صاحب الرّياض في الجزء السابع وترجم حاجي بابا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المولى حاجي بابا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بابا بن صالح القزويني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وكان من الأصحاب الخاص بالشيخ البهائي، وكان من تلامذته الذي لا ينفك عنه حضراً ولا سفراً، وكان يميل إلى التّصوّف كأستاذه</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فيبدو من هذا النّصّ أنّ الأخير هو الأوّل نفسه، ولكنّ الّذي يبعد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نهاية هذه الترجمة تعليقة من مجهول</w:t>
      </w:r>
      <w:r>
        <w:rPr>
          <w:rStyle w:val="FootnoteAnchor"/>
          <w:rtl w:val="true"/>
        </w:rPr>
        <w:footnoteReference w:id="554"/>
      </w:r>
      <w:r>
        <w:rPr>
          <w:rFonts w:ascii="Amiri" w:hAnsi="Amiri" w:eastAsia="Amiri" w:cs="Amiri"/>
          <w:color w:val="111111"/>
          <w:sz w:val="28"/>
          <w:sz w:val="28"/>
          <w:szCs w:val="28"/>
          <w:rtl w:val="true"/>
          <w:lang w:bidi="ar-SA"/>
        </w:rPr>
        <w:t xml:space="preserve">على آخر كلمة من الترجمة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غير المولى حاجي بابا المعاصر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فالملاحظ في هذه الترجمة أنَّ هناك تصريحاً من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نفس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الأخير غير ذاك المعاصر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وضع اسم الأب بين معقوفين فقد ذكر محقق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سبب ذلك أمران</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لفّق ما بين نسختين ودمجهما في نسخة واحدة، ووضع الزيادات من أحدهما بين معقوفين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 العناوين وما جعل المؤلّف بياضاً، بما يلزم ووضعه بين معقوفين أيضاً</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هذا الكلام يعلم أنَّ الأمر لا يخلو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من وجود بياض وقد أكمله محقق الكتاب، أو وجود الإضافة في نسخة أخرى، لكن بحسب كلام محقق الكتاب يرجّح الأوّل؛ لأنَّ كلامنا في العنوان، فلعله كان بياضاً، وظنّ المحقق أنّ الأخير هو الأوّل نفسه فجعل اسم أبيه نفس اسم أب الأوّل، خصوصاً أنّ هناك تعاليق من السيد الصدر على هذه النسخة التي جرى العمل عليها من قبل المحقق</w:t>
      </w:r>
      <w:r>
        <w:rPr>
          <w:rStyle w:val="FootnoteAnchor"/>
          <w:rtl w:val="true"/>
        </w:rPr>
        <w:footnoteReference w:id="556"/>
      </w:r>
      <w:r>
        <w:rPr>
          <w:rFonts w:ascii="Amiri" w:hAnsi="Amiri" w:eastAsia="Amiri" w:cs="Amiri"/>
          <w:color w:val="111111"/>
          <w:sz w:val="28"/>
          <w:sz w:val="28"/>
          <w:szCs w:val="28"/>
          <w:rtl w:val="true"/>
          <w:lang w:bidi="ar-SA"/>
        </w:rPr>
        <w:t xml:space="preserve">، مع ما يظهر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التكملة من البناء على الوحدة، كما سيأتي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من الأمرين يتطرّق الشَّكَ إلى أنَّ هذه الإضافة من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الميرزا الأفندي ترجم في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ترجمه الشيخ الحرّ بنفس عبارته ولم يزد عليها بحرف، ومن البعيد جداً أن يعود ويترجم الشخص نفسه، ويكون هناك بون كبير بين الترجمتين من حيث التفصيل والإجمال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لم يقتصر الاختلاف على الإجمال والتفصيل، وإنّما تعدّى إلى المضمون أيضاً، حيث إنّ مصبّ اهتمام الأوّل الكلام ، مع أنّ مصبّ اهتمام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الميرزا جان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يظهر من نشاطه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وإجازاته التي وقفنا عليها هو الفقه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الميرزا الأفندي ركّز في ترجمة الثّاني على أنّه من خواص الشيخ </w:t>
      </w:r>
    </w:p>
    <w:p>
      <w:pPr>
        <w:pStyle w:val="BookText"/>
        <w:rPr/>
      </w:pPr>
      <w:r>
        <w:rPr>
          <w:rFonts w:ascii="Amiri" w:hAnsi="Amiri" w:eastAsia="Amiri" w:cs="Amiri"/>
          <w:color w:val="111111"/>
          <w:sz w:val="28"/>
          <w:sz w:val="28"/>
          <w:szCs w:val="28"/>
          <w:rtl w:val="true"/>
          <w:lang w:bidi="ar-SA"/>
        </w:rPr>
        <w:t xml:space="preserve">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والملازم له حضراً وسفراً، وهذه خاصيّة مهمّة للغاية في شأن التلمذة، ومن ثَمَّ ذكرها في ترجمته، ولو كان الأوّل هو الثاني نفسه لذكر ذلك ولو اختصاراً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الأب المذكور في ترجمة الأوّل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الأب المذكور في ترجمة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وضع بين معقوفين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الصدر حيث قال بعد نقل كلام الحرّ العاملي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تلامذة شيخنا البهائي العاملي وخواصه الذي صاحبوه حضراً وسفراً</w:t>
      </w:r>
      <w:r>
        <w:rPr>
          <w:rStyle w:val="FootnoteAnchor"/>
          <w:rtl w:val="true"/>
        </w:rPr>
        <w:footnoteReference w:id="557"/>
      </w:r>
      <w:r>
        <w:rPr>
          <w:rFonts w:ascii="Amiri" w:hAnsi="Amiri" w:eastAsia="Amiri" w:cs="Amiri"/>
          <w:color w:val="111111"/>
          <w:sz w:val="28"/>
          <w:sz w:val="28"/>
          <w:szCs w:val="28"/>
          <w:rtl w:val="true"/>
          <w:lang w:bidi="ar-SA"/>
        </w:rPr>
        <w:t xml:space="preserve">، له كتاب المشكول يجري مجرى الكشكول يشتمل على أحاديث شريفة، وحكايات لطيفة، ومواعظ ونصائح بليغة، ونكات وأشعار جيّدة فصيحة استحسنه الشاه سلطان حسين الصفوي، فطلب من المولى الشريف السّيّد العلّامة محمد باقر بن إسماعيل الحسيني الخاتون آبادي وجماعة من العلماء أن يترجموه جميعاً بالفارسية فترجموه، وقد طبع بإيران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ذكره الشيخ الحرّ هو تلميذ الشيخ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الميرزا جان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بابا القزويني، كمال</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ابن الميرزا جان تلميذ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والمجاز منه بإجازة عامة تاريخها السابعة بعد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الرقم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وصفه فيها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الأخ الأغرّ الفاضل التقي الصفي الوفي، خلاصة الإخوان، وزبدة الخلّان كمالاً للإفادة والأُخُوّة </w:t>
      </w:r>
    </w:p>
    <w:p>
      <w:pPr>
        <w:pStyle w:val="BookText"/>
        <w:rPr/>
      </w:pPr>
      <w:r>
        <w:rPr>
          <w:rFonts w:ascii="Amiri" w:hAnsi="Amiri" w:eastAsia="Amiri" w:cs="Amiri"/>
          <w:color w:val="111111"/>
          <w:sz w:val="28"/>
          <w:sz w:val="28"/>
          <w:szCs w:val="28"/>
          <w:rtl w:val="true"/>
          <w:lang w:bidi="ar-SA"/>
        </w:rPr>
        <w:t xml:space="preserve">والدين مولانا كمال الدين حاج بابا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وكتبها على ظهر نسخة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كتبها المجاز بخطه وذكر اسم والده وقرأه على شيخه</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ترجم العنوان الآخر الذي ذكره الشيخ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بابا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محمد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كلام الحرّ العاملي، والميرزا عبد الله الأفندي، وكلام السّيّد الصّدر،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الميرزا جان لقب محمد صالح، فهو متحد مع ما قبله</w:t>
      </w:r>
      <w:r>
        <w:rPr>
          <w:rFonts w:eastAsia="Amiri" w:cs="Amiri" w:ascii="Amiri" w:hAnsi="Amiri"/>
          <w:color w:val="111111"/>
          <w:sz w:val="28"/>
          <w:szCs w:val="28"/>
          <w:rtl w:val="true"/>
          <w:lang w:bidi="ar-SA"/>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أنّ العلّامة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اتحاد العنوان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المبعدات التي ذكرناها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بعيداً جداً، والله سبحانه وتعالى العالم بحقيقة الحال</w:t>
      </w:r>
      <w:r>
        <w:rPr>
          <w:rFonts w:eastAsia="Amiri" w:cs="Amiri" w:ascii="Amiri" w:hAnsi="Amiri"/>
          <w:color w:val="111111"/>
          <w:sz w:val="28"/>
          <w:szCs w:val="28"/>
          <w:rtl w:val="true"/>
          <w:lang w:bidi="ar-SA"/>
        </w:rPr>
        <w:t xml:space="preserve">. </w:t>
      </w:r>
      <w:bookmarkStart w:id="261" w:name="pg8927_84539"/>
    </w:p>
    <w:p>
      <w:pPr>
        <w:pStyle w:val="Heading3"/>
        <w:numPr>
          <w:ilvl w:val="2"/>
          <w:numId w:val="1"/>
        </w:numPr>
        <w:rPr/>
      </w:pPr>
      <w:bookmarkStart w:id="262" w:name="__RefHeading___Toc1279236_2870459653"/>
      <w:bookmarkStart w:id="263" w:name="_Toc90"/>
      <w:bookmarkEnd w:id="261"/>
      <w:bookmarkEnd w:id="262"/>
      <w:r>
        <w:rPr>
          <w:rtl w:val="true"/>
        </w:rPr>
        <w:t>وصف النسخة المعتمدة في التحقيق</w:t>
      </w:r>
      <w:bookmarkEnd w:id="263"/>
    </w:p>
    <w:p>
      <w:pPr>
        <w:pStyle w:val="BookText"/>
        <w:rPr/>
      </w:pPr>
      <w:r>
        <w:rPr>
          <w:rFonts w:ascii="Amiri" w:hAnsi="Amiri" w:eastAsia="Amiri" w:cs="Amiri"/>
          <w:color w:val="111111"/>
          <w:sz w:val="28"/>
          <w:sz w:val="28"/>
          <w:szCs w:val="28"/>
          <w:rtl w:val="true"/>
          <w:lang w:bidi="ar-SA"/>
        </w:rPr>
        <w:t xml:space="preserve">هينسخة نادرة ويتيمة بخطّ تلميذ المصنّف المولى كمال الدين حاجي بابا ابن الميرزا جان القزويني موجودة في مكتبة مجلس الشورى تحت الرّقم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تاريخ نسخها، وهي ضمن مجموعة تحتوي على رسائل خمسة، أربعة منها للشّيخ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الاثنا عشريّات في الصّلاة والصوم والحج، وباب الميراث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بين أيدينا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للشيخ عبد العالي ابن المحقق الكركي على بعض كتاب الطهارة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 في شرح القواعد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تلميذه حاجي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ذکر نا آنفاً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 استفادته شرح القواعد عليه، كما أثبت ذلك بنفسه في صفحة العنوان والصفحة الأخيرة منها، خلافاً لما ما جاء في فهرس النسخ الخطية في إيران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أنها للمحقق الكركيّ</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وتتكون الحاشية من عشرين صفحة في كل صفحة ما بين ثلاثة وعشرين إلى ثلاثين سطراً، وأبعاد الصفحة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الحاشية تحتوي على مائتين وخمس وأربعين تعليقة، خمس وخمسون منها على قواعد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نبّه على ذلك كاتبها في اثنين وعشرين تعليقة منها </w:t>
      </w:r>
      <w:r>
        <w:rPr>
          <w:rFonts w:eastAsia="Amiri" w:cs="Amiri" w:ascii="Amiri" w:hAnsi="Amiri"/>
          <w:color w:val="111111"/>
          <w:sz w:val="28"/>
          <w:szCs w:val="28"/>
          <w:rtl w:val="true"/>
          <w:lang w:bidi="ar-SA"/>
        </w:rPr>
        <w:t xml:space="preserve">. </w:t>
      </w:r>
      <w:bookmarkStart w:id="264" w:name="pg8927_84540"/>
    </w:p>
    <w:p>
      <w:pPr>
        <w:pStyle w:val="Heading3"/>
        <w:numPr>
          <w:ilvl w:val="2"/>
          <w:numId w:val="1"/>
        </w:numPr>
        <w:rPr/>
      </w:pPr>
      <w:bookmarkStart w:id="265" w:name="__RefHeading___Toc1279238_2870459653"/>
      <w:bookmarkStart w:id="266" w:name="_Toc91"/>
      <w:bookmarkEnd w:id="264"/>
      <w:bookmarkEnd w:id="265"/>
      <w:r>
        <w:rPr>
          <w:rtl w:val="true"/>
        </w:rPr>
        <w:t>العمل في التحقيق</w:t>
      </w:r>
      <w:r>
        <w:rPr>
          <w:rtl w:val="true"/>
        </w:rPr>
        <w:t>:</w:t>
      </w:r>
      <w:bookmarkEnd w:id="2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 حروف النّصّ، ثُمَّ التأكد من مطابقته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تقطيعه وتقويمه بما يشتمل على ضبطه، وإضافة ما تدعو الضرورة إليه وجعله بين معقوفين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اقتراح عناوين وجعلها بين معقوفين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التنبيه على الاختلاف ما بين جامع المقاصد والقواعد المطبوعين وبين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الآيات الكريمة، والأحاديث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تخريج أقوال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تخريج محل التعليق من جامع المقاصد والقواعد المطبوعين، مع إضافة مقطعِ منهما لربط المطالب عند القارئ الكريم</w:t>
      </w:r>
      <w:r>
        <w:rPr>
          <w:rFonts w:eastAsia="Amiri" w:cs="Amiri" w:ascii="Amiri" w:hAnsi="Amiri"/>
          <w:color w:val="111111"/>
          <w:sz w:val="28"/>
          <w:szCs w:val="28"/>
          <w:rtl w:val="true"/>
          <w:lang w:bidi="ar-SA"/>
        </w:rPr>
        <w:t>.</w:t>
      </w:r>
    </w:p>
    <w:p>
      <w:pPr>
        <w:pStyle w:val="Heading3"/>
        <w:numPr>
          <w:ilvl w:val="2"/>
          <w:numId w:val="1"/>
        </w:numPr>
        <w:rPr/>
      </w:pPr>
      <w:bookmarkStart w:id="267" w:name="__RefHeading___Toc1279240_2870459653"/>
      <w:bookmarkStart w:id="268" w:name="_Toc92"/>
      <w:bookmarkEnd w:id="267"/>
      <w:r>
        <w:rPr>
          <w:rtl w:val="true"/>
        </w:rPr>
        <w:t>شكر وتقدير</w:t>
      </w:r>
      <w:r>
        <w:rPr>
          <w:rtl w:val="true"/>
        </w:rPr>
        <w:t>:</w:t>
      </w:r>
      <w:bookmarkEnd w:id="268"/>
    </w:p>
    <w:p>
      <w:pPr>
        <w:pStyle w:val="BookText"/>
        <w:rPr/>
      </w:pPr>
      <w:r>
        <w:rPr>
          <w:rFonts w:ascii="Amiri" w:hAnsi="Amiri" w:eastAsia="Amiri" w:cs="Amiri"/>
          <w:color w:val="111111"/>
          <w:sz w:val="28"/>
          <w:sz w:val="28"/>
          <w:szCs w:val="28"/>
          <w:rtl w:val="true"/>
          <w:lang w:bidi="ar-SA"/>
        </w:rPr>
        <w:t>وفي الختام بعد شكر الله سبحانه وتعالى على ما أنعم ووفّق ، أتقدم بخالص الشكر والامتنان إلى مكتبة مجلس الشورى في طهران، وأخصّ الأخ الدكتور محمد كاظم رحمتى بالشكر الوافر حيث هيّأ لنا هذه النسخة اليتيمة والنادرة، وأسأل الله سبحانه له مزيداً من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 الله سبحانه تبارك وتعالى أن يجعل هذا العمل خالصاً لوجهه الكريم، وأنْ ينفعنا به يوم لا ينفع مال ولا بنون إلا من أتى الله بقلب سليم، بمحمد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الحاج محسن الجعفري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1440</w:t>
      </w:r>
      <w:r>
        <w:rPr>
          <w:rFonts w:ascii="IRNazanin" w:hAnsi="IRNazanin" w:eastAsia="IRNazanin"/>
          <w:color w:val="111111"/>
          <w:sz w:val="28"/>
          <w:sz w:val="28"/>
          <w:szCs w:val="28"/>
          <w:rtl w:val="true"/>
          <w:lang w:bidi="fa-IR"/>
        </w:rPr>
        <w:t xml:space="preserve">هـ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1" o:detectmouseclick="t"/>
                <v:stroke color="#3465a4" joinstyle="round" endcap="flat"/>
                <w10:wrap type="none"/>
              </v:shape>
            </w:pict>
          </mc:Fallback>
        </mc:AlternateConten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4" o:detectmouseclick="t"/>
                <v:stroke color="#3465a4" joinstyle="round" endcap="flat"/>
                <w10:wrap type="none"/>
              </v:shape>
            </w:pict>
          </mc:Fallback>
        </mc:AlternateConten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97" o:detectmouseclick="t"/>
                <v:stroke color="#3465a4" joinstyle="round" endcap="flat"/>
                <w10:wrap type="none"/>
              </v:shape>
            </w:pict>
          </mc:Fallback>
        </mc:AlternateConten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8927_84545"/>
      <w:bookmarkStart w:id="270" w:name="pg8927_84545"/>
      <w:bookmarkEnd w:id="270"/>
    </w:p>
    <w:p>
      <w:pPr>
        <w:pStyle w:val="Heading2"/>
        <w:numPr>
          <w:ilvl w:val="1"/>
          <w:numId w:val="1"/>
        </w:numPr>
        <w:rPr/>
      </w:pPr>
      <w:bookmarkStart w:id="271" w:name="pg8927_84545"/>
      <w:bookmarkStart w:id="272" w:name="__RefHeading___Toc1279242_2870459653"/>
      <w:bookmarkStart w:id="273" w:name="_Toc93"/>
      <w:bookmarkEnd w:id="271"/>
      <w:bookmarkEnd w:id="272"/>
      <w:r>
        <w:rPr>
          <w:rtl w:val="true"/>
        </w:rPr>
        <w:t>حاشية شرح القواعد</w:t>
      </w:r>
      <w:bookmarkEnd w:id="273"/>
    </w:p>
    <w:p>
      <w:pPr>
        <w:pStyle w:val="Heading3"/>
        <w:numPr>
          <w:ilvl w:val="2"/>
          <w:numId w:val="1"/>
        </w:numPr>
        <w:rPr/>
      </w:pPr>
      <w:bookmarkStart w:id="274" w:name="__RefHeading___Toc1279244_2870459653"/>
      <w:bookmarkStart w:id="275" w:name="_Toc94"/>
      <w:bookmarkEnd w:id="274"/>
      <w:r>
        <w:rPr>
          <w:rtl w:val="true"/>
        </w:rPr>
        <w:t>للفقيه المدقق</w:t>
      </w:r>
      <w:bookmarkEnd w:id="275"/>
    </w:p>
    <w:p>
      <w:pPr>
        <w:pStyle w:val="BookText"/>
        <w:rPr/>
      </w:pPr>
      <w:r>
        <w:rPr>
          <w:rFonts w:ascii="Amiri" w:hAnsi="Amiri" w:eastAsia="Amiri" w:cs="Amiri"/>
          <w:color w:val="111111"/>
          <w:sz w:val="28"/>
          <w:sz w:val="28"/>
          <w:szCs w:val="28"/>
          <w:rtl w:val="true"/>
          <w:lang w:bidi="ar-SA"/>
        </w:rPr>
        <w:t>الشيخ عبد العالي ابن المحقق الكركي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عزة</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حاشية شرح القواعد من إفادات الشيخ الأجل الأعلم الأكرم الشيخ عبد العالي ابن الشيخ علي بن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أفادها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قراءة الكتاب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كتبه الفقير إلى عفو ربه الغني</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ميرزا جان حاجي بابا القزويني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اللَّـهِ الرَّحْمَـٰنِ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r>
        <w:rPr>
          <w:rStyle w:val="FootnoteAnchor"/>
          <w:rtl w:val="true"/>
        </w:rPr>
        <w:footnoteReference w:id="5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الأصح</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لنصّ أصحابنا على إعادة الطّواف نسياناً</w:t>
      </w:r>
      <w:r>
        <w:rPr>
          <w:rStyle w:val="FootnoteAnchor"/>
          <w:rtl w:val="true"/>
        </w:rPr>
        <w:footnoteReference w:id="564"/>
      </w:r>
      <w:r>
        <w:rPr>
          <w:rFonts w:ascii="Amiri" w:hAnsi="Amiri" w:eastAsia="Amiri" w:cs="Amiri"/>
          <w:color w:val="111111"/>
          <w:sz w:val="28"/>
          <w:sz w:val="28"/>
          <w:szCs w:val="28"/>
          <w:rtl w:val="true"/>
          <w:lang w:bidi="ar-SA"/>
        </w:rPr>
        <w:t>إن كان واجباً، وإجزائه إن كان ندباً</w:t>
      </w:r>
      <w:r>
        <w:rPr>
          <w:rStyle w:val="FootnoteAnchor"/>
          <w:rtl w:val="true"/>
        </w:rPr>
        <w:footnoteReference w:id="565"/>
      </w:r>
      <w:r>
        <w:rPr>
          <w:rFonts w:ascii="Amiri" w:hAnsi="Amiri" w:eastAsia="Amiri" w:cs="Amiri"/>
          <w:color w:val="111111"/>
          <w:sz w:val="28"/>
          <w:sz w:val="28"/>
          <w:szCs w:val="28"/>
          <w:rtl w:val="true"/>
          <w:lang w:bidi="ar-SA"/>
        </w:rPr>
        <w:t>، وذلك يستلزم عدم الاشتراط؛ إذ النسيان لا مدخل له في ما هو شرطه</w:t>
      </w:r>
      <w:r>
        <w:rPr>
          <w:rFonts w:eastAsia="Amiri" w:cs="Amiri" w:ascii="Amiri" w:hAnsi="Amiri"/>
          <w:color w:val="111111"/>
          <w:sz w:val="28"/>
          <w:szCs w:val="28"/>
          <w:rtl w:val="true"/>
          <w:lang w:bidi="ar-SA"/>
        </w:rPr>
        <w:t xml:space="preserve">. </w:t>
      </w:r>
      <w:bookmarkStart w:id="276" w:name="pg8927_84550"/>
    </w:p>
    <w:p>
      <w:pPr>
        <w:pStyle w:val="BookText"/>
        <w:rPr/>
      </w:pPr>
      <w:bookmarkEnd w:id="27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للكون</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لنفس كونه متوضئاً، فيكون الغرض بيان استحبابه لنفسه لا لغيره؛ فإنّ الشّيء قد يطلب لذاته، لا لأمر زائد على ذاته، وهذا أوجه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المجدّد</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نقول في المجدّد كما قلناه في المعادة، فيؤتى به على نحو ما أتى به سابقاً، ولا يقدح عدم الجزم في رافعيّته، أو إباحته حينئذ؛ لأن ذلك هو المقدور</w:t>
      </w:r>
      <w:r>
        <w:rPr>
          <w:rFonts w:eastAsia="Amiri" w:cs="Amiri" w:ascii="Amiri" w:hAnsi="Amiri"/>
          <w:color w:val="111111"/>
          <w:sz w:val="28"/>
          <w:szCs w:val="28"/>
          <w:rtl w:val="true"/>
          <w:lang w:bidi="ar-SA"/>
        </w:rPr>
        <w:t>.</w:t>
      </w:r>
    </w:p>
    <w:p>
      <w:pPr>
        <w:pStyle w:val="Heading3"/>
        <w:numPr>
          <w:ilvl w:val="2"/>
          <w:numId w:val="1"/>
        </w:numPr>
        <w:rPr/>
      </w:pPr>
      <w:bookmarkStart w:id="277" w:name="__RefHeading___Toc1279246_2870459653"/>
      <w:bookmarkStart w:id="278" w:name="_Toc95"/>
      <w:bookmarkEnd w:id="277"/>
      <w:r>
        <w:rPr>
          <w:rtl w:val="true"/>
        </w:rPr>
        <w:t>[</w:t>
      </w:r>
      <w:r>
        <w:rPr>
          <w:rtl w:val="true"/>
        </w:rPr>
        <w:t>الأغسال الواجبة والمستحبّة</w:t>
      </w:r>
      <w:r>
        <w:rPr>
          <w:rtl w:val="true"/>
        </w:rPr>
        <w:t>]</w:t>
      </w:r>
      <w:bookmarkEnd w:id="27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يجب أن يستثنى</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جُنُبا إِلَّا عَابِرِي سَبِيلِ</w:t>
      </w:r>
      <w:r>
        <w:rPr>
          <w:rStyle w:val="FootnoteAnchor"/>
          <w:rtl w:val="true"/>
        </w:rPr>
        <w:footnoteReference w:id="569"/>
      </w:r>
      <w:r>
        <w:rPr>
          <w:rFonts w:ascii="IRNazanin" w:hAnsi="IRNazanin" w:eastAsia="IRNazanin"/>
          <w:color w:val="111111"/>
          <w:sz w:val="28"/>
          <w:sz w:val="28"/>
          <w:szCs w:val="28"/>
          <w:rtl w:val="true"/>
          <w:lang w:bidi="fa-IR"/>
        </w:rPr>
        <w:t>، وإنما أطلق</w:t>
      </w:r>
      <w:r>
        <w:rPr>
          <w:rStyle w:val="FootnoteAnchor"/>
          <w:rtl w:val="true"/>
        </w:rPr>
        <w:footnoteReference w:id="570"/>
      </w:r>
      <w:r>
        <w:rPr>
          <w:rFonts w:ascii="Amiri" w:hAnsi="Amiri" w:eastAsia="Amiri" w:cs="Amiri"/>
          <w:color w:val="111111"/>
          <w:sz w:val="28"/>
          <w:sz w:val="28"/>
          <w:szCs w:val="28"/>
          <w:rtl w:val="true"/>
          <w:lang w:bidi="ar-SA"/>
        </w:rPr>
        <w:t xml:space="preserve">لثبوت ذلك في </w:t>
      </w:r>
    </w:p>
    <w:p>
      <w:pPr>
        <w:pStyle w:val="BookText"/>
        <w:rPr/>
      </w:pPr>
      <w:r>
        <w:rPr>
          <w:rFonts w:ascii="Amiri" w:hAnsi="Amiri" w:eastAsia="Amiri" w:cs="Amiri"/>
          <w:color w:val="111111"/>
          <w:sz w:val="28"/>
          <w:sz w:val="28"/>
          <w:szCs w:val="28"/>
          <w:rtl w:val="true"/>
          <w:lang w:bidi="ar-SA"/>
        </w:rPr>
        <w:t>الجملة، كما في الصّلاة الواجبة؛ إذ قد لا يجب الوضوء لها كما في فَقْدِ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ينافي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يقال أراد من وجوبه لأمر آخر اشتراطه فيه؛ لأنّ وجوبه نشأ منه، ولا امتناع من أن يكون الشيء واجباً لنفسه وشرطاً في أمر آخر، كالإسلام بالنظر إلى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مع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الواجب في الموسع الكلّيُّ ، وفي المعيّن الفرد، فلا امتناع من اختلاف المقتضي للوجوب فيهما؛ فإنّ التضيق أمر زائد على الفعل، ومقتضى الزيادة قد لغى به المقتضي للأصل كما في من نذر صلاة، ثُمَّ نذر إيقاعها عاجلاً؛ للقطع بانعقاده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بناء هذين الوجهين على اعتبار حكم</w:t>
      </w:r>
      <w:r>
        <w:rPr>
          <w:rStyle w:val="FootnoteAnchor"/>
          <w:rtl w:val="true"/>
        </w:rPr>
        <w:footnoteReference w:id="574"/>
      </w:r>
      <w:r>
        <w:rPr>
          <w:rFonts w:ascii="IRNazanin" w:hAnsi="IRNazanin" w:eastAsia="IRNazanin"/>
          <w:color w:val="111111"/>
          <w:sz w:val="28"/>
          <w:sz w:val="28"/>
          <w:szCs w:val="28"/>
          <w:rtl w:val="true"/>
          <w:lang w:bidi="fa-IR"/>
        </w:rPr>
        <w:t xml:space="preserve">الحدث السابق، وأما على ما اختاره </w:t>
      </w:r>
    </w:p>
    <w:p>
      <w:pPr>
        <w:pStyle w:val="BookText"/>
        <w:rPr/>
      </w:pPr>
      <w:r>
        <w:rPr>
          <w:rFonts w:ascii="Amiri" w:hAnsi="Amiri" w:eastAsia="Amiri" w:cs="Amiri"/>
          <w:color w:val="111111"/>
          <w:sz w:val="28"/>
          <w:sz w:val="28"/>
          <w:szCs w:val="28"/>
          <w:rtl w:val="true"/>
          <w:lang w:bidi="ar-SA"/>
        </w:rPr>
        <w:t>من اعتبار أوقات الصلوات في القلة وعدمها فينبغي القول بعدم التقديم؛ لعدم الجزم بالحال قبلها، فعلى هذا يكون الغسل في الصوم شرطاً لانتهائه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والشرط مقدم</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كان الغسل منه ما هو شرط الابتداء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الجنابة على 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هو شرط 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كغسل المستحاضة للظهرين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يكون غسل صلاة الغداة شرط الانتهاء، فلا يلزم منه وجوب تقديمه على الفجر حينئذ كما 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التقاء الجمعين</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التعليل ورد في الخبر</w:t>
      </w:r>
      <w:r>
        <w:rPr>
          <w:rStyle w:val="FootnoteAnchor"/>
          <w:rtl w:val="true"/>
        </w:rPr>
        <w:footnoteReference w:id="577"/>
      </w:r>
      <w:r>
        <w:rPr>
          <w:rFonts w:ascii="Amiri" w:hAnsi="Amiri" w:eastAsia="Amiri" w:cs="Amiri"/>
          <w:color w:val="111111"/>
          <w:sz w:val="28"/>
          <w:sz w:val="28"/>
          <w:szCs w:val="28"/>
          <w:rtl w:val="true"/>
          <w:lang w:bidi="ar-SA"/>
        </w:rPr>
        <w:t xml:space="preserve">فأشار إليه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578"/>
      </w:r>
      <w:r>
        <w:rPr>
          <w:rFonts w:ascii="Amiri" w:hAnsi="Amiri" w:eastAsia="Amiri" w:cs="Amiri"/>
          <w:color w:val="111111"/>
          <w:sz w:val="28"/>
          <w:sz w:val="28"/>
          <w:szCs w:val="28"/>
          <w:rtl w:val="true"/>
          <w:lang w:bidi="ar-SA"/>
        </w:rPr>
        <w:t>اتباعاً للخبر، وكذا باقي التعليلات المذكورة، والأصل فيها ورود الأخبار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نيروز الفرس</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80"/>
      </w:r>
      <w:r>
        <w:rPr>
          <w:rFonts w:ascii="Amiri" w:hAnsi="Amiri" w:eastAsia="Amiri" w:cs="Amiri"/>
          <w:color w:val="111111"/>
          <w:sz w:val="28"/>
          <w:sz w:val="28"/>
          <w:szCs w:val="28"/>
          <w:rtl w:val="true"/>
          <w:lang w:bidi="ar-SA"/>
        </w:rPr>
        <w:t>، ولما تعلّق به عبادة كان الأولى تحقيقه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أنّه اليوم الذي تحلّ فيه الشمس الحمل؛ لأنّه المعروف بين الناس، وقد جرت عادة الشّارع بتعليق الأحكام على الأمور الظاهرة، كتعليق أوقات الصلاة على سير الشمس الظاهر ، وصوم شهر رمضان على رؤية الهلال، وأفعال الحجّ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أنّ بعض هذه الأغسال آكد من بعض كالجمعة، والإحرام، والمولود، والسّعي إلى المصلوب مما قيل إنّه واجب</w:t>
      </w:r>
      <w:r>
        <w:rPr>
          <w:rStyle w:val="FootnoteAnchor"/>
          <w:rtl w:val="true"/>
        </w:rPr>
        <w:footnoteReference w:id="582"/>
      </w:r>
      <w:r>
        <w:rPr>
          <w:rFonts w:ascii="Amiri" w:hAnsi="Amiri" w:eastAsia="Amiri" w:cs="Amiri"/>
          <w:color w:val="111111"/>
          <w:sz w:val="28"/>
          <w:sz w:val="28"/>
          <w:szCs w:val="28"/>
          <w:rtl w:val="true"/>
          <w:lang w:bidi="ar-SA"/>
        </w:rPr>
        <w:t>، وما اشتهر على ما لم يشتهر، وما علم مأخذه على ما لم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مزاحمة اثنين على ماء مباح أو مبذول للأحوج، فالأهم يقدّم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المطلوب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الرفع أو الاستباحة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واحد</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أنّ الغرض من الأغسال الواجبة قد يتعلّق بالرفع المطلق، أو الاستباحة المطلقة، فجاز الاكتفاء بواحد منها عما سواه عند نيّة ذلك؛ لحصول المطلوب، بخلاف </w:t>
      </w:r>
    </w:p>
    <w:p>
      <w:pPr>
        <w:pStyle w:val="BookText"/>
        <w:rPr/>
      </w:pPr>
      <w:r>
        <w:rPr>
          <w:rFonts w:ascii="Amiri" w:hAnsi="Amiri" w:eastAsia="Amiri" w:cs="Amiri"/>
          <w:color w:val="111111"/>
          <w:sz w:val="28"/>
          <w:sz w:val="28"/>
          <w:szCs w:val="28"/>
          <w:rtl w:val="true"/>
          <w:lang w:bidi="ar-SA"/>
        </w:rPr>
        <w:t xml:space="preserve">المندوبة؛ إذ الظاهر أنّ المطلوب ذواتها، لا أمر تشترك فيه؛ لانتفائه، وما رواه الشّيخ عن زرارة عنأحدهما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غسلت</w:t>
      </w:r>
      <w:r>
        <w:rPr>
          <w:rStyle w:val="FootnoteAnchor"/>
          <w:rtl w:val="true"/>
        </w:rPr>
        <w:footnoteReference w:id="584"/>
      </w:r>
      <w:r>
        <w:rPr>
          <w:rFonts w:ascii="Amiri" w:hAnsi="Amiri" w:eastAsia="Amiri" w:cs="Amiri"/>
          <w:color w:val="111111"/>
          <w:sz w:val="28"/>
          <w:sz w:val="28"/>
          <w:szCs w:val="28"/>
          <w:rtl w:val="true"/>
          <w:lang w:bidi="ar-SA"/>
        </w:rPr>
        <w:t>بعد طلوع الفجر أجزأك غسلك ذلك للجنابة والجمعة وعرفة والنحر والذبح والزيارة، فإذا اجتمعت الله عليك حقوق أجزأها عنك غسل واحد</w:t>
      </w:r>
      <w:r>
        <w:rPr>
          <w:rFonts w:eastAsia="Amiri" w:cs="Amiri" w:ascii="Amiri" w:hAnsi="Amiri"/>
          <w:color w:val="111111"/>
          <w:sz w:val="28"/>
          <w:szCs w:val="28"/>
          <w:rtl w:val="true"/>
          <w:lang w:bidi="ar-SA"/>
        </w:rPr>
        <w:t>)</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فغير صريح في إجزاء ذلك الغسل مع اجتماع</w:t>
      </w:r>
    </w:p>
    <w:p>
      <w:pPr>
        <w:pStyle w:val="BookText"/>
        <w:rPr/>
      </w:pPr>
      <w:r>
        <w:rPr>
          <w:rFonts w:ascii="Amiri" w:hAnsi="Amiri" w:eastAsia="Amiri" w:cs="Amiri"/>
          <w:color w:val="111111"/>
          <w:sz w:val="28"/>
          <w:sz w:val="28"/>
          <w:szCs w:val="28"/>
          <w:rtl w:val="true"/>
          <w:lang w:bidi="ar-SA"/>
        </w:rPr>
        <w:t>المذكورات، بل إرادته تفتقر إلى تقدير حضور وقتها؛ إذ لا يعقل الإجزاء عن الشّيء من انتفاء مقتضيه، والأصل ينفيه، فلعل الغرض بيان الوقت لتلك الأغسال، فإنّ وقت غسل الجمعة وعرفة والنّحر والذبح والزيارة بعد طلوع فجر ذلك اليوم، واشتراك الوقت بين غسل الجنابة وغيره من المذكورات يعتبر فيه الطلوع المذكور قطعاً وإن لم</w:t>
      </w:r>
    </w:p>
    <w:p>
      <w:pPr>
        <w:pStyle w:val="BookText"/>
        <w:rPr/>
      </w:pPr>
      <w:r>
        <w:rPr>
          <w:rFonts w:ascii="Amiri" w:hAnsi="Amiri" w:eastAsia="Amiri" w:cs="Amiri"/>
          <w:color w:val="111111"/>
          <w:sz w:val="28"/>
          <w:sz w:val="28"/>
          <w:szCs w:val="28"/>
          <w:rtl w:val="true"/>
          <w:lang w:bidi="ar-SA"/>
        </w:rPr>
        <w:t>يكن بالنظر إليه وحده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كون ذلك لبيان الوقت ذكر الاجتماع بعده، وإلا لكان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بالتداخل</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الإجزاء غالباً إنّما يستعمل في رافع التكليف لم يدلّ ما ورد من الأخبار في إجزاء الواحد مع انضمام الواجب على إدراك الفضيلة الذي هو المراد من تداخل المندوبات، الجواز أن يكون ذلك على تقدير وجوبها إجراءً للفظ الإجزاء على ظاهره، وحينئذ فلا امتناع من الاكتفاء بالواحد؛ إذ مع نيّة الرّفع به للجنابة والوجوب المشترك </w:t>
      </w:r>
      <w:bookmarkStart w:id="279" w:name="pg8927_84555"/>
    </w:p>
    <w:p>
      <w:pPr>
        <w:pStyle w:val="BookText"/>
        <w:rPr/>
      </w:pPr>
      <w:bookmarkEnd w:id="279"/>
      <w:r>
        <w:rPr>
          <w:rFonts w:ascii="Amiri" w:hAnsi="Amiri" w:eastAsia="Amiri" w:cs="Amiri"/>
          <w:color w:val="111111"/>
          <w:sz w:val="28"/>
          <w:sz w:val="28"/>
          <w:szCs w:val="28"/>
          <w:rtl w:val="true"/>
          <w:lang w:bidi="ar-SA"/>
        </w:rPr>
        <w:t>بينها يتحقق جميع ما اعتبر فيها، فيسقط التكليف</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1279248_2870459653"/>
      <w:bookmarkStart w:id="281" w:name="_Toc96"/>
      <w:bookmarkEnd w:id="280"/>
      <w:r>
        <w:rPr>
          <w:rtl w:val="true"/>
        </w:rPr>
        <w:t>[</w:t>
      </w:r>
      <w:r>
        <w:rPr>
          <w:rtl w:val="true"/>
        </w:rPr>
        <w:t>التيمم</w:t>
      </w:r>
      <w:r>
        <w:rPr>
          <w:rtl w:val="true"/>
        </w:rPr>
        <w:t>]</w:t>
      </w:r>
      <w:bookmarkEnd w:id="281"/>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ولخروج المجنب</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 الخبر فليعبر بالمحتلم</w:t>
      </w:r>
      <w:r>
        <w:rPr>
          <w:rStyle w:val="FootnoteAnchor"/>
          <w:rtl w:val="true"/>
        </w:rPr>
        <w:footnoteReference w:id="588"/>
      </w:r>
      <w:r>
        <w:rPr>
          <w:rFonts w:ascii="Amiri" w:hAnsi="Amiri" w:eastAsia="Amiri" w:cs="Amiri"/>
          <w:color w:val="111111"/>
          <w:sz w:val="28"/>
          <w:sz w:val="28"/>
          <w:szCs w:val="28"/>
          <w:rtl w:val="true"/>
          <w:lang w:bidi="ar-SA"/>
        </w:rPr>
        <w:t>، وإلا فذكر ما يشمل من أجنب خارجاً ودخل أحدهما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وإلحاق من عرض له الجنابة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الجنابة لها مدخل في التحريم، كما دلّت النصوص</w:t>
      </w:r>
      <w:r>
        <w:rPr>
          <w:rStyle w:val="FootnoteAnchor"/>
          <w:rtl w:val="true"/>
        </w:rPr>
        <w:footnoteReference w:id="590"/>
      </w:r>
      <w:r>
        <w:rPr>
          <w:rFonts w:ascii="Amiri" w:hAnsi="Amiri" w:eastAsia="Amiri" w:cs="Amiri"/>
          <w:color w:val="111111"/>
          <w:sz w:val="28"/>
          <w:sz w:val="28"/>
          <w:szCs w:val="28"/>
          <w:rtl w:val="true"/>
          <w:lang w:bidi="ar-SA"/>
        </w:rPr>
        <w:t>، وانعقد الإجماع عليه</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المرور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على سبيل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النّهاية في مجرّد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المهذب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الوسيلة إلى نيل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غنية النزوع إلى علمي الأصول والفروع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السرائر الحاوي لتحرير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الجامع للشّرائع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قواعد الأحكام في معرفة الحلال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وخصوصية الاحتلام مشكوك في جزئيّتها للسبب، فتنتفي بالأصل،</w:t>
      </w:r>
    </w:p>
    <w:p>
      <w:pPr>
        <w:pStyle w:val="BookText"/>
        <w:rPr/>
      </w:pPr>
      <w:r>
        <w:rPr>
          <w:rFonts w:ascii="Amiri" w:hAnsi="Amiri" w:eastAsia="Amiri" w:cs="Amiri"/>
          <w:color w:val="111111"/>
          <w:sz w:val="28"/>
          <w:sz w:val="28"/>
          <w:szCs w:val="28"/>
          <w:rtl w:val="true"/>
          <w:lang w:bidi="ar-SA"/>
        </w:rPr>
        <w:t>فيثبت الحكم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التّمكّن من مبدله</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قلنا بأنّه بدل عن الغسل قُدِّمَ الغسل عليه؛ لتوقف شرعيته على فَقْدِ مبدله، إذ هو طهارة اضطراريّة اتّفاقاً</w:t>
      </w:r>
      <w:r>
        <w:rPr>
          <w:rStyle w:val="FootnoteAnchor"/>
          <w:rtl w:val="true"/>
        </w:rPr>
        <w:footnoteReference w:id="593"/>
      </w:r>
      <w:r>
        <w:rPr>
          <w:rFonts w:ascii="Amiri" w:hAnsi="Amiri" w:eastAsia="Amiri" w:cs="Amiri"/>
          <w:color w:val="111111"/>
          <w:sz w:val="28"/>
          <w:sz w:val="28"/>
          <w:szCs w:val="28"/>
          <w:rtl w:val="true"/>
          <w:lang w:bidi="ar-SA"/>
        </w:rPr>
        <w:t>، لكنّه ليس ببدل عنه، فلا تقديم؛ وذلك لأنه لو وجب الغسل لكان لوجوبِ غاية، كما هو ظاهر ، ولا غاية له سوى الخروج، فيجب الخروج بعد إيقاع الغسل وارتفاع الحدث، وهو خلاف الإجماع، فالحق عدم جواز العدول عنه إلى الغسل وإن قصر زمانه عنه</w:t>
      </w:r>
      <w:r>
        <w:rPr>
          <w:rFonts w:eastAsia="Amiri" w:cs="Amiri" w:ascii="Amiri" w:hAnsi="Amiri"/>
          <w:color w:val="111111"/>
          <w:sz w:val="28"/>
          <w:szCs w:val="28"/>
          <w:rtl w:val="true"/>
          <w:lang w:bidi="ar-SA"/>
        </w:rPr>
        <w:t xml:space="preserve">. </w:t>
      </w:r>
      <w:bookmarkStart w:id="282" w:name="pg8927_84557"/>
    </w:p>
    <w:p>
      <w:pPr>
        <w:pStyle w:val="Heading3"/>
        <w:numPr>
          <w:ilvl w:val="2"/>
          <w:numId w:val="1"/>
        </w:numPr>
        <w:rPr/>
      </w:pPr>
      <w:bookmarkStart w:id="283" w:name="__RefHeading___Toc1279250_2870459653"/>
      <w:bookmarkStart w:id="284" w:name="_Toc97"/>
      <w:bookmarkEnd w:id="282"/>
      <w:bookmarkEnd w:id="283"/>
      <w:r>
        <w:rPr>
          <w:rtl w:val="true"/>
        </w:rPr>
        <w:t>[</w:t>
      </w:r>
      <w:r>
        <w:rPr>
          <w:rtl w:val="true"/>
        </w:rPr>
        <w:t>موجبات الوضوء</w:t>
      </w:r>
      <w:r>
        <w:rPr>
          <w:rtl w:val="true"/>
        </w:rPr>
        <w:t>]</w:t>
      </w:r>
      <w:bookmarkEnd w:id="284"/>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بخروج البول</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أراد الخروج المعتاد، وهو ما معه انفصال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تجب إلا بوجوب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غالباً، فإنّه قد مرّ أنّ الثّلاثة قد تجب باليمين وأخويه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الشيخ</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لأنّه إن اعتيد نقضَ، وإن لم يُعتد فلا نقض، فالفرق تحكّم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والنّوم</w:t>
      </w:r>
      <w:r>
        <w:rPr>
          <w:rFonts w:eastAsia="IRNazanin" w:cs="IRNazanin"/>
          <w:color w:val="111111"/>
          <w:sz w:val="28"/>
          <w:szCs w:val="28"/>
          <w:rtl w:val="true"/>
          <w:lang w:bidi="fa-IR"/>
        </w:rPr>
        <w:t>)</w:t>
      </w:r>
      <w:r>
        <w:rPr>
          <w:rStyle w:val="FootnoteAnchor"/>
          <w:rtl w:val="true"/>
        </w:rPr>
        <w:footnoteReference w:id="598"/>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النوم عندنا ناقض؛ لكونه حدثاً، لا لأنّه مظنة له، كما يحكى عن بعض من غيرنا</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أخبره معصوم بعدم خروج حدث لم ينقض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وتخصيص ابن بابويه</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الصدوق إلى تخصيص الحكم بالمنفرج متمسكاً بخبر سماعة</w:t>
      </w:r>
      <w:r>
        <w:rPr>
          <w:rStyle w:val="FootnoteAnchor"/>
          <w:rtl w:val="true"/>
        </w:rPr>
        <w:footnoteReference w:id="601"/>
      </w:r>
      <w:r>
        <w:rPr>
          <w:rFonts w:ascii="Amiri" w:hAnsi="Amiri" w:eastAsia="Amiri" w:cs="Amiri"/>
          <w:color w:val="111111"/>
          <w:sz w:val="28"/>
          <w:sz w:val="28"/>
          <w:szCs w:val="28"/>
          <w:rtl w:val="true"/>
          <w:lang w:bidi="ar-SA"/>
        </w:rPr>
        <w:t xml:space="preserve">، وقول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وضوء عليه ما دام قاعداً لم ينفرج</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والخبر الأوّل مقطوع، والثاني غير معلوم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والاستحاضة القليلة</w:t>
      </w:r>
      <w:r>
        <w:rPr>
          <w:rFonts w:eastAsia="Amiri" w:cs="Amiri" w:ascii="Amiri" w:hAnsi="Amiri"/>
          <w:color w:val="111111"/>
          <w:sz w:val="28"/>
          <w:szCs w:val="28"/>
          <w:rtl w:val="true"/>
          <w:lang w:bidi="ar-SA"/>
        </w:rPr>
        <w:t>)</w:t>
      </w:r>
      <w:r>
        <w:rPr>
          <w:rStyle w:val="FootnoteAnchor"/>
          <w:rtl w:val="true"/>
        </w:rPr>
        <w:footnoteReference w:id="603"/>
      </w:r>
    </w:p>
    <w:p>
      <w:pPr>
        <w:pStyle w:val="BookText"/>
        <w:rPr/>
      </w:pPr>
      <w:r>
        <w:rPr>
          <w:rFonts w:ascii="Amiri" w:hAnsi="Amiri" w:eastAsia="Amiri" w:cs="Amiri"/>
          <w:color w:val="111111"/>
          <w:sz w:val="28"/>
          <w:sz w:val="28"/>
          <w:szCs w:val="28"/>
          <w:rtl w:val="true"/>
          <w:lang w:bidi="ar-SA"/>
        </w:rPr>
        <w:t xml:space="preserve">قال المحقق الكركيّ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أورد على العبارة شيخنا الشهيد قسمي المتوسطة في غير الصبح، فإنّهما يوجبان الوضوء خاصة، فكان عليه أن يذكرهما، ليكون كلامه حاصراً لأسباب الوضوء، كما صنع شيخنا في كتبه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لعلّه نظر إلى أنّ ذكر القليلة يغني عن ذكر قسمي المتوسطة؛ لأنهما يأتيان عليها، إلّا أن التوضيح في مثل ذلك 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والمستصحب</w:t>
      </w:r>
      <w:r>
        <w:rPr>
          <w:rStyle w:val="FootnoteAnchor"/>
          <w:rtl w:val="true"/>
        </w:rPr>
        <w:footnoteReference w:id="604"/>
      </w:r>
      <w:r>
        <w:rPr>
          <w:rFonts w:ascii="Amiri" w:hAnsi="Amiri" w:eastAsia="Amiri" w:cs="Amiri"/>
          <w:color w:val="111111"/>
          <w:sz w:val="28"/>
          <w:sz w:val="28"/>
          <w:szCs w:val="28"/>
          <w:rtl w:val="true"/>
          <w:lang w:bidi="ar-SA"/>
        </w:rPr>
        <w:t>للنّواقض</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بذلك إلى الرّدّ على بعض العامة حيث أطلقوا القول بنقضه؛ لعدم انفكاكه عن البلّة</w:t>
      </w:r>
      <w:r>
        <w:rPr>
          <w:rStyle w:val="FootnoteAnchor"/>
          <w:rtl w:val="true"/>
        </w:rPr>
        <w:footnoteReference w:id="606"/>
      </w:r>
      <w:r>
        <w:rPr>
          <w:rFonts w:ascii="Amiri" w:hAnsi="Amiri" w:eastAsia="Amiri" w:cs="Amiri"/>
          <w:color w:val="111111"/>
          <w:sz w:val="28"/>
          <w:sz w:val="28"/>
          <w:szCs w:val="28"/>
          <w:rtl w:val="true"/>
          <w:lang w:bidi="ar-SA"/>
        </w:rPr>
        <w:t>، وهو ممنوع، مع ما في البلّة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المصنّف أراد كون الخارج من أحد السبيلين أو غيرهما مع الاعتياد، كما فعل في التذكرة</w:t>
      </w:r>
      <w:r>
        <w:rPr>
          <w:rStyle w:val="FootnoteAnchor"/>
          <w:rtl w:val="true"/>
        </w:rPr>
        <w:footnoteReference w:id="607"/>
      </w:r>
      <w:r>
        <w:rPr>
          <w:rFonts w:ascii="Amiri" w:hAnsi="Amiri" w:eastAsia="Amiri" w:cs="Amiri"/>
          <w:color w:val="111111"/>
          <w:sz w:val="28"/>
          <w:sz w:val="28"/>
          <w:szCs w:val="28"/>
          <w:rtl w:val="true"/>
          <w:lang w:bidi="ar-SA"/>
        </w:rPr>
        <w:t>، والأولى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لشذوذه</w:t>
      </w:r>
      <w:r>
        <w:rPr>
          <w:rFonts w:eastAsia="IRNazanin" w:cs="IRNazanin"/>
          <w:color w:val="111111"/>
          <w:sz w:val="28"/>
          <w:szCs w:val="28"/>
          <w:rtl w:val="true"/>
          <w:lang w:bidi="fa-IR"/>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فتمسكوا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أسباب الوضوء خاصة</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سبق في الحاشية ما يصلح جواباً لهذا، فإنّ إيجاب الوضوء ينسب إلى تلطّخ </w:t>
      </w:r>
      <w:bookmarkStart w:id="285" w:name="pg8927_84560"/>
    </w:p>
    <w:p>
      <w:pPr>
        <w:pStyle w:val="BookText"/>
        <w:rPr/>
      </w:pPr>
      <w:bookmarkEnd w:id="285"/>
      <w:r>
        <w:rPr>
          <w:rFonts w:ascii="Amiri" w:hAnsi="Amiri" w:eastAsia="Amiri" w:cs="Amiri"/>
          <w:color w:val="111111"/>
          <w:sz w:val="28"/>
          <w:sz w:val="28"/>
          <w:szCs w:val="28"/>
          <w:rtl w:val="true"/>
          <w:lang w:bidi="ar-SA"/>
        </w:rPr>
        <w:t>القطنة، والزيادة أو جبت الزيادة</w:t>
      </w:r>
      <w:r>
        <w:rPr>
          <w:rFonts w:eastAsia="Amiri" w:cs="Amiri" w:ascii="Amiri" w:hAnsi="Amiri"/>
          <w:color w:val="111111"/>
          <w:sz w:val="28"/>
          <w:szCs w:val="28"/>
          <w:rtl w:val="true"/>
          <w:lang w:bidi="ar-SA"/>
        </w:rPr>
        <w:t>.</w:t>
      </w:r>
    </w:p>
    <w:p>
      <w:pPr>
        <w:pStyle w:val="Heading3"/>
        <w:numPr>
          <w:ilvl w:val="2"/>
          <w:numId w:val="1"/>
        </w:numPr>
        <w:rPr/>
      </w:pPr>
      <w:bookmarkStart w:id="286" w:name="__RefHeading___Toc1279252_2870459653"/>
      <w:bookmarkStart w:id="287" w:name="_Toc98"/>
      <w:bookmarkEnd w:id="286"/>
      <w:r>
        <w:rPr>
          <w:rtl w:val="true"/>
        </w:rPr>
        <w:t>[</w:t>
      </w:r>
      <w:r>
        <w:rPr>
          <w:rtl w:val="true"/>
        </w:rPr>
        <w:t>الأغسال الواجبة</w:t>
      </w:r>
      <w:r>
        <w:rPr>
          <w:rtl w:val="true"/>
        </w:rPr>
        <w:t>]</w:t>
      </w:r>
      <w:bookmarkEnd w:id="28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فحينئذ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 xml:space="preserve">وقوله في المتن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المصدر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فسد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لاكما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القاموس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يسيل دمها</w:t>
      </w:r>
      <w:r>
        <w:rPr>
          <w:rFonts w:eastAsia="Amiri" w:cs="Amiri" w:ascii="Amiri" w:hAnsi="Amiri"/>
          <w:color w:val="111111"/>
          <w:sz w:val="28"/>
          <w:szCs w:val="28"/>
          <w:rtl w:val="true"/>
          <w:lang w:bidi="ar-SA"/>
        </w:rPr>
        <w:t>)</w:t>
      </w:r>
      <w:r>
        <w:rPr>
          <w:rStyle w:val="FootnoteAnchor"/>
          <w:rtl w:val="true"/>
        </w:rPr>
        <w:footnoteReference w:id="611"/>
      </w:r>
      <w:r>
        <w:rPr>
          <w:rFonts w:ascii="Amiri" w:hAnsi="Amiri" w:eastAsia="Amiri" w:cs="Amiri"/>
          <w:color w:val="111111"/>
          <w:sz w:val="28"/>
          <w:sz w:val="28"/>
          <w:szCs w:val="28"/>
          <w:rtl w:val="true"/>
          <w:lang w:bidi="ar-SA"/>
        </w:rPr>
        <w:t>، فعلى ما قاله تكون الاستحاضة سيلان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والنفاس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ولادة المرأة، فإذا وضعت فهي نفساء</w:t>
      </w:r>
      <w:r>
        <w:rPr>
          <w:rFonts w:eastAsia="Amiri" w:cs="Amiri" w:ascii="Amiri" w:hAnsi="Amiri"/>
          <w:color w:val="111111"/>
          <w:sz w:val="28"/>
          <w:szCs w:val="28"/>
          <w:rtl w:val="true"/>
          <w:lang w:bidi="ar-SA"/>
        </w:rPr>
        <w:t>)</w:t>
      </w:r>
      <w:r>
        <w:rPr>
          <w:rStyle w:val="FootnoteAnchor"/>
          <w:rtl w:val="true"/>
        </w:rPr>
        <w:footnoteReference w:id="612"/>
      </w:r>
      <w:r>
        <w:rPr>
          <w:rFonts w:ascii="Amiri" w:hAnsi="Amiri" w:eastAsia="Amiri" w:cs="Amiri"/>
          <w:color w:val="111111"/>
          <w:sz w:val="28"/>
          <w:sz w:val="28"/>
          <w:szCs w:val="28"/>
          <w:rtl w:val="true"/>
          <w:lang w:bidi="ar-SA"/>
        </w:rPr>
        <w:t>، وحينئذ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تقدير الخروج في الحيض يصح العطف في الاستحاضة والنّفاس على الخروج ، ولا حاجة إلى العدول بالتعبير بأخويه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فسد المعنى</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تقدير الخروج في الحيض يصح العطف في أخويه على الجنابة، إلّا أنّه خلاف الظاهر</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 الميت</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غسل المس ذهب إليه أكثر علمائنا</w:t>
      </w:r>
      <w:r>
        <w:rPr>
          <w:rStyle w:val="FootnoteAnchor"/>
          <w:rtl w:val="true"/>
        </w:rPr>
        <w:footnoteReference w:id="615"/>
      </w:r>
      <w:r>
        <w:rPr>
          <w:rFonts w:ascii="Amiri" w:hAnsi="Amiri" w:eastAsia="Amiri" w:cs="Amiri"/>
          <w:color w:val="111111"/>
          <w:sz w:val="28"/>
          <w:sz w:val="28"/>
          <w:szCs w:val="28"/>
          <w:rtl w:val="true"/>
          <w:lang w:bidi="ar-SA"/>
        </w:rPr>
        <w:t>، وخالف في وجوبه السيد المرتضى منا</w:t>
      </w:r>
      <w:r>
        <w:rPr>
          <w:rStyle w:val="FootnoteAnchor"/>
          <w:rtl w:val="true"/>
        </w:rPr>
        <w:footnoteReference w:id="616"/>
      </w:r>
      <w:r>
        <w:rPr>
          <w:rFonts w:ascii="Amiri" w:hAnsi="Amiri" w:eastAsia="Amiri" w:cs="Amiri"/>
          <w:color w:val="111111"/>
          <w:sz w:val="28"/>
          <w:sz w:val="28"/>
          <w:szCs w:val="28"/>
          <w:rtl w:val="true"/>
          <w:lang w:bidi="ar-SA"/>
        </w:rPr>
        <w:t>، وأنكره الجمهور كافّة</w:t>
      </w:r>
      <w:r>
        <w:rPr>
          <w:rStyle w:val="FootnoteAnchor"/>
          <w:rtl w:val="true"/>
        </w:rPr>
        <w:footnoteReference w:id="617"/>
      </w:r>
      <w:r>
        <w:rPr>
          <w:rFonts w:ascii="Amiri" w:hAnsi="Amiri" w:eastAsia="Amiri" w:cs="Amiri"/>
          <w:color w:val="111111"/>
          <w:sz w:val="28"/>
          <w:sz w:val="28"/>
          <w:szCs w:val="28"/>
          <w:rtl w:val="true"/>
          <w:lang w:bidi="ar-SA"/>
        </w:rPr>
        <w:t>حتى حكي عن أبي حنيفة والمزَني في غسل من غسل ميّتاً أنّه ليس بمشروع</w:t>
      </w:r>
      <w:r>
        <w:rPr>
          <w:rStyle w:val="FootnoteAnchor"/>
          <w:rtl w:val="true"/>
        </w:rPr>
        <w:footnoteReference w:id="618"/>
      </w:r>
      <w:r>
        <w:rPr>
          <w:rFonts w:ascii="Amiri" w:hAnsi="Amiri" w:eastAsia="Amiri" w:cs="Amiri"/>
          <w:color w:val="111111"/>
          <w:sz w:val="28"/>
          <w:sz w:val="28"/>
          <w:szCs w:val="28"/>
          <w:rtl w:val="true"/>
          <w:lang w:bidi="ar-SA"/>
        </w:rPr>
        <w:t xml:space="preserve">،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صحيحة معاوية بن عمار حين سئل عن الذي يغسل الميت عليه غسل؟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6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عليهم، وفي تعليق </w:t>
      </w:r>
    </w:p>
    <w:p>
      <w:pPr>
        <w:pStyle w:val="BookText"/>
        <w:rPr/>
      </w:pPr>
      <w:r>
        <w:rPr>
          <w:rFonts w:ascii="Amiri" w:hAnsi="Amiri" w:eastAsia="Amiri" w:cs="Amiri"/>
          <w:color w:val="111111"/>
          <w:sz w:val="28"/>
          <w:sz w:val="28"/>
          <w:szCs w:val="28"/>
          <w:rtl w:val="true"/>
          <w:lang w:bidi="ar-SA"/>
        </w:rPr>
        <w:t>المصنّف وجوبه على البرد إشعار بأنّ نجاسة الميت لها مدخل في إيجابه، فيخرج عنه مسّ الشهيد والمعصوم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عضو كمل الغسل بالنّسبة إليه قولان</w:t>
      </w:r>
      <w:r>
        <w:rPr>
          <w:rStyle w:val="FootnoteAnchor"/>
          <w:rtl w:val="true"/>
        </w:rPr>
        <w:footnoteReference w:id="620"/>
      </w:r>
    </w:p>
    <w:p>
      <w:pPr>
        <w:pStyle w:val="BookText"/>
        <w:rPr/>
      </w:pPr>
      <w:r>
        <w:rPr>
          <w:rFonts w:ascii="Amiri" w:hAnsi="Amiri" w:eastAsia="Amiri" w:cs="Amiri"/>
          <w:color w:val="111111"/>
          <w:sz w:val="28"/>
          <w:sz w:val="28"/>
          <w:szCs w:val="28"/>
          <w:rtl w:val="true"/>
          <w:lang w:bidi="ar-SA"/>
        </w:rPr>
        <w:t>واختاره العلّامة صريحاً في بعض كتبه والشهيد والماتن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قواعد الأحكام في معرفة الحلال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نهاية الإحكام في معرفة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ذكرى الشّيعة في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والقول الآخر وجوب الغسل واختاره العلّامة في بعض كتبه الأخرى وابن فهد والشهيد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تبصرة المتعلّمين في أحكام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مختلف الشّيعة في أحكام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الموجز الحاوي لتحرير الفتاوي المطبوع ضمن الرّسائل العشر لابن فهد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الحاشية الأولى على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،المقاصد العلية في شرح الرسالة الألفية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مسالك الأفهام إلى تنقيح شرائع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يضاف إلى ذلك مَنْ أطلق وجوب الغسل على مَنْ مس ميتاً، 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701/1</w:t>
      </w:r>
      <w:r>
        <w:rPr>
          <w:rFonts w:ascii="Amiri" w:hAnsi="Amiri" w:eastAsia="Amiri" w:cs="Amiri"/>
          <w:color w:val="111111"/>
          <w:sz w:val="28"/>
          <w:sz w:val="28"/>
          <w:szCs w:val="28"/>
          <w:rtl w:val="true"/>
          <w:lang w:bidi="ar-SA"/>
        </w:rPr>
        <w:t xml:space="preserve">، كتاب الصلاة، 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المبسوط في فقه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السرائر الحاوي لتحرير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الكركي في جامع المقاصد إلى أنّ الوجوب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المقاصد في شرح القواعد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سبق أنّ غسل المسّ تابع لنجاسة الملاقي امتنع القول بوجوب الغسل بمسّ عضو كمل تغسيله، فإنّ نجاسته الخبثية زالت؛ لامتناع توقف طهارة جزء في الخبثية على </w:t>
      </w:r>
    </w:p>
    <w:p>
      <w:pPr>
        <w:pStyle w:val="BookText"/>
        <w:rPr/>
      </w:pPr>
      <w:r>
        <w:rPr>
          <w:rFonts w:ascii="Amiri" w:hAnsi="Amiri" w:eastAsia="Amiri" w:cs="Amiri"/>
          <w:color w:val="111111"/>
          <w:sz w:val="28"/>
          <w:sz w:val="28"/>
          <w:szCs w:val="28"/>
          <w:rtl w:val="true"/>
          <w:lang w:bidi="ar-SA"/>
        </w:rPr>
        <w:t>طهارة آخر، وإلا لزالت مع عدم طروء مزيل عليها وأنه ممتنع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وحكم القطعة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في وجوب الغسل بمسها، وهو مختار الشيخ، وادّعى عليه إجماع الفرقة</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سعيد في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أراه التوقف في ذلك، فإنّ الرّواية فيه مقطوعة</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والرواية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أيوب بن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212/3</w:t>
      </w:r>
      <w:r>
        <w:rPr>
          <w:rFonts w:ascii="Amiri" w:hAnsi="Amiri" w:eastAsia="Amiri" w:cs="Amiri"/>
          <w:color w:val="111111"/>
          <w:sz w:val="28"/>
          <w:sz w:val="28"/>
          <w:szCs w:val="28"/>
          <w:rtl w:val="true"/>
          <w:lang w:bidi="ar-SA"/>
        </w:rPr>
        <w:t>، باب أكيل السبع والطير والقتيل يوجد بعض جسده والحريق، 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وجوب غسل الميت وغسل من مس ميتاً، 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ودعوى الشيخ الإجماع لم 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قاله نظر ؛ إذ الخبر الضّعيف متى وافقه دليل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كالاستصحاب لوجوب الغسل بمسها متصلة فكذا منفصلة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حجّة، والإجماع المنقول بخبر الواحد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الغسل بمسّ العظم المجرّد متصلاً أو منفصلاً؟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الأقوى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الاتصال فلظاهر الخبر، وأما مع الانفصال فللاستصحاب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والتعليل بطهارته المستلزم عدم الوجوب مردود لورود المنع قبل غسله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ويكفي غسل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جامعه</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فرق في ذلك بين ما إذا وجبت</w:t>
      </w:r>
      <w:r>
        <w:rPr>
          <w:rStyle w:val="FootnoteAnchor"/>
          <w:rtl w:val="true"/>
        </w:rPr>
        <w:footnoteReference w:id="625"/>
      </w:r>
      <w:r>
        <w:rPr>
          <w:rFonts w:ascii="Amiri" w:hAnsi="Amiri" w:eastAsia="Amiri" w:cs="Amiri"/>
          <w:color w:val="111111"/>
          <w:sz w:val="28"/>
          <w:sz w:val="28"/>
          <w:szCs w:val="28"/>
          <w:rtl w:val="true"/>
          <w:lang w:bidi="ar-SA"/>
        </w:rPr>
        <w:t xml:space="preserve">لوجوب غايتها، أو لم تجب؛ لعدم وجوب مشروط بها ولذا أطلق الحكم ، وفي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أنّ غسل الجنابة لو سقط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الميت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الحكم كذلك، فإنّ غسل الجنابة والحائض والنفساء يسقط بالموت، ويتعيّن غسل الأموات، وبه قال جميع العلماء إلّا ما نقل عن الحسن البصري من عدم السقوط</w:t>
      </w:r>
      <w:r>
        <w:rPr>
          <w:rStyle w:val="FootnoteAnchor"/>
          <w:rtl w:val="true"/>
        </w:rPr>
        <w:footnoteReference w:id="626"/>
      </w:r>
      <w:r>
        <w:rPr>
          <w:rFonts w:ascii="IRNazanin" w:hAnsi="IRNazanin" w:eastAsia="IRNazanin"/>
          <w:color w:val="111111"/>
          <w:sz w:val="28"/>
          <w:sz w:val="28"/>
          <w:szCs w:val="28"/>
          <w:rtl w:val="true"/>
          <w:lang w:bidi="fa-IR"/>
        </w:rPr>
        <w:t>، وهو 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مسبّبها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يخفى بعد هذا الكلام؛ لاختلاف الأحكام الذي هو دليل اختلاف المسبّبات، فإنّ الجنابة لا توجب وضوء، وحدث الحيض وأخويه يوجبه ، والمس لا يحرم معه دخول المساجد بخلاف غيره منها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نظر</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 لا يجوز أن يكون التداخل في بعض الأسباب ثابتاً بالنص، أو بالإجماع، فلا يلزم الاتحاد ولا التداخل في البعض الآخر</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يكون لوجوب ذلك الآخر فائدة</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يخفى ما في هذا الوجه، فإنّ الفائدة لا تنحصر في الإجزاء عن الغير، بل يكفي في تحققها رفع حكم الحيض بعده، كزوال تحريم الوطء، أو كراهيته بالغسل للحيض على اختلاف القولين</w:t>
      </w:r>
      <w:r>
        <w:rPr>
          <w:rStyle w:val="FootnoteAnchor"/>
          <w:rtl w:val="true"/>
        </w:rPr>
        <w:footnoteReference w:id="631"/>
      </w:r>
    </w:p>
    <w:p>
      <w:pPr>
        <w:pStyle w:val="BookText"/>
        <w:rPr/>
      </w:pPr>
      <w:r>
        <w:rPr>
          <w:rFonts w:ascii="Amiri" w:hAnsi="Amiri" w:eastAsia="Amiri" w:cs="Amiri"/>
          <w:color w:val="111111"/>
          <w:sz w:val="28"/>
          <w:sz w:val="28"/>
          <w:szCs w:val="28"/>
          <w:rtl w:val="true"/>
          <w:lang w:bidi="ar-SA"/>
        </w:rPr>
        <w:t>ومَنْ قال بزوال كراهية الوطء بالغسل الشيخ المفيد والسّيّد المرتضى والشيخ وابن إدريس والمحقق والعلّامة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النّهاية في مجرّد الفقه والفتاوى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السرائر الحاوي لتحرير الفتاوي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المعتبر في شرح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235/1</w:t>
      </w:r>
      <w:r>
        <w:rPr>
          <w:rFonts w:ascii="Amiri" w:hAnsi="Amiri" w:eastAsia="Amiri" w:cs="Amiri"/>
          <w:color w:val="111111"/>
          <w:sz w:val="28"/>
          <w:sz w:val="28"/>
          <w:szCs w:val="28"/>
          <w:rtl w:val="true"/>
          <w:lang w:bidi="ar-SA"/>
        </w:rPr>
        <w:t xml:space="preserve">، تحرير الأحكام الشّرعيّة على مذهب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وجه أوضح</w:t>
      </w:r>
      <w:r>
        <w:rPr>
          <w:rFonts w:eastAsia="IRNazanin" w:cs="IRNazanin"/>
          <w:color w:val="111111"/>
          <w:sz w:val="28"/>
          <w:szCs w:val="28"/>
          <w:rtl w:val="true"/>
          <w:lang w:bidi="fa-IR"/>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الوجه يشبه ما استدل به على عدم تكليف الكافر بفروع الإسلام؛ لأنها إن فعلت حالة الكفر لم تصح ، وإن فُعِلت بعد الإسلام سقطت، ومتى لم يمنع السقوط من التكليف مع عدم الصّحة فبطريق أولى أن لا يمنع مع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ينقسم باعتبار الفعل إلى الحتمي</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الحتمي، والمرتب، والمخيّر، ووجوب غسل الحيض في الفرض المذكور على تقدير عدم الإجزاء عن الجنابة ليس واحداً منها، فينتفي وجوبه، وإذا انتفى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عدم الإجزاء عن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بحكم العكس أن يجزئ عنه، على تقدير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حتميّ، ويعبّرون عنه بالعيني، ولا يلزم من سقوطه بفعل آخر خروجه عن ذلك، كما في فروع الإيمان بالنظر إلى أهل الكفر، وكإنظار المعسر فإنّه يسقط بالصدقة، مع أن وجوبه عيني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الأولى التمسك بما رواه الشيخ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الله عليك حقوق أجزأ ك عنها غسل واحد</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أنّ غير</w:t>
      </w:r>
      <w:r>
        <w:rPr>
          <w:rStyle w:val="FootnoteAnchor"/>
          <w:rtl w:val="true"/>
        </w:rPr>
        <w:footnoteReference w:id="638"/>
      </w:r>
      <w:r>
        <w:rPr>
          <w:rFonts w:ascii="Amiri" w:hAnsi="Amiri" w:eastAsia="Amiri" w:cs="Amiri"/>
          <w:color w:val="111111"/>
          <w:sz w:val="28"/>
          <w:sz w:val="28"/>
          <w:szCs w:val="28"/>
          <w:rtl w:val="true"/>
          <w:lang w:bidi="ar-SA"/>
        </w:rPr>
        <w:t>الغسل وحده لا يجزئ عن الجنابة</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على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إجزاء الغسل وحده جاز أن يكون لبقاء الأصغر، ولا يلزم من ذلك الحكم ببقاء الجنابة، وإنّما اللازم بقاء منع من فعل الصّلاة والطواف ونحوهما، فيتوجه المنع إلى دعوى بقاء الحدث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غسل الجنابة كما يرفع الحدث الأكبر كذا يُسقط خطاب الوضع في الأصغر</w:t>
      </w:r>
      <w:r>
        <w:rPr>
          <w:rStyle w:val="FootnoteAnchor"/>
          <w:rtl w:val="true"/>
        </w:rPr>
        <w:footnoteReference w:id="640"/>
      </w:r>
      <w:r>
        <w:rPr>
          <w:rFonts w:ascii="Amiri" w:hAnsi="Amiri" w:eastAsia="Amiri" w:cs="Amiri"/>
          <w:color w:val="111111"/>
          <w:sz w:val="28"/>
          <w:sz w:val="28"/>
          <w:szCs w:val="28"/>
          <w:rtl w:val="true"/>
          <w:lang w:bidi="ar-SA"/>
        </w:rPr>
        <w:t>، فكان أقوى، وما عداه إنّما يُسقط الحدث الأكبر وحده، ويبقى معه خطاب الوضع في الأصغر، فيحتاج إلى الرافع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ونية الاستباحة أقوى إشكالاً</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الشّرّاح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قوّة الإشكال هنا القطع بعدم رجحان أحد الوجهين على </w:t>
      </w:r>
    </w:p>
    <w:p>
      <w:pPr>
        <w:pStyle w:val="BookText"/>
        <w:rPr/>
      </w:pPr>
      <w:r>
        <w:rPr>
          <w:rFonts w:ascii="Amiri" w:hAnsi="Amiri" w:eastAsia="Amiri" w:cs="Amiri"/>
          <w:color w:val="111111"/>
          <w:sz w:val="28"/>
          <w:sz w:val="28"/>
          <w:szCs w:val="28"/>
          <w:rtl w:val="true"/>
          <w:lang w:bidi="ar-SA"/>
        </w:rPr>
        <w:t>الآخر، وفي الأوّل يحتمل الترجيح</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ما قاله نظر؛ فإنّ قوّة الوجه الأخير ظاهرة فلذا عدل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الغرض من ذلك قوّة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التمكن من استعمال الماء سبباً ناقضاً</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السبب ما كان معرّفاً بانفراده، وما نحن فيه إنّما يوجب مع بقاء أحد الأسباب التي أوجبته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السبب للصدق عليه، فصح إطلاق السبب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 نفى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أخبار نفي الوضوء مع غسل الجنابة صريحة في إكفاء الغسل عن واجبه ومندوبه في ما يطلب الغسل له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 xml:space="preserve">. </w:t>
      </w:r>
      <w:bookmarkStart w:id="288" w:name="pg8927_84569"/>
    </w:p>
    <w:p>
      <w:pPr>
        <w:pStyle w:val="BookText"/>
        <w:rPr/>
      </w:pPr>
      <w:bookmarkEnd w:id="288"/>
      <w:r>
        <w:rPr>
          <w:rFonts w:ascii="Amiri" w:hAnsi="Amiri" w:eastAsia="Amiri" w:cs="Amiri"/>
          <w:color w:val="111111"/>
          <w:sz w:val="28"/>
          <w:sz w:val="28"/>
          <w:szCs w:val="28"/>
          <w:rtl w:val="true"/>
          <w:lang w:bidi="ar-SA"/>
        </w:rPr>
        <w:t>وما ورد من الأمر به غير صريح في أن فعله لا يُطلب الغسل له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فلعله لما استحبّ له وضوء الجنب أو المحتلم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والأصح ما اختاره المصنّف</w:t>
      </w:r>
      <w:r>
        <w:rPr>
          <w:rFonts w:eastAsia="IRNazanin" w:cs="IRNazanin"/>
          <w:color w:val="111111"/>
          <w:sz w:val="28"/>
          <w:szCs w:val="28"/>
          <w:rtl w:val="true"/>
          <w:lang w:bidi="fa-IR"/>
        </w:rPr>
        <w:t>.</w:t>
      </w:r>
    </w:p>
    <w:p>
      <w:pPr>
        <w:pStyle w:val="Heading3"/>
        <w:numPr>
          <w:ilvl w:val="2"/>
          <w:numId w:val="1"/>
        </w:numPr>
        <w:rPr/>
      </w:pPr>
      <w:bookmarkStart w:id="289" w:name="__RefHeading___Toc1279254_2870459653"/>
      <w:bookmarkStart w:id="290" w:name="_Toc99"/>
      <w:bookmarkEnd w:id="289"/>
      <w:r>
        <w:rPr>
          <w:rtl w:val="true"/>
        </w:rPr>
        <w:t>[</w:t>
      </w:r>
      <w:r>
        <w:rPr>
          <w:rtl w:val="true"/>
        </w:rPr>
        <w:t>آداب الخلوة وكيفية الاستنجاء</w:t>
      </w:r>
      <w:r>
        <w:rPr>
          <w:rtl w:val="true"/>
        </w:rPr>
        <w:t>]</w:t>
      </w:r>
      <w:bookmarkEnd w:id="290"/>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الاستنجاء</w:t>
      </w:r>
      <w:r>
        <w:rPr>
          <w:rStyle w:val="FootnoteAnchor"/>
          <w:rtl w:val="true"/>
        </w:rPr>
        <w:footnoteReference w:id="648"/>
      </w:r>
      <w:r>
        <w:rPr>
          <w:rFonts w:ascii="Amiri" w:hAnsi="Amiri" w:eastAsia="Amiri" w:cs="Amiri"/>
          <w:color w:val="111111"/>
          <w:sz w:val="28"/>
          <w:sz w:val="28"/>
          <w:szCs w:val="28"/>
          <w:rtl w:val="true"/>
          <w:lang w:bidi="ar-SA"/>
        </w:rPr>
        <w:t>في الشّرع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خبثية البول والغائط الناقضين عن مخرجهما لا غير</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وقيدنا بالناقضين ليخرج غير الخارج، فإنّ إزالته لا تعد استنجاء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نشيط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رواية نشيط بن صالح تعطي بيان الكمّيّة</w:t>
      </w:r>
      <w:r>
        <w:rPr>
          <w:rStyle w:val="FootnoteAnchor"/>
          <w:rtl w:val="true"/>
        </w:rPr>
        <w:footnoteReference w:id="651"/>
      </w:r>
      <w:r>
        <w:rPr>
          <w:rFonts w:ascii="Amiri" w:hAnsi="Amiri" w:eastAsia="Amiri" w:cs="Amiri"/>
          <w:color w:val="111111"/>
          <w:sz w:val="28"/>
          <w:sz w:val="28"/>
          <w:szCs w:val="28"/>
          <w:rtl w:val="true"/>
          <w:lang w:bidi="ar-SA"/>
        </w:rPr>
        <w:t>، وما ورد من الأخبار بوجوب غسل البول مرّتين يعطي الكيفية</w:t>
      </w:r>
      <w:r>
        <w:rPr>
          <w:rStyle w:val="FootnoteAnchor"/>
          <w:rtl w:val="true"/>
        </w:rPr>
        <w:footnoteReference w:id="652"/>
      </w:r>
      <w:r>
        <w:rPr>
          <w:rFonts w:ascii="Amiri" w:hAnsi="Amiri" w:eastAsia="Amiri" w:cs="Amiri"/>
          <w:color w:val="111111"/>
          <w:sz w:val="28"/>
          <w:sz w:val="28"/>
          <w:szCs w:val="28"/>
          <w:rtl w:val="true"/>
          <w:lang w:bidi="ar-SA"/>
        </w:rPr>
        <w:t>، فوجب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وأنكر بعض الأصحاب</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القول ينسب إلى أبي الصلاح</w:t>
      </w:r>
      <w:r>
        <w:rPr>
          <w:rStyle w:val="FootnoteAnchor"/>
          <w:rtl w:val="true"/>
        </w:rPr>
        <w:footnoteReference w:id="654"/>
      </w:r>
      <w:r>
        <w:rPr>
          <w:rFonts w:ascii="Amiri" w:hAnsi="Amiri" w:eastAsia="Amiri" w:cs="Amiri"/>
          <w:color w:val="111111"/>
          <w:sz w:val="28"/>
          <w:sz w:val="28"/>
          <w:szCs w:val="28"/>
          <w:rtl w:val="true"/>
          <w:lang w:bidi="ar-SA"/>
        </w:rPr>
        <w:t>وابن إدريس</w:t>
      </w:r>
      <w:r>
        <w:rPr>
          <w:rStyle w:val="FootnoteAnchor"/>
          <w:rtl w:val="true"/>
        </w:rPr>
        <w:footnoteReference w:id="655"/>
      </w:r>
      <w:r>
        <w:rPr>
          <w:rFonts w:ascii="Amiri" w:hAnsi="Amiri" w:eastAsia="Amiri" w:cs="Amiri"/>
          <w:color w:val="111111"/>
          <w:sz w:val="28"/>
          <w:sz w:val="28"/>
          <w:szCs w:val="28"/>
          <w:rtl w:val="true"/>
          <w:lang w:bidi="ar-SA"/>
        </w:rPr>
        <w:t>، وهو الظاهر من كلام ابن البراج</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سنح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والذي سنح لي في الاعتذار عن هذا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الحشفة تتخلّف عليها بعد خروج البول قطرة، فلعلّ المماثلة بين هذه وبين الماء المغسول به، ولا ريب أن القطرة يمكن إجراؤها على المخرج، وأغلبيتها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البلل الذي يكون على حواشي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حققه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هو الحقِّ؛ إذ الظاهر في هذا التقدير البناء على الغالب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بالبواطن</w:t>
      </w:r>
      <w:r>
        <w:rPr>
          <w:rFonts w:eastAsia="IRNazanin" w:cs="IRNazanin"/>
          <w:color w:val="111111"/>
          <w:sz w:val="28"/>
          <w:szCs w:val="28"/>
          <w:rtl w:val="true"/>
          <w:lang w:bidi="fa-IR"/>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التحاقها بالبواطن؛ لعدم صدق الظهور عرفاً، ويؤيّده الإطباق على عدم وجوب غسل المُرتَتِق في البكر، ووجوبه في التّيّب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والأثر</w:t>
      </w:r>
      <w:r>
        <w:rPr>
          <w:rFonts w:eastAsia="IRNazanin" w:cs="IRNazanin"/>
          <w:color w:val="111111"/>
          <w:sz w:val="28"/>
          <w:szCs w:val="28"/>
          <w:rtl w:val="true"/>
          <w:lang w:bidi="fa-IR"/>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يراد به الحكم، فإنّ كلّ نجاسة تطرأ على المحلّ ذات عين، أي جرم، وذات حكم أعني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ما اختاره والدي في ذلك، فإنّه الموافق لمختار المصنف من عدم وجوب تعدّد الغسلات</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واعترض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لعلّه أشار بذلك إلى إطلاق العبارة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وشبهها من خرق</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سلّار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يجزي إلّا ما كان أصله الأرض</w:t>
      </w:r>
      <w:r>
        <w:rPr>
          <w:rFonts w:eastAsia="Amiri" w:cs="Amiri" w:ascii="Amiri" w:hAnsi="Amiri"/>
          <w:color w:val="111111"/>
          <w:sz w:val="28"/>
          <w:szCs w:val="28"/>
          <w:rtl w:val="true"/>
          <w:lang w:bidi="ar-SA"/>
        </w:rPr>
        <w:t>)</w:t>
      </w:r>
      <w:r>
        <w:rPr>
          <w:rStyle w:val="FootnoteAnchor"/>
          <w:rtl w:val="true"/>
        </w:rPr>
        <w:footnoteReference w:id="662"/>
      </w:r>
      <w:r>
        <w:rPr>
          <w:rFonts w:ascii="Amiri" w:hAnsi="Amiri" w:eastAsia="Amiri" w:cs="Amiri"/>
          <w:color w:val="111111"/>
          <w:sz w:val="28"/>
          <w:sz w:val="28"/>
          <w:szCs w:val="28"/>
          <w:rtl w:val="true"/>
          <w:lang w:bidi="ar-SA"/>
        </w:rPr>
        <w:t>، وظاهر ابن الجنيد عدم إجزاء لأجر والخزف إلا أن يلابسه طين أو تراب</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وتخيير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الأحجار والأعواد حجّة عليهما</w:t>
      </w:r>
      <w:r>
        <w:rPr>
          <w:rStyle w:val="FootnoteAnchor"/>
          <w:rtl w:val="true"/>
        </w:rPr>
        <w:footnoteReference w:id="664"/>
      </w:r>
      <w:r>
        <w:rPr>
          <w:rFonts w:ascii="Amiri" w:hAnsi="Amiri" w:eastAsia="Amiri" w:cs="Amiri"/>
          <w:color w:val="111111"/>
          <w:sz w:val="28"/>
          <w:sz w:val="28"/>
          <w:szCs w:val="28"/>
          <w:rtl w:val="true"/>
          <w:lang w:bidi="ar-SA"/>
        </w:rPr>
        <w:t>، واختلاف الأخبار في الماسح</w:t>
      </w:r>
      <w:r>
        <w:rPr>
          <w:rStyle w:val="FootnoteAnchor"/>
          <w:rtl w:val="true"/>
        </w:rPr>
        <w:footnoteReference w:id="665"/>
      </w:r>
      <w:r>
        <w:rPr>
          <w:rFonts w:ascii="Amiri" w:hAnsi="Amiri" w:eastAsia="Amiri" w:cs="Amiri"/>
          <w:color w:val="111111"/>
          <w:sz w:val="28"/>
          <w:sz w:val="28"/>
          <w:szCs w:val="28"/>
          <w:rtl w:val="true"/>
          <w:lang w:bidi="ar-SA"/>
        </w:rPr>
        <w:t>مع إطلاق الأمر بالمسحات في بعضها</w:t>
      </w:r>
      <w:r>
        <w:rPr>
          <w:rStyle w:val="FootnoteAnchor"/>
          <w:rtl w:val="true"/>
        </w:rPr>
        <w:footnoteReference w:id="666"/>
      </w:r>
      <w:r>
        <w:rPr>
          <w:rFonts w:ascii="Amiri" w:hAnsi="Amiri" w:eastAsia="Amiri" w:cs="Amiri"/>
          <w:color w:val="111111"/>
          <w:sz w:val="28"/>
          <w:sz w:val="28"/>
          <w:szCs w:val="28"/>
          <w:rtl w:val="true"/>
          <w:lang w:bidi="ar-SA"/>
        </w:rPr>
        <w:t>يعطي أنّ الغرض إزالة العين بها</w:t>
      </w:r>
      <w:r>
        <w:rPr>
          <w:rStyle w:val="FootnoteAnchor"/>
          <w:rtl w:val="true"/>
        </w:rPr>
        <w:footnoteReference w:id="667"/>
      </w:r>
      <w:r>
        <w:rPr>
          <w:rFonts w:ascii="Amiri" w:hAnsi="Amiri" w:eastAsia="Amiri" w:cs="Amiri"/>
          <w:color w:val="111111"/>
          <w:sz w:val="28"/>
          <w:sz w:val="28"/>
          <w:szCs w:val="28"/>
          <w:rtl w:val="true"/>
          <w:lang w:bidi="ar-SA"/>
        </w:rPr>
        <w:t>، فلا يتخصص بجسم بل يجزئ كل مزيل طاهر جافّ؛ لامتناع إفادة النجس التطهير، ولا يقدح في ذلك تحريم استعماله؛ لعدم التنافي بينه وبين الإجزاء وإن أنكره بعض</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والماء أفضل</w:t>
      </w:r>
      <w:r>
        <w:rPr>
          <w:rFonts w:eastAsia="IRNazanin" w:cs="IRNazanin"/>
          <w:color w:val="111111"/>
          <w:sz w:val="28"/>
          <w:szCs w:val="28"/>
          <w:rtl w:val="true"/>
          <w:lang w:bidi="fa-IR"/>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الأحجار وما شابهها رخصة، والماء لم يشرع لعذر كان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احترز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لو بقي على المحلّ شيء من الرطوبة فإنّها تعدّ من</w:t>
      </w:r>
    </w:p>
    <w:p>
      <w:pPr>
        <w:pStyle w:val="BookText"/>
        <w:rPr/>
      </w:pPr>
      <w:r>
        <w:rPr>
          <w:rFonts w:ascii="Amiri" w:hAnsi="Amiri" w:eastAsia="Amiri" w:cs="Amiri"/>
          <w:color w:val="111111"/>
          <w:sz w:val="28"/>
          <w:sz w:val="28"/>
          <w:szCs w:val="28"/>
          <w:rtl w:val="true"/>
          <w:lang w:bidi="ar-SA"/>
        </w:rPr>
        <w:t xml:space="preserve">العين، فلا عفو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أصح القولين</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 في إجزاء ذي الجهات؛ نظراً إلى الصورة والمعنى، واحتاط في المبسوط بالمنع</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الإجزاء؛ لظاهر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فليتمسح ثلاث مسحات</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يتوهّم أنّ ذلك من باب المطلق الذي يجب حمله على المقيد؛ لأنّ اختلاف الأخبار في الماسح يعطي بأنّ المطلق هو القدر المشترك، أعني تعدّد المسح، وتعدّد الماسح مُنزّل على ما هو الغالب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والتوزيع على أجزاء المحل</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بإجزاء التوزيع هو المشهور بين محققي الأصحاب، لتناول إطلاق النصوص له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يستلزم القول بتوقف طهارة 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676"/>
      </w:r>
      <w:r>
        <w:rPr>
          <w:rFonts w:ascii="Amiri" w:hAnsi="Amiri" w:eastAsia="Amiri" w:cs="Amiri"/>
          <w:color w:val="111111"/>
          <w:sz w:val="28"/>
          <w:sz w:val="28"/>
          <w:szCs w:val="28"/>
          <w:rtl w:val="true"/>
          <w:lang w:bidi="ar-SA"/>
        </w:rPr>
        <w:t>آخر في الخبثية، وأنه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المتوقف العلم بالطّهارة لظاهر الخبر؛ إذ لولاه لقلنا بالواحدة المزيلة، ولا استبعاد فيه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يؤيّد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الاستجمار إنّما شرّع للتخفيف، ووجوب إدارة كل ماسح على ما أدير عليه الأوّل مما يعسر العلم به ؛ إذ الغالب عدمه، فالعمل على ما اختاره المصنف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فيجب الوقوف معها</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يجب قصر الحكم بالطهارة على حصولها؛ لوجوب العمل بالاستصحاب إلى أن يُعلم المزيل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الماء مع كونه أقوى في التطهير يعتبر تعدّد الورود فيه، فما كان أضعف كان مظنوناً فيه اعتباره، وحينئذ يبعد ما توهمه بعض الأصحاب</w:t>
      </w:r>
      <w:r>
        <w:rPr>
          <w:rStyle w:val="FootnoteAnchor"/>
          <w:rtl w:val="true"/>
        </w:rPr>
        <w:footnoteReference w:id="678"/>
      </w:r>
      <w:r>
        <w:rPr>
          <w:rFonts w:ascii="Amiri" w:hAnsi="Amiri" w:eastAsia="Amiri" w:cs="Amiri"/>
          <w:color w:val="111111"/>
          <w:sz w:val="28"/>
          <w:sz w:val="28"/>
          <w:szCs w:val="28"/>
          <w:rtl w:val="true"/>
          <w:lang w:bidi="ar-SA"/>
        </w:rPr>
        <w:t>من أنّ ذكر الثّلاثة إنّما هو بناءً على الغالب من أنّ الإزالة إنّما تحصل بها ، فلا يصار إليه إلا بدليل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المستعمل، ولا النّجس</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بالنجس ما كانت نجاسته لا بالاستعمال للمقابلة به، وإنما جمع بينهما مع إغناء ذكر النجس عنه للتنبيه على أنّ النّجاسة مع الانفصال لا تساوي نجاسة المحلّ كالماء، فإنّه بعد تنجّسه وانفصاله لا يتطهر به بخلاف المتنجس بها حين التطهير فإنّه يجزئ إجماعاً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في عبارة بعض الأصحاب</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291" w:name="pg8927_84576"/>
    </w:p>
    <w:p>
      <w:pPr>
        <w:pStyle w:val="BookText"/>
        <w:rPr/>
      </w:pPr>
      <w:bookmarkEnd w:id="291"/>
      <w:r>
        <w:rPr>
          <w:rFonts w:ascii="Amiri" w:hAnsi="Amiri" w:eastAsia="Amiri" w:cs="Amiri"/>
          <w:color w:val="111111"/>
          <w:sz w:val="28"/>
          <w:sz w:val="28"/>
          <w:szCs w:val="28"/>
          <w:rtl w:val="true"/>
          <w:lang w:bidi="ar-SA"/>
        </w:rPr>
        <w:t>قال المصنّف في التذكرة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ما كتب عليه القرآن أو العلوم، أو أسماء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فعل عصى وأجزأ؛ لحصول الغرض، خلافاً للشيخ</w:t>
      </w: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وجهان؛ لأنّ الرّخص لا تناط بالمعاصي</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المحلّ تزول وإن طرأت نجاسة الكفر، وتظهر الفائدة بعد الإسلام</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 w:name="__RefHeading___Toc1279256_2870459653"/>
      <w:bookmarkStart w:id="293" w:name="_Toc100"/>
      <w:bookmarkEnd w:id="292"/>
      <w:r>
        <w:rPr>
          <w:rtl w:val="true"/>
        </w:rPr>
        <w:t>[</w:t>
      </w:r>
      <w:r>
        <w:rPr>
          <w:rtl w:val="true"/>
        </w:rPr>
        <w:t>أحكام التخلي</w:t>
      </w:r>
      <w:r>
        <w:rPr>
          <w:rtl w:val="true"/>
        </w:rPr>
        <w:t>]</w:t>
      </w:r>
      <w:bookmarkEnd w:id="2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رواية حفص الصّحيحة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الرَّجُل تَبوّل؟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يَنْتُرُه</w:t>
      </w:r>
      <w:r>
        <w:rPr>
          <w:rStyle w:val="FootnoteAnchor"/>
          <w:rtl w:val="true"/>
        </w:rPr>
        <w:footnoteReference w:id="686"/>
      </w:r>
      <w:r>
        <w:rPr>
          <w:rFonts w:ascii="Amiri" w:hAnsi="Amiri" w:eastAsia="Amiri" w:cs="Amiri"/>
          <w:color w:val="111111"/>
          <w:sz w:val="28"/>
          <w:sz w:val="28"/>
          <w:szCs w:val="28"/>
          <w:rtl w:val="true"/>
          <w:lang w:bidi="ar-SA"/>
        </w:rPr>
        <w:t>ثلاثاً، ثُمَّ إن سال حتى بلغ الساق فلا يبالي</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وحملت على الاستحباب لاشتهاره بين الأصحاب</w:t>
      </w:r>
      <w:r>
        <w:rPr>
          <w:rStyle w:val="FootnoteAnchor"/>
          <w:rtl w:val="true"/>
        </w:rPr>
        <w:footnoteReference w:id="688"/>
      </w:r>
      <w:r>
        <w:rPr>
          <w:rFonts w:ascii="Amiri" w:hAnsi="Amiri" w:eastAsia="Amiri" w:cs="Amiri"/>
          <w:color w:val="111111"/>
          <w:sz w:val="28"/>
          <w:sz w:val="28"/>
          <w:szCs w:val="28"/>
          <w:rtl w:val="true"/>
          <w:lang w:bidi="ar-SA"/>
        </w:rPr>
        <w:t>، فإنّ ذلك يكشف عن معارض هو أقوى، ولأنّ إيجابه مع إمكان التحرز عن خروج البلل يكون تعبدياً، وهو بعيد، فيحمل على الاستحباب ؛ لظهوره</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حينئذ ، والعمل بالظاهر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قلنا الحكم</w:t>
      </w:r>
      <w:r>
        <w:rPr>
          <w:rStyle w:val="FootnoteAnchor"/>
          <w:rtl w:val="true"/>
        </w:rPr>
        <w:footnoteReference w:id="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يشكل القول بطهارة الخارج المشتبه منها</w:t>
      </w:r>
      <w:r>
        <w:rPr>
          <w:rStyle w:val="FootnoteAnchor"/>
          <w:rtl w:val="true"/>
        </w:rPr>
        <w:footnoteReference w:id="691"/>
      </w:r>
      <w:r>
        <w:rPr>
          <w:rFonts w:ascii="Amiri" w:hAnsi="Amiri" w:eastAsia="Amiri" w:cs="Amiri"/>
          <w:color w:val="111111"/>
          <w:sz w:val="28"/>
          <w:sz w:val="28"/>
          <w:szCs w:val="28"/>
          <w:rtl w:val="true"/>
          <w:lang w:bidi="ar-SA"/>
        </w:rPr>
        <w:t>مطلقاً؛ لورود النّصّ بنجاسته بدون استبراء في الرّجل</w:t>
      </w:r>
      <w:r>
        <w:rPr>
          <w:rStyle w:val="FootnoteAnchor"/>
          <w:rtl w:val="true"/>
        </w:rPr>
        <w:footnoteReference w:id="692"/>
      </w:r>
      <w:r>
        <w:rPr>
          <w:rFonts w:ascii="Amiri" w:hAnsi="Amiri" w:eastAsia="Amiri" w:cs="Amiri"/>
          <w:color w:val="111111"/>
          <w:sz w:val="28"/>
          <w:sz w:val="28"/>
          <w:szCs w:val="28"/>
          <w:rtl w:val="true"/>
          <w:lang w:bidi="ar-SA"/>
        </w:rPr>
        <w:t>، وقد ثبت أنّ الحكم على الواحد حكم على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باختلاف محل الخروج، فالحكم بالمساواة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الجهة</w:t>
      </w:r>
      <w:r>
        <w:rPr>
          <w:rFonts w:eastAsia="Amiri" w:cs="Amiri" w:ascii="Amiri" w:hAnsi="Amiri"/>
          <w:color w:val="111111"/>
          <w:sz w:val="28"/>
          <w:szCs w:val="28"/>
          <w:rtl w:val="true"/>
          <w:lang w:bidi="ar-SA"/>
        </w:rPr>
        <w:t>)</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الحدثين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لثبوت النهي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نفس القرص دون الجهة، بخلاف القبلة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النّهي الوارد لا يشملها</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جمل من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فيتمسك بالأصل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التعليل</w:t>
      </w:r>
      <w:r>
        <w:rPr>
          <w:rStyle w:val="FootnoteAnchor"/>
          <w:rtl w:val="true"/>
        </w:rPr>
        <w:footnoteReference w:id="696"/>
      </w:r>
      <w:r>
        <w:rPr>
          <w:rFonts w:ascii="Amiri" w:hAnsi="Amiri" w:eastAsia="Amiri" w:cs="Amiri"/>
          <w:color w:val="111111"/>
          <w:sz w:val="28"/>
          <w:sz w:val="28"/>
          <w:szCs w:val="28"/>
          <w:rtl w:val="true"/>
          <w:lang w:bidi="ar-SA"/>
        </w:rPr>
        <w:t>يعطي كراهة التغوط فيه بطريق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كراهية</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للانفعال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وتشتدّ الكراهيّة في الرّاكد والجاري ليلاً؛ لما قيل من أنّ الماء للجنّ ليلاً</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لانتفاء شاهد الحال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الأخبار</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المتغوط في ظل النزال</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للنّهي عنه</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خوفاً من الأذى</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مساكن الجن</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ذكري</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إنّي أكون في أحوال أجلُّكَ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اذكرني على كل حال</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294" w:name="pg8927_84580"/>
    </w:p>
    <w:p>
      <w:pPr>
        <w:pStyle w:val="Heading3"/>
        <w:numPr>
          <w:ilvl w:val="2"/>
          <w:numId w:val="1"/>
        </w:numPr>
        <w:rPr/>
      </w:pPr>
      <w:bookmarkStart w:id="295" w:name="__RefHeading___Toc1279258_2870459653"/>
      <w:bookmarkStart w:id="296" w:name="_Toc101"/>
      <w:bookmarkEnd w:id="294"/>
      <w:bookmarkEnd w:id="295"/>
      <w:r>
        <w:rPr>
          <w:rtl w:val="true"/>
        </w:rPr>
        <w:t>[</w:t>
      </w:r>
      <w:r>
        <w:rPr>
          <w:rtl w:val="true"/>
        </w:rPr>
        <w:t>فروع في الطهارات</w:t>
      </w:r>
      <w:r>
        <w:rPr>
          <w:rtl w:val="true"/>
        </w:rPr>
        <w:t>]</w:t>
      </w:r>
      <w:bookmarkEnd w:id="29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وربما قيل بجواز التيمم</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القائل بذلك شيخنا الشهيد في الذكرى</w:t>
      </w:r>
      <w:r>
        <w:rPr>
          <w:rStyle w:val="FootnoteAnchor"/>
          <w:rtl w:val="true"/>
        </w:rPr>
        <w:footnoteReference w:id="708"/>
      </w:r>
      <w:r>
        <w:rPr>
          <w:rFonts w:ascii="Amiri" w:hAnsi="Amiri" w:eastAsia="Amiri" w:cs="Amiri"/>
          <w:color w:val="111111"/>
          <w:sz w:val="28"/>
          <w:sz w:val="28"/>
          <w:szCs w:val="28"/>
          <w:rtl w:val="true"/>
          <w:lang w:bidi="ar-SA"/>
        </w:rPr>
        <w:t>تعويلاً منه على أنّ التضيق إنما هو بالنظر إلى الصلاة وشرائطها لا إليها وحدها، فإن استند في ذلك إلى الأخبار</w:t>
      </w:r>
      <w:r>
        <w:rPr>
          <w:rStyle w:val="FootnoteAnchor"/>
          <w:rtl w:val="true"/>
        </w:rPr>
        <w:footnoteReference w:id="709"/>
      </w:r>
      <w:r>
        <w:rPr>
          <w:rFonts w:ascii="Amiri" w:hAnsi="Amiri" w:eastAsia="Amiri" w:cs="Amiri"/>
          <w:color w:val="111111"/>
          <w:sz w:val="28"/>
          <w:sz w:val="28"/>
          <w:szCs w:val="28"/>
          <w:rtl w:val="true"/>
          <w:lang w:bidi="ar-SA"/>
        </w:rPr>
        <w:t>فظاهرها الصّلاة، والمقدّمات خارجة، وإن استند إلى العمل المستمر في تحصيل القبلة والستر وما شاكلهما بعد التيمم فالحكم بمساواة الاستنجاء لها قياس،مع أنّ الصَّدُوق خالف فى صحّة الوضوء قبله</w:t>
      </w:r>
      <w:r>
        <w:rPr>
          <w:rStyle w:val="FootnoteAnchor"/>
          <w:rtl w:val="true"/>
        </w:rPr>
        <w:footnoteReference w:id="710"/>
      </w:r>
      <w:r>
        <w:rPr>
          <w:rFonts w:ascii="Amiri" w:hAnsi="Amiri" w:eastAsia="Amiri" w:cs="Amiri"/>
          <w:color w:val="111111"/>
          <w:sz w:val="28"/>
          <w:sz w:val="28"/>
          <w:szCs w:val="28"/>
          <w:rtl w:val="true"/>
          <w:lang w:bidi="ar-SA"/>
        </w:rPr>
        <w:t xml:space="preserve">لأمر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بإعادته بعده</w:t>
      </w:r>
      <w:r>
        <w:rPr>
          <w:rStyle w:val="FootnoteAnchor"/>
          <w:rtl w:val="true"/>
        </w:rPr>
        <w:footnoteReference w:id="711"/>
      </w:r>
      <w:r>
        <w:rPr>
          <w:rStyle w:val="FootnoteAnchor"/>
          <w:rtl w:val="true"/>
        </w:rPr>
        <w:footnoteReference w:id="712"/>
      </w:r>
      <w:r>
        <w:rPr>
          <w:rFonts w:ascii="Amiri" w:hAnsi="Amiri" w:eastAsia="Amiri" w:cs="Amiri"/>
          <w:color w:val="111111"/>
          <w:sz w:val="28"/>
          <w:sz w:val="28"/>
          <w:szCs w:val="28"/>
          <w:rtl w:val="true"/>
          <w:lang w:bidi="ar-SA"/>
        </w:rPr>
        <w:t>، والمصنّف في التذكرة ادّعى أنّ مَن قال بالتضيّق أبطله، ومن لا فلا</w:t>
      </w:r>
      <w:r>
        <w:rPr>
          <w:rStyle w:val="FootnoteAnchor"/>
          <w:rtl w:val="true"/>
        </w:rPr>
        <w:footnoteReference w:id="713"/>
      </w:r>
      <w:r>
        <w:rPr>
          <w:rFonts w:ascii="IRNazanin" w:hAnsi="IRNazanin" w:eastAsia="IRNazanin"/>
          <w:color w:val="111111"/>
          <w:sz w:val="28"/>
          <w:sz w:val="28"/>
          <w:szCs w:val="28"/>
          <w:rtl w:val="true"/>
          <w:lang w:bidi="fa-IR"/>
        </w:rPr>
        <w:t>، وظاهره أنّ استثناء وقته مطلقاً إحداث لقول ثالث</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 جواز الاستنجاء</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استشكل المصنّف الحكم في التذكرة</w:t>
      </w:r>
      <w:r>
        <w:rPr>
          <w:rStyle w:val="FootnoteAnchor"/>
          <w:rtl w:val="true"/>
        </w:rPr>
        <w:footnoteReference w:id="715"/>
      </w:r>
      <w:r>
        <w:rPr>
          <w:rFonts w:ascii="Amiri" w:hAnsi="Amiri" w:eastAsia="Amiri" w:cs="Amiri"/>
          <w:color w:val="111111"/>
          <w:sz w:val="28"/>
          <w:sz w:val="28"/>
          <w:szCs w:val="28"/>
          <w:rtl w:val="true"/>
          <w:lang w:bidi="ar-SA"/>
        </w:rPr>
        <w:t>والمنتهى؛ نظراً إلى أنّ الاستنجاء ينصرف إلى الإزالة المتعلّقة بالمحلّ المُعَدِّ لصرف الفضلة بحسب غالب الناس؛ ولذا لم تثبت فيه أحكام الفرج من مهرٍ أو حد، فأشبه سائر البدن، ولاختصاصه بأحكام مخالفة لسائر النّجاسات، فيقتصر على موضعه</w:t>
      </w:r>
      <w:r>
        <w:rPr>
          <w:rStyle w:val="FootnoteAnchor"/>
          <w:rtl w:val="true"/>
        </w:rPr>
        <w:footnoteReference w:id="716"/>
      </w:r>
      <w:r>
        <w:rPr>
          <w:rFonts w:ascii="Amiri" w:hAnsi="Amiri" w:eastAsia="Amiri" w:cs="Amiri"/>
          <w:color w:val="111111"/>
          <w:sz w:val="28"/>
          <w:sz w:val="28"/>
          <w:szCs w:val="28"/>
          <w:rtl w:val="true"/>
          <w:lang w:bidi="ar-SA"/>
        </w:rPr>
        <w:t xml:space="preserve">الذي علم عمل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وهو أحد وجهي الشّافعيّ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أنّ الخارج من جنس المعتاد</w:t>
      </w:r>
      <w:r>
        <w:rPr>
          <w:rStyle w:val="FootnoteAnchor"/>
          <w:rtl w:val="true"/>
        </w:rPr>
        <w:footnoteReference w:id="717"/>
      </w:r>
      <w:r>
        <w:rPr>
          <w:rFonts w:ascii="Amiri" w:hAnsi="Amiri" w:eastAsia="Amiri" w:cs="Amiri"/>
          <w:color w:val="111111"/>
          <w:sz w:val="28"/>
          <w:sz w:val="28"/>
          <w:szCs w:val="28"/>
          <w:rtl w:val="true"/>
          <w:lang w:bidi="ar-SA"/>
        </w:rPr>
        <w:t>، أعني الفضلة المخصوصة، والأحكام معلّقة عليها، وخصوصيّة المخرج لا دخل لها في صحة إطلاق الاستنجاء، ولذا لو قطع القضيب لم يتغيّر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مختاره هنا؛ للقطع بأنّ تبادر الإزالة عن المحل الغالب إنّما كان لظنّ الخروج لا مطلقاً منه، فلو ظُنَّ في شخص الخروج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لانسداد أو اعتياد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انعكس الحال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فيقال على الأوّل مطلق التبادر غير موجب؛ للقصر على المحلّ المخصوص،وإنّما يوجب إن لو لم يكن التبادر لأمر آخر كظنّ الخروج منه، وحينئذ فالمرجع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تعيّن الماء</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يفرّق شيخنا الشهيد بين النجس بنجاسة مماثلة وغيرها، فحكم بتعين الماء حينئذ</w:t>
      </w:r>
      <w:r>
        <w:rPr>
          <w:rStyle w:val="FootnoteAnchor"/>
          <w:rtl w:val="true"/>
        </w:rPr>
        <w:footnoteReference w:id="719"/>
      </w:r>
      <w:r>
        <w:rPr>
          <w:rFonts w:ascii="Amiri" w:hAnsi="Amiri" w:eastAsia="Amiri" w:cs="Amiri"/>
          <w:color w:val="111111"/>
          <w:sz w:val="28"/>
          <w:sz w:val="28"/>
          <w:szCs w:val="28"/>
          <w:rtl w:val="true"/>
          <w:lang w:bidi="ar-SA"/>
        </w:rPr>
        <w:t>، وما قاله هو المختار؛ للقطع بأنّ المحل الطاهر لو نجس بغائط من خارج لم يطهر بالأحجار وما شابهها، فكذا مع نجاسته عملاً بالاستصحاب</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قيل من أنّ ذلك يستلزم اجتماع الأمثال ضعيف</w:t>
      </w:r>
      <w:r>
        <w:rPr>
          <w:rStyle w:val="FootnoteAnchor"/>
          <w:rtl w:val="true"/>
        </w:rPr>
        <w:footnoteReference w:id="720"/>
      </w:r>
      <w:r>
        <w:rPr>
          <w:rFonts w:ascii="Amiri" w:hAnsi="Amiri" w:eastAsia="Amiri" w:cs="Amiri"/>
          <w:color w:val="111111"/>
          <w:sz w:val="28"/>
          <w:sz w:val="28"/>
          <w:szCs w:val="28"/>
          <w:rtl w:val="true"/>
          <w:lang w:bidi="ar-SA"/>
        </w:rPr>
        <w:t>لأنّ التماثل والتخالف في الأحكام الشّرعيّة يرجعان إلى ما اعتبره الشارع مماثلاً أو مخالفاً، واختلاف الأحكام دليل التخالف، فإنّ النّجس لا يماثل الطّاهر قطعاً، مع أنهما قد يمتازان بمجرّد المحلّ، فإن دم ذي النّفس يطهر بانتقاله إلى البعوضة ونحوها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المياه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المطلق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بعض الأصحاب</w:t>
      </w:r>
      <w:r>
        <w:rPr>
          <w:rFonts w:eastAsia="IRNazanin" w:cs="IRNazanin"/>
          <w:color w:val="111111"/>
          <w:sz w:val="28"/>
          <w:szCs w:val="28"/>
          <w:rtl w:val="true"/>
          <w:lang w:bidi="fa-IR"/>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أشار إلى ما اختاره المرتضى من إزالته الخبث</w:t>
      </w:r>
      <w:r>
        <w:rPr>
          <w:rStyle w:val="FootnoteAnchor"/>
          <w:rtl w:val="true"/>
        </w:rPr>
        <w:footnoteReference w:id="722"/>
      </w:r>
      <w:r>
        <w:rPr>
          <w:rFonts w:ascii="Amiri" w:hAnsi="Amiri" w:eastAsia="Amiri" w:cs="Amiri"/>
          <w:color w:val="111111"/>
          <w:sz w:val="28"/>
          <w:sz w:val="28"/>
          <w:szCs w:val="28"/>
          <w:rtl w:val="true"/>
          <w:lang w:bidi="ar-SA"/>
        </w:rPr>
        <w:t>، وابن بابويه من رفعه الحدث</w:t>
      </w:r>
      <w:r>
        <w:rPr>
          <w:rStyle w:val="FootnoteAnchor"/>
          <w:rtl w:val="true"/>
        </w:rPr>
        <w:footnoteReference w:id="723"/>
      </w:r>
      <w:r>
        <w:rPr>
          <w:rFonts w:ascii="Amiri" w:hAnsi="Amiri" w:eastAsia="Amiri" w:cs="Amiri"/>
          <w:color w:val="111111"/>
          <w:sz w:val="28"/>
          <w:sz w:val="28"/>
          <w:szCs w:val="28"/>
          <w:rtl w:val="true"/>
          <w:lang w:bidi="ar-SA"/>
        </w:rPr>
        <w:t>، وسيأتي ضعف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على أصل الخلقة</w:t>
      </w:r>
      <w:r>
        <w:rPr>
          <w:rFonts w:eastAsia="Amiri" w:cs="Amiri" w:ascii="Amiri" w:hAnsi="Amiri"/>
          <w:color w:val="111111"/>
          <w:sz w:val="28"/>
          <w:szCs w:val="28"/>
          <w:rtl w:val="true"/>
          <w:lang w:bidi="ar-SA"/>
        </w:rPr>
        <w:t>)</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عبّر كثير من الأصحاب</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يعرض له عارض ليخرج المغصوب؛ فإنّه لا يُطَهِّر من والمشتبه</w:t>
      </w:r>
      <w:r>
        <w:rPr>
          <w:rStyle w:val="FootnoteAnchor"/>
          <w:rtl w:val="true"/>
        </w:rPr>
        <w:footnoteReference w:id="726"/>
      </w:r>
      <w:r>
        <w:rPr>
          <w:rFonts w:ascii="Amiri" w:hAnsi="Amiri" w:eastAsia="Amiri" w:cs="Amiri"/>
          <w:color w:val="111111"/>
          <w:sz w:val="28"/>
          <w:sz w:val="28"/>
          <w:szCs w:val="28"/>
          <w:rtl w:val="true"/>
          <w:lang w:bidi="ar-SA"/>
        </w:rPr>
        <w:t>بالنّجس فإنّه لا يُطَهِّر منه ولا من الخبث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به النّابع</w:t>
      </w:r>
      <w:r>
        <w:rPr>
          <w:rFonts w:eastAsia="IRNazanin" w:cs="IRNazanin"/>
          <w:color w:val="111111"/>
          <w:sz w:val="28"/>
          <w:szCs w:val="28"/>
          <w:rtl w:val="true"/>
          <w:lang w:bidi="fa-IR"/>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إطلاق الجاري وإرادة النّابع غير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يقيد بالتابع عند إرادته منه، قال شيخنا الشهيد في الدّروس في أقسام المطلق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نابعاً</w:t>
      </w:r>
      <w:r>
        <w:rPr>
          <w:rFonts w:eastAsia="Amiri" w:cs="Amiri" w:ascii="Amiri" w:hAnsi="Amiri"/>
          <w:color w:val="111111"/>
          <w:sz w:val="28"/>
          <w:szCs w:val="28"/>
          <w:rtl w:val="true"/>
          <w:lang w:bidi="ar-SA"/>
        </w:rPr>
        <w:t>)</w:t>
      </w:r>
      <w:r>
        <w:rPr>
          <w:rStyle w:val="FootnoteAnchor"/>
          <w:rtl w:val="true"/>
        </w:rPr>
        <w:footnoteReference w:id="728"/>
      </w:r>
      <w:r>
        <w:rPr>
          <w:rFonts w:ascii="Amiri" w:hAnsi="Amiri" w:eastAsia="Amiri" w:cs="Amiri"/>
          <w:color w:val="111111"/>
          <w:sz w:val="28"/>
          <w:sz w:val="28"/>
          <w:szCs w:val="28"/>
          <w:rtl w:val="true"/>
          <w:lang w:bidi="ar-SA"/>
        </w:rPr>
        <w:t>، والعلّامة في التذكرة</w:t>
      </w:r>
      <w:r>
        <w:rPr>
          <w:rStyle w:val="FootnoteAnchor"/>
          <w:rtl w:val="true"/>
        </w:rPr>
        <w:footnoteReference w:id="729"/>
      </w:r>
      <w:r>
        <w:rPr>
          <w:rFonts w:ascii="Amiri" w:hAnsi="Amiri" w:eastAsia="Amiri" w:cs="Amiri"/>
          <w:color w:val="111111"/>
          <w:sz w:val="28"/>
          <w:sz w:val="28"/>
          <w:szCs w:val="28"/>
          <w:rtl w:val="true"/>
          <w:lang w:bidi="ar-SA"/>
        </w:rPr>
        <w:t>والمنتهى أراد به ما ليس بساكن فيشمل النابع ، وما اجتمع من مياه الثّلوج وما شابهها</w:t>
      </w:r>
      <w:r>
        <w:rPr>
          <w:rStyle w:val="FootnoteAnchor"/>
          <w:rtl w:val="true"/>
        </w:rPr>
        <w:footnoteReference w:id="730"/>
      </w:r>
      <w:r>
        <w:rPr>
          <w:rFonts w:ascii="Amiri" w:hAnsi="Amiri" w:eastAsia="Amiri" w:cs="Amiri"/>
          <w:color w:val="111111"/>
          <w:sz w:val="28"/>
          <w:sz w:val="28"/>
          <w:szCs w:val="28"/>
          <w:rtl w:val="true"/>
          <w:lang w:bidi="ar-SA"/>
        </w:rPr>
        <w:t>، وكذا فعل ابن سعيد</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والمراد برائحة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القول في اللون والطعم،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الوصف منه ما هو ثبوتي، ومنه ما هو سلبي، والمراد بها هنا الأوصاف التي يلحظ فيها سلب المكتسب منها، فمتى غيّرتها النّجاسة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أحدثتها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نجساً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اشتراط الكرّيّة في الجاري</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شيخنا الشّهيد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اعتبار الكرّيّة في الجاري، بل ادّعى </w:t>
      </w:r>
    </w:p>
    <w:p>
      <w:pPr>
        <w:pStyle w:val="BookText"/>
        <w:rPr/>
      </w:pPr>
      <w:r>
        <w:rPr>
          <w:rFonts w:ascii="Amiri" w:hAnsi="Amiri" w:eastAsia="Amiri" w:cs="Amiri"/>
          <w:color w:val="111111"/>
          <w:sz w:val="28"/>
          <w:sz w:val="28"/>
          <w:szCs w:val="28"/>
          <w:rtl w:val="true"/>
          <w:lang w:bidi="ar-SA"/>
        </w:rPr>
        <w:t>عدم الوقوف فيه على مخالف ممن سلف</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وعندي في ما قاله نظر، والذي ظهر لي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العامة اعتبر الكرية في الجرية منه</w:t>
      </w:r>
      <w:r>
        <w:rPr>
          <w:rStyle w:val="FootnoteAnchor"/>
          <w:rtl w:val="true"/>
        </w:rPr>
        <w:footnoteReference w:id="735"/>
      </w:r>
      <w:r>
        <w:rPr>
          <w:rFonts w:ascii="Amiri" w:hAnsi="Amiri" w:eastAsia="Amiri" w:cs="Amiri"/>
          <w:color w:val="111111"/>
          <w:sz w:val="28"/>
          <w:sz w:val="28"/>
          <w:szCs w:val="28"/>
          <w:rtl w:val="true"/>
          <w:lang w:bidi="ar-SA"/>
        </w:rPr>
        <w:t>، وأصحابنا ينفون ذلك، لا أنهم ينفون اعتبار الكرّيّة مطلقاً فيه</w:t>
      </w:r>
      <w:r>
        <w:rPr>
          <w:rStyle w:val="FootnoteAnchor"/>
          <w:rtl w:val="true"/>
        </w:rPr>
        <w:footnoteReference w:id="736"/>
      </w:r>
      <w:r>
        <w:rPr>
          <w:rFonts w:ascii="Amiri" w:hAnsi="Amiri" w:eastAsia="Amiri" w:cs="Amiri"/>
          <w:color w:val="111111"/>
          <w:sz w:val="28"/>
          <w:sz w:val="28"/>
          <w:szCs w:val="28"/>
          <w:rtl w:val="true"/>
          <w:lang w:bidi="ar-SA"/>
        </w:rPr>
        <w:t>، ومَن تصفّح كلامهم فهم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مكاتبة ابن بزيع الصّحيحة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7"/>
      </w:r>
      <w:r>
        <w:rPr>
          <w:rFonts w:ascii="Amiri" w:hAnsi="Amiri" w:eastAsia="Amiri" w:cs="Amiri"/>
          <w:color w:val="111111"/>
          <w:sz w:val="28"/>
          <w:sz w:val="28"/>
          <w:szCs w:val="28"/>
          <w:rtl w:val="true"/>
          <w:lang w:bidi="ar-SA"/>
        </w:rPr>
        <w:t>دلّت على أنّ العلة في عدم نجاسة البئر نبعُها، فيجب القول بمساواة الجاري إذا كان نابعاً له؛ للاشتراك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بعموم نفي البأس</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هذا نفي البأس عن الفعل، لا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وإطلاق عبارة المصنّف</w:t>
      </w:r>
      <w:r>
        <w:rPr>
          <w:rFonts w:eastAsia="Amiri" w:cs="Amiri" w:ascii="Amiri" w:hAnsi="Amiri"/>
          <w:color w:val="111111"/>
          <w:sz w:val="28"/>
          <w:szCs w:val="28"/>
          <w:rtl w:val="true"/>
          <w:lang w:bidi="ar-SA"/>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أطلق القول هنا بعدم نجاسة غير المتغيّر اكتفاءً بما ذكره من اشتراط الكرّية، </w:t>
      </w:r>
    </w:p>
    <w:p>
      <w:pPr>
        <w:pStyle w:val="BookText"/>
        <w:rPr/>
      </w:pPr>
      <w:r>
        <w:rPr>
          <w:rFonts w:ascii="Amiri" w:hAnsi="Amiri" w:eastAsia="Amiri" w:cs="Amiri"/>
          <w:color w:val="111111"/>
          <w:sz w:val="28"/>
          <w:sz w:val="28"/>
          <w:szCs w:val="28"/>
          <w:rtl w:val="true"/>
          <w:lang w:bidi="ar-SA"/>
        </w:rPr>
        <w:t xml:space="preserve">فإنّ اشتراطها في عدم النّجاسة كما يقتضي اشتراطها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المتغيّر في حكم المعدوم في تقوّي السليم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يغني عنه؛ ولأنّ الغالب في الجاري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اشتمالها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وهكذا صنع في غير ذلك</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وجهه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كالجاري</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الجاري</w:t>
      </w:r>
      <w:r>
        <w:rPr>
          <w:rStyle w:val="FootnoteAnchor"/>
          <w:rtl w:val="true"/>
        </w:rPr>
        <w:footnoteReference w:id="742"/>
      </w:r>
      <w:r>
        <w:rPr>
          <w:rFonts w:ascii="Amiri" w:hAnsi="Amiri" w:eastAsia="Amiri" w:cs="Amiri"/>
          <w:color w:val="111111"/>
          <w:sz w:val="28"/>
          <w:sz w:val="28"/>
          <w:szCs w:val="28"/>
          <w:rtl w:val="true"/>
          <w:lang w:bidi="ar-SA"/>
        </w:rPr>
        <w:t>لا ينجس بالملاقاة إذا كان كرّاً؛ لأنه متصل يتدافع، فيقوى بعضه ببعض، وكان ماء المطر يشبه أجزاءه المتواصلة ألحق به في تقوّي بعضه ببعض، ولم أقف في هذا الإلحاق على خبر، وإنّما هو في كلام الفقهاء</w:t>
      </w:r>
      <w:r>
        <w:rPr>
          <w:rStyle w:val="FootnoteAnchor"/>
          <w:rtl w:val="true"/>
        </w:rPr>
        <w:footnoteReference w:id="743"/>
      </w:r>
      <w:r>
        <w:rPr>
          <w:rFonts w:ascii="Amiri" w:hAnsi="Amiri" w:eastAsia="Amiri" w:cs="Amiri"/>
          <w:color w:val="111111"/>
          <w:sz w:val="28"/>
          <w:sz w:val="28"/>
          <w:szCs w:val="28"/>
          <w:rtl w:val="true"/>
          <w:lang w:bidi="ar-SA"/>
        </w:rPr>
        <w:t>، ونظرهم إنّما هو إلى ما ذكرناه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للشيخ</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 xml:space="preserve">. </w:t>
      </w:r>
      <w:bookmarkStart w:id="297" w:name="pg8927_84587"/>
    </w:p>
    <w:p>
      <w:pPr>
        <w:pStyle w:val="BookText"/>
        <w:rPr/>
      </w:pPr>
      <w:bookmarkEnd w:id="297"/>
      <w:r>
        <w:rPr>
          <w:rFonts w:ascii="Amiri" w:hAnsi="Amiri" w:eastAsia="Amiri" w:cs="Amiri"/>
          <w:color w:val="111111"/>
          <w:sz w:val="28"/>
          <w:sz w:val="28"/>
          <w:szCs w:val="28"/>
          <w:rtl w:val="true"/>
          <w:lang w:bidi="ar-SA"/>
        </w:rPr>
        <w:t xml:space="preserve">استدلّ الشّيخ بقول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جرى فلا بأس</w:t>
      </w:r>
      <w:r>
        <w:rPr>
          <w:rFonts w:eastAsia="Amiri" w:cs="Amiri" w:ascii="Amiri" w:hAnsi="Amiri"/>
          <w:color w:val="111111"/>
          <w:sz w:val="28"/>
          <w:szCs w:val="28"/>
          <w:rtl w:val="true"/>
          <w:lang w:bidi="ar-SA"/>
        </w:rPr>
        <w:t>)</w:t>
      </w:r>
      <w:r>
        <w:rPr>
          <w:rStyle w:val="FootnoteAnchor"/>
          <w:rtl w:val="true"/>
        </w:rPr>
        <w:footnoteReference w:id="746"/>
      </w:r>
      <w:r>
        <w:rPr>
          <w:rFonts w:ascii="Amiri" w:hAnsi="Amiri" w:eastAsia="Amiri" w:cs="Amiri"/>
          <w:color w:val="111111"/>
          <w:sz w:val="28"/>
          <w:sz w:val="28"/>
          <w:szCs w:val="28"/>
          <w:rtl w:val="true"/>
          <w:lang w:bidi="ar-SA"/>
        </w:rPr>
        <w:t>، وهو غير صريح في اشتراطه في الطهارة، فلعله شرط في رفع البأس الذي ظاهره الكراهية، مع أنه معارض بأخبار مطلقة ظاهرها الورود في محلّ الحاجة</w:t>
      </w:r>
      <w:r>
        <w:rPr>
          <w:rStyle w:val="FootnoteAnchor"/>
          <w:rtl w:val="true"/>
        </w:rPr>
        <w:footnoteReference w:id="747"/>
      </w:r>
      <w:r>
        <w:rPr>
          <w:rFonts w:ascii="Amiri" w:hAnsi="Amiri" w:eastAsia="Amiri" w:cs="Amiri"/>
          <w:color w:val="111111"/>
          <w:sz w:val="28"/>
          <w:sz w:val="28"/>
          <w:szCs w:val="28"/>
          <w:rtl w:val="true"/>
          <w:lang w:bidi="ar-SA"/>
        </w:rPr>
        <w:t xml:space="preserve">، فلو قيدت لزم التأخير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واشتراط الكرّيّة</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يشكل في اشتراط الكرّيّة في المادة، فالأولى أن يراد به ما كان في حياضه الصغار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لانفعال ما دون الكرّ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أدلّة نجاسة القليل بالملاقاة تشمل المادة، ومع تنجيسها فلا بُدَّ في الطهارة من مطهر لها ولما لاقته؛ فإنّ حدوث أمر لا بُدَّ فيه من علّة، فإن حكمنا بأنّ العلة ذات النجس وجب القول بعدم النّجاسة ابتداء؛ لأنّ ما بالذات لا يختلف، والخارج ينتفي بالأصل، فيبقى على النّجاسة، فلا فائدة بالمادة حينئذ، فلزم اشتراط الكرّيّة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المختار</w:t>
      </w:r>
      <w:r>
        <w:rPr>
          <w:rFonts w:eastAsia="Amiri" w:cs="Amiri" w:ascii="Amiri" w:hAnsi="Amiri"/>
          <w:color w:val="111111"/>
          <w:sz w:val="28"/>
          <w:szCs w:val="28"/>
          <w:rtl w:val="true"/>
          <w:lang w:bidi="ar-SA"/>
        </w:rPr>
        <w:t>.</w:t>
      </w:r>
    </w:p>
    <w:p>
      <w:pPr>
        <w:pStyle w:val="Heading3"/>
        <w:numPr>
          <w:ilvl w:val="2"/>
          <w:numId w:val="1"/>
        </w:numPr>
        <w:rPr/>
      </w:pPr>
      <w:bookmarkStart w:id="298" w:name="__RefHeading___Toc1279260_2870459653"/>
      <w:bookmarkStart w:id="299" w:name="_Toc102"/>
      <w:bookmarkEnd w:id="298"/>
      <w:r>
        <w:rPr>
          <w:rtl w:val="true"/>
        </w:rPr>
        <w:t xml:space="preserve">[ </w:t>
      </w:r>
      <w:r>
        <w:rPr>
          <w:rtl w:val="true"/>
        </w:rPr>
        <w:t>فروع الماء المطلق</w:t>
      </w:r>
      <w:r>
        <w:rPr>
          <w:rtl w:val="true"/>
        </w:rPr>
        <w:t>]</w:t>
      </w:r>
      <w:bookmarkEnd w:id="299"/>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الصفات</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المتبادر من الصفاته هنا</w:t>
      </w:r>
      <w:r>
        <w:rPr>
          <w:rStyle w:val="FootnoteAnchor"/>
          <w:rtl w:val="true"/>
        </w:rPr>
        <w:footnoteReference w:id="751"/>
      </w:r>
      <w:r>
        <w:rPr>
          <w:rFonts w:ascii="Amiri" w:hAnsi="Amiri" w:eastAsia="Amiri" w:cs="Amiri"/>
          <w:color w:val="111111"/>
          <w:sz w:val="28"/>
          <w:sz w:val="28"/>
          <w:szCs w:val="28"/>
          <w:rtl w:val="true"/>
          <w:lang w:bidi="ar-SA"/>
        </w:rPr>
        <w:t xml:space="preserve">السلبية كما أشرنا إليه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752"/>
      </w:r>
      <w:r>
        <w:rPr>
          <w:rFonts w:ascii="Amiri" w:hAnsi="Amiri" w:eastAsia="Amiri" w:cs="Amiri"/>
          <w:color w:val="111111"/>
          <w:sz w:val="28"/>
          <w:sz w:val="28"/>
          <w:szCs w:val="28"/>
          <w:rtl w:val="true"/>
          <w:lang w:bidi="ar-SA"/>
        </w:rPr>
        <w:t>شيخنا في الذكرى</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 الذكرى</w:t>
      </w:r>
      <w:r>
        <w:rPr>
          <w:rStyle w:val="FootnoteAnchor"/>
          <w:rtl w:val="true"/>
        </w:rPr>
        <w:footnoteReference w:id="754"/>
      </w:r>
      <w:r>
        <w:rPr>
          <w:rFonts w:ascii="Amiri" w:hAnsi="Amiri" w:eastAsia="Amiri" w:cs="Amiri"/>
          <w:color w:val="111111"/>
          <w:sz w:val="28"/>
          <w:sz w:val="28"/>
          <w:szCs w:val="28"/>
          <w:rtl w:val="true"/>
          <w:lang w:bidi="ar-SA"/>
        </w:rPr>
        <w:t>هو الأصح ؛ عملاً بظاهر الأخبار السليم عن المعارض</w:t>
      </w:r>
      <w:r>
        <w:rPr>
          <w:rStyle w:val="FootnoteAnchor"/>
          <w:rtl w:val="true"/>
        </w:rPr>
        <w:footnoteReference w:id="7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وتوهم</w:t>
      </w:r>
      <w:r>
        <w:rPr>
          <w:rStyle w:val="FootnoteAnchor"/>
          <w:rtl w:val="true"/>
        </w:rPr>
        <w:footnoteReference w:id="756"/>
      </w:r>
      <w:r>
        <w:rPr>
          <w:rFonts w:ascii="Amiri" w:hAnsi="Amiri" w:eastAsia="Amiri" w:cs="Amiri"/>
          <w:color w:val="111111"/>
          <w:sz w:val="28"/>
          <w:sz w:val="28"/>
          <w:szCs w:val="28"/>
          <w:rtl w:val="true"/>
          <w:lang w:bidi="ar-SA"/>
        </w:rPr>
        <w:t>وجود الانفعال في الماء في نفس الأمر غايته عدم الإدراك بالحس</w:t>
      </w:r>
      <w:r>
        <w:rPr>
          <w:rStyle w:val="FootnoteAnchor"/>
          <w:rtl w:val="true"/>
        </w:rPr>
        <w:footnoteReference w:id="757"/>
      </w:r>
      <w:r>
        <w:rPr>
          <w:rFonts w:ascii="Amiri" w:hAnsi="Amiri" w:eastAsia="Amiri" w:cs="Amiri"/>
          <w:color w:val="111111"/>
          <w:sz w:val="28"/>
          <w:sz w:val="28"/>
          <w:szCs w:val="28"/>
          <w:rtl w:val="true"/>
          <w:lang w:bidi="ar-SA"/>
        </w:rPr>
        <w:t>، ضعيف؛ لتوجّه المنع، فإنّ الانفعال تابع لتغيّر الأوصاف تحقيقاً لا تقديراً، ولاستلزامه وجوب التقدير في الوصف القليل بعد ذهابه للاشتراك في العِلّة، وهو يخالف الإجماع</w:t>
      </w:r>
      <w:r>
        <w:rPr>
          <w:rStyle w:val="FootnoteAnchor"/>
          <w:rtl w:val="true"/>
        </w:rPr>
        <w:footnoteReference w:id="758"/>
      </w:r>
      <w:r>
        <w:rPr>
          <w:rFonts w:ascii="Amiri" w:hAnsi="Amiri" w:eastAsia="Amiri" w:cs="Amiri"/>
          <w:color w:val="111111"/>
          <w:sz w:val="28"/>
          <w:sz w:val="28"/>
          <w:szCs w:val="28"/>
          <w:rtl w:val="true"/>
          <w:lang w:bidi="ar-SA"/>
        </w:rPr>
        <w:t xml:space="preserve">، والأخبارَ الدّالّة على زوال التغيّر مطلقاً سواء القوي أو الضعيف بذهابه عن </w:t>
      </w:r>
    </w:p>
    <w:p>
      <w:pPr>
        <w:pStyle w:val="BookText"/>
        <w:rPr/>
      </w:pPr>
      <w:r>
        <w:rPr>
          <w:rFonts w:ascii="IRNazanin" w:hAnsi="IRNazanin" w:eastAsia="IRNazanin"/>
          <w:color w:val="111111"/>
          <w:sz w:val="28"/>
          <w:sz w:val="28"/>
          <w:szCs w:val="28"/>
          <w:rtl w:val="true"/>
          <w:lang w:bidi="fa-IR"/>
        </w:rPr>
        <w:t>الحس</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فللنّجاسة أولى</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بأنّ الإضافة تحصل بحسب نفس الأمر مع انتفاء الأوصاف، وبتقدير المخالفة فيها يحصل العلم بما هو واقع، بخلاف النّجاسة، فإنّ ما في نفس الأمر فيها تابع لتحقق الأوصاف، فلا أثر للتقدير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يفضي إلى جواز الاستعمال</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منع؛ إذ على ذلك التقدير يخرج عن الإطلاق، أو يشكّ في بقائه فيقدّر مخالفه تحصيلاً للعلم بالحال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والظاهر اعتبار الوسط</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تجب مراعاة الأعلى إن أخذ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الأوهام الفاسدة</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المرجع في الوحدة وعدمها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اعتبار المائعية</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العمل على المشهور</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300" w:name="pg8927_84591"/>
    </w:p>
    <w:p>
      <w:pPr>
        <w:pStyle w:val="Heading3"/>
        <w:numPr>
          <w:ilvl w:val="2"/>
          <w:numId w:val="1"/>
        </w:numPr>
        <w:rPr/>
      </w:pPr>
      <w:bookmarkStart w:id="301" w:name="__RefHeading___Toc1279262_2870459653"/>
      <w:bookmarkStart w:id="302" w:name="_Toc103"/>
      <w:bookmarkEnd w:id="300"/>
      <w:bookmarkEnd w:id="301"/>
      <w:r>
        <w:rPr>
          <w:rtl w:val="true"/>
        </w:rPr>
        <w:t>[</w:t>
      </w:r>
      <w:r>
        <w:rPr>
          <w:rtl w:val="true"/>
        </w:rPr>
        <w:t>مقدار الكر</w:t>
      </w:r>
      <w:r>
        <w:rPr>
          <w:rtl w:val="true"/>
        </w:rPr>
        <w:t>]</w:t>
      </w:r>
      <w:bookmarkEnd w:id="30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تكسيرها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اعتبار بلوغ تكسيره ما ذكر</w:t>
      </w:r>
      <w:r>
        <w:rPr>
          <w:rStyle w:val="FootnoteAnchor"/>
          <w:rtl w:val="true"/>
        </w:rPr>
        <w:footnoteReference w:id="768"/>
      </w:r>
      <w:r>
        <w:rPr>
          <w:rFonts w:ascii="Amiri" w:hAnsi="Amiri" w:eastAsia="Amiri" w:cs="Amiri"/>
          <w:color w:val="111111"/>
          <w:sz w:val="28"/>
          <w:sz w:val="28"/>
          <w:szCs w:val="28"/>
          <w:rtl w:val="true"/>
          <w:lang w:bidi="ar-SA"/>
        </w:rPr>
        <w:t xml:space="preserve">، ورواية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ظاهرها يشهد له؛ فإنّ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ثلاثة أشبارٍ ونصف في مثله ثلاثة أشبار ونصف في عمقه من الأرض فذلك الكرّ من الماء</w:t>
      </w:r>
      <w:r>
        <w:rPr>
          <w:rFonts w:eastAsia="Amiri" w:cs="Amiri" w:ascii="Amiri" w:hAnsi="Amiri"/>
          <w:color w:val="111111"/>
          <w:sz w:val="28"/>
          <w:szCs w:val="28"/>
          <w:rtl w:val="true"/>
          <w:lang w:bidi="ar-SA"/>
        </w:rPr>
        <w:t>)</w:t>
      </w:r>
      <w:r>
        <w:rPr>
          <w:rStyle w:val="FootnoteAnchor"/>
          <w:rtl w:val="true"/>
        </w:rPr>
        <w:footnoteReference w:id="769"/>
      </w:r>
      <w:r>
        <w:rPr>
          <w:rFonts w:ascii="Amiri" w:hAnsi="Amiri" w:eastAsia="Amiri" w:cs="Amiri"/>
          <w:color w:val="111111"/>
          <w:sz w:val="28"/>
          <w:sz w:val="28"/>
          <w:szCs w:val="28"/>
          <w:rtl w:val="true"/>
          <w:lang w:bidi="ar-SA"/>
        </w:rPr>
        <w:t>، وقال ابن الجنيد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حده قلتان، و مبلغه وزناً ألف ومائتا رطل، وتكسيره نحو من مائة شبر</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وهو قول غريب</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تعويلاً على رواية</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هي رواية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امتخط فصار الدّم قطعاً، فأصاب إناءه، هل يصح الوضوء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 وإن كان شيئاً بيّناً فلا يتوضّأ منه</w:t>
      </w:r>
      <w:r>
        <w:rPr>
          <w:rFonts w:eastAsia="Amiri" w:cs="Amiri" w:ascii="Amiri" w:hAnsi="Amiri"/>
          <w:color w:val="111111"/>
          <w:sz w:val="28"/>
          <w:szCs w:val="28"/>
          <w:rtl w:val="true"/>
          <w:lang w:bidi="ar-SA"/>
        </w:rPr>
        <w:t>)</w:t>
      </w:r>
      <w:r>
        <w:rPr>
          <w:rStyle w:val="FootnoteAnchor"/>
          <w:rtl w:val="true"/>
        </w:rPr>
        <w:footnoteReference w:id="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غير صريحة في إصابة الماء، فلعل السؤال لاشتباه عَرَضَ في إصابته، وعدم الاستبانة قد تكون لعدم الوصول، أو لعدم الظهور مع حصوله، والعام بما هو عام لا يصلح مخصصاً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أنه تحقيق</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المختار؛ استصحاباً لما ثبت في القليل من النّجاسة بالملاقاة إلى أن يعلم زوال العلّة، وكون التقدير تقريباً مما لم يقم دليل عليه، فوجب التمسك بالأصل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تعيينه</w:t>
      </w:r>
      <w:r>
        <w:rPr>
          <w:rFonts w:eastAsia="Amiri" w:cs="Amiri" w:ascii="Amiri" w:hAnsi="Amiri"/>
          <w:color w:val="111111"/>
          <w:sz w:val="28"/>
          <w:szCs w:val="28"/>
          <w:rtl w:val="true"/>
          <w:lang w:bidi="ar-SA"/>
        </w:rPr>
        <w:t>)</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لكن يجب أن يُعلم أنّ أقل ما هو معتاد منها هو المقدّر به تحقيقاً كما قيل في الجواب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الكرّ المتصل</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غير المشتمل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والمائعة</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المائعة إشكال؛ لاستلزامها تغير شيء وإن قل من الكر، فيكون الباقي نجساً، فلا يثبت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سبب لزوال التنجيس</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الحق أنّه مانع، ولذا قلنا بعدم طهارة النّجس إذا بلغ الكرّية، والرّواية فيه ضعيفة</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 xml:space="preserve">. </w:t>
      </w:r>
      <w:bookmarkStart w:id="303" w:name="pg8927_84594"/>
    </w:p>
    <w:p>
      <w:pPr>
        <w:pStyle w:val="BookText"/>
        <w:rPr/>
      </w:pPr>
      <w:bookmarkEnd w:id="303"/>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نجس</w:t>
      </w:r>
      <w:r>
        <w:rPr>
          <w:rFonts w:eastAsia="IRNazanin" w:cs="IRNazanin"/>
          <w:color w:val="111111"/>
          <w:sz w:val="28"/>
          <w:szCs w:val="28"/>
          <w:rtl w:val="true"/>
          <w:lang w:bidi="fa-IR"/>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محكوم بنجاسته ما دام الشك باقياً، فلو علم بعد طرق الشك البلوغ تغيّر الحكم، وهل يجب تحصيله مع القدرة ووجوب الاستعمال، أم يكفي البناء على الأمارات الشّرعيّة؟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كما في الطّهارة، فإنّ من توضّأ إلى جنب نهر أو كرّ جاز له الوضوء بما يأتيه به غيره، مع احتمال النّجاسة؛ إذ الطهارة والنّجاسة حكمان شرعيان، فيشتركان في الطّريق الموصل إليهما، وفي عدم وجوب تحصيل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نظراً إلى أنّ الواجب المطلق متى توقف على شيء وأمكن حصوله وجب تحصيله بحسب الإمكان، والأمارة الشّرعيّة جاز عدم مطابقة ما دلّت عليه للواقع، ومتى جوّز وجوده وجب تحصيله كفاقد الماء، فإنّه يطلبه، وهذا الوجه هو الحق، وبه جزم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4" w:name="__RefHeading___Toc1279264_2870459653"/>
      <w:bookmarkStart w:id="305" w:name="_Toc104"/>
      <w:bookmarkEnd w:id="304"/>
      <w:r>
        <w:rPr>
          <w:rtl w:val="true"/>
        </w:rPr>
        <w:t>[</w:t>
      </w:r>
      <w:r>
        <w:rPr>
          <w:rtl w:val="true"/>
        </w:rPr>
        <w:t>تعريف البئر</w:t>
      </w:r>
      <w:r>
        <w:rPr>
          <w:rtl w:val="true"/>
        </w:rPr>
        <w:t>]</w:t>
      </w:r>
      <w:bookmarkEnd w:id="305"/>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مسماها</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306" w:name="pg8927_84595"/>
    </w:p>
    <w:p>
      <w:pPr>
        <w:pStyle w:val="BookText"/>
        <w:rPr/>
      </w:pPr>
      <w:bookmarkEnd w:id="306"/>
      <w:r>
        <w:rPr>
          <w:rFonts w:ascii="Amiri" w:hAnsi="Amiri" w:eastAsia="Amiri" w:cs="Amiri"/>
          <w:color w:val="111111"/>
          <w:sz w:val="28"/>
          <w:sz w:val="28"/>
          <w:szCs w:val="28"/>
          <w:rtl w:val="true"/>
          <w:lang w:bidi="ar-SA"/>
        </w:rPr>
        <w:t>الضّمير يرجع إلى البئر ، فتتوقف معرفة الحدّ على البئر، وأنّه دور</w:t>
      </w:r>
      <w:r>
        <w:rPr>
          <w:rFonts w:eastAsia="Amiri" w:cs="Amiri" w:ascii="Amiri" w:hAnsi="Amiri"/>
          <w:color w:val="111111"/>
          <w:sz w:val="28"/>
          <w:szCs w:val="28"/>
          <w:rtl w:val="true"/>
          <w:lang w:bidi="ar-SA"/>
        </w:rPr>
        <w:t>.</w:t>
      </w:r>
    </w:p>
    <w:p>
      <w:pPr>
        <w:pStyle w:val="Heading3"/>
        <w:numPr>
          <w:ilvl w:val="2"/>
          <w:numId w:val="1"/>
        </w:numPr>
        <w:rPr/>
      </w:pPr>
      <w:bookmarkStart w:id="307" w:name="__RefHeading___Toc1279266_2870459653"/>
      <w:bookmarkStart w:id="308" w:name="_Toc105"/>
      <w:bookmarkEnd w:id="307"/>
      <w:r>
        <w:rPr>
          <w:rtl w:val="true"/>
        </w:rPr>
        <w:t>[</w:t>
      </w:r>
      <w:r>
        <w:rPr>
          <w:rtl w:val="true"/>
        </w:rPr>
        <w:t>نزح البئر</w:t>
      </w:r>
      <w:r>
        <w:rPr>
          <w:rtl w:val="true"/>
        </w:rPr>
        <w:t>]</w:t>
      </w:r>
      <w:bookmarkEnd w:id="308"/>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تعبداً</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الحمل على 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بعده</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ظاهر كثير من الأخبار؛ لدلالته على أنّ النّزح للتطهير</w:t>
      </w:r>
      <w:r>
        <w:rPr>
          <w:rStyle w:val="FootnoteAnchor"/>
          <w:rtl w:val="true"/>
        </w:rPr>
        <w:footnoteReference w:id="784"/>
      </w:r>
      <w:r>
        <w:rPr>
          <w:rFonts w:ascii="Amiri" w:hAnsi="Amiri" w:eastAsia="Amiri" w:cs="Amiri"/>
          <w:color w:val="111111"/>
          <w:sz w:val="28"/>
          <w:sz w:val="28"/>
          <w:szCs w:val="28"/>
          <w:rtl w:val="true"/>
          <w:lang w:bidi="ar-SA"/>
        </w:rPr>
        <w:t>، والقول باعتبار الكرّيّة في البئر ينافيه تعليل الطهارة في بعضها بالمادة</w:t>
      </w:r>
      <w:r>
        <w:rPr>
          <w:rStyle w:val="FootnoteAnchor"/>
          <w:rtl w:val="true"/>
        </w:rPr>
        <w:footnoteReference w:id="785"/>
      </w:r>
      <w:r>
        <w:rPr>
          <w:rFonts w:ascii="Amiri" w:hAnsi="Amiri" w:eastAsia="Amiri" w:cs="Amiri"/>
          <w:color w:val="111111"/>
          <w:sz w:val="28"/>
          <w:sz w:val="28"/>
          <w:szCs w:val="28"/>
          <w:rtl w:val="true"/>
          <w:lang w:bidi="ar-SA"/>
        </w:rPr>
        <w:t>إذ مع اشتراطها يلزم القول بالنّجاسة بدونها مع تحقق المادة فلا تكون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وبدلائل أخرى</w:t>
      </w:r>
      <w:r>
        <w:rPr>
          <w:rFonts w:eastAsia="IRNazanin" w:cs="IRNazanin"/>
          <w:color w:val="111111"/>
          <w:sz w:val="28"/>
          <w:szCs w:val="28"/>
          <w:rtl w:val="true"/>
          <w:lang w:bidi="fa-IR"/>
        </w:rPr>
        <w:t>)</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مؤيدات أُخَر وإنْ لم تكن أدلّةً توجب القطع؛ إذ الظاهر عدم الفرق بين أفراد </w:t>
      </w:r>
    </w:p>
    <w:p>
      <w:pPr>
        <w:pStyle w:val="BookText"/>
        <w:rPr/>
      </w:pPr>
      <w:r>
        <w:rPr>
          <w:rFonts w:ascii="Amiri" w:hAnsi="Amiri" w:eastAsia="Amiri" w:cs="Amiri"/>
          <w:color w:val="111111"/>
          <w:sz w:val="28"/>
          <w:sz w:val="28"/>
          <w:szCs w:val="28"/>
          <w:rtl w:val="true"/>
          <w:lang w:bidi="ar-SA"/>
        </w:rPr>
        <w:t>النجس مع انتفاء التغيّر، فالقول بالعفو في بعضها مع التنجيس في البعض الآخر، بعيد 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وجوانب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استدلال في مقابل النّصّ، فلا يلتفت إليه؛ لأنّ الغرض منه ترجيح بعض الأخبار على بعض ، ومثل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المطهر هو الماء المنفصل عن البئر، فالمتساقط وما جرى مجراه كجزء من ماء البئر لم ينزح</w:t>
      </w:r>
      <w:r>
        <w:rPr>
          <w:rFonts w:eastAsia="Amiri" w:cs="Amiri" w:ascii="Amiri" w:hAnsi="Amiri"/>
          <w:color w:val="111111"/>
          <w:sz w:val="28"/>
          <w:szCs w:val="28"/>
          <w:rtl w:val="true"/>
          <w:lang w:bidi="ar-SA"/>
        </w:rPr>
        <w:t>)</w:t>
      </w:r>
      <w:r>
        <w:rPr>
          <w:rStyle w:val="FootnoteAnchor"/>
          <w:rtl w:val="true"/>
        </w:rPr>
        <w:footnoteReference w:id="788"/>
      </w:r>
      <w:r>
        <w:rPr>
          <w:rFonts w:ascii="Amiri" w:hAnsi="Amiri" w:eastAsia="Amiri" w:cs="Amiri"/>
          <w:color w:val="111111"/>
          <w:sz w:val="28"/>
          <w:sz w:val="28"/>
          <w:szCs w:val="28"/>
          <w:rtl w:val="true"/>
          <w:lang w:bidi="ar-SA"/>
        </w:rPr>
        <w:t>إذ الفرق بينه وبين ما عداه مما ماثله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ارتكاب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وجه عدم الأولويّة أنّ الطّهارة بالتبعية قليل الوقوع جدّاً، والمجاز</w:t>
      </w:r>
      <w:r>
        <w:rPr>
          <w:rStyle w:val="FootnoteAnchor"/>
          <w:rtl w:val="true"/>
        </w:rPr>
        <w:footnoteReference w:id="790"/>
      </w:r>
      <w:r>
        <w:rPr>
          <w:rFonts w:ascii="Amiri" w:hAnsi="Amiri" w:eastAsia="Amiri" w:cs="Amiri"/>
          <w:color w:val="111111"/>
          <w:sz w:val="28"/>
          <w:sz w:val="28"/>
          <w:szCs w:val="28"/>
          <w:rtl w:val="true"/>
          <w:lang w:bidi="ar-SA"/>
        </w:rPr>
        <w:t>شائع في كلام أهل الشّرع، فالحمل على النّادر ليس أولى من الحمل على الشائع المتكرّر، بل الأمر بالعكس، فتحمل الطهارة المنفيّة على الطهارة اللّغويّة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الملازمة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bookmarkStart w:id="309" w:name="pg8927_84597"/>
    </w:p>
    <w:p>
      <w:pPr>
        <w:pStyle w:val="BookText"/>
        <w:rPr/>
      </w:pPr>
      <w:bookmarkEnd w:id="309"/>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بالتسمية، فكما أنّ الجاري لو انتزع منه ما جرى عليه أحكام الواقف، كذا الواقف لو اختلط بالبئر جرى عليه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يظهر مما سبق</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0" w:name="__RefHeading___Toc1279268_2870459653"/>
      <w:bookmarkStart w:id="311" w:name="_Toc106"/>
      <w:bookmarkEnd w:id="310"/>
      <w:r>
        <w:rPr>
          <w:rtl w:val="true"/>
        </w:rPr>
        <w:t>[</w:t>
      </w:r>
      <w:r>
        <w:rPr>
          <w:rtl w:val="true"/>
        </w:rPr>
        <w:t>الماء المضاف</w:t>
      </w:r>
      <w:r>
        <w:rPr>
          <w:rtl w:val="true"/>
        </w:rPr>
        <w:t>]</w:t>
      </w:r>
      <w:bookmarkEnd w:id="311"/>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المضاف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Style w:val="FootnoteAnchor"/>
          <w:rtl w:val="true"/>
        </w:rPr>
        <w:footnoteReference w:id="793"/>
      </w:r>
      <w:r>
        <w:rPr>
          <w:rFonts w:ascii="Amiri" w:hAnsi="Amiri" w:eastAsia="Amiri" w:cs="Amiri"/>
          <w:color w:val="111111"/>
          <w:sz w:val="28"/>
          <w:sz w:val="28"/>
          <w:szCs w:val="28"/>
          <w:rtl w:val="true"/>
          <w:lang w:bidi="ar-SA"/>
        </w:rPr>
        <w:t>ما لا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الظاهر من نفي المقيّد دخوله على القيد كان المتبادر منه صدق الماء عليه مقيّداً، فلا يشمل غير المائع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الحكم بالطهارة في المضاف منزّل على ما هو الغالب من أفراده، وسلب الطهورية عنه من الحدث مستفاد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تَجِدُوا</w:t>
      </w:r>
      <w:r>
        <w:rPr>
          <w:rStyle w:val="FootnoteAnchor"/>
          <w:rtl w:val="true"/>
        </w:rPr>
        <w:footnoteReference w:id="797"/>
      </w:r>
      <w:r>
        <w:rPr>
          <w:rFonts w:ascii="Amiri" w:hAnsi="Amiri" w:eastAsia="Amiri" w:cs="Amiri"/>
          <w:color w:val="111111"/>
          <w:sz w:val="28"/>
          <w:sz w:val="28"/>
          <w:szCs w:val="28"/>
          <w:rtl w:val="true"/>
          <w:lang w:bidi="ar-SA"/>
        </w:rPr>
        <w:t>مَاءً فَتَيَمَّمُوا</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هو الماء، أو الصعيد</w:t>
      </w:r>
      <w:r>
        <w:rPr>
          <w:rFonts w:eastAsia="Amiri" w:cs="Amiri" w:ascii="Amiri" w:hAnsi="Amiri"/>
          <w:color w:val="111111"/>
          <w:sz w:val="28"/>
          <w:szCs w:val="28"/>
          <w:rtl w:val="true"/>
          <w:lang w:bidi="ar-SA"/>
        </w:rPr>
        <w:t>)</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الخبث يُعلم من الإجماع على تحتّم الغسل</w:t>
      </w:r>
      <w:r>
        <w:rPr>
          <w:rStyle w:val="FootnoteAnchor"/>
          <w:rtl w:val="true"/>
        </w:rPr>
        <w:footnoteReference w:id="801"/>
      </w:r>
      <w:r>
        <w:rPr>
          <w:rFonts w:ascii="Amiri" w:hAnsi="Amiri" w:eastAsia="Amiri" w:cs="Amiri"/>
          <w:color w:val="111111"/>
          <w:sz w:val="28"/>
          <w:sz w:val="28"/>
          <w:szCs w:val="28"/>
          <w:rtl w:val="true"/>
          <w:lang w:bidi="ar-SA"/>
        </w:rPr>
        <w:t>، وهو حقيقة شرعية في استعمال الماء</w:t>
      </w:r>
      <w:r>
        <w:rPr>
          <w:rStyle w:val="FootnoteAnchor"/>
          <w:rtl w:val="true"/>
        </w:rPr>
        <w:footnoteReference w:id="802"/>
      </w:r>
      <w:r>
        <w:rPr>
          <w:rStyle w:val="FootnoteAnchor"/>
          <w:rtl w:val="true"/>
        </w:rPr>
        <w:footnoteReference w:id="803"/>
      </w:r>
      <w:r>
        <w:rPr>
          <w:rFonts w:ascii="Amiri" w:hAnsi="Amiri" w:eastAsia="Amiri" w:cs="Amiri"/>
          <w:color w:val="111111"/>
          <w:sz w:val="28"/>
          <w:sz w:val="28"/>
          <w:szCs w:val="28"/>
          <w:rtl w:val="true"/>
          <w:lang w:bidi="ar-SA"/>
        </w:rPr>
        <w:t>، ودعوى ودعوى السّيّد المرتضى بصدق الغسل على الإزالة المطلقة به</w:t>
      </w:r>
      <w:r>
        <w:rPr>
          <w:rStyle w:val="FootnoteAnchor"/>
          <w:rtl w:val="true"/>
        </w:rPr>
        <w:footnoteReference w:id="804"/>
      </w:r>
      <w:r>
        <w:rPr>
          <w:rFonts w:ascii="Amiri" w:hAnsi="Amiri" w:eastAsia="Amiri" w:cs="Amiri"/>
          <w:color w:val="111111"/>
          <w:sz w:val="28"/>
          <w:sz w:val="28"/>
          <w:szCs w:val="28"/>
          <w:rtl w:val="true"/>
          <w:lang w:bidi="ar-SA"/>
        </w:rPr>
        <w:t>، ممنوعة ، وما وقع</w:t>
      </w:r>
      <w:r>
        <w:rPr>
          <w:rStyle w:val="FootnoteAnchor"/>
          <w:rtl w:val="true"/>
        </w:rPr>
        <w:footnoteReference w:id="805"/>
      </w:r>
      <w:r>
        <w:rPr>
          <w:rFonts w:ascii="Amiri" w:hAnsi="Amiri" w:eastAsia="Amiri" w:cs="Amiri"/>
          <w:color w:val="111111"/>
          <w:sz w:val="28"/>
          <w:sz w:val="28"/>
          <w:szCs w:val="28"/>
          <w:rtl w:val="true"/>
          <w:lang w:bidi="ar-SA"/>
        </w:rPr>
        <w:t>في معرض الامتنان دليل على الانحصار فيه بالنظر إلى كل منها</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رواية محمد بن عيسى، عن يونس،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8"/>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bookmarkStart w:id="312" w:name="pg8927_84599"/>
    </w:p>
    <w:p>
      <w:pPr>
        <w:pStyle w:val="BookText"/>
        <w:rPr/>
      </w:pPr>
      <w:bookmarkEnd w:id="312"/>
      <w:r>
        <w:rPr>
          <w:rFonts w:ascii="Amiri" w:hAnsi="Amiri" w:eastAsia="Amiri" w:cs="Amiri"/>
          <w:color w:val="111111"/>
          <w:sz w:val="28"/>
          <w:sz w:val="28"/>
          <w:szCs w:val="28"/>
          <w:rtl w:val="true"/>
          <w:lang w:bidi="ar-SA"/>
        </w:rPr>
        <w:t xml:space="preserve">شذوذها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بسبق الإجماع وتأخره ، وبما هو أقوى</w:t>
      </w:r>
      <w:r>
        <w:rPr>
          <w:rStyle w:val="FootnoteAnchor"/>
          <w:rtl w:val="true"/>
        </w:rPr>
        <w:footnoteReference w:id="809"/>
      </w:r>
      <w:r>
        <w:rPr>
          <w:rFonts w:ascii="Amiri" w:hAnsi="Amiri" w:eastAsia="Amiri" w:cs="Amiri"/>
          <w:color w:val="111111"/>
          <w:sz w:val="28"/>
          <w:sz w:val="28"/>
          <w:szCs w:val="28"/>
          <w:rtl w:val="true"/>
          <w:lang w:bidi="ar-SA"/>
        </w:rPr>
        <w:t>، وبنقل الصدوق أنّ محمّد بن الوليد لا يعتمد على حديث محمّد بن عيسى، عن يونس</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3" w:name="__RefHeading___Toc1279270_2870459653"/>
      <w:bookmarkStart w:id="314" w:name="_Toc107"/>
      <w:bookmarkEnd w:id="313"/>
      <w:r>
        <w:rPr>
          <w:rtl w:val="true"/>
        </w:rPr>
        <w:t>[</w:t>
      </w:r>
      <w:r>
        <w:rPr>
          <w:rtl w:val="true"/>
        </w:rPr>
        <w:t>مزج الماء المضاف مع الماء المطلق</w:t>
      </w:r>
      <w:r>
        <w:rPr>
          <w:rtl w:val="true"/>
        </w:rPr>
        <w:t>]</w:t>
      </w:r>
      <w:bookmarkEnd w:id="314"/>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1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مزج طاهره</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المزج هو الاختلاط بحيث لا يتميّز بعض عن بعض، وحينئذ فإن بقي المطلق على الإطلاق فالجميع مطلق؛ إذ بقاء المطلق حينئذٍ على ما كان يستلزم حدوث الإطلاق في الجميع</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279272_2870459653"/>
      <w:bookmarkStart w:id="316" w:name="_Toc108"/>
      <w:bookmarkEnd w:id="315"/>
      <w:r>
        <w:rPr>
          <w:rtl w:val="true"/>
        </w:rPr>
        <w:t>[</w:t>
      </w:r>
      <w:r>
        <w:rPr>
          <w:rtl w:val="true"/>
        </w:rPr>
        <w:t>سؤر الحيوان</w:t>
      </w:r>
      <w:r>
        <w:rPr>
          <w:rtl w:val="true"/>
        </w:rPr>
        <w:t>]</w:t>
      </w:r>
      <w:bookmarkEnd w:id="31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لأنّه نجس</w:t>
      </w:r>
      <w:r>
        <w:rPr>
          <w:rFonts w:eastAsia="IRNazanin" w:cs="IRNazanin"/>
          <w:color w:val="111111"/>
          <w:sz w:val="28"/>
          <w:szCs w:val="28"/>
          <w:rtl w:val="true"/>
          <w:lang w:bidi="fa-IR"/>
        </w:rPr>
        <w:t>)</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bookmarkStart w:id="317" w:name="pg8927_84600"/>
    </w:p>
    <w:p>
      <w:pPr>
        <w:pStyle w:val="BookText"/>
        <w:rPr/>
      </w:pPr>
      <w:bookmarkEnd w:id="317"/>
      <w:r>
        <w:rPr>
          <w:rFonts w:ascii="Amiri" w:hAnsi="Amiri" w:eastAsia="Amiri" w:cs="Amiri"/>
          <w:color w:val="111111"/>
          <w:sz w:val="28"/>
          <w:sz w:val="28"/>
          <w:szCs w:val="28"/>
          <w:rtl w:val="true"/>
          <w:lang w:bidi="ar-SA"/>
        </w:rPr>
        <w:t>الأقوى نجاسته لنجاسة أصليه كالمتولد من كافرين؛ إذ العلة في نجاسته أصلاه، كما دلّ عليه الخبر</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والأولى في ولوغه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التّراب مع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أخذاً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تصرّف في النّصّ</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أنّ ذلك قياس على ما عُلم حكمه بالنّصّ</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ونفي البأس إذا كانت مأمونة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باب المياه وأحكامها وما يجوز التطهر به وما لا يجوز، ح</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الاستبصار في ما اختلف من الأخبار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استعمال فضل وضوء الحائض والجنب وسؤرهما،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علّته، فلا يصح</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1279274_2870459653"/>
      <w:bookmarkStart w:id="319" w:name="_Toc109"/>
      <w:bookmarkEnd w:id="318"/>
      <w:r>
        <w:rPr>
          <w:rtl w:val="true"/>
        </w:rPr>
        <w:t>[</w:t>
      </w:r>
      <w:r>
        <w:rPr>
          <w:rtl w:val="true"/>
        </w:rPr>
        <w:t>امتزاج المضاف النجس بالمطلق الكثير</w:t>
      </w:r>
      <w:r>
        <w:rPr>
          <w:rtl w:val="true"/>
        </w:rPr>
        <w:t>]</w:t>
      </w:r>
      <w:bookmarkEnd w:id="31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مختار المصنّف</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نظراً إلى أنّ الكثير لا ينجس بدون التغيّر بالنّجاسة، ومع بقائه على الطهارة يمنع القول ببقاء النّجاسة في المضاف لانتفاء التميّز؛ وإلّا لزم أن يكون الشيء الواحد طاهراً نجساً معاً، وأنّه باطل، فتعيّن القول بطهارة المضاف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الشيخ يقول بصحة الوضوء</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الشارح ولد المصنّف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ذهب إلى عدم وجوب التيمم، وإلى جواز الوضوء معه؛ لعدم استلزام الاشتباه في الحسّ اتحاد الحقيقة، والوجوب تابع لاتحاد الحقيقة، وصحة الوضوء لصدق الاسم</w:t>
      </w:r>
      <w:r>
        <w:rPr>
          <w:rFonts w:eastAsia="Amiri" w:cs="Amiri" w:ascii="Amiri" w:hAnsi="Amiri"/>
          <w:color w:val="111111"/>
          <w:sz w:val="28"/>
          <w:szCs w:val="28"/>
          <w:rtl w:val="true"/>
          <w:lang w:bidi="ar-SA"/>
        </w:rPr>
        <w:t>)</w:t>
      </w:r>
      <w:r>
        <w:rPr>
          <w:rStyle w:val="FootnoteAnchor"/>
          <w:rtl w:val="true"/>
        </w:rPr>
        <w:footnoteReference w:id="819"/>
      </w:r>
      <w:r>
        <w:rPr>
          <w:rFonts w:ascii="Amiri" w:hAnsi="Amiri" w:eastAsia="Amiri" w:cs="Amiri"/>
          <w:color w:val="111111"/>
          <w:sz w:val="28"/>
          <w:sz w:val="28"/>
          <w:szCs w:val="28"/>
          <w:rtl w:val="true"/>
          <w:lang w:bidi="ar-SA"/>
        </w:rPr>
        <w:t>، وهذا الكلام لا يخلو عن تنافٍ؛ فإنّ صحة الوضوء بالمتمَّم يستلزم وجوبه للأمر به مع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يجوز تقييده إلّا بدليل</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يقال في الاستدلال على ذلك قوله تعالى فَلَمْ تَجِدُوا مَاءً فَتَيَمَّمُوا</w:t>
      </w:r>
      <w:r>
        <w:rPr>
          <w:rStyle w:val="FootnoteAnchor"/>
          <w:rtl w:val="true"/>
        </w:rPr>
        <w:footnoteReference w:id="821"/>
      </w:r>
      <w:r>
        <w:rPr>
          <w:rFonts w:ascii="Amiri" w:hAnsi="Amiri" w:eastAsia="Amiri" w:cs="Amiri"/>
          <w:color w:val="111111"/>
          <w:sz w:val="28"/>
          <w:sz w:val="28"/>
          <w:szCs w:val="28"/>
          <w:rtl w:val="true"/>
          <w:lang w:bidi="ar-SA"/>
        </w:rPr>
        <w:t xml:space="preserve">دلّ على وجوب التيمم عند عدم وجدان الماء، فوجب كون الطهارة بالماء مشروطة بالوجدان؛ </w:t>
      </w:r>
      <w:bookmarkStart w:id="320" w:name="pg8927_84602"/>
    </w:p>
    <w:p>
      <w:pPr>
        <w:pStyle w:val="BookText"/>
        <w:rPr/>
      </w:pPr>
      <w:bookmarkEnd w:id="320"/>
      <w:r>
        <w:rPr>
          <w:rFonts w:ascii="Amiri" w:hAnsi="Amiri" w:eastAsia="Amiri" w:cs="Amiri"/>
          <w:color w:val="111111"/>
          <w:sz w:val="28"/>
          <w:sz w:val="28"/>
          <w:szCs w:val="28"/>
          <w:rtl w:val="true"/>
          <w:lang w:bidi="ar-SA"/>
        </w:rPr>
        <w:t>حذراً من وجوبهما معاً عند القدرة على التحصيل وعدم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كون التيمم مشروطاً بعدم القدرة، كما اشترط فيه عدم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Style w:val="FootnoteAnchor"/>
          <w:rtl w:val="true"/>
        </w:rPr>
        <w:footnoteReference w:id="822"/>
      </w:r>
      <w:r>
        <w:rPr>
          <w:rFonts w:ascii="IRNazanin" w:hAnsi="IRNazanin" w:eastAsia="IRNazanin"/>
          <w:color w:val="111111"/>
          <w:sz w:val="28"/>
          <w:sz w:val="28"/>
          <w:szCs w:val="28"/>
          <w:rtl w:val="true"/>
          <w:lang w:bidi="fa-IR"/>
        </w:rPr>
        <w:t>على خلاف 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 آية الطهارة كذلك</w:t>
      </w:r>
      <w:r>
        <w:rPr>
          <w:rStyle w:val="FootnoteAnchor"/>
          <w:rtl w:val="true"/>
        </w:rPr>
        <w:footnoteReference w:id="823"/>
      </w:r>
      <w:r>
        <w:rPr>
          <w:rFonts w:ascii="Amiri" w:hAnsi="Amiri" w:eastAsia="Amiri" w:cs="Amiri"/>
          <w:color w:val="111111"/>
          <w:sz w:val="28"/>
          <w:sz w:val="28"/>
          <w:szCs w:val="28"/>
          <w:rtl w:val="true"/>
          <w:lang w:bidi="ar-SA"/>
        </w:rPr>
        <w:t>، مع أنّ الرّاجح العمل بإطلاقها، فإنّ آية الطهارة</w:t>
      </w:r>
    </w:p>
    <w:p>
      <w:pPr>
        <w:pStyle w:val="BookText"/>
        <w:rPr/>
      </w:pPr>
      <w:r>
        <w:rPr>
          <w:rFonts w:ascii="Amiri" w:hAnsi="Amiri" w:eastAsia="Amiri" w:cs="Amiri"/>
          <w:color w:val="111111"/>
          <w:sz w:val="28"/>
          <w:sz w:val="28"/>
          <w:szCs w:val="28"/>
          <w:rtl w:val="true"/>
          <w:lang w:bidi="ar-SA"/>
        </w:rPr>
        <w:t>أصرح دلالة؛ لجواز إرادة المتمكّن من الواجد في آية التّيمم، وأحوط وألصق بالمطلوب من ارتفاع المانع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والأصح ما اختاره المصنّف</w:t>
      </w:r>
      <w:r>
        <w:rPr>
          <w:rFonts w:eastAsia="IRNazanin" w:cs="IRNazanin"/>
          <w:color w:val="111111"/>
          <w:sz w:val="28"/>
          <w:szCs w:val="28"/>
          <w:rtl w:val="true"/>
          <w:lang w:bidi="fa-IR"/>
        </w:rPr>
        <w:t>.</w:t>
      </w:r>
    </w:p>
    <w:p>
      <w:pPr>
        <w:pStyle w:val="Heading3"/>
        <w:numPr>
          <w:ilvl w:val="2"/>
          <w:numId w:val="1"/>
        </w:numPr>
        <w:rPr/>
      </w:pPr>
      <w:bookmarkStart w:id="321" w:name="__RefHeading___Toc1279276_2870459653"/>
      <w:bookmarkStart w:id="322" w:name="_Toc110"/>
      <w:bookmarkEnd w:id="321"/>
      <w:r>
        <w:rPr>
          <w:rtl w:val="true"/>
        </w:rPr>
        <w:t>[</w:t>
      </w:r>
      <w:r>
        <w:rPr>
          <w:rtl w:val="true"/>
        </w:rPr>
        <w:t>الماء المستعمل</w:t>
      </w:r>
      <w:r>
        <w:rPr>
          <w:rtl w:val="true"/>
        </w:rPr>
        <w:t>]</w:t>
      </w:r>
      <w:bookmarkEnd w:id="322"/>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المستعمل</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يعتبر مستعملاً بانفصاله عن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الأمرين</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ما ذهب إليه أحمد والأوزاعي ومحمد من أنّه طاهر غير مطهر، وهو أحد </w:t>
      </w:r>
    </w:p>
    <w:p>
      <w:pPr>
        <w:pStyle w:val="BookText"/>
        <w:rPr/>
      </w:pPr>
      <w:r>
        <w:rPr>
          <w:rFonts w:ascii="Amiri" w:hAnsi="Amiri" w:eastAsia="Amiri" w:cs="Amiri"/>
          <w:color w:val="111111"/>
          <w:sz w:val="28"/>
          <w:sz w:val="28"/>
          <w:szCs w:val="28"/>
          <w:rtl w:val="true"/>
          <w:lang w:bidi="ar-SA"/>
        </w:rPr>
        <w:t xml:space="preserve">قولي الشّافعي وإحدى الرّوايتين عن مالك، والمشهور عن أبي حنيفة،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يوسف إنّه نجس، وهو رواية عن أبي حنيفة</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ولعل</w:t>
      </w:r>
      <w:r>
        <w:rPr>
          <w:rStyle w:val="FootnoteAnchor"/>
          <w:rtl w:val="true"/>
        </w:rPr>
        <w:footnoteReference w:id="830"/>
      </w:r>
      <w:r>
        <w:rPr>
          <w:rFonts w:ascii="IRNazanin" w:hAnsi="IRNazanin" w:eastAsia="IRNazanin"/>
          <w:color w:val="111111"/>
          <w:sz w:val="28"/>
          <w:sz w:val="28"/>
          <w:szCs w:val="28"/>
          <w:rtl w:val="true"/>
          <w:lang w:bidi="fa-IR"/>
        </w:rPr>
        <w:t>الصواب</w:t>
      </w:r>
      <w:r>
        <w:rPr>
          <w:rFonts w:eastAsia="IRNazanin" w:cs="IRNazanin"/>
          <w:color w:val="111111"/>
          <w:sz w:val="28"/>
          <w:szCs w:val="28"/>
          <w:rtl w:val="true"/>
          <w:lang w:bidi="fa-IR"/>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لعلّ إطلاق المصنّف هو الصواب؛ إذ الظاهر من الخلاف المنقول في الذكرى أن يكون لعلمائنا</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يتصوّر فيه</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لا يؤثر فيه الاستعمال، فإنّ الخبئية متى لم تؤثر فيه فالحدثية بطريق الأولى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لم يطهر المحل</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bookmarkStart w:id="323" w:name="pg8927_84604"/>
    </w:p>
    <w:p>
      <w:pPr>
        <w:pStyle w:val="BookText"/>
        <w:rPr/>
      </w:pPr>
      <w:bookmarkEnd w:id="323"/>
      <w:r>
        <w:rPr>
          <w:rFonts w:ascii="Amiri" w:hAnsi="Amiri" w:eastAsia="Amiri" w:cs="Amiri"/>
          <w:color w:val="111111"/>
          <w:sz w:val="28"/>
          <w:sz w:val="28"/>
          <w:szCs w:val="28"/>
          <w:rtl w:val="true"/>
          <w:lang w:bidi="ar-SA"/>
        </w:rPr>
        <w:t>قد يُمنَع استلزامُ النّجاسة عدمَ طهارة المحلّ كأدوات الاستنجاء، فإنّها تنجس وتُطهِّر المحلَّ، فإنْ نَظَر إلى بقاء رطوبة من الماء المتنجس قلنا إخراج البعض بالعصر وما شابهه جاز كونه مُطهّراً رفعاً للحرج، كما في الباقي على المحل مما يَعسُرُ إخراجه بالاستجمار بالأحجار، مع أنّ ذلك من بقايا العين، أو لأنّ التقليل سبب في الطهارة كالنقص في العصير والنّزح في البئر على القول بالنّجاسة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 وجهه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لاقتضائه انفكاك الأثر عن المؤثر عند تخلّفه عنه ووجوده بدونه، وهو ظاهر البطلان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 الثانى</w:t>
      </w:r>
      <w:r>
        <w:rPr>
          <w:rFonts w:eastAsia="IRNazanin" w:cs="IRNazanin"/>
          <w:color w:val="111111"/>
          <w:sz w:val="28"/>
          <w:szCs w:val="28"/>
          <w:rtl w:val="true"/>
          <w:lang w:bidi="fa-IR"/>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المعقول من النجس ما وجب اجتنابه في الجملة كان اللّازم من جواز مباشرته من كل الوجوه الطهارة</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279278_2870459653"/>
      <w:bookmarkStart w:id="325" w:name="_Toc111"/>
      <w:bookmarkEnd w:id="324"/>
      <w:r>
        <w:rPr>
          <w:rtl w:val="true"/>
        </w:rPr>
        <w:t>[</w:t>
      </w:r>
      <w:r>
        <w:rPr>
          <w:rtl w:val="true"/>
        </w:rPr>
        <w:t>مكروهات الطهارة</w:t>
      </w:r>
      <w:r>
        <w:rPr>
          <w:rtl w:val="true"/>
        </w:rPr>
        <w:t>]</w:t>
      </w:r>
      <w:bookmarkEnd w:id="32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الطهارة</w:t>
      </w:r>
      <w:r>
        <w:rPr>
          <w:rFonts w:eastAsia="Amiri" w:cs="Amiri" w:ascii="Amiri" w:hAnsi="Amiri"/>
          <w:color w:val="111111"/>
          <w:sz w:val="28"/>
          <w:szCs w:val="28"/>
          <w:rtl w:val="true"/>
          <w:lang w:bidi="ar-SA"/>
        </w:rPr>
        <w:t>)</w:t>
      </w:r>
      <w:r>
        <w:rPr>
          <w:rStyle w:val="FootnoteAnchor"/>
          <w:rtl w:val="true"/>
        </w:rPr>
        <w:footnoteReference w:id="837"/>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وقد وضعت قمقمتها</w:t>
      </w:r>
      <w:r>
        <w:rPr>
          <w:rStyle w:val="FootnoteAnchor"/>
          <w:rtl w:val="true"/>
        </w:rPr>
        <w:footnoteReference w:id="838"/>
      </w:r>
      <w:r>
        <w:rPr>
          <w:rFonts w:ascii="Amiri" w:hAnsi="Amiri" w:eastAsia="Amiri" w:cs="Amiri"/>
          <w:color w:val="111111"/>
          <w:sz w:val="28"/>
          <w:sz w:val="28"/>
          <w:szCs w:val="28"/>
          <w:rtl w:val="true"/>
          <w:lang w:bidi="ar-SA"/>
        </w:rPr>
        <w:t>في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يا حميراء؟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أغسل رأسي وجسدي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يورث البرص</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المنطبعة</w:t>
      </w:r>
      <w:r>
        <w:rPr>
          <w:rFonts w:eastAsia="Amiri" w:cs="Amiri" w:ascii="Amiri" w:hAnsi="Amiri"/>
          <w:color w:val="111111"/>
          <w:sz w:val="28"/>
          <w:szCs w:val="28"/>
          <w:rtl w:val="true"/>
          <w:lang w:bidi="ar-SA"/>
        </w:rPr>
        <w:t>)</w:t>
      </w:r>
      <w:r>
        <w:rPr>
          <w:rStyle w:val="FootnoteAnchor"/>
          <w:rtl w:val="true"/>
        </w:rPr>
        <w:footnoteReference w:id="840"/>
      </w:r>
    </w:p>
    <w:p>
      <w:pPr>
        <w:pStyle w:val="BookText"/>
        <w:rPr/>
      </w:pP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كالحديد والرصاص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 الكراهية</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 بعض الشّافعيّة الكراهية بالبلاد الحارّة كالحجاز، وبعضهم بالأواني المنطبعة، وقال أبو حنيفة وأحمد ومالك بعدم الكراهية بالمشمس مطلقاً</w:t>
      </w:r>
      <w:r>
        <w:rPr>
          <w:rStyle w:val="FootnoteAnchor"/>
          <w:rtl w:val="true"/>
        </w:rPr>
        <w:footnoteReference w:id="842"/>
      </w:r>
      <w:r>
        <w:rPr>
          <w:rFonts w:ascii="Amiri" w:hAnsi="Amiri" w:eastAsia="Amiri" w:cs="Amiri"/>
          <w:color w:val="111111"/>
          <w:sz w:val="28"/>
          <w:sz w:val="28"/>
          <w:szCs w:val="28"/>
          <w:rtl w:val="true"/>
          <w:lang w:bidi="ar-SA"/>
        </w:rPr>
        <w:t>لضعف سند الحديث المروي من طرقهم عن عائشة</w:t>
      </w:r>
      <w:r>
        <w:rPr>
          <w:rStyle w:val="FootnoteAnchor"/>
          <w:rtl w:val="true"/>
        </w:rPr>
        <w:footnoteReference w:id="843"/>
      </w:r>
      <w:r>
        <w:rPr>
          <w:rFonts w:ascii="Amiri" w:hAnsi="Amiri" w:eastAsia="Amiri" w:cs="Amiri"/>
          <w:color w:val="111111"/>
          <w:sz w:val="28"/>
          <w:sz w:val="28"/>
          <w:szCs w:val="28"/>
          <w:rtl w:val="true"/>
          <w:lang w:bidi="ar-SA"/>
        </w:rPr>
        <w:t xml:space="preserve">، ولا عبرة بطعنهم مع صحة السند من طريق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ولعلّ الأوّل</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إلى ظاهر التعليل بخوف البرص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وتغسيل الميت</w:t>
      </w:r>
      <w:r>
        <w:rPr>
          <w:rFonts w:eastAsia="Amiri" w:cs="Amiri" w:ascii="Amiri" w:hAnsi="Amiri"/>
          <w:color w:val="111111"/>
          <w:sz w:val="28"/>
          <w:szCs w:val="28"/>
          <w:rtl w:val="true"/>
          <w:lang w:bidi="ar-SA"/>
        </w:rPr>
        <w:t>)</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الحاجة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تخصيصه الحكم بتغسيل الميت يعطي عدم كراهة الطّهارة به، وهو كذلك؛ لما روي من تقرير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وقد فُعِلَ بحضرته</w:t>
      </w:r>
      <w:r>
        <w:rPr>
          <w:rStyle w:val="FootnoteAnchor"/>
          <w:rtl w:val="true"/>
        </w:rPr>
        <w:footnoteReference w:id="848"/>
      </w:r>
      <w:r>
        <w:rPr>
          <w:rFonts w:ascii="Amiri" w:hAnsi="Amiri" w:eastAsia="Amiri" w:cs="Amiri"/>
          <w:color w:val="111111"/>
          <w:sz w:val="28"/>
          <w:sz w:val="28"/>
          <w:szCs w:val="28"/>
          <w:rtl w:val="true"/>
          <w:lang w:bidi="ar-SA"/>
        </w:rPr>
        <w:t xml:space="preserve">، ولاغتسال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وهو مريض</w:t>
      </w:r>
      <w:r>
        <w:rPr>
          <w:rStyle w:val="FootnoteAnchor"/>
          <w:rtl w:val="true"/>
        </w:rPr>
        <w:footnoteReference w:id="849"/>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ورد النّهي</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أبي الحسن</w:t>
      </w:r>
      <w:r>
        <w:rPr>
          <w:rStyle w:val="FootnoteAnchor"/>
          <w:rtl w:val="true"/>
        </w:rPr>
        <w:footnoteReference w:id="851"/>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يغتسل من البئر الذي </w:t>
      </w:r>
    </w:p>
    <w:p>
      <w:pPr>
        <w:pStyle w:val="BookText"/>
        <w:rPr/>
      </w:pPr>
      <w:r>
        <w:rPr>
          <w:rFonts w:ascii="Amiri" w:hAnsi="Amiri" w:eastAsia="Amiri" w:cs="Amiri"/>
          <w:color w:val="111111"/>
          <w:sz w:val="28"/>
          <w:sz w:val="28"/>
          <w:szCs w:val="28"/>
          <w:rtl w:val="true"/>
          <w:lang w:bidi="ar-SA"/>
        </w:rPr>
        <w:t>يجتمع فيها ماء الحمّام، فإنّه يسيل فيها ما يغتسل به الجنب وولد الزنا والناصب لنا أهل البيت</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 وهي معارضة بما رُوي عنه معارضة بما رُوي عنه أيضاً في مجتمع الماء في الحمام من غسالة النّاس تُصيبُ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مع اعتضادها بالأصل وإن شاركت الأولى في ضعف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ما اختاره هنا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الاجتناب أحوط</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والمتخلف</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والمتخلّف في الثّوب بعد عصره مع طهارته وطهارة محله لو انفصل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إذ ربّما يفهم مما ذكره أنّ العصر على مختاره له مدخل في طهارته، مع أنّه لم ينجس عنده؛ لكونه وارداً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 الطّهارة</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 xml:space="preserve">. </w:t>
      </w:r>
      <w:bookmarkStart w:id="326" w:name="pg8927_84608"/>
    </w:p>
    <w:p>
      <w:pPr>
        <w:pStyle w:val="BookText"/>
        <w:rPr/>
      </w:pPr>
      <w:bookmarkEnd w:id="326"/>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نجساً</w:t>
      </w:r>
      <w:r>
        <w:rPr>
          <w:rFonts w:eastAsia="Amiri" w:cs="Amiri" w:ascii="Amiri" w:hAnsi="Amiri"/>
          <w:color w:val="111111"/>
          <w:sz w:val="28"/>
          <w:szCs w:val="28"/>
          <w:rtl w:val="true"/>
          <w:lang w:bidi="ar-SA"/>
        </w:rPr>
        <w:t>)</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لنجاسته في المنفصل بعد العصر، فينبغي أن يُلزم بعدم جواز الصلاة فيه قبل الجفاف؛ إذ مع مماسته لما على المصلّي من التّياب ولمكانه تتعدى الرطوبة، وهي بانفصالها تنجس، فإن فرّق كان الفرق تحكّماً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بنجاسته أيضاً</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دامت رطوبة الغسل موجودة</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279280_2870459653"/>
      <w:bookmarkStart w:id="328" w:name="_Toc112"/>
      <w:bookmarkEnd w:id="327"/>
      <w:r>
        <w:rPr>
          <w:rtl w:val="true"/>
        </w:rPr>
        <w:t>[</w:t>
      </w:r>
      <w:r>
        <w:rPr>
          <w:rtl w:val="true"/>
        </w:rPr>
        <w:t>تطهير المياه النجسة</w:t>
      </w:r>
      <w:r>
        <w:rPr>
          <w:rtl w:val="true"/>
        </w:rPr>
        <w:t>]</w:t>
      </w:r>
      <w:bookmarkEnd w:id="328"/>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بهذا المعنى</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تتحقق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بالنّبع من تحته</w:t>
      </w:r>
      <w:r>
        <w:rPr>
          <w:rFonts w:eastAsia="IRNazanin" w:cs="IRNazanin"/>
          <w:color w:val="111111"/>
          <w:sz w:val="28"/>
          <w:szCs w:val="28"/>
          <w:rtl w:val="true"/>
          <w:lang w:bidi="fa-IR"/>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بناءً منه على اعتبار الكرّيّة في الجاري، فلا يكفي مطلق النبع في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بمطاعن ضعيفة</w:t>
      </w:r>
      <w:r>
        <w:rPr>
          <w:rFonts w:eastAsia="Amiri" w:cs="Amiri" w:ascii="Amiri" w:hAnsi="Amiri"/>
          <w:color w:val="111111"/>
          <w:sz w:val="28"/>
          <w:szCs w:val="28"/>
          <w:rtl w:val="true"/>
          <w:lang w:bidi="ar-SA"/>
        </w:rPr>
        <w:t>)</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الرّواية لم يروها مسندة أحد من الأصحاب، بل رواها الشيخ مرسلة، ومثل هذه لا تعويل عليها</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قاله حقّ؛ فإنّ الشّيخ مع روايته لها لم يُفتِ بها</w:t>
      </w:r>
      <w:r>
        <w:rPr>
          <w:rStyle w:val="FootnoteAnchor"/>
          <w:rtl w:val="true"/>
        </w:rPr>
        <w:footnoteReference w:id="866"/>
      </w:r>
      <w:r>
        <w:rPr>
          <w:rFonts w:ascii="Amiri" w:hAnsi="Amiri" w:eastAsia="Amiri" w:cs="Amiri"/>
          <w:color w:val="111111"/>
          <w:sz w:val="28"/>
          <w:sz w:val="28"/>
          <w:szCs w:val="28"/>
          <w:rtl w:val="true"/>
          <w:lang w:bidi="ar-SA"/>
        </w:rPr>
        <w:t>، والأصح ما اختاره المصنف؛ عملاً باستصحاب ما كان، وتنزيلاً لما ورد من الأخبار</w:t>
      </w:r>
      <w:r>
        <w:rPr>
          <w:rStyle w:val="FootnoteAnchor"/>
          <w:rtl w:val="true"/>
        </w:rPr>
        <w:footnoteReference w:id="867"/>
      </w:r>
      <w:r>
        <w:rPr>
          <w:rFonts w:ascii="Amiri" w:hAnsi="Amiri" w:eastAsia="Amiri" w:cs="Amiri"/>
          <w:color w:val="111111"/>
          <w:sz w:val="28"/>
          <w:sz w:val="28"/>
          <w:szCs w:val="28"/>
          <w:rtl w:val="true"/>
          <w:lang w:bidi="ar-SA"/>
        </w:rPr>
        <w:t>في عدم نجاسة الكثير على المجتمع من الطاهر</w:t>
      </w:r>
      <w:r>
        <w:rPr>
          <w:rStyle w:val="FootnoteAnchor"/>
          <w:rtl w:val="true"/>
        </w:rPr>
        <w:footnoteReference w:id="868"/>
      </w:r>
      <w:r>
        <w:rPr>
          <w:rFonts w:ascii="Amiri" w:hAnsi="Amiri" w:eastAsia="Amiri" w:cs="Amiri"/>
          <w:color w:val="111111"/>
          <w:sz w:val="28"/>
          <w:sz w:val="28"/>
          <w:szCs w:val="28"/>
          <w:rtl w:val="true"/>
          <w:lang w:bidi="ar-SA"/>
        </w:rPr>
        <w:t xml:space="preserve">لما عُهد في الشرع من اشتداد حال الوصف باجتماع الأمثال لا التخفيف، </w:t>
      </w:r>
    </w:p>
    <w:p>
      <w:pPr>
        <w:pStyle w:val="BookText"/>
        <w:rPr/>
      </w:pPr>
      <w:r>
        <w:rPr>
          <w:rFonts w:ascii="IRNazanin" w:hAnsi="IRNazanin" w:eastAsia="IRNazanin"/>
          <w:color w:val="111111"/>
          <w:sz w:val="28"/>
          <w:sz w:val="28"/>
          <w:szCs w:val="28"/>
          <w:rtl w:val="true"/>
          <w:lang w:bidi="fa-IR"/>
        </w:rPr>
        <w:t>ففی النّجس يقوى المنع؛ إذ القليل من الدّم يُعفى عنه في الصلاة دون كثيره، ومنزوحه في البئر أقل، كما أنّ منزوح القليل من الخمر كذلك، وكثرة</w:t>
      </w:r>
      <w:r>
        <w:rPr>
          <w:rStyle w:val="FootnoteAnchor"/>
          <w:rtl w:val="true"/>
        </w:rPr>
        <w:footnoteReference w:id="869"/>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تغيّر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تزيل طهارته، وفي الطاهر تقوى الطهارة فتؤثر في الغير كتطهير الماء بالكثير دون القليل ،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 الكرّ الأوّل</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نفسه</w:t>
      </w:r>
      <w:r>
        <w:rPr>
          <w:rFonts w:eastAsia="IRNazanin" w:cs="IRNazanin"/>
          <w:color w:val="111111"/>
          <w:sz w:val="28"/>
          <w:szCs w:val="28"/>
          <w:rtl w:val="true"/>
          <w:lang w:bidi="fa-IR"/>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القول بخبر البلوغ يلزم القول بالطّهارة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ليس له فائدة ظاهرة؛ لأنّ الغرض إنْ كان وصول الماء الكثير بصفة الكثرة إلى أجزاء النّجس ليطهرها فذلك مما لا طريق إلى العلم به، فينبغي أن لا يحكم </w:t>
      </w:r>
    </w:p>
    <w:p>
      <w:pPr>
        <w:pStyle w:val="BookText"/>
        <w:rPr/>
      </w:pPr>
      <w:r>
        <w:rPr>
          <w:rFonts w:ascii="Amiri" w:hAnsi="Amiri" w:eastAsia="Amiri" w:cs="Amiri"/>
          <w:color w:val="111111"/>
          <w:sz w:val="28"/>
          <w:sz w:val="28"/>
          <w:szCs w:val="28"/>
          <w:rtl w:val="true"/>
          <w:lang w:bidi="ar-SA"/>
        </w:rPr>
        <w:t>بالطهارة معه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الغرض منه صدق الوحدة عرفاً فذلك حاصل مع التماس وانتفائه</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متغيّر</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اعلم أنّ كلّ متنجس لا بُدَّ وأنْ ينتهي إلى نجاسة إلى نجاسة هي سبب عروض ذلك الوصف فيه، وتأثيره في الملاقي له إنّما هو بسببها، وهي كافية في الانفعال عنها، فعند إطلاق المنجس ينصرف إليها، فيخلو المتغيّر بالمتنجّس عن دليل يدلّ على انفعال الكثير وينجسه به، فيستمسك بأصالة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عن الطَّاهريّة عند المصنّف</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المصنّف في التذكرة إلى انحصار طهارة المضاف النجس بصيرورته مطلقاً</w:t>
      </w:r>
      <w:r>
        <w:rPr>
          <w:rStyle w:val="FootnoteAnchor"/>
          <w:rtl w:val="true"/>
        </w:rPr>
        <w:footnoteReference w:id="877"/>
      </w:r>
      <w:r>
        <w:rPr>
          <w:rFonts w:ascii="Amiri" w:hAnsi="Amiri" w:eastAsia="Amiri" w:cs="Amiri"/>
          <w:color w:val="111111"/>
          <w:sz w:val="28"/>
          <w:sz w:val="28"/>
          <w:szCs w:val="28"/>
          <w:rtl w:val="true"/>
          <w:lang w:bidi="ar-SA"/>
        </w:rPr>
        <w:t>، واكتفى في هذا الكتاب</w:t>
      </w:r>
      <w:r>
        <w:rPr>
          <w:rStyle w:val="FootnoteAnchor"/>
          <w:rtl w:val="true"/>
        </w:rPr>
        <w:footnoteReference w:id="878"/>
      </w:r>
      <w:r>
        <w:rPr>
          <w:rFonts w:ascii="IRNazanin" w:hAnsi="IRNazanin" w:eastAsia="IRNazanin"/>
          <w:color w:val="111111"/>
          <w:sz w:val="28"/>
          <w:sz w:val="28"/>
          <w:szCs w:val="28"/>
          <w:rtl w:val="true"/>
          <w:lang w:bidi="fa-IR"/>
        </w:rPr>
        <w:t>والمنتهى</w:t>
      </w:r>
      <w:r>
        <w:rPr>
          <w:rStyle w:val="FootnoteAnchor"/>
          <w:rtl w:val="true"/>
        </w:rPr>
        <w:footnoteReference w:id="879"/>
      </w:r>
      <w:r>
        <w:rPr>
          <w:rFonts w:ascii="Amiri" w:hAnsi="Amiri" w:eastAsia="Amiri" w:cs="Amiri"/>
          <w:color w:val="111111"/>
          <w:sz w:val="28"/>
          <w:sz w:val="28"/>
          <w:szCs w:val="28"/>
          <w:rtl w:val="true"/>
          <w:lang w:bidi="ar-SA"/>
        </w:rPr>
        <w:t>باتصاله بالكثير ، قال شيخنا الشهيد في الذكرى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القول هو الأشبه؛ إذ لا سبيل إلى نجاسة الكرّ بدون تغيّر بالنّجاسة</w:t>
      </w:r>
      <w:r>
        <w:rPr>
          <w:rFonts w:eastAsia="Amiri" w:cs="Amiri" w:ascii="Amiri" w:hAnsi="Amiri"/>
          <w:color w:val="111111"/>
          <w:sz w:val="28"/>
          <w:szCs w:val="28"/>
          <w:rtl w:val="true"/>
          <w:lang w:bidi="ar-SA"/>
        </w:rPr>
        <w:t>)</w:t>
      </w:r>
      <w:r>
        <w:rPr>
          <w:rStyle w:val="FootnoteAnchor"/>
          <w:rtl w:val="true"/>
        </w:rPr>
        <w:footnoteReference w:id="880"/>
      </w:r>
      <w:r>
        <w:rPr>
          <w:rFonts w:ascii="Amiri" w:hAnsi="Amiri" w:eastAsia="Amiri" w:cs="Amiri"/>
          <w:color w:val="111111"/>
          <w:sz w:val="28"/>
          <w:sz w:val="28"/>
          <w:szCs w:val="28"/>
          <w:rtl w:val="true"/>
          <w:lang w:bidi="ar-SA"/>
        </w:rPr>
        <w:t>، وظاهر كلامه يعطي أنّ ظاهر الخبر دَلّ على بقاء الطهارة وإن سلبه الإطلاق، وهو يستلزم طهارة المضاف؛ إذ مع خروج المطلق عن الاسم ينجس لو بقي المضاف على النّجاسة، فعلى هذا حدوث الطَّهارة فيه على نحو حدوث النّجاسة، فكما أنه ينجس بملاقاة النّجاسة بجزء منه، كذا يطهر باتصال أجزاء منه بالكثير، فجميعه ساوى بعضه طهارةً ونجاسة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ضعف القول بانحصار الطهارة فيه بصيرورته مطلقاً لزوم تضييع المال الذي يحكم العقل بقبحه، فوجب في الحكمة نصب طريق به يتخلّص منه، ولا طريق سواه إجماعاً، فوجب القول بإفادته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8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فيخرج عن الطهارة</w:t>
      </w:r>
      <w:r>
        <w:rPr>
          <w:rFonts w:eastAsia="Amiri" w:cs="Amiri" w:ascii="Amiri" w:hAnsi="Amiri"/>
          <w:color w:val="111111"/>
          <w:sz w:val="28"/>
          <w:szCs w:val="28"/>
          <w:rtl w:val="true"/>
          <w:lang w:bidi="ar-SA"/>
        </w:rPr>
        <w:t>)</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فيخرج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8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وماء البئر بالتزح</w:t>
      </w:r>
      <w:r>
        <w:rPr>
          <w:rFonts w:eastAsia="IRNazanin" w:cs="IRNazanin"/>
          <w:color w:val="111111"/>
          <w:sz w:val="28"/>
          <w:szCs w:val="28"/>
          <w:rtl w:val="true"/>
          <w:lang w:bidi="fa-IR"/>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في صدد بيان التطهير أتى بما يصلح فعلاً للفاعل، وإنّما خص النزح بالذكر مع أنّ إزالة التغيّر قد تكون بطرح أجسام طاهرة فيه تكتنف النّجاسة؛ لأنه الغالب</w:t>
      </w:r>
      <w:r>
        <w:rPr>
          <w:rFonts w:eastAsia="Amiri" w:cs="Amiri" w:ascii="Amiri" w:hAnsi="Amiri"/>
          <w:color w:val="111111"/>
          <w:sz w:val="28"/>
          <w:szCs w:val="28"/>
          <w:rtl w:val="true"/>
          <w:lang w:bidi="ar-SA"/>
        </w:rPr>
        <w:t xml:space="preserve">. </w:t>
      </w:r>
      <w:bookmarkStart w:id="329" w:name="pg8927_84613"/>
    </w:p>
    <w:p>
      <w:pPr>
        <w:pStyle w:val="BookText"/>
        <w:rPr/>
      </w:pPr>
      <w:bookmarkEnd w:id="329"/>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بطريق أولى</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يستند في البئر إلى الخبر الصحيح الدال على عدم تنجسه بالملاقاة من دون تفصيل</w:t>
      </w:r>
      <w:r>
        <w:rPr>
          <w:rStyle w:val="FootnoteAnchor"/>
          <w:rtl w:val="true"/>
        </w:rPr>
        <w:footnoteReference w:id="887"/>
      </w:r>
      <w:r>
        <w:rPr>
          <w:rFonts w:ascii="Amiri" w:hAnsi="Amiri" w:eastAsia="Amiri" w:cs="Amiri"/>
          <w:color w:val="111111"/>
          <w:sz w:val="28"/>
          <w:sz w:val="28"/>
          <w:szCs w:val="28"/>
          <w:rtl w:val="true"/>
          <w:lang w:bidi="ar-SA"/>
        </w:rPr>
        <w:t>، بخلاف الجاري؛ لعدم ورود نص يتمسّك به فيه، وتعليل عدم نجاسة البئر بالمادّة قد لا يكتفى به في عدم اعتبار الكرّيّة في الجاري؛ للخلاف في منصوص العلة،فلعله لا يقول به</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1279282_2870459653"/>
      <w:bookmarkStart w:id="331" w:name="_Toc113"/>
      <w:bookmarkEnd w:id="330"/>
      <w:r>
        <w:rPr>
          <w:rtl w:val="true"/>
        </w:rPr>
        <w:t>[</w:t>
      </w:r>
      <w:r>
        <w:rPr>
          <w:rtl w:val="true"/>
        </w:rPr>
        <w:t>منزوحات البئر</w:t>
      </w:r>
      <w:r>
        <w:rPr>
          <w:rtl w:val="true"/>
        </w:rPr>
        <w:t>]</w:t>
      </w:r>
      <w:bookmarkEnd w:id="33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مسكّر خمر</w:t>
      </w:r>
      <w:r>
        <w:rPr>
          <w:rFonts w:eastAsia="Amiri" w:cs="Amiri" w:ascii="Amiri" w:hAnsi="Amiri"/>
          <w:color w:val="111111"/>
          <w:sz w:val="28"/>
          <w:szCs w:val="28"/>
          <w:rtl w:val="true"/>
          <w:lang w:bidi="ar-SA"/>
        </w:rPr>
        <w:t>)</w:t>
      </w:r>
      <w:r>
        <w:rPr>
          <w:rStyle w:val="FootnoteAnchor"/>
          <w:rtl w:val="true"/>
        </w:rPr>
        <w:footnoteReference w:id="889"/>
      </w:r>
      <w:r>
        <w:rPr>
          <w:rFonts w:ascii="Amiri" w:hAnsi="Amiri" w:eastAsia="Amiri" w:cs="Amiri"/>
          <w:color w:val="111111"/>
          <w:sz w:val="28"/>
          <w:sz w:val="28"/>
          <w:szCs w:val="28"/>
          <w:rtl w:val="true"/>
          <w:lang w:bidi="ar-SA"/>
        </w:rPr>
        <w:t xml:space="preserve">وعن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كان عاقبته الخمر فهو خمر</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القائلون بنجاسة البئر بالملاقاة اختلفوا في منزوح الخمر، والمشهور بينهم عدم الفرق بين قليله وكثيره</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ومَن ظاهره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المبسوط وأبو المجد الحلبي والمحقق والفاضل الآبي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إشارة السبق إلى معرفة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المعتبر في شرح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 xml:space="preserve">، كشف الرّموز في شرح المختصر النافع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وفرّق ابن بابويه فأوجب في القطرة عشرين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نصّ فيه على ما ذكره الشيخ أبو علي</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العمل على المشهور إن قلنا بالنجاسة، ولأن القطع بالطهارة على ذلك التقدير</w:t>
      </w:r>
      <w:r>
        <w:rPr>
          <w:rStyle w:val="FootnoteAnchor"/>
          <w:rtl w:val="true"/>
        </w:rPr>
        <w:footnoteReference w:id="894"/>
      </w:r>
      <w:r>
        <w:rPr>
          <w:rFonts w:ascii="Amiri" w:hAnsi="Amiri" w:eastAsia="Amiri" w:cs="Amiri"/>
          <w:color w:val="111111"/>
          <w:sz w:val="28"/>
          <w:sz w:val="28"/>
          <w:szCs w:val="28"/>
          <w:rtl w:val="true"/>
          <w:lang w:bidi="ar-SA"/>
        </w:rPr>
        <w:t>يتوقف على نزح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8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الاستحاضة</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في المعتبر</w:t>
      </w:r>
      <w:r>
        <w:rPr>
          <w:rStyle w:val="FootnoteAnchor"/>
          <w:rtl w:val="true"/>
        </w:rPr>
        <w:footnoteReference w:id="897"/>
      </w:r>
      <w:r>
        <w:rPr>
          <w:rFonts w:ascii="Amiri" w:hAnsi="Amiri" w:eastAsia="Amiri" w:cs="Amiri"/>
          <w:color w:val="111111"/>
          <w:sz w:val="28"/>
          <w:sz w:val="28"/>
          <w:szCs w:val="28"/>
          <w:rtl w:val="true"/>
          <w:lang w:bidi="ar-SA"/>
        </w:rPr>
        <w:t>عن جماعة مساواتها باقي الدّماء، ورجّحه</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Style w:val="FootnoteAnchor"/>
          <w:rtl w:val="true"/>
        </w:rPr>
        <w:footnoteReference w:id="899"/>
      </w: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لأنّه المفهوم منه مع تحديده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الحمار</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أراد به الأهلي، والمستند رواية عمرو بن سعيد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حتى بلغت الحمار والجمل والبغل،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 من ماء</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يقدح ضعف سندها؛ لاشتهار العمل بها في الحمار، حتى نُقل عن ابن سعيد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 راداً لهما في هذا الحكم</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وطُعِنَ فيها بالتّسوية بين الجمل والحمار</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وأجاب المصنف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التّسوية للمعارض لا يقتضي نفي الحكم عما فقد فيه المعارض</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الزائد في الجمل لا ينفي الكرّ، بل يؤكّده، والخبر خالٍ عن التسوية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تفهم من القصر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فإنّ ذكر شيء لا ينفي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يلزم بمعاونة الأصل أو المقام، وذلك لا يوجب ضعف الخبر إلّا مع لزوم تأخير البيان عن محلّ الحاجة، وأنه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الدّابّة</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الدّابة في عرف الفقهاء هي الفرس</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ومن صرح بذلك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260/1</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الإنسان</w:t>
      </w:r>
      <w:r>
        <w:rPr>
          <w:rFonts w:eastAsia="IRNazanin" w:cs="IRNazanin"/>
          <w:color w:val="111111"/>
          <w:sz w:val="28"/>
          <w:szCs w:val="28"/>
          <w:rtl w:val="true"/>
          <w:lang w:bidi="fa-IR"/>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لنجاسة موت الإنسان، وإنّما لم يصرح بها اعتماداً على ما هو الظاهر في ذلك، فإنّ الموت لا ينجس البئر ، بل ما يحدث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الإنسان بين الذكر والأنثى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احتمال التضاعف</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الأصحَ التّضاعف؛ لأنّ نجاسة الكفر والموت ليستا من نوع واحد، واختلاف نوع النّجاسة يوجب التضاعف، كما اختاره فيما بعد</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مختار الشيخ</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مختار الشيخ هو المشهور بين الأصحاب</w:t>
      </w:r>
      <w:r>
        <w:rPr>
          <w:rStyle w:val="FootnoteAnchor"/>
          <w:rtl w:val="true"/>
        </w:rPr>
        <w:footnoteReference w:id="914"/>
      </w:r>
      <w:r>
        <w:rPr>
          <w:rFonts w:ascii="Amiri" w:hAnsi="Amiri" w:eastAsia="Amiri" w:cs="Amiri"/>
          <w:color w:val="111111"/>
          <w:sz w:val="28"/>
          <w:sz w:val="28"/>
          <w:szCs w:val="28"/>
          <w:rtl w:val="true"/>
          <w:lang w:bidi="ar-SA"/>
        </w:rPr>
        <w:t xml:space="preserve">، وليس في الأخبار ما يصلح راداً </w:t>
      </w:r>
    </w:p>
    <w:p>
      <w:pPr>
        <w:pStyle w:val="BookText"/>
        <w:rPr/>
      </w:pPr>
      <w:r>
        <w:rPr>
          <w:rFonts w:ascii="Amiri" w:hAnsi="Amiri" w:eastAsia="Amiri" w:cs="Amiri"/>
          <w:color w:val="111111"/>
          <w:sz w:val="28"/>
          <w:sz w:val="28"/>
          <w:szCs w:val="28"/>
          <w:rtl w:val="true"/>
          <w:lang w:bidi="ar-SA"/>
        </w:rPr>
        <w:t>لذلك؛ لأنّ ذكر الأقل لا ينفي الأكثر</w:t>
      </w:r>
      <w:r>
        <w:rPr>
          <w:rStyle w:val="FootnoteAnchor"/>
          <w:rtl w:val="true"/>
        </w:rPr>
        <w:footnoteReference w:id="915"/>
      </w:r>
      <w:r>
        <w:rPr>
          <w:rFonts w:ascii="IRNazanin" w:hAnsi="IRNazanin" w:eastAsia="IRNazanin"/>
          <w:color w:val="111111"/>
          <w:sz w:val="28"/>
          <w:sz w:val="28"/>
          <w:szCs w:val="28"/>
          <w:rtl w:val="true"/>
          <w:lang w:bidi="fa-IR"/>
        </w:rPr>
        <w:t>، والعمل على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إطلاق الأصحاب</w:t>
      </w:r>
      <w:r>
        <w:rPr>
          <w:rStyle w:val="FootnoteAnchor"/>
          <w:rtl w:val="true"/>
        </w:rPr>
        <w:footnoteReference w:id="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إلخ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إطلاق الأخبار</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فيها الخمر، 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فالفرق اجتهاد في مقابلة النّصّ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فلا يصح التعويل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خلافاً لابن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ادعى ابن إدريس تواتر الأخبار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بول الإنسان ينزح </w:t>
      </w:r>
    </w:p>
    <w:p>
      <w:pPr>
        <w:pStyle w:val="BookText"/>
        <w:rPr/>
      </w:pPr>
      <w:r>
        <w:rPr>
          <w:rFonts w:ascii="Amiri" w:hAnsi="Amiri" w:eastAsia="Amiri" w:cs="Amiri"/>
          <w:color w:val="111111"/>
          <w:sz w:val="28"/>
          <w:sz w:val="28"/>
          <w:szCs w:val="28"/>
          <w:rtl w:val="true"/>
          <w:lang w:bidi="ar-SA"/>
        </w:rPr>
        <w:t>له أربعون دلواً،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يطلق على الذكر والأنثى</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المختلف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أدري الأخبار المتواترة التي ادعاها في إيجاب الأربعين لبول الإنسان من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كتب علمائنا خالية عما ادعى تواتره، ولم يبلغنا خبر في كتاب، ولا مذاكرة تدلّ على دعواه، فهي إذن ساقطة بالكلية</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تنزيل الرّواية</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باب البئر تقع فيها العذرة اليابسة أو الرطبة ،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وجه هذا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الخاص على معناه أقوى من دلالة العام على ذلك لمعنى، ومع التعارض يقدّم الأقوى دلالةً، ويحتمل التخفيف معه؛ لمشقة الاحتراز منه، إذ الغالب وقوع مثل ذلك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w:t>
      </w:r>
      <w:r>
        <w:rPr>
          <w:rFonts w:eastAsia="IRNazanin" w:cs="IRNazanin"/>
          <w:color w:val="111111"/>
          <w:sz w:val="28"/>
          <w:szCs w:val="28"/>
          <w:rtl w:val="true"/>
          <w:lang w:bidi="fa-IR"/>
        </w:rPr>
        <w:t>]</w:t>
      </w:r>
      <w:r>
        <w:rPr>
          <w:rStyle w:val="FootnoteAnchor"/>
          <w:rtl w:val="true"/>
        </w:rPr>
        <w:footnoteReference w:id="924"/>
      </w:r>
      <w:r>
        <w:rPr>
          <w:rFonts w:ascii="Amiri" w:hAnsi="Amiri" w:eastAsia="Amiri" w:cs="Amiri"/>
          <w:color w:val="111111"/>
          <w:sz w:val="28"/>
          <w:sz w:val="28"/>
          <w:szCs w:val="28"/>
          <w:rtl w:val="true"/>
          <w:lang w:bidi="ar-SA"/>
        </w:rPr>
        <w:t>الموت الطّير</w:t>
      </w:r>
      <w:r>
        <w:rPr>
          <w:rFonts w:eastAsia="Amiri" w:cs="Amiri" w:ascii="Amiri" w:hAnsi="Amiri"/>
          <w:color w:val="111111"/>
          <w:sz w:val="28"/>
          <w:szCs w:val="28"/>
          <w:rtl w:val="true"/>
          <w:lang w:bidi="ar-SA"/>
        </w:rPr>
        <w:t>)</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الحمامة إلى النعامة يسمّى طيراً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البطلان</w:t>
      </w:r>
      <w:r>
        <w:rPr>
          <w:rFonts w:eastAsia="IRNazanin" w:cs="IRNazanin"/>
          <w:color w:val="111111"/>
          <w:sz w:val="28"/>
          <w:szCs w:val="28"/>
          <w:rtl w:val="true"/>
          <w:lang w:bidi="fa-IR"/>
        </w:rPr>
        <w:t>)</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بحث، فإنّ النّجاسة تعرض بوضع الشارع وإن لم تستند إلى نجاسة تقتضي</w:t>
      </w:r>
    </w:p>
    <w:p>
      <w:pPr>
        <w:pStyle w:val="BookText"/>
        <w:rPr/>
      </w:pPr>
      <w:r>
        <w:rPr>
          <w:rFonts w:ascii="Amiri" w:hAnsi="Amiri" w:eastAsia="Amiri" w:cs="Amiri"/>
          <w:color w:val="111111"/>
          <w:sz w:val="28"/>
          <w:sz w:val="28"/>
          <w:szCs w:val="28"/>
          <w:rtl w:val="true"/>
          <w:lang w:bidi="ar-SA"/>
        </w:rPr>
        <w:t>ذلك كالعصير إذا غلى، والمسلم إذا ارتد، وذي النفس إذا مات، فلا استبعاد في النّجاسة</w:t>
      </w:r>
    </w:p>
    <w:p>
      <w:pPr>
        <w:pStyle w:val="BookText"/>
        <w:rPr/>
      </w:pPr>
      <w:r>
        <w:rPr>
          <w:rFonts w:ascii="Amiri" w:hAnsi="Amiri" w:eastAsia="Amiri" w:cs="Amiri"/>
          <w:color w:val="111111"/>
          <w:sz w:val="28"/>
          <w:sz w:val="28"/>
          <w:szCs w:val="28"/>
          <w:rtl w:val="true"/>
          <w:lang w:bidi="ar-SA"/>
        </w:rPr>
        <w:t xml:space="preserve">بمباشرة الجنب ماء البئر على أنّ النّجاسة الحكميّة قد تحدث في مزيلها النّجاسة الخبثيّة، كما اختاره بعض العامة، وإنّما لم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لعدم دليل يدلّ عليه، لا لامتناعه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مستبعد، والمصنّف العلّامة في المختلف أوجب النّزحَ لتعود الطهوريّةُ، وحكم بطهارته، وخصّ الحكم بالاغتسال</w:t>
      </w:r>
      <w:r>
        <w:rPr>
          <w:rStyle w:val="FootnoteAnchor"/>
          <w:rtl w:val="true"/>
        </w:rPr>
        <w:footnoteReference w:id="928"/>
      </w:r>
      <w:r>
        <w:rPr>
          <w:rFonts w:ascii="Amiri" w:hAnsi="Amiri" w:eastAsia="Amiri" w:cs="Amiri"/>
          <w:color w:val="111111"/>
          <w:sz w:val="28"/>
          <w:sz w:val="28"/>
          <w:szCs w:val="28"/>
          <w:rtl w:val="true"/>
          <w:lang w:bidi="ar-SA"/>
        </w:rPr>
        <w:t>وفي المنتهى عمّم</w:t>
      </w:r>
      <w:r>
        <w:rPr>
          <w:rStyle w:val="FootnoteAnchor"/>
          <w:rtl w:val="true"/>
        </w:rPr>
        <w:footnoteReference w:id="929"/>
      </w:r>
      <w:r>
        <w:rPr>
          <w:rFonts w:ascii="Amiri" w:hAnsi="Amiri" w:eastAsia="Amiri" w:cs="Amiri"/>
          <w:color w:val="111111"/>
          <w:sz w:val="28"/>
          <w:sz w:val="28"/>
          <w:szCs w:val="28"/>
          <w:rtl w:val="true"/>
          <w:lang w:bidi="ar-SA"/>
        </w:rPr>
        <w:t>وجوبَ النّزح ، وحَكَمَ بأنّه تعبدي</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فيه نظر</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يقتضي فساد الغُسل</w:t>
      </w:r>
      <w:r>
        <w:rPr>
          <w:rFonts w:eastAsia="Amiri" w:cs="Amiri" w:ascii="Amiri" w:hAnsi="Amiri"/>
          <w:color w:val="111111"/>
          <w:sz w:val="28"/>
          <w:szCs w:val="28"/>
          <w:rtl w:val="true"/>
          <w:lang w:bidi="ar-SA"/>
        </w:rPr>
        <w:t>)</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يُشكل القول بأنّ النهي عن النزول يقتضي فساد الغسل؛ لأنّ النزول في الماء والدخول خارج عن العبادة، والنهي عن الخارج غير دال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يتم ذلك إن قلنا بنجاسة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تلحق به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قلنا بأنّ النّزح في الجنب لتعود طهورية الماء كان اغتسال كلّ منهنّ موجباً لذلك، وإن قلنا إن التزح فيه تعبدي لم يتعد الحكم إليهن؛ وقوفاً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برواية كَرْدَوَيه</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استند القائلون بالثّلاثين إلى ما رواه كَرْدَوَيه،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بئر يدخلها ماء المطر، وفيه البول والعذرَة وأبوال الدّوابّ وأرواتُها وخرؤ الكلاب؟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ينزح منها ثلاثون دلواً وإن كانت مُبْخِرَةٌ</w:t>
      </w:r>
      <w:r>
        <w:rPr>
          <w:rFonts w:eastAsia="IRNazanin" w:cs="IRNazanin"/>
          <w:color w:val="111111"/>
          <w:sz w:val="28"/>
          <w:szCs w:val="28"/>
          <w:rtl w:val="true"/>
          <w:lang w:bidi="fa-IR"/>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الاستدلال بها الإتيان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الوصليّة في الاكتفاء بالثلاثين؛ لأنّ سوق </w:t>
      </w:r>
    </w:p>
    <w:p>
      <w:pPr>
        <w:pStyle w:val="BookText"/>
        <w:rPr/>
      </w:pPr>
      <w:r>
        <w:rPr>
          <w:rFonts w:ascii="Amiri" w:hAnsi="Amiri" w:eastAsia="Amiri" w:cs="Amiri"/>
          <w:color w:val="111111"/>
          <w:sz w:val="28"/>
          <w:sz w:val="28"/>
          <w:szCs w:val="28"/>
          <w:rtl w:val="true"/>
          <w:lang w:bidi="ar-SA"/>
        </w:rPr>
        <w:t>الكلام دلّ على الاكتفاء بها بتقدير عروض ما هو أقوى نجاسة لها، ففحواها دلّ على الاكتفاء بذلك القدر في الأضعف من أي نجاسة فرضت سوى ما نص عليه بخصوصه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تقدح دلالتها على الاكتفاء بالثلاثين مع التغيّر، مع أن الواجب الجميع معه؛ لوجوب الحمل على تغيّر ليس من النّجاسة جمعاً بين الأخبار، وربّما خفي على كثير من الأصحاب وجه دلالتها، منهم المصنّف العلّامة؛ فإنّه قال في المنتهى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والاستدلال بها لا يخلو من تعسّف</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 نص فيه منصوصاً</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بحث؛ لأنّ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نص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يوجد فيه دليل على التقدير بصريحه، والرّواية المذكورة</w:t>
      </w:r>
      <w:r>
        <w:rPr>
          <w:rStyle w:val="FootnoteAnchor"/>
          <w:rtl w:val="true"/>
        </w:rPr>
        <w:footnoteReference w:id="939"/>
      </w:r>
      <w:r>
        <w:rPr>
          <w:rFonts w:ascii="Amiri" w:hAnsi="Amiri" w:eastAsia="Amiri" w:cs="Amiri"/>
          <w:color w:val="111111"/>
          <w:sz w:val="28"/>
          <w:sz w:val="28"/>
          <w:szCs w:val="28"/>
          <w:rtl w:val="true"/>
          <w:lang w:bidi="ar-SA"/>
        </w:rPr>
        <w:t>دلّت بفحواها، فمدلولها مما لا نص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فیضعف القول بالثلاثين</w:t>
      </w:r>
      <w:r>
        <w:rPr>
          <w:rFonts w:eastAsia="IRNazanin" w:cs="IRNazanin"/>
          <w:color w:val="111111"/>
          <w:sz w:val="28"/>
          <w:szCs w:val="28"/>
          <w:rtl w:val="true"/>
          <w:lang w:bidi="fa-IR"/>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كَرْدَوَيه لا يعرف حاله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فبعد الموت أولى</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نزح الجميع إنّما كان لعدم الوقوف على نص فيه، فمع ورود النّصّ في موته كيف يصح التمسك بما تمسك به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عكسه، فإنّ إجزاء قدرٍ معيّن مع موته وزيادة نجاسته يقتضي إجزاءه مع حياته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ينازع في الأولويّة؛ لعدم العلم ببقاء نجاسة الكفر وإن أمكن التمسك فيه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فالأقرب عدم الاكتفاء</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هو الأصح؛ إذ الحكمة تعلّقت بالعدد، ولا نعلم حصولها مع عدمه، كما في تعدّد الغسلات، فإنّ إلقاء ذلك القدر من الماء غير مجز، وإلى هذا القول ذهب المصنف العلّامة في المنتهى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اختيار زُفر</w:t>
      </w:r>
      <w:r>
        <w:rPr>
          <w:rFonts w:eastAsia="Amiri" w:cs="Amiri" w:ascii="Amiri" w:hAnsi="Amiri"/>
          <w:color w:val="111111"/>
          <w:sz w:val="28"/>
          <w:szCs w:val="28"/>
          <w:rtl w:val="true"/>
          <w:lang w:bidi="ar-SA"/>
        </w:rPr>
        <w:t>)</w:t>
      </w:r>
      <w:r>
        <w:rPr>
          <w:rStyle w:val="FootnoteAnchor"/>
          <w:rtl w:val="true"/>
        </w:rPr>
        <w:footnoteReference w:id="943"/>
      </w:r>
      <w:r>
        <w:rPr>
          <w:rFonts w:ascii="Amiri" w:hAnsi="Amiri" w:eastAsia="Amiri" w:cs="Amiri"/>
          <w:color w:val="111111"/>
          <w:sz w:val="28"/>
          <w:sz w:val="28"/>
          <w:szCs w:val="28"/>
          <w:rtl w:val="true"/>
          <w:lang w:bidi="ar-SA"/>
        </w:rPr>
        <w:t>، من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الأصل</w:t>
      </w: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الفأرة </w:t>
      </w:r>
    </w:p>
    <w:p>
      <w:pPr>
        <w:pStyle w:val="BookText"/>
        <w:rPr/>
      </w:pPr>
      <w:r>
        <w:rPr>
          <w:rFonts w:ascii="Amiri" w:hAnsi="Amiri" w:eastAsia="Amiri" w:cs="Amiri"/>
          <w:color w:val="111111"/>
          <w:sz w:val="28"/>
          <w:sz w:val="28"/>
          <w:szCs w:val="28"/>
          <w:rtl w:val="true"/>
          <w:lang w:bidi="ar-SA"/>
        </w:rPr>
        <w:t>المتفسخة في إناء استعمله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لعلها سقطت تلك الساعة</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يزول التغيّر</w:t>
      </w:r>
      <w:r>
        <w:rPr>
          <w:rFonts w:eastAsia="Amiri" w:cs="Amiri" w:ascii="Amiri" w:hAnsi="Amiri"/>
          <w:color w:val="111111"/>
          <w:sz w:val="28"/>
          <w:szCs w:val="28"/>
          <w:rtl w:val="true"/>
          <w:lang w:bidi="ar-SA"/>
        </w:rPr>
        <w:t>)</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ظاهر كلامه في الحكم الثّاني يعطي أنّ التّغيّر مانع من استحالة النّجاسة، وليس كذلك ؛ فإنّ المتغيّر لا يخرج عن كونه ماءً، فلا نجاسة متميزة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اتصلت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w:t>
      </w:r>
      <w:r>
        <w:rPr>
          <w:rStyle w:val="FootnoteAnchor"/>
          <w:rtl w:val="true"/>
        </w:rPr>
        <w:footnoteReference w:id="949"/>
      </w:r>
      <w:r>
        <w:rPr>
          <w:rFonts w:ascii="Amiri" w:hAnsi="Amiri" w:eastAsia="Amiri" w:cs="Amiri"/>
          <w:color w:val="111111"/>
          <w:sz w:val="28"/>
          <w:sz w:val="28"/>
          <w:szCs w:val="28"/>
          <w:rtl w:val="true"/>
          <w:lang w:bidi="ar-SA"/>
        </w:rPr>
        <w:t>الجاري طهرت</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في المعتبر من طهارة البئر باتصالها بالجاري معللاً بأنّ الحكم متعلّق بالنّزح ولم يحصل</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بدخول مائها في اسمه، والأحكام الشّرعيّة منوطة بالأسماء، فعلى هذا يعتبر في الاتصال تساوي السطوح بحيث يصدق عليها اسم الواحد، وإطلاق المصنف هنا مُنزّل على ذلك، كما دلّ عليه كلامه في المنتهى</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يتوهّم تغليب البئر مع الوحدة؛ إذ الجاري أقوى دليلاً، للإجماع على عدم انفعاله بدون التغيّر</w:t>
      </w:r>
      <w:r>
        <w:rPr>
          <w:rStyle w:val="FootnoteAnchor"/>
          <w:rtl w:val="true"/>
        </w:rPr>
        <w:footnoteReference w:id="953"/>
      </w:r>
      <w:r>
        <w:rPr>
          <w:rFonts w:ascii="Amiri" w:hAnsi="Amiri" w:eastAsia="Amiri" w:cs="Amiri"/>
          <w:color w:val="111111"/>
          <w:sz w:val="28"/>
          <w:sz w:val="28"/>
          <w:szCs w:val="28"/>
          <w:rtl w:val="true"/>
          <w:lang w:bidi="ar-SA"/>
        </w:rPr>
        <w:t>، بخلاف البئر ؛ لثبوت الخلاف في نجاسته بالملاقاة</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ومن قال بعدم النّجاسة بالملاقاة مع عدم التغيّر ابن أبي عقيل واختاره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الشيخ في التهذيب إلى تفصيل آخر، وهو أنه إذا وقعت النجاسة ولم تغيّر فلا تجب إعادة الأعمال، ولكن يجب تطهير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عندي أنّ هذا إذا كان قد غيّر ما وقع فيه من النّجاسة أحد أوصاف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ريحه، أو طعمه، أو لونه، فأما إذا لم يغيّر شيئاً من ذلك فلا يجب إعادة شيء من ذلك وإن كان لا يجوز استعماله إلّا بعد تطهيره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ومع الاجتماع يقدّم ما هو أقوى فيتبعه الآخر، وفي حكم الجاري الكثير، فيكفي اتصاله به مع صدق الوحدة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القرب أنّ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332" w:name="pg8927_84626"/>
    </w:p>
    <w:p>
      <w:pPr>
        <w:pStyle w:val="BookText"/>
        <w:rPr/>
      </w:pPr>
      <w:bookmarkEnd w:id="332"/>
      <w:r>
        <w:rPr>
          <w:rFonts w:ascii="Amiri" w:hAnsi="Amiri" w:eastAsia="Amiri" w:cs="Amiri"/>
          <w:color w:val="111111"/>
          <w:sz w:val="28"/>
          <w:sz w:val="28"/>
          <w:szCs w:val="28"/>
          <w:rtl w:val="true"/>
          <w:lang w:bidi="ar-SA"/>
        </w:rPr>
        <w:t>فيه نظر؛ إذ قد يُعلم مع بقاء القليل إجزاء المنزوح في زوال التغيّر لو كان، فالأولى التعليل بأنّ المطهّر هو منزوح خاص، وهو المزيل للتغيّر، ومع زواله لا يتحقق المزيل لامتناع إزالة المعدوم فوجب نزح الجميع</w:t>
      </w:r>
      <w:r>
        <w:rPr>
          <w:rFonts w:eastAsia="Amiri" w:cs="Amiri" w:ascii="Amiri" w:hAnsi="Amiri"/>
          <w:color w:val="111111"/>
          <w:sz w:val="28"/>
          <w:szCs w:val="28"/>
          <w:rtl w:val="true"/>
          <w:lang w:bidi="ar-SA"/>
        </w:rPr>
        <w:t>.</w:t>
      </w:r>
    </w:p>
    <w:p>
      <w:pPr>
        <w:pStyle w:val="Heading3"/>
        <w:numPr>
          <w:ilvl w:val="2"/>
          <w:numId w:val="1"/>
        </w:numPr>
        <w:rPr/>
      </w:pPr>
      <w:bookmarkStart w:id="333" w:name="__RefHeading___Toc1279284_2870459653"/>
      <w:bookmarkStart w:id="334" w:name="_Toc114"/>
      <w:bookmarkEnd w:id="333"/>
      <w:r>
        <w:rPr>
          <w:rtl w:val="true"/>
        </w:rPr>
        <w:t>[</w:t>
      </w:r>
      <w:r>
        <w:rPr>
          <w:rtl w:val="true"/>
        </w:rPr>
        <w:t>أحكام الماء النجس</w:t>
      </w:r>
      <w:r>
        <w:rPr>
          <w:rtl w:val="true"/>
        </w:rPr>
        <w:t>]</w:t>
      </w:r>
      <w:bookmarkEnd w:id="334"/>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تترتب على الأحكام الأولى</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يحتمل أن يكون الغرض في ما أورده أوّلاً بيان العدد، أو الكيفية، أو الأقسام، أو ما جرى مجرى ذلك مما لا يعد من الأحكام، ويكون ذكر شيء منها هناك استطراداً، ثُمَّ يأتي بفصل يقصد فيه بيان الأحكام سواء الوضعية والاقتضائيّة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يعده</w:t>
      </w:r>
      <w:r>
        <w:rPr>
          <w:rStyle w:val="FootnoteAnchor"/>
          <w:rtl w:val="true"/>
        </w:rPr>
        <w:footnoteReference w:id="957"/>
      </w:r>
      <w:r>
        <w:rPr>
          <w:rFonts w:ascii="Amiri" w:hAnsi="Amiri" w:eastAsia="Amiri" w:cs="Amiri"/>
          <w:color w:val="111111"/>
          <w:sz w:val="28"/>
          <w:sz w:val="28"/>
          <w:szCs w:val="28"/>
          <w:rtl w:val="true"/>
          <w:lang w:bidi="ar-SA"/>
        </w:rPr>
        <w:t>طهارة</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يقصده 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95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تطهر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Style w:val="FootnoteAnchor"/>
          <w:rtl w:val="true"/>
        </w:rPr>
        <w:footnoteReference w:id="960"/>
      </w:r>
      <w:r>
        <w:rPr>
          <w:rFonts w:ascii="Amiri" w:hAnsi="Amiri" w:eastAsia="Amiri" w:cs="Amiri"/>
          <w:color w:val="111111"/>
          <w:sz w:val="28"/>
          <w:sz w:val="28"/>
          <w:szCs w:val="28"/>
          <w:rtl w:val="true"/>
          <w:lang w:bidi="ar-SA"/>
        </w:rPr>
        <w:t>لم يرتفع حدثه</w:t>
      </w:r>
      <w:r>
        <w:rPr>
          <w:rFonts w:eastAsia="Amiri" w:cs="Amiri" w:ascii="Amiri" w:hAnsi="Amiri"/>
          <w:color w:val="111111"/>
          <w:sz w:val="28"/>
          <w:szCs w:val="28"/>
          <w:rtl w:val="true"/>
          <w:lang w:bidi="ar-SA"/>
        </w:rPr>
        <w:t>)</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تصح 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أولى؛ إذ عدم ارتفاع الحدث لا يستلزم بطلان الصّلاة، كما في المتيمم ودائم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فلأنَّ النّجس لا يُطهّر غيره</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لأنّ الطّهارة حكم شرعيّ، ولم يرد في الشّرع حصولها بالنجس، ولأنّ الغرض ارتفاع النّجاسة، وباستعمال النجس تتأكّد وتقوى، كما يشهد به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فتقع صلاته فاسدة</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لانتفاء شرطها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قيل بوجوب الإعادة</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قول الشيخ في الاستبصار؛ تعويلاً على مكاتبة مجهولة المروي عنه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ورواية أبي بصير الصحيحة دلّت على وجوب الإعادة عليه من دون تقييد بالوقت</w:t>
      </w:r>
      <w:r>
        <w:rPr>
          <w:rStyle w:val="FootnoteAnchor"/>
          <w:rtl w:val="true"/>
        </w:rPr>
        <w:footnoteReference w:id="966"/>
      </w:r>
      <w:r>
        <w:rPr>
          <w:rFonts w:ascii="Amiri" w:hAnsi="Amiri" w:eastAsia="Amiri" w:cs="Amiri"/>
          <w:color w:val="111111"/>
          <w:sz w:val="28"/>
          <w:sz w:val="28"/>
          <w:szCs w:val="28"/>
          <w:rtl w:val="true"/>
          <w:lang w:bidi="ar-SA"/>
        </w:rPr>
        <w:t>، ومثلها رواية ابن أبي يعفور الصّحيحة</w:t>
      </w:r>
      <w:r>
        <w:rPr>
          <w:rStyle w:val="FootnoteAnchor"/>
          <w:rtl w:val="true"/>
        </w:rPr>
        <w:footnoteReference w:id="967"/>
      </w:r>
      <w:r>
        <w:rPr>
          <w:rFonts w:ascii="Amiri" w:hAnsi="Amiri" w:eastAsia="Amiri" w:cs="Amiri"/>
          <w:color w:val="111111"/>
          <w:sz w:val="28"/>
          <w:sz w:val="28"/>
          <w:szCs w:val="28"/>
          <w:rtl w:val="true"/>
          <w:lang w:bidi="ar-SA"/>
        </w:rPr>
        <w:t>، وقد عمل بإطلاقهما الأكثر؛ للتضييع</w:t>
      </w:r>
      <w:r>
        <w:rPr>
          <w:rStyle w:val="FootnoteAnchor"/>
          <w:rtl w:val="true"/>
        </w:rPr>
        <w:footnoteReference w:id="968"/>
      </w:r>
      <w:r>
        <w:rPr>
          <w:rFonts w:ascii="Amiri" w:hAnsi="Amiri" w:eastAsia="Amiri" w:cs="Amiri"/>
          <w:color w:val="111111"/>
          <w:sz w:val="28"/>
          <w:sz w:val="28"/>
          <w:szCs w:val="28"/>
          <w:rtl w:val="true"/>
          <w:lang w:bidi="ar-SA"/>
        </w:rPr>
        <w:t>بالنسيان</w:t>
      </w:r>
      <w:r>
        <w:rPr>
          <w:rStyle w:val="FootnoteAnchor"/>
          <w:rtl w:val="true"/>
        </w:rPr>
        <w:footnoteReference w:id="969"/>
      </w:r>
      <w:r>
        <w:rPr>
          <w:rFonts w:ascii="IRNazanin" w:hAnsi="IRNazanin" w:eastAsia="IRNazanin"/>
          <w:color w:val="111111"/>
          <w:sz w:val="28"/>
          <w:sz w:val="28"/>
          <w:szCs w:val="28"/>
          <w:rtl w:val="true"/>
          <w:lang w:bidi="fa-IR"/>
        </w:rPr>
        <w:t>، وهو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الحسن بن محبوب عدم الإعادة</w:t>
      </w:r>
      <w:r>
        <w:rPr>
          <w:rStyle w:val="FootnoteAnchor"/>
          <w:rtl w:val="true"/>
        </w:rPr>
        <w:footnoteReference w:id="970"/>
      </w:r>
      <w:r>
        <w:rPr>
          <w:rFonts w:ascii="Amiri" w:hAnsi="Amiri" w:eastAsia="Amiri" w:cs="Amiri"/>
          <w:color w:val="111111"/>
          <w:sz w:val="28"/>
          <w:sz w:val="28"/>
          <w:szCs w:val="28"/>
          <w:rtl w:val="true"/>
          <w:lang w:bidi="ar-SA"/>
        </w:rPr>
        <w:t>، ونسبها الشّيخُ إلى الشذوذ</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فجمع بينهما</w:t>
      </w:r>
      <w:r>
        <w:rPr>
          <w:rFonts w:eastAsia="Amiri" w:cs="Amiri" w:ascii="Amiri" w:hAnsi="Amiri"/>
          <w:color w:val="111111"/>
          <w:sz w:val="28"/>
          <w:szCs w:val="28"/>
          <w:rtl w:val="true"/>
          <w:lang w:bidi="ar-SA"/>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هذان الخبران صحيحان</w:t>
      </w:r>
      <w:r>
        <w:rPr>
          <w:rStyle w:val="FootnoteAnchor"/>
          <w:rtl w:val="true"/>
        </w:rPr>
        <w:footnoteReference w:id="973"/>
      </w:r>
      <w:r>
        <w:rPr>
          <w:rFonts w:ascii="Amiri" w:hAnsi="Amiri" w:eastAsia="Amiri" w:cs="Amiri"/>
          <w:color w:val="111111"/>
          <w:sz w:val="28"/>
          <w:sz w:val="28"/>
          <w:szCs w:val="28"/>
          <w:rtl w:val="true"/>
          <w:lang w:bidi="ar-SA"/>
        </w:rPr>
        <w:t>، وقد وافق كلَّ منهما الأصل في بعض ما دلّ عليه فيرجح ذلك البعض، ويحمل عليه الإطلاق؛ لأنّ الجمع أولى، فخبر الإعادة يعضده الأصل في الوقت؛ إذ عدم الامتثال يوجب البقاء على حكم ما كان، وخبر عدمها تعضده أصالة عدم وجوب الـ عدم وجوب القضاء؛ لأنه يكون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وجوب اجتنابه</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يُهريقها ويتيمم</w:t>
      </w:r>
      <w:r>
        <w:rPr>
          <w:rFonts w:eastAsia="Amiri" w:cs="Amiri" w:ascii="Amiri" w:hAnsi="Amiri"/>
          <w:color w:val="111111"/>
          <w:sz w:val="28"/>
          <w:szCs w:val="28"/>
          <w:rtl w:val="true"/>
          <w:lang w:bidi="ar-SA"/>
        </w:rPr>
        <w:t>)</w:t>
      </w:r>
      <w:r>
        <w:rPr>
          <w:rStyle w:val="FootnoteAnchor"/>
          <w:rtl w:val="true"/>
        </w:rPr>
        <w:footnoteReference w:id="975"/>
      </w:r>
      <w:r>
        <w:rPr>
          <w:rFonts w:ascii="Amiri" w:hAnsi="Amiri" w:eastAsia="Amiri" w:cs="Amiri"/>
          <w:color w:val="111111"/>
          <w:sz w:val="28"/>
          <w:sz w:val="28"/>
          <w:szCs w:val="28"/>
          <w:rtl w:val="true"/>
          <w:lang w:bidi="ar-SA"/>
        </w:rPr>
        <w:t>إذ الأمر بالإراقة يستلزم عدم جواز الاستعمال وإلا لوجب؛ لوجوب تحصيل الطهارة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 قوم من ذلك اشتراط الإراقة في التيمم ليتحقق عدم الماء</w:t>
      </w:r>
      <w:r>
        <w:rPr>
          <w:rStyle w:val="FootnoteAnchor"/>
          <w:rtl w:val="true"/>
        </w:rPr>
        <w:footnoteReference w:id="976"/>
      </w:r>
      <w:r>
        <w:rPr>
          <w:rFonts w:ascii="Amiri" w:hAnsi="Amiri" w:eastAsia="Amiri" w:cs="Amiri"/>
          <w:color w:val="111111"/>
          <w:sz w:val="28"/>
          <w:sz w:val="28"/>
          <w:szCs w:val="28"/>
          <w:rtl w:val="true"/>
          <w:lang w:bidi="ar-SA"/>
        </w:rPr>
        <w:t>، وليس في الخبر ما يدلّ عليه، والممنوع منه كالمعدوم</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تجب الإراقة؛ عملاً بالأصل، والأمر الوارد في الخبر منزل على الإباحة؛ لأنّه </w:t>
      </w:r>
    </w:p>
    <w:p>
      <w:pPr>
        <w:pStyle w:val="BookText"/>
        <w:rPr/>
      </w:pPr>
      <w:r>
        <w:rPr>
          <w:rFonts w:ascii="Amiri" w:hAnsi="Amiri" w:eastAsia="Amiri" w:cs="Amiri"/>
          <w:color w:val="111111"/>
          <w:sz w:val="28"/>
          <w:sz w:val="28"/>
          <w:szCs w:val="28"/>
          <w:rtl w:val="true"/>
          <w:lang w:bidi="ar-SA"/>
        </w:rPr>
        <w:t>مسبوق بالتحريم، وهو النهي عن إتلاف المال فكان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حَلَلْتُمْ فَاصْطَادُوا</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وعدم جوازه في الأكل</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اجتناب النجس فيها اختياراً، وهو لا يتمّ بدون اجتناب المشتبهين فوجب؛ لوقوعه مقدّمة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شائبة التكلّف</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للزوم إرجاع الضّمير إلى فردي المشتبه، مع أنّ المذكور هو 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ما قاله ضعيف</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لتحصيل الطهارة</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لتحصيل العلم، وفيه 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ووجهه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982"/>
      </w:r>
    </w:p>
    <w:p>
      <w:pPr>
        <w:pStyle w:val="BookText"/>
        <w:rPr/>
      </w:pPr>
      <w:r>
        <w:rPr>
          <w:rFonts w:ascii="Amiri" w:hAnsi="Amiri" w:eastAsia="Amiri" w:cs="Amiri"/>
          <w:color w:val="111111"/>
          <w:sz w:val="28"/>
          <w:sz w:val="28"/>
          <w:szCs w:val="28"/>
          <w:rtl w:val="true"/>
          <w:lang w:bidi="ar-SA"/>
        </w:rPr>
        <w:t>ذكره، لو كان عنده ثوبان أحدهما نجس لم يتعيّن، فتلف أحدهما وبقي الآخر، ووجهه أنه مقدمة للواجب المطلق، وللقطع بوجوده قبل تلف واحد كما سبق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بقرينة يعلم مما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وسيأتي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9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فالوجه البطلان</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فإن تطهر بهما فالوجه البطلان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تكافاً احتمالا الإباحةِ والتحريم رجّحنا جانب التحريم؛ لما فيه من دفع الضّرر الواجب عقلاً، فيثبت النهي عن استعماله المستلزم لبطلان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يجب الاستعمال لفقد ما عداهما فيتساويان؛ لاستلزام فعل الواجب دفع الضرر الناشئ من تركه، كما يستلزم الحرام دفع الضرر الناشئ من فعله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استعماله في الطهارة فرع إباحته في نفسه بشهادة صحة دخول الفاء، فقولنا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أبيح فوجب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فأوجد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مما يدلّ على ما قلناه ورود الشرع بالتيمم مع الاشتباه بالنجس</w:t>
      </w:r>
      <w:r>
        <w:rPr>
          <w:rStyle w:val="FootnoteAnchor"/>
          <w:rtl w:val="true"/>
        </w:rPr>
        <w:footnoteReference w:id="986"/>
      </w:r>
      <w:r>
        <w:rPr>
          <w:rFonts w:ascii="Amiri" w:hAnsi="Amiri" w:eastAsia="Amiri" w:cs="Amiri"/>
          <w:color w:val="111111"/>
          <w:sz w:val="28"/>
          <w:sz w:val="28"/>
          <w:szCs w:val="28"/>
          <w:rtl w:val="true"/>
          <w:lang w:bidi="ar-SA"/>
        </w:rPr>
        <w:t xml:space="preserve">، وتحريم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وجب وطؤها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الاشتباه بالمحرّمة</w:t>
      </w:r>
      <w:r>
        <w:rPr>
          <w:rStyle w:val="FootnoteAnchor"/>
          <w:rtl w:val="true"/>
        </w:rPr>
        <w:footnoteReference w:id="987"/>
      </w:r>
      <w:r>
        <w:rPr>
          <w:rFonts w:ascii="Amiri" w:hAnsi="Amiri" w:eastAsia="Amiri" w:cs="Amiri"/>
          <w:color w:val="111111"/>
          <w:sz w:val="28"/>
          <w:sz w:val="28"/>
          <w:szCs w:val="28"/>
          <w:rtl w:val="true"/>
          <w:lang w:bidi="ar-SA"/>
        </w:rPr>
        <w:t>، ونظائره كثيرة</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الاشتباه المحرّم إنّما هو مع التعدّد، أما مع الوحدة فيبنى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لامتناع كون الحرام مقدّمة</w:t>
      </w:r>
      <w:r>
        <w:rPr>
          <w:rFonts w:eastAsia="Amiri" w:cs="Amiri" w:ascii="Amiri" w:hAnsi="Amiri"/>
          <w:color w:val="111111"/>
          <w:sz w:val="28"/>
          <w:szCs w:val="28"/>
          <w:rtl w:val="true"/>
          <w:lang w:bidi="ar-SA"/>
        </w:rPr>
        <w:t>)</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يقال على الوجه الأوّل مثله، فإنّ ترك التطهير بالمباح حرام، فلا يقع مقدّمة الواجب؛ لاشتراط الإباحة فيها</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اختلاف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من اختلاف ما تمسّك به الأصحاب في خلافهم، وهو غير خارج عن الظاهر</w:t>
      </w:r>
      <w:r>
        <w:rPr>
          <w:rStyle w:val="FootnoteAnchor"/>
          <w:rtl w:val="true"/>
        </w:rPr>
        <w:footnoteReference w:id="991"/>
      </w:r>
      <w:r>
        <w:rPr>
          <w:rFonts w:ascii="IRNazanin" w:hAnsi="IRNazanin" w:eastAsia="IRNazanin"/>
          <w:color w:val="111111"/>
          <w:sz w:val="28"/>
          <w:sz w:val="28"/>
          <w:szCs w:val="28"/>
          <w:rtl w:val="true"/>
          <w:lang w:bidi="fa-IR"/>
        </w:rPr>
        <w:t>، والأصل</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فأبو الصّلاح ينظر إلى الأوّل، فحكم بثبوت النّجاسة بكل ظن</w:t>
      </w:r>
      <w:r>
        <w:rPr>
          <w:rStyle w:val="FootnoteAnchor"/>
          <w:rtl w:val="true"/>
        </w:rPr>
        <w:footnoteReference w:id="993"/>
      </w:r>
      <w:r>
        <w:rPr>
          <w:rFonts w:ascii="Amiri" w:hAnsi="Amiri" w:eastAsia="Amiri" w:cs="Amiri"/>
          <w:color w:val="111111"/>
          <w:sz w:val="28"/>
          <w:sz w:val="28"/>
          <w:szCs w:val="28"/>
          <w:rtl w:val="true"/>
          <w:lang w:bidi="ar-SA"/>
        </w:rPr>
        <w:t xml:space="preserve">لأنه مناط الشّرعيّات،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نحكم بالظاهر</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وابن البرّاج ينظر إلى الثّاني، فحكم بعدم ثبوتها بشيء من الظَّنون</w:t>
      </w:r>
      <w:r>
        <w:rPr>
          <w:rStyle w:val="FootnoteAnchor"/>
          <w:rtl w:val="true"/>
        </w:rPr>
        <w:footnoteReference w:id="995"/>
      </w:r>
      <w:r>
        <w:rPr>
          <w:rFonts w:ascii="Amiri" w:hAnsi="Amiri" w:eastAsia="Amiri" w:cs="Amiri"/>
          <w:color w:val="111111"/>
          <w:sz w:val="28"/>
          <w:sz w:val="28"/>
          <w:szCs w:val="28"/>
          <w:rtl w:val="true"/>
          <w:lang w:bidi="ar-SA"/>
        </w:rPr>
        <w:t>لأنّ الأصل مقطوع به، والظاهر مظنون، فلا يعارضه، فردَّ شهادة العدلين فيها</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المثمر للظَّنّ</w:t>
      </w:r>
      <w:r>
        <w:rPr>
          <w:rFonts w:eastAsia="Amiri" w:cs="Amiri" w:ascii="Amiri" w:hAnsi="Amiri"/>
          <w:color w:val="111111"/>
          <w:sz w:val="28"/>
          <w:szCs w:val="28"/>
          <w:rtl w:val="true"/>
          <w:lang w:bidi="ar-SA"/>
        </w:rPr>
        <w:t>)</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 لأنّ المثمر لظنِّ جَعَلَهُ الشّارع سبباً يجري مجرى اليقين، كما في شهادة الشاهدين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مستنداً إلى سبب</w:t>
      </w:r>
      <w:r>
        <w:rPr>
          <w:rFonts w:eastAsia="IRNazanin" w:cs="IRNazanin"/>
          <w:color w:val="111111"/>
          <w:sz w:val="28"/>
          <w:szCs w:val="28"/>
          <w:rtl w:val="true"/>
          <w:lang w:bidi="fa-IR"/>
        </w:rPr>
        <w:t>)</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المعرّف للحكم الشّرعيّ كشهادة الشاهدين وإخبار المالك؛ لأنّ تعريفه في الحقوق والدّماء يقتضي تعريفه في ما هو أخفّ كالنّجاسة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9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شهد عدل</w:t>
      </w:r>
      <w:r>
        <w:rPr>
          <w:rFonts w:eastAsia="IRNazanin" w:cs="IRNazanin"/>
          <w:color w:val="111111"/>
          <w:sz w:val="28"/>
          <w:szCs w:val="28"/>
          <w:rtl w:val="true"/>
          <w:lang w:bidi="fa-IR"/>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بذلك بيان ما قصده من اتباع الظَّنِّ مع الاستناد إلى السبب، فبيَّن أنّ المعتبر هو ظنّ السّامع المستند ابتداءً إلى سَبَبٍ، لا ظنّه المستند إلى شهادة هي مستندة إلى سبب لأنّ الغرض قيام الدليل على وجوب اتباع ما ظنّه ، وفيه ردّ على الشّافعيّ</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وإلحاقه بالمشتبه</w:t>
      </w:r>
      <w:r>
        <w:rPr>
          <w:rFonts w:eastAsia="IRNazanin" w:cs="IRNazanin"/>
          <w:color w:val="111111"/>
          <w:sz w:val="28"/>
          <w:szCs w:val="28"/>
          <w:rtl w:val="true"/>
          <w:lang w:bidi="fa-IR"/>
        </w:rPr>
        <w:t>)</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المختار لما ثبت في الشّرع من ارتفاع حكم الأصل بشهادة الشاهدين على خلافه، ورفع ذلك الحكم مع تعارض البينات يفتقر إلى دليل فإن نظر إلى تعارض الأصلين قلنا الطارئ مقدّم اتفاقاً، وحينئذٍ تكافؤ البينتين يوجب تساوي الحكمين، فيمتنع القول بجواز استعماله في ما يشترط فيه الطهارة؛ للزوم الترجيح بلا مرجّح، فساوى المشتبه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لاتفاقها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التحقيق لا متفق لهما عليه، فإنَّ كُلّاً من البينتين يعيّن، ولا معيّن مشترك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يبق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كأنّه لم يعتبر احتمال القرعة؛ لبعده في الأواني والثّياب؛ نظراً إلى ظواهر الأخبار</w:t>
      </w:r>
      <w:r>
        <w:rPr>
          <w:rStyle w:val="FootnoteAnchor"/>
          <w:rtl w:val="true"/>
        </w:rPr>
        <w:footnoteReference w:id="10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 إلحاقه بالمشتبه</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مستنداً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تحريمه يستند إلى ظنّ انتفاء تذكِيَتِهِ المستلزمة لظنّ نجاسته، ويلزمه ظنُّ نجاسة الماء؛ لما ثبت</w:t>
      </w:r>
      <w:r>
        <w:rPr>
          <w:rStyle w:val="FootnoteAnchor"/>
          <w:rtl w:val="true"/>
        </w:rPr>
        <w:footnoteReference w:id="1006"/>
      </w:r>
      <w:r>
        <w:rPr>
          <w:rFonts w:ascii="Amiri" w:hAnsi="Amiri" w:eastAsia="Amiri" w:cs="Amiri"/>
          <w:color w:val="111111"/>
          <w:sz w:val="28"/>
          <w:sz w:val="28"/>
          <w:szCs w:val="28"/>
          <w:rtl w:val="true"/>
          <w:lang w:bidi="ar-SA"/>
        </w:rPr>
        <w:t>من أنّ القليل ثبت له ما ثبت لملاقيه من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بقاء الماء على طهارته تمنع من ظنّ طُرُوْء نجاسة الماء؛ لأنّ ذلك الظَّنِّ يستند إلى أصالة عدم التذكية، والعمل به ليس أولى من العمل بالأصل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الأصلان وإن تعارضا إلّا أنّ الاحتياط استلزم ترجيح جانب النّجاسة، كما دل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الحرام والحلال إلّا وغلب الحرام</w:t>
      </w:r>
      <w:r>
        <w:rPr>
          <w:rFonts w:eastAsia="Amiri" w:cs="Amiri" w:ascii="Amiri" w:hAnsi="Amiri"/>
          <w:color w:val="111111"/>
          <w:sz w:val="28"/>
          <w:szCs w:val="28"/>
          <w:rtl w:val="true"/>
          <w:lang w:bidi="ar-SA"/>
        </w:rPr>
        <w:t>)</w:t>
      </w:r>
      <w:r>
        <w:rPr>
          <w:rStyle w:val="FootnoteAnchor"/>
          <w:rtl w:val="true"/>
        </w:rPr>
        <w:footnoteReference w:id="100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والأصح ما اختاره المصنّف</w:t>
      </w:r>
      <w:r>
        <w:rPr>
          <w:rFonts w:eastAsia="IRNazanin" w:cs="IRNazanin"/>
          <w:color w:val="111111"/>
          <w:sz w:val="28"/>
          <w:szCs w:val="28"/>
          <w:rtl w:val="true"/>
          <w:lang w:bidi="fa-IR"/>
        </w:rPr>
        <w:t xml:space="preserve">. </w:t>
      </w:r>
      <w:bookmarkStart w:id="335" w:name="pg8927_84637"/>
    </w:p>
    <w:p>
      <w:pPr>
        <w:pStyle w:val="Heading3"/>
        <w:numPr>
          <w:ilvl w:val="2"/>
          <w:numId w:val="1"/>
        </w:numPr>
        <w:rPr/>
      </w:pPr>
      <w:bookmarkStart w:id="336" w:name="__RefHeading___Toc1279286_2870459653"/>
      <w:bookmarkStart w:id="337" w:name="_Toc115"/>
      <w:bookmarkEnd w:id="335"/>
      <w:bookmarkEnd w:id="336"/>
      <w:r>
        <w:rPr>
          <w:rtl w:val="true"/>
        </w:rPr>
        <w:t>[</w:t>
      </w:r>
      <w:r>
        <w:rPr>
          <w:rtl w:val="true"/>
        </w:rPr>
        <w:t>التباعد بين البئر والبالوعة</w:t>
      </w:r>
      <w:r>
        <w:rPr>
          <w:rtl w:val="true"/>
        </w:rPr>
        <w:t>]</w:t>
      </w:r>
      <w:bookmarkEnd w:id="33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رواية الحسن</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الحسن بن رباط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البالوعة تكون فوق البئر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أسفل من البئر فخمسة أذرع، وإن كانت فوق البئر فسبعة أذرع من كل ناحية، وذلك كثير</w:t>
      </w:r>
      <w:r>
        <w:rPr>
          <w:rFonts w:eastAsia="Amiri" w:cs="Amiri" w:ascii="Amiri" w:hAnsi="Amiri"/>
          <w:color w:val="111111"/>
          <w:sz w:val="28"/>
          <w:szCs w:val="28"/>
          <w:rtl w:val="true"/>
          <w:lang w:bidi="ar-SA"/>
        </w:rPr>
        <w:t>)</w:t>
      </w:r>
      <w:r>
        <w:rPr>
          <w:rStyle w:val="FootnoteAnchor"/>
          <w:rtl w:val="true"/>
        </w:rPr>
        <w:footnoteReference w:id="1011"/>
      </w:r>
      <w:r>
        <w:rPr>
          <w:rFonts w:ascii="Amiri" w:hAnsi="Amiri" w:eastAsia="Amiri" w:cs="Amiri"/>
          <w:color w:val="111111"/>
          <w:sz w:val="28"/>
          <w:sz w:val="28"/>
          <w:szCs w:val="28"/>
          <w:rtl w:val="true"/>
          <w:lang w:bidi="ar-SA"/>
        </w:rPr>
        <w:t xml:space="preserve">، وفي رواية قدامة بن أبي الحمار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كم أدنى ما يكون بين بئر الماء والبالوعة؟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سهلاً فسبع أذرع ، وإن كان جبلاً فخمس</w:t>
      </w:r>
      <w:r>
        <w:rPr>
          <w:rFonts w:eastAsia="Amiri" w:cs="Amiri" w:ascii="Amiri" w:hAnsi="Amiri"/>
          <w:color w:val="111111"/>
          <w:sz w:val="28"/>
          <w:szCs w:val="28"/>
          <w:rtl w:val="true"/>
          <w:lang w:bidi="ar-SA"/>
        </w:rPr>
        <w:t>)</w:t>
      </w:r>
      <w:r>
        <w:rPr>
          <w:rStyle w:val="FootnoteAnchor"/>
          <w:rtl w:val="true"/>
        </w:rPr>
        <w:footnoteReference w:id="1012"/>
      </w:r>
      <w:r>
        <w:rPr>
          <w:rFonts w:ascii="Amiri" w:hAnsi="Amiri" w:eastAsia="Amiri" w:cs="Amiri"/>
          <w:color w:val="111111"/>
          <w:sz w:val="28"/>
          <w:sz w:val="28"/>
          <w:szCs w:val="28"/>
          <w:rtl w:val="true"/>
          <w:lang w:bidi="ar-SA"/>
        </w:rPr>
        <w:t>، وقد اشتهر العمل بهما معاً بين الأصحاب، فخصصوا مفهوم كلّ منهما بمنطوق الأخرى، فاكتفوا مع صلبيّة الأرض أو علوّ البئر بالخمس، واعتبروا مع انتفائهما السبع</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بالذراع هنا وفي غيره من المواضع الآتية هي الذراع المذكورة في تحديد</w:t>
      </w:r>
      <w:r>
        <w:rPr>
          <w:rStyle w:val="FootnoteAnchor"/>
          <w:rtl w:val="true"/>
        </w:rPr>
        <w:footnoteReference w:id="1014"/>
      </w:r>
      <w:r>
        <w:rPr>
          <w:rFonts w:ascii="Amiri" w:hAnsi="Amiri" w:eastAsia="Amiri" w:cs="Amiri"/>
          <w:color w:val="111111"/>
          <w:sz w:val="28"/>
          <w:sz w:val="28"/>
          <w:szCs w:val="28"/>
          <w:rtl w:val="true"/>
          <w:lang w:bidi="ar-SA"/>
        </w:rPr>
        <w:t>المسافة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0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ومطلقاً عند آخرين</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تغيّر أو لم يتغيّر عند آخرين، وذلك بناءً منهم على ما اختاروه من أنّ البئر تنجس بالملاقاة</w:t>
      </w:r>
      <w:r>
        <w:rPr>
          <w:rStyle w:val="FootnoteAnchor"/>
          <w:rtl w:val="true"/>
        </w:rPr>
        <w:footnoteReference w:id="1018"/>
      </w:r>
      <w:r>
        <w:rPr>
          <w:rFonts w:ascii="Amiri" w:hAnsi="Amiri" w:eastAsia="Amiri" w:cs="Amiri"/>
          <w:color w:val="111111"/>
          <w:sz w:val="28"/>
          <w:sz w:val="28"/>
          <w:szCs w:val="28"/>
          <w:rtl w:val="true"/>
          <w:lang w:bidi="ar-SA"/>
        </w:rPr>
        <w:t>، وأن مطلق الظَّنّ غير كافٍ في الحكم بملاقاة النّجاسة، وفيه إشارة إلى عدم الفرق بين البئر وغيرها في اعتبار العلم أو ما قام مقامه</w:t>
      </w:r>
      <w:r>
        <w:rPr>
          <w:rStyle w:val="FootnoteAnchor"/>
          <w:rtl w:val="true"/>
        </w:rPr>
        <w:footnoteReference w:id="1019"/>
      </w:r>
      <w:r>
        <w:rPr>
          <w:rFonts w:ascii="IRNazanin" w:hAnsi="IRNazanin" w:eastAsia="IRNazanin"/>
          <w:color w:val="111111"/>
          <w:sz w:val="28"/>
          <w:sz w:val="28"/>
          <w:szCs w:val="28"/>
          <w:rtl w:val="true"/>
          <w:lang w:bidi="fa-IR"/>
        </w:rPr>
        <w:t xml:space="preserve">وإن ضعف حال البئر </w:t>
      </w:r>
    </w:p>
    <w:p>
      <w:pPr>
        <w:pStyle w:val="BookText"/>
        <w:rPr/>
      </w:pPr>
      <w:r>
        <w:rPr>
          <w:rFonts w:ascii="Amiri" w:hAnsi="Amiri" w:eastAsia="Amiri" w:cs="Amiri"/>
          <w:color w:val="111111"/>
          <w:sz w:val="28"/>
          <w:sz w:val="28"/>
          <w:szCs w:val="28"/>
          <w:rtl w:val="true"/>
          <w:lang w:bidi="ar-SA"/>
        </w:rPr>
        <w:t xml:space="preserve">بالنظر إلى الجاري والكثير وما شابههما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ما اختاره أبو الصلاح</w:t>
      </w:r>
      <w:r>
        <w:rPr>
          <w:rStyle w:val="FootnoteAnchor"/>
          <w:rtl w:val="true"/>
        </w:rPr>
        <w:footnoteReference w:id="1020"/>
      </w:r>
      <w:r>
        <w:rPr>
          <w:rFonts w:ascii="Amiri" w:hAnsi="Amiri" w:eastAsia="Amiri" w:cs="Amiri"/>
          <w:color w:val="111111"/>
          <w:sz w:val="28"/>
          <w:sz w:val="28"/>
          <w:szCs w:val="28"/>
          <w:rtl w:val="true"/>
          <w:lang w:bidi="ar-SA"/>
        </w:rPr>
        <w:t>لو غلب الظَّنِّ بالاتصال للتقارب وما شابهه نجست بطريق 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مظنون</w:t>
      </w:r>
      <w:r>
        <w:rPr>
          <w:rFonts w:eastAsia="IRNazanin" w:cs="IRNazanin"/>
          <w:color w:val="111111"/>
          <w:sz w:val="28"/>
          <w:szCs w:val="28"/>
          <w:rtl w:val="true"/>
          <w:lang w:bidi="fa-IR"/>
        </w:rPr>
        <w:t>)</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مطلق الظَّنّ في حصول الضرر معتبر، وأنّ دفعه واجب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استناداً إلى مرسلة ابن أبي عُمَيْر</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محمّد بن أبي عُمَير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عَجين عُجِن وخبز، ثُمَّ عُلِمَ أنّ الماء قد كان فيه ميتة،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أكلت النار ما فيه</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ولا دلالة لها على الطهارة بالخبز ؛ لجواز كون الماء المسؤول عنه كُرّاً، أو الميتة ميتة غير ذي نفس</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الاستفصال يفيد العموم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يدفعه تعليق الحكم بنفي البأس على إصابة النّار</w:t>
      </w:r>
      <w:r>
        <w:rPr>
          <w:rStyle w:val="FootnoteAnchor"/>
          <w:rtl w:val="true"/>
        </w:rPr>
        <w:footnoteReference w:id="1024"/>
      </w:r>
      <w:r>
        <w:rPr>
          <w:rFonts w:ascii="Amiri" w:hAnsi="Amiri" w:eastAsia="Amiri" w:cs="Amiri"/>
          <w:color w:val="111111"/>
          <w:sz w:val="28"/>
          <w:sz w:val="28"/>
          <w:szCs w:val="28"/>
          <w:rtl w:val="true"/>
          <w:lang w:bidi="ar-SA"/>
        </w:rPr>
        <w:t>إذ على ذلك التقدير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ترفع الكراهة، فإنّ سؤر ما لا يؤكل لحمه مكروه، وما مات فيه العقرب والوزغة والحيّة وما شابهها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الأقرب أنّه لا يباع</w:t>
      </w:r>
      <w:r>
        <w:rPr>
          <w:rFonts w:eastAsia="Amiri" w:cs="Amiri" w:ascii="Amiri" w:hAnsi="Amiri"/>
          <w:color w:val="111111"/>
          <w:sz w:val="28"/>
          <w:szCs w:val="28"/>
          <w:rtl w:val="true"/>
          <w:lang w:bidi="ar-SA"/>
        </w:rPr>
        <w:t>)</w:t>
      </w:r>
      <w:r>
        <w:rPr>
          <w:rStyle w:val="FootnoteAnchor"/>
          <w:rtl w:val="true"/>
        </w:rPr>
        <w:footnoteReference w:id="1025"/>
      </w:r>
    </w:p>
    <w:p>
      <w:pPr>
        <w:pStyle w:val="BookText"/>
        <w:rPr/>
      </w:pPr>
      <w:r>
        <w:rPr>
          <w:rFonts w:ascii="Amiri" w:hAnsi="Amiri" w:eastAsia="Amiri" w:cs="Amiri"/>
          <w:color w:val="111111"/>
          <w:sz w:val="28"/>
          <w:sz w:val="28"/>
          <w:szCs w:val="28"/>
          <w:rtl w:val="true"/>
          <w:lang w:bidi="ar-SA"/>
        </w:rPr>
        <w:t>لا يباع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أبي عمير النهي عن بيعه</w:t>
      </w:r>
      <w:r>
        <w:rPr>
          <w:rStyle w:val="FootnoteAnchor"/>
          <w:rtl w:val="true"/>
        </w:rPr>
        <w:footnoteReference w:id="1026"/>
      </w:r>
      <w:r>
        <w:rPr>
          <w:rFonts w:ascii="Amiri" w:hAnsi="Amiri" w:eastAsia="Amiri" w:cs="Amiri"/>
          <w:color w:val="111111"/>
          <w:sz w:val="28"/>
          <w:sz w:val="28"/>
          <w:szCs w:val="28"/>
          <w:rtl w:val="true"/>
          <w:lang w:bidi="ar-SA"/>
        </w:rPr>
        <w:t>، فحمل في المنتهى رواية بيعه ممن يستحلُّ الميتة على الاستنقاذ جمعاً بين الروايتين</w:t>
      </w:r>
      <w:r>
        <w:rPr>
          <w:rStyle w:val="FootnoteAnchor"/>
          <w:rtl w:val="true"/>
        </w:rPr>
        <w:footnoteReference w:id="1027"/>
      </w:r>
      <w:r>
        <w:rPr>
          <w:rFonts w:ascii="Amiri" w:hAnsi="Amiri" w:eastAsia="Amiri" w:cs="Amiri"/>
          <w:color w:val="111111"/>
          <w:sz w:val="28"/>
          <w:sz w:val="28"/>
          <w:szCs w:val="28"/>
          <w:rtl w:val="true"/>
          <w:lang w:bidi="ar-SA"/>
        </w:rPr>
        <w:t>، وكأنّه ينظر إلى أنّ المتبادر من مستحلّي الميتة غير أهل الكتاب؛ إذ لولا ذلك لكان التخصيص خيراً من المجاز عند التّعارض، وحينئذ فلا يظهر للمنع من بيعه وجه ؛ لجواز إطعامه الدّوابّ، فيكون تعبّداً، ويمكن الحصر في الدفن والبيع على الاستحباب</w:t>
      </w:r>
      <w:r>
        <w:rPr>
          <w:rFonts w:eastAsia="Amiri" w:cs="Amiri" w:ascii="Amiri" w:hAnsi="Amiri"/>
          <w:color w:val="111111"/>
          <w:sz w:val="28"/>
          <w:szCs w:val="28"/>
          <w:rtl w:val="true"/>
          <w:lang w:bidi="ar-SA"/>
        </w:rPr>
        <w:t xml:space="preserve">. </w:t>
      </w:r>
      <w:bookmarkStart w:id="338" w:name="pg8927_84641"/>
    </w:p>
    <w:p>
      <w:pPr>
        <w:pStyle w:val="Heading3"/>
        <w:numPr>
          <w:ilvl w:val="2"/>
          <w:numId w:val="1"/>
        </w:numPr>
        <w:rPr/>
      </w:pPr>
      <w:bookmarkStart w:id="339" w:name="__RefHeading___Toc1279288_2870459653"/>
      <w:bookmarkStart w:id="340" w:name="_Toc116"/>
      <w:bookmarkEnd w:id="338"/>
      <w:bookmarkEnd w:id="339"/>
      <w:r>
        <w:rPr>
          <w:rtl w:val="true"/>
        </w:rPr>
        <w:t>[</w:t>
      </w:r>
      <w:r>
        <w:rPr>
          <w:rtl w:val="true"/>
        </w:rPr>
        <w:t>أنواع النّجاسات</w:t>
      </w:r>
      <w:r>
        <w:rPr>
          <w:rtl w:val="true"/>
        </w:rPr>
        <w:t xml:space="preserve">: </w:t>
      </w:r>
      <w:r>
        <w:rPr>
          <w:rtl w:val="true"/>
        </w:rPr>
        <w:t>الدّم</w:t>
      </w:r>
      <w:r>
        <w:rPr>
          <w:rtl w:val="true"/>
        </w:rPr>
        <w:t>]</w:t>
      </w:r>
      <w:bookmarkEnd w:id="34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ذي النفس السائلة مطلقاً</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بالإطلاق إلى عدم الفرق بين الآدمي وغيره، ولا خلاف بين أهل الإسلام في نجاسة لحم غير الآدمي، وأمّا جلده فقد حُكِي عن الزُّهريّ</w:t>
      </w:r>
      <w:r>
        <w:rPr>
          <w:rStyle w:val="FootnoteAnchor"/>
          <w:rtl w:val="true"/>
        </w:rPr>
        <w:footnoteReference w:id="1029"/>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جلد الميتة لا ينجس، وهو أحد وجهي الشّافعيّة، وإنّما الزّهومة التي في الجلد نجسة فَيُؤمر بالدبغ لإزالتها</w:t>
      </w:r>
      <w:r>
        <w:rPr>
          <w:rFonts w:eastAsia="Amiri" w:cs="Amiri" w:ascii="Amiri" w:hAnsi="Amiri"/>
          <w:color w:val="111111"/>
          <w:sz w:val="28"/>
          <w:szCs w:val="28"/>
          <w:rtl w:val="true"/>
          <w:lang w:bidi="ar-SA"/>
        </w:rPr>
        <w:t>)</w:t>
      </w:r>
      <w:r>
        <w:rPr>
          <w:rStyle w:val="FootnoteAnchor"/>
          <w:rtl w:val="true"/>
        </w:rPr>
        <w:footnoteReference w:id="1030"/>
      </w:r>
      <w:r>
        <w:rPr>
          <w:rFonts w:ascii="Amiri" w:hAnsi="Amiri" w:eastAsia="Amiri" w:cs="Amiri"/>
          <w:color w:val="111111"/>
          <w:sz w:val="28"/>
          <w:sz w:val="28"/>
          <w:szCs w:val="28"/>
          <w:rtl w:val="true"/>
          <w:lang w:bidi="ar-SA"/>
        </w:rPr>
        <w:t>، وللشّافعيّ في تنجيس الآدمي بالموت قولان،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محتجاً بأنّه يغسل، فلا يكون نجساً؛ لانتفاء الفائدة</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المنع إلى الملازمة وإلى انتفاء الفائدة؛ لاختلاف النجاسات العينية، فلعل اختصاصه من بينها؛ لاختصاصه بالتكريم</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1279290_2870459653"/>
      <w:bookmarkStart w:id="342" w:name="_Toc117"/>
      <w:bookmarkEnd w:id="341"/>
      <w:r>
        <w:rPr>
          <w:rtl w:val="true"/>
        </w:rPr>
        <w:t>[</w:t>
      </w:r>
      <w:r>
        <w:rPr>
          <w:rtl w:val="true"/>
        </w:rPr>
        <w:t>نجاسة المتولد من الكلب والخنزير</w:t>
      </w:r>
      <w:r>
        <w:rPr>
          <w:rtl w:val="true"/>
        </w:rPr>
        <w:t>]</w:t>
      </w:r>
      <w:bookmarkEnd w:id="34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بعيداً</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bookmarkStart w:id="343" w:name="pg8927_84642"/>
    </w:p>
    <w:p>
      <w:pPr>
        <w:pStyle w:val="BookText"/>
        <w:rPr/>
      </w:pPr>
      <w:bookmarkEnd w:id="3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الأصح الحكم بنجاسته؛ لأنه بعض من نجس، فيستصحب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المصنّف في المنتهى الميل إليه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الحيوان المتولد من الكلب والخنزير نجس وإن لم يقع عليه اسم أحدهما، على إشكال</w:t>
      </w:r>
      <w:r>
        <w:rPr>
          <w:rFonts w:eastAsia="Amiri" w:cs="Amiri" w:ascii="Amiri" w:hAnsi="Amiri"/>
          <w:color w:val="111111"/>
          <w:sz w:val="28"/>
          <w:szCs w:val="28"/>
          <w:rtl w:val="true"/>
          <w:lang w:bidi="ar-SA"/>
        </w:rPr>
        <w:t>)</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 w:name="__RefHeading___Toc1279292_2870459653"/>
      <w:bookmarkStart w:id="345" w:name="_Toc118"/>
      <w:bookmarkEnd w:id="344"/>
      <w:r>
        <w:rPr>
          <w:rtl w:val="true"/>
        </w:rPr>
        <w:t>[</w:t>
      </w:r>
      <w:r>
        <w:rPr>
          <w:rtl w:val="true"/>
        </w:rPr>
        <w:t>أجزاء الكلب والخنزير</w:t>
      </w:r>
      <w:r>
        <w:rPr>
          <w:rtl w:val="true"/>
        </w:rPr>
        <w:t>]</w:t>
      </w:r>
      <w:bookmarkEnd w:id="345"/>
    </w:p>
    <w:p>
      <w:pPr>
        <w:pStyle w:val="BookText"/>
        <w:rPr/>
      </w:pPr>
      <w:r>
        <w:rPr>
          <w:rFonts w:ascii="Amiri" w:hAnsi="Amiri" w:eastAsia="Amiri" w:cs="Amiri"/>
          <w:color w:val="111111"/>
          <w:sz w:val="28"/>
          <w:sz w:val="28"/>
          <w:szCs w:val="28"/>
          <w:rtl w:val="true"/>
          <w:lang w:bidi="ar-SA"/>
        </w:rPr>
        <w:t>لا يخفى ما في كلامه</w:t>
      </w:r>
      <w:r>
        <w:rPr>
          <w:rStyle w:val="FootnoteAnchor"/>
          <w:rtl w:val="true"/>
        </w:rPr>
        <w:footnoteReference w:id="1035"/>
      </w:r>
      <w:r>
        <w:rPr>
          <w:rFonts w:ascii="Amiri" w:hAnsi="Amiri" w:eastAsia="Amiri" w:cs="Amiri"/>
          <w:color w:val="111111"/>
          <w:sz w:val="28"/>
          <w:sz w:val="28"/>
          <w:szCs w:val="28"/>
          <w:rtl w:val="true"/>
          <w:lang w:bidi="ar-SA"/>
        </w:rPr>
        <w:t>، فإنّ عدم نجاسته بالموت لا يستلزم عدم نجاسته مطلقاً، والأصح النّجاسة</w:t>
      </w:r>
      <w:r>
        <w:rPr>
          <w:rFonts w:eastAsia="Amiri" w:cs="Amiri" w:ascii="Amiri" w:hAnsi="Amiri"/>
          <w:color w:val="111111"/>
          <w:sz w:val="28"/>
          <w:szCs w:val="28"/>
          <w:rtl w:val="true"/>
          <w:lang w:bidi="ar-SA"/>
        </w:rPr>
        <w:t>.</w:t>
      </w:r>
    </w:p>
    <w:p>
      <w:pPr>
        <w:pStyle w:val="Heading3"/>
        <w:numPr>
          <w:ilvl w:val="2"/>
          <w:numId w:val="1"/>
        </w:numPr>
        <w:rPr/>
      </w:pPr>
      <w:bookmarkStart w:id="346" w:name="__RefHeading___Toc1279294_2870459653"/>
      <w:bookmarkStart w:id="347" w:name="_Toc119"/>
      <w:bookmarkEnd w:id="346"/>
      <w:r>
        <w:rPr>
          <w:rtl w:val="true"/>
        </w:rPr>
        <w:t>[</w:t>
      </w:r>
      <w:r>
        <w:rPr>
          <w:rtl w:val="true"/>
        </w:rPr>
        <w:t>المسكرات</w:t>
      </w:r>
      <w:r>
        <w:rPr>
          <w:rtl w:val="true"/>
        </w:rPr>
        <w:t>]</w:t>
      </w:r>
      <w:bookmarkEnd w:id="347"/>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خمر وغيره</w:t>
      </w:r>
      <w:r>
        <w:rPr>
          <w:rFonts w:eastAsia="Amiri" w:cs="Amiri" w:ascii="Amiri" w:hAnsi="Amiri"/>
          <w:color w:val="111111"/>
          <w:sz w:val="28"/>
          <w:szCs w:val="28"/>
          <w:rtl w:val="true"/>
          <w:lang w:bidi="ar-SA"/>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نجاسة الخمر دلّ عليها الكلام المجيد مع اشتماله على الأمر باجتنابه</w:t>
      </w:r>
      <w:r>
        <w:rPr>
          <w:rStyle w:val="FootnoteAnchor"/>
          <w:rtl w:val="true"/>
        </w:rPr>
        <w:footnoteReference w:id="1037"/>
      </w:r>
      <w:r>
        <w:rPr>
          <w:rFonts w:ascii="Amiri" w:hAnsi="Amiri" w:eastAsia="Amiri" w:cs="Amiri"/>
          <w:color w:val="111111"/>
          <w:sz w:val="28"/>
          <w:sz w:val="28"/>
          <w:szCs w:val="28"/>
          <w:rtl w:val="true"/>
          <w:lang w:bidi="ar-SA"/>
        </w:rPr>
        <w:t xml:space="preserve">، ولا يعدّ </w:t>
      </w:r>
      <w:bookmarkStart w:id="348" w:name="pg8927_84643"/>
    </w:p>
    <w:p>
      <w:pPr>
        <w:pStyle w:val="BookText"/>
        <w:rPr/>
      </w:pPr>
      <w:bookmarkEnd w:id="348"/>
      <w:r>
        <w:rPr>
          <w:rFonts w:ascii="Amiri" w:hAnsi="Amiri" w:eastAsia="Amiri" w:cs="Amiri"/>
          <w:color w:val="111111"/>
          <w:sz w:val="28"/>
          <w:sz w:val="28"/>
          <w:szCs w:val="28"/>
          <w:rtl w:val="true"/>
          <w:lang w:bidi="ar-SA"/>
        </w:rPr>
        <w:t>عرفاً الملاقي له أو المبقي أثره مجتنباً، فوجب إزالته بما يعد مزيلاً شرعاً، ولا معنى للنّجس سوى ذلك، وبنجاسته قال أكثر أهل العلم منا</w:t>
      </w:r>
      <w:r>
        <w:rPr>
          <w:rStyle w:val="FootnoteAnchor"/>
          <w:rtl w:val="true"/>
        </w:rPr>
        <w:footnoteReference w:id="1038"/>
      </w:r>
      <w:r>
        <w:rPr>
          <w:rFonts w:ascii="Amiri" w:hAnsi="Amiri" w:eastAsia="Amiri" w:cs="Amiri"/>
          <w:color w:val="111111"/>
          <w:sz w:val="28"/>
          <w:sz w:val="28"/>
          <w:szCs w:val="28"/>
          <w:rtl w:val="true"/>
          <w:lang w:bidi="ar-SA"/>
        </w:rPr>
        <w:t>ومن العامة</w:t>
      </w:r>
      <w:r>
        <w:rPr>
          <w:rStyle w:val="FootnoteAnchor"/>
          <w:rtl w:val="true"/>
        </w:rPr>
        <w:footnoteReference w:id="1039"/>
      </w:r>
      <w:r>
        <w:rPr>
          <w:rFonts w:ascii="Amiri" w:hAnsi="Amiri" w:eastAsia="Amiri" w:cs="Amiri"/>
          <w:color w:val="111111"/>
          <w:sz w:val="28"/>
          <w:sz w:val="28"/>
          <w:szCs w:val="28"/>
          <w:rtl w:val="true"/>
          <w:lang w:bidi="ar-SA"/>
        </w:rPr>
        <w:t>،وجوز ابن بابويه  الصّلاة في ثوب أصابه خمر</w:t>
      </w:r>
      <w:r>
        <w:rPr>
          <w:rStyle w:val="FootnoteAnchor"/>
          <w:rtl w:val="true"/>
        </w:rPr>
        <w:footnoteReference w:id="1040"/>
      </w:r>
      <w:r>
        <w:rPr>
          <w:rFonts w:ascii="IRNazanin" w:hAnsi="IRNazanin" w:eastAsia="IRNazanin"/>
          <w:color w:val="111111"/>
          <w:sz w:val="28"/>
          <w:sz w:val="28"/>
          <w:szCs w:val="28"/>
          <w:rtl w:val="true"/>
          <w:lang w:bidi="fa-IR"/>
        </w:rPr>
        <w:t>، وقال داود</w:t>
      </w:r>
      <w:r>
        <w:rPr>
          <w:rStyle w:val="FootnoteAnchor"/>
          <w:rtl w:val="true"/>
        </w:rPr>
        <w:footnoteReference w:id="1041"/>
      </w:r>
      <w:r>
        <w:rPr>
          <w:rFonts w:ascii="IRNazanin" w:hAnsi="IRNazanin" w:eastAsia="IRNazanin"/>
          <w:color w:val="111111"/>
          <w:sz w:val="28"/>
          <w:sz w:val="28"/>
          <w:szCs w:val="28"/>
          <w:rtl w:val="true"/>
          <w:lang w:bidi="fa-IR"/>
        </w:rPr>
        <w:t xml:space="preserve">،هو طاهر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غيره من المسكرات المائعة فلدلالة الأخبار الصّحيحة على مساواتها له، ففي الصحيح عن أبي الحسن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 الله لم يحرّم الخمر لاسمها، ولكن حرّمها لعاقبتها، فما كان عاقبته عاقبة الخمر فهو خمر</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1279296_2870459653"/>
      <w:bookmarkStart w:id="350" w:name="_Toc120"/>
      <w:bookmarkEnd w:id="349"/>
      <w:r>
        <w:rPr>
          <w:rtl w:val="true"/>
        </w:rPr>
        <w:t>[</w:t>
      </w:r>
      <w:r>
        <w:rPr>
          <w:rtl w:val="true"/>
        </w:rPr>
        <w:t>العصير العنبي</w:t>
      </w:r>
      <w:r>
        <w:rPr>
          <w:rtl w:val="true"/>
        </w:rPr>
        <w:t>]</w:t>
      </w:r>
      <w:bookmarkEnd w:id="35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خلاف ذلك</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 xml:space="preserve">. </w:t>
      </w:r>
      <w:bookmarkStart w:id="351" w:name="pg8927_84644"/>
    </w:p>
    <w:p>
      <w:pPr>
        <w:pStyle w:val="BookText"/>
        <w:rPr/>
      </w:pPr>
      <w:bookmarkEnd w:id="351"/>
      <w:r>
        <w:rPr>
          <w:rFonts w:ascii="Amiri" w:hAnsi="Amiri" w:eastAsia="Amiri" w:cs="Amiri"/>
          <w:color w:val="111111"/>
          <w:sz w:val="28"/>
          <w:sz w:val="28"/>
          <w:szCs w:val="28"/>
          <w:rtl w:val="true"/>
          <w:lang w:bidi="ar-SA"/>
        </w:rPr>
        <w:t>فإنّه</w:t>
      </w:r>
      <w:r>
        <w:rPr>
          <w:rStyle w:val="FootnoteAnchor"/>
          <w:rtl w:val="true"/>
        </w:rPr>
        <w:footnoteReference w:id="1045"/>
      </w:r>
      <w:r>
        <w:rPr>
          <w:rFonts w:ascii="Amiri" w:hAnsi="Amiri" w:eastAsia="Amiri" w:cs="Amiri"/>
          <w:color w:val="111111"/>
          <w:sz w:val="28"/>
          <w:sz w:val="28"/>
          <w:szCs w:val="28"/>
          <w:rtl w:val="true"/>
          <w:lang w:bidi="ar-SA"/>
        </w:rPr>
        <w:t>بعد أن نقل عن ابن حمزة وعن صاحب المعتبر النّجاسة،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وتوقف الفاضل في نهايته، ولم نقف لغيرهم على قول بالنّجاسة، ولا نص على نجاسة غير المسكر، وهو منتف هنا</w:t>
      </w:r>
      <w:r>
        <w:rPr>
          <w:rFonts w:eastAsia="Amiri" w:cs="Amiri" w:ascii="Amiri" w:hAnsi="Amiri"/>
          <w:color w:val="111111"/>
          <w:sz w:val="28"/>
          <w:szCs w:val="28"/>
          <w:rtl w:val="true"/>
          <w:lang w:bidi="ar-SA"/>
        </w:rPr>
        <w:t>)</w:t>
      </w:r>
      <w:r>
        <w:rPr>
          <w:rStyle w:val="FootnoteAnchor"/>
          <w:rtl w:val="true"/>
        </w:rPr>
        <w:footnoteReference w:id="1046"/>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إسكار الخمر بمجرّد غليانه و اشتداده، فكان الإسكار عاقبة له، والعصير إذا غلى واشتدّ واستمر ولم يمنع مانع كان كذلك؛ لأنّ وجود العلّة كافٍ في العلم بوجود المعلول، فساواه في العاقبة؛ لأنّ ما كان كذلك عُدّ عاقبة عرفاً، وقد دلّ قول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عاقبته عاقبة الخمر فهو 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فأعطي حكمه في النّجاسة، ويتبعها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القوم يعطي حصوله بمجرّدهما، فعلى هذا لا يقدح خفاء إسكاره؛ إذ حصوله كافٍ في التحريم كالفقاع</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279298_2870459653"/>
      <w:bookmarkStart w:id="353" w:name="_Toc121"/>
      <w:bookmarkEnd w:id="352"/>
      <w:r>
        <w:rPr>
          <w:rtl w:val="true"/>
        </w:rPr>
        <w:t>[</w:t>
      </w:r>
      <w:r>
        <w:rPr>
          <w:rtl w:val="true"/>
        </w:rPr>
        <w:t>نجاسة الكافر</w:t>
      </w:r>
      <w:r>
        <w:rPr>
          <w:rtl w:val="true"/>
        </w:rPr>
        <w:t>]</w:t>
      </w:r>
      <w:bookmarkEnd w:id="35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انتسب كالخوارج والغلاة</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bookmarkStart w:id="354" w:name="pg8927_84645"/>
    </w:p>
    <w:p>
      <w:pPr>
        <w:pStyle w:val="BookText"/>
        <w:rPr/>
      </w:pPr>
      <w:bookmarkEnd w:id="354"/>
      <w:r>
        <w:rPr>
          <w:rFonts w:ascii="Amiri" w:hAnsi="Amiri" w:eastAsia="Amiri" w:cs="Amiri"/>
          <w:color w:val="111111"/>
          <w:sz w:val="28"/>
          <w:sz w:val="28"/>
          <w:szCs w:val="28"/>
          <w:rtl w:val="true"/>
          <w:lang w:bidi="ar-SA"/>
        </w:rPr>
        <w:t>والدليل على نجاسة الكافر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المُشْرِكُونَ نَجَسٌ</w:t>
      </w:r>
      <w:r>
        <w:rPr>
          <w:rStyle w:val="FootnoteAnchor"/>
          <w:rtl w:val="true"/>
        </w:rPr>
        <w:footnoteReference w:id="1048"/>
      </w:r>
      <w:r>
        <w:rPr>
          <w:rFonts w:ascii="Amiri" w:hAnsi="Amiri" w:eastAsia="Amiri" w:cs="Amiri"/>
          <w:color w:val="111111"/>
          <w:sz w:val="28"/>
          <w:sz w:val="28"/>
          <w:szCs w:val="28"/>
          <w:rtl w:val="true"/>
          <w:lang w:bidi="ar-SA"/>
        </w:rPr>
        <w:t xml:space="preserve">، وتقدير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الأصل، وإطلاق الإشراك</w:t>
      </w:r>
      <w:r>
        <w:rPr>
          <w:rStyle w:val="FootnoteAnchor"/>
          <w:rtl w:val="true"/>
        </w:rPr>
        <w:footnoteReference w:id="1049"/>
      </w:r>
      <w:r>
        <w:rPr>
          <w:rFonts w:ascii="Amiri" w:hAnsi="Amiri" w:eastAsia="Amiri" w:cs="Amiri"/>
          <w:color w:val="111111"/>
          <w:sz w:val="28"/>
          <w:sz w:val="28"/>
          <w:szCs w:val="28"/>
          <w:rtl w:val="true"/>
          <w:lang w:bidi="ar-SA"/>
        </w:rPr>
        <w:t>على أهل الكتاب واقع في القرآن، قال الله تعالى في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يُشْرِكُونَ</w:t>
      </w:r>
      <w:r>
        <w:rPr>
          <w:rStyle w:val="FootnoteAnchor"/>
          <w:rtl w:val="true"/>
        </w:rPr>
        <w:footnoteReference w:id="105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كَذَلِكَ يَجْعَلُ اللَّهُ الرِّجْسَ عَلَى الَّذِينَ لَا يُؤْمِنُونَ</w:t>
      </w:r>
      <w:r>
        <w:rPr>
          <w:rStyle w:val="FootnoteAnchor"/>
          <w:rtl w:val="true"/>
        </w:rPr>
        <w:footnoteReference w:id="1051"/>
      </w:r>
      <w:r>
        <w:rPr>
          <w:rFonts w:ascii="Amiri" w:hAnsi="Amiri" w:eastAsia="Amiri" w:cs="Amiri"/>
          <w:color w:val="111111"/>
          <w:sz w:val="28"/>
          <w:sz w:val="28"/>
          <w:szCs w:val="28"/>
          <w:rtl w:val="true"/>
          <w:lang w:bidi="ar-SA"/>
        </w:rPr>
        <w:t>دلّ على نجاسة جميع أصناف الكفّار، وخالف الجمهور في نجاستهم</w:t>
      </w:r>
      <w:r>
        <w:rPr>
          <w:rStyle w:val="FootnoteAnchor"/>
          <w:rtl w:val="true"/>
        </w:rPr>
        <w:footnoteReference w:id="1052"/>
      </w:r>
      <w:r>
        <w:rPr>
          <w:rFonts w:ascii="Amiri" w:hAnsi="Amiri" w:eastAsia="Amiri" w:cs="Amiri"/>
          <w:color w:val="111111"/>
          <w:sz w:val="28"/>
          <w:sz w:val="28"/>
          <w:szCs w:val="28"/>
          <w:rtl w:val="true"/>
          <w:lang w:bidi="ar-SA"/>
        </w:rPr>
        <w:t>، وظواهر القرآن والأخبار حجّة عليهم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1279300_2870459653"/>
      <w:bookmarkStart w:id="356" w:name="_Toc122"/>
      <w:bookmarkEnd w:id="355"/>
      <w:r>
        <w:rPr>
          <w:rtl w:val="true"/>
        </w:rPr>
        <w:t>[</w:t>
      </w:r>
      <w:r>
        <w:rPr>
          <w:rtl w:val="true"/>
        </w:rPr>
        <w:t>الإنفحة</w:t>
      </w:r>
      <w:r>
        <w:rPr>
          <w:rtl w:val="true"/>
        </w:rPr>
        <w:t>]</w:t>
      </w:r>
      <w:bookmarkEnd w:id="356"/>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الإنفحة</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الإنفحة بكسر الهمزة شيء يستخرج من بطن الرّاضع الأصغر، فيعتصر في صُوفة فيغلظ كالجبن، فإذا أكل الجدي فهي كرْشُ</w:t>
      </w:r>
      <w:r>
        <w:rPr>
          <w:rStyle w:val="FootnoteAnchor"/>
          <w:rtl w:val="true"/>
        </w:rPr>
        <w:footnoteReference w:id="1055"/>
      </w:r>
      <w:r>
        <w:rPr>
          <w:rFonts w:ascii="Amiri" w:hAnsi="Amiri" w:eastAsia="Amiri" w:cs="Amiri"/>
          <w:color w:val="111111"/>
          <w:sz w:val="28"/>
          <w:sz w:val="28"/>
          <w:szCs w:val="28"/>
          <w:rtl w:val="true"/>
          <w:lang w:bidi="ar-SA"/>
        </w:rPr>
        <w:t>، كذا في القاموس</w:t>
      </w:r>
      <w:r>
        <w:rPr>
          <w:rStyle w:val="FootnoteAnchor"/>
          <w:rtl w:val="true"/>
        </w:rPr>
        <w:footnoteReference w:id="10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تطهير </w:t>
      </w:r>
      <w:bookmarkStart w:id="357" w:name="pg8927_84646"/>
    </w:p>
    <w:p>
      <w:pPr>
        <w:pStyle w:val="BookText"/>
        <w:rPr/>
      </w:pPr>
      <w:bookmarkEnd w:id="357"/>
      <w:r>
        <w:rPr>
          <w:rFonts w:ascii="Amiri" w:hAnsi="Amiri" w:eastAsia="Amiri" w:cs="Amiri"/>
          <w:color w:val="111111"/>
          <w:sz w:val="28"/>
          <w:sz w:val="28"/>
          <w:szCs w:val="28"/>
          <w:rtl w:val="true"/>
          <w:lang w:bidi="ar-SA"/>
        </w:rPr>
        <w:t>ظاهرها من الميتة للملاقاة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لبن الميتة روايتان، أصحهما الطهارة</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 xml:space="preserve">وما دلّ على عدم الطهارة هو ما رواه الشيخ بإسناده عن وهب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شاة ماتت فحلب منها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الحرام محضاً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ضعيفة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تهذيب الأحكام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باب الذبائح والأطعمة وما يحلّ من ذلك وما يحرم منه ، ح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الاستبصار في ما اختلف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باب ما يجوز الانتفاع به من الميتة،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ونقل الشّيخ فيه الإجماع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1279302_2870459653"/>
      <w:bookmarkStart w:id="359" w:name="_Toc123"/>
      <w:bookmarkEnd w:id="358"/>
      <w:r>
        <w:rPr>
          <w:rtl w:val="true"/>
        </w:rPr>
        <w:t>[</w:t>
      </w:r>
      <w:r>
        <w:rPr>
          <w:rtl w:val="true"/>
        </w:rPr>
        <w:t>الكفار</w:t>
      </w:r>
      <w:r>
        <w:rPr>
          <w:rtl w:val="true"/>
        </w:rPr>
        <w:t>]</w:t>
      </w:r>
      <w:bookmarkEnd w:id="359"/>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05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عدا الخوارج</w:t>
      </w:r>
      <w:r>
        <w:rPr>
          <w:rFonts w:eastAsia="IRNazanin" w:cs="IRNazanin"/>
          <w:color w:val="111111"/>
          <w:sz w:val="28"/>
          <w:szCs w:val="28"/>
          <w:rtl w:val="true"/>
          <w:lang w:bidi="fa-IR"/>
        </w:rPr>
        <w:t>)</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من فِرَق الإسلام، لا أشخاص المسلمين، فلا ينافي ذلك القول بنجاسة من </w:t>
      </w:r>
      <w:bookmarkStart w:id="360" w:name="pg8927_84647"/>
    </w:p>
    <w:p>
      <w:pPr>
        <w:pStyle w:val="BookText"/>
        <w:rPr/>
      </w:pPr>
      <w:bookmarkEnd w:id="360"/>
      <w:r>
        <w:rPr>
          <w:rFonts w:ascii="Amiri" w:hAnsi="Amiri" w:eastAsia="Amiri" w:cs="Amiri"/>
          <w:color w:val="111111"/>
          <w:sz w:val="28"/>
          <w:sz w:val="28"/>
          <w:szCs w:val="28"/>
          <w:rtl w:val="true"/>
          <w:lang w:bidi="ar-SA"/>
        </w:rPr>
        <w:t>أنكر منهم ضرورياً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المجسّمة</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المجسّمة هم القائلون بأنّ الله تعالى جسم حقيقة، وهؤلاء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يقول إنّه جسم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جسم لا كالأجسام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شبهة في كفر الفريقين؛ لاستلزام مقالتهم انتفاء الواجب، لما ثبت من أنّ كلّ جسم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المجسّمة بالتسمية المجرّدة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وأما من أطلق عليه سبحانه اسم الجسم مجازاً فالظاهر أنّه لا يُكفّر وإن فسق؛ إذ لا منع إلّا في إطلاق اللفظ ، وحيث إنّ أسماء الله تعالى توقيفية أثم</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279304_2870459653"/>
      <w:bookmarkStart w:id="362" w:name="_Toc124"/>
      <w:bookmarkEnd w:id="361"/>
      <w:r>
        <w:rPr>
          <w:rtl w:val="true"/>
        </w:rPr>
        <w:t>[</w:t>
      </w:r>
      <w:r>
        <w:rPr>
          <w:rtl w:val="true"/>
        </w:rPr>
        <w:t>الفأرة والوزغة</w:t>
      </w:r>
      <w:r>
        <w:rPr>
          <w:rtl w:val="true"/>
        </w:rPr>
        <w:t>]</w:t>
      </w:r>
      <w:bookmarkEnd w:id="362"/>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ما رواه علي بن جعفر في الصحيح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الفأرة الرّطبة قد وقعت في الماء تمشي على التّياب أيصلّى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اغسل ما </w:t>
      </w:r>
    </w:p>
    <w:p>
      <w:pPr>
        <w:pStyle w:val="BookText"/>
        <w:rPr/>
      </w:pPr>
      <w:r>
        <w:rPr>
          <w:rFonts w:ascii="Amiri" w:hAnsi="Amiri" w:eastAsia="Amiri" w:cs="Amiri"/>
          <w:color w:val="111111"/>
          <w:sz w:val="28"/>
          <w:sz w:val="28"/>
          <w:szCs w:val="28"/>
          <w:rtl w:val="true"/>
          <w:lang w:bidi="ar-SA"/>
        </w:rPr>
        <w:t>رأيت من أثرها، وما لم تره فانضحه بالماء</w:t>
      </w:r>
      <w:r>
        <w:rPr>
          <w:rFonts w:eastAsia="Amiri" w:cs="Amiri" w:ascii="Amiri" w:hAnsi="Amiri"/>
          <w:color w:val="111111"/>
          <w:sz w:val="28"/>
          <w:szCs w:val="28"/>
          <w:rtl w:val="true"/>
          <w:lang w:bidi="ar-SA"/>
        </w:rPr>
        <w:t>)</w:t>
      </w:r>
      <w:r>
        <w:rPr>
          <w:rStyle w:val="FootnoteAnchor"/>
          <w:rtl w:val="true"/>
        </w:rPr>
        <w:footnoteReference w:id="1062"/>
      </w:r>
      <w:r>
        <w:rPr>
          <w:rFonts w:ascii="Amiri" w:hAnsi="Amiri" w:eastAsia="Amiri" w:cs="Amiri"/>
          <w:color w:val="111111"/>
          <w:sz w:val="28"/>
          <w:sz w:val="28"/>
          <w:szCs w:val="28"/>
          <w:rtl w:val="true"/>
          <w:lang w:bidi="ar-SA"/>
        </w:rPr>
        <w:t>ولا دلالة فيها على نجاسة الفأرة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نُظر إلى المسؤول عنه قلنا جاز أن تكون رطوبتها بماء نجس وقعت فيه؛ فإنّه لعُسر التّحرّز عنها جاز العفو، فصح الاستفسار ، ولعلم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بالحال لم يستفصل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نُظر إلى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اغسل ما رأيته من أثرها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إيجاب الغسل لا يدلّ بظاهر اللفظ على النّجاسة، بل بما هو الغالب من أنّ العلة ذلك، ومثل هذا لا يصلح معارضاً لما دلّ بعموم لفظه على الطّهارة؛ لأنّ دلالة المنطوق أولى، فإنّ في رواية الفضل أبي العبّاس الصّحيحة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سأله عن فضل الهرّ وغيرها حتى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أترك شيئاً إلا سألته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انتهيتُ إلى الكلب،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رجس 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وبنفي البأس</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الرّواية بنفي البأس عن السَّمْن والزيت تقع فيه الفأرة ضعيفة</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 xml:space="preserve">والرّواية ضعيفة؛ 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توثيق صريح له في كتب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1126</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الأبواب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الاستدلال نظر</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منشأ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اشتمال الرّواية المستمسك بها على ما ينافي المطلوب، وهي ما رواه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يجوز أن يمسّ التّعلبَ والأرنب أو شيئاً من السباع حيّاً أو ميتاً؟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 ولكن يغسل يده</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 xml:space="preserve">، فإنّ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ينا في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تمسكاً بالأصل</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وتغليباً للحرام؛ فإنّه</w:t>
      </w:r>
      <w:r>
        <w:rPr>
          <w:rStyle w:val="FootnoteAnchor"/>
          <w:rtl w:val="true"/>
        </w:rPr>
        <w:footnoteReference w:id="1069"/>
      </w:r>
      <w:r>
        <w:rPr>
          <w:rFonts w:ascii="IRNazanin" w:hAnsi="IRNazanin" w:eastAsia="IRNazanin"/>
          <w:color w:val="111111"/>
          <w:sz w:val="28"/>
          <w:sz w:val="28"/>
          <w:szCs w:val="28"/>
          <w:rtl w:val="true"/>
          <w:lang w:bidi="fa-IR"/>
        </w:rPr>
        <w:t>ما اجتمع حلال مع حرام إلّا وغلب الحرام الحلال</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0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المستحيل في بواطن حبّات العنب نجس</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بعض الشّافعيّة إلى أنّ المستحيل خمراً في بواطن الحبّات لا ينجس؛ قياساً على ما في بواطن الحيوانات</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الأصل</w:t>
      </w:r>
      <w:r>
        <w:rPr>
          <w:rStyle w:val="FootnoteAnchor"/>
          <w:rtl w:val="true"/>
        </w:rPr>
        <w:footnoteReference w:id="1074"/>
      </w:r>
      <w:r>
        <w:rPr>
          <w:rFonts w:ascii="Amiri" w:hAnsi="Amiri" w:eastAsia="Amiri" w:cs="Amiri"/>
          <w:color w:val="111111"/>
          <w:sz w:val="28"/>
          <w:sz w:val="28"/>
          <w:szCs w:val="28"/>
          <w:rtl w:val="true"/>
          <w:lang w:bidi="ar-SA"/>
        </w:rPr>
        <w:t>ممنوع، والنجاسة معلّقة على الخمرية، فأين حصلت ثبت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الدود المتولّد</w:t>
      </w:r>
      <w:r>
        <w:rPr>
          <w:rFonts w:eastAsia="IRNazanin" w:cs="IRNazanin"/>
          <w:color w:val="111111"/>
          <w:sz w:val="28"/>
          <w:szCs w:val="28"/>
          <w:rtl w:val="true"/>
          <w:lang w:bidi="fa-IR"/>
        </w:rPr>
        <w:t>)</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خالف بعض الشّافعيّة في الدود المتولد من الميتة فحكم بنجاسته</w:t>
      </w:r>
      <w:r>
        <w:rPr>
          <w:rStyle w:val="FootnoteAnchor"/>
          <w:rtl w:val="true"/>
        </w:rPr>
        <w:footnoteReference w:id="1077"/>
      </w:r>
      <w:r>
        <w:rPr>
          <w:rFonts w:ascii="Amiri" w:hAnsi="Amiri" w:eastAsia="Amiri" w:cs="Amiri"/>
          <w:color w:val="111111"/>
          <w:sz w:val="28"/>
          <w:sz w:val="28"/>
          <w:szCs w:val="28"/>
          <w:rtl w:val="true"/>
          <w:lang w:bidi="ar-SA"/>
        </w:rPr>
        <w:t>، فكأنه ينظر إلى أنّ نجاسة أصله اقتضت نجاسته كالمتولّد بين الكلبين والخنزيرين، أو الكلب والخنزير على ما هو الأصح</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يُفرّق بين المتولّد من الماء وغيره؛ نظراً إلى صدق اسم الولد الموجب للوحدة بحسب النوع غالباً، وإلى العلم بكونه منه في الماء بخلاف غيره؛ إذ المعلوم تولّده فيه، أما منه فلا</w:t>
      </w:r>
      <w:r>
        <w:rPr>
          <w:rFonts w:eastAsia="Amiri" w:cs="Amiri" w:ascii="Amiri" w:hAnsi="Amiri"/>
          <w:color w:val="111111"/>
          <w:sz w:val="28"/>
          <w:szCs w:val="28"/>
          <w:rtl w:val="true"/>
          <w:lang w:bidi="ar-SA"/>
        </w:rPr>
        <w:t xml:space="preserve">. </w:t>
      </w:r>
      <w:bookmarkStart w:id="363" w:name="pg8927_84651"/>
    </w:p>
    <w:p>
      <w:pPr>
        <w:pStyle w:val="Heading3"/>
        <w:numPr>
          <w:ilvl w:val="2"/>
          <w:numId w:val="1"/>
        </w:numPr>
        <w:rPr/>
      </w:pPr>
      <w:bookmarkStart w:id="364" w:name="__RefHeading___Toc1279306_2870459653"/>
      <w:bookmarkStart w:id="365" w:name="_Toc125"/>
      <w:bookmarkEnd w:id="363"/>
      <w:bookmarkEnd w:id="364"/>
      <w:r>
        <w:rPr>
          <w:rtl w:val="true"/>
        </w:rPr>
        <w:t>[</w:t>
      </w:r>
      <w:r>
        <w:rPr>
          <w:rtl w:val="true"/>
        </w:rPr>
        <w:t>ميتة الآدمي</w:t>
      </w:r>
      <w:r>
        <w:rPr>
          <w:rtl w:val="true"/>
        </w:rPr>
        <w:t>]</w:t>
      </w:r>
      <w:bookmarkEnd w:id="365"/>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وسيأتي الكلام عليه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نقف على خلاف للمرتضى في عروض النّجاسة للآدمي بالموت، وما سيأتي إنّما هو في بيان وجوب الغسل بمسه</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حیوان</w:t>
      </w:r>
      <w:r>
        <w:rPr>
          <w:rFonts w:eastAsia="IRNazanin" w:cs="IRNazanin"/>
          <w:color w:val="111111"/>
          <w:sz w:val="28"/>
          <w:szCs w:val="28"/>
          <w:rtl w:val="true"/>
          <w:lang w:bidi="fa-IR"/>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1279308_2870459653"/>
      <w:bookmarkStart w:id="367" w:name="_Toc126"/>
      <w:bookmarkEnd w:id="366"/>
      <w:r>
        <w:rPr>
          <w:rtl w:val="true"/>
        </w:rPr>
        <w:t>[</w:t>
      </w:r>
      <w:r>
        <w:rPr>
          <w:rtl w:val="true"/>
        </w:rPr>
        <w:t>العلقة</w:t>
      </w:r>
      <w:r>
        <w:rPr>
          <w:rtl w:val="true"/>
        </w:rPr>
        <w:t>]</w:t>
      </w:r>
      <w:bookmarkEnd w:id="36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يمنع ذلك ؛ لأنّ تكوّنها</w:t>
      </w:r>
      <w:r>
        <w:rPr>
          <w:rStyle w:val="FootnoteAnchor"/>
          <w:rtl w:val="true"/>
        </w:rPr>
        <w:footnoteReference w:id="1082"/>
      </w:r>
      <w:r>
        <w:rPr>
          <w:rFonts w:ascii="Amiri" w:hAnsi="Amiri" w:eastAsia="Amiri" w:cs="Amiri"/>
          <w:color w:val="111111"/>
          <w:sz w:val="28"/>
          <w:sz w:val="28"/>
          <w:szCs w:val="28"/>
          <w:rtl w:val="true"/>
          <w:lang w:bidi="ar-SA"/>
        </w:rPr>
        <w:t>في الحيوان لا يدلّ على أنها منه، إلّا أنّ الشّيخ ادّعى إجماع الفرقة على نجاستها</w:t>
      </w:r>
      <w:r>
        <w:rPr>
          <w:rStyle w:val="FootnoteAnchor"/>
          <w:rtl w:val="true"/>
        </w:rPr>
        <w:footnoteReference w:id="1083"/>
      </w:r>
      <w:r>
        <w:rPr>
          <w:rStyle w:val="FootnoteAnchor"/>
          <w:rtl w:val="true"/>
        </w:rPr>
        <w:footnoteReference w:id="1084"/>
      </w:r>
      <w:r>
        <w:rPr>
          <w:rFonts w:ascii="Amiri" w:hAnsi="Amiri" w:eastAsia="Amiri" w:cs="Amiri"/>
          <w:color w:val="111111"/>
          <w:sz w:val="28"/>
          <w:sz w:val="28"/>
          <w:szCs w:val="28"/>
          <w:rtl w:val="true"/>
          <w:lang w:bidi="ar-SA"/>
        </w:rPr>
        <w:t>، فالأصح التمسك به</w:t>
      </w:r>
      <w:r>
        <w:rPr>
          <w:rStyle w:val="FootnoteAnchor"/>
          <w:rtl w:val="true"/>
        </w:rPr>
        <w:footnoteReference w:id="1085"/>
      </w:r>
      <w:r>
        <w:rPr>
          <w:rFonts w:ascii="Amiri" w:hAnsi="Amiri" w:eastAsia="Amiri" w:cs="Amiri"/>
          <w:color w:val="111111"/>
          <w:sz w:val="28"/>
          <w:sz w:val="28"/>
          <w:szCs w:val="28"/>
          <w:rtl w:val="true"/>
          <w:lang w:bidi="ar-SA"/>
        </w:rPr>
        <w:t>، ولا فرق بين تكوّنها في البيضة وخارجها</w:t>
      </w:r>
      <w:r>
        <w:rPr>
          <w:rFonts w:eastAsia="Amiri" w:cs="Amiri" w:ascii="Amiri" w:hAnsi="Amiri"/>
          <w:color w:val="111111"/>
          <w:sz w:val="28"/>
          <w:szCs w:val="28"/>
          <w:rtl w:val="true"/>
          <w:lang w:bidi="ar-SA"/>
        </w:rPr>
        <w:t xml:space="preserve">. </w:t>
      </w:r>
      <w:bookmarkStart w:id="368" w:name="pg8927_84652"/>
    </w:p>
    <w:p>
      <w:pPr>
        <w:pStyle w:val="BookText"/>
        <w:rPr/>
      </w:pPr>
      <w:bookmarkEnd w:id="368"/>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بالموت قول</w:t>
      </w:r>
      <w:r>
        <w:rPr>
          <w:rFonts w:eastAsia="IRNazanin" w:cs="IRNazanin"/>
          <w:color w:val="111111"/>
          <w:sz w:val="28"/>
          <w:szCs w:val="28"/>
          <w:rtl w:val="true"/>
          <w:lang w:bidi="fa-IR"/>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وبالطَّهارة أفتى الشّيخ، وادّعى عليها الإجماع</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 w:name="__RefHeading___Toc1279310_2870459653"/>
      <w:bookmarkStart w:id="370" w:name="_Toc127"/>
      <w:bookmarkEnd w:id="369"/>
      <w:r>
        <w:rPr>
          <w:rtl w:val="true"/>
        </w:rPr>
        <w:t>[</w:t>
      </w:r>
      <w:r>
        <w:rPr>
          <w:rtl w:val="true"/>
        </w:rPr>
        <w:t>الإنفحة</w:t>
      </w:r>
      <w:r>
        <w:rPr>
          <w:rtl w:val="true"/>
        </w:rPr>
        <w:t>]</w:t>
      </w:r>
      <w:bookmarkEnd w:id="370"/>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ظاهرها</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أي ظاهر محلّها، فإنّه يعد ظاهراً لها، وللقرينة</w:t>
      </w:r>
      <w:r>
        <w:rPr>
          <w:rFonts w:eastAsia="Amiri" w:cs="Amiri" w:ascii="Amiri" w:hAnsi="Amiri"/>
          <w:color w:val="111111"/>
          <w:sz w:val="28"/>
          <w:szCs w:val="28"/>
          <w:rtl w:val="true"/>
          <w:lang w:bidi="ar-SA"/>
        </w:rPr>
        <w:t>.</w:t>
      </w:r>
    </w:p>
    <w:p>
      <w:pPr>
        <w:pStyle w:val="Heading3"/>
        <w:numPr>
          <w:ilvl w:val="2"/>
          <w:numId w:val="1"/>
        </w:numPr>
        <w:rPr/>
      </w:pPr>
      <w:bookmarkStart w:id="371" w:name="__RefHeading___Toc1279312_2870459653"/>
      <w:bookmarkStart w:id="372" w:name="_Toc128"/>
      <w:bookmarkEnd w:id="371"/>
      <w:r>
        <w:rPr>
          <w:rtl w:val="true"/>
        </w:rPr>
        <w:t>[</w:t>
      </w:r>
      <w:r>
        <w:rPr>
          <w:rtl w:val="true"/>
        </w:rPr>
        <w:t>مقدار العفو عن الدّم</w:t>
      </w:r>
      <w:r>
        <w:rPr>
          <w:rtl w:val="true"/>
        </w:rPr>
        <w:t>]</w:t>
      </w:r>
      <w:bookmarkEnd w:id="372"/>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سعة الدّرهم البغلي</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المذكور في الأخبار إنّما هو الدرهم</w:t>
      </w:r>
      <w:r>
        <w:rPr>
          <w:rStyle w:val="FootnoteAnchor"/>
          <w:rtl w:val="true"/>
        </w:rPr>
        <w:footnoteReference w:id="1090"/>
      </w:r>
      <w:r>
        <w:rPr>
          <w:rFonts w:ascii="Amiri" w:hAnsi="Amiri" w:eastAsia="Amiri" w:cs="Amiri"/>
          <w:color w:val="111111"/>
          <w:sz w:val="28"/>
          <w:sz w:val="28"/>
          <w:szCs w:val="28"/>
          <w:rtl w:val="true"/>
          <w:lang w:bidi="ar-SA"/>
        </w:rPr>
        <w:t>، وهو الكسروي، والتسمية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في الإسلام؛ لأنّ رأسَ البغل</w:t>
      </w:r>
      <w:r>
        <w:rPr>
          <w:rStyle w:val="FootnoteAnchor"/>
          <w:rtl w:val="true"/>
        </w:rPr>
        <w:footnoteReference w:id="1091"/>
      </w:r>
      <w:r>
        <w:rPr>
          <w:rFonts w:ascii="Amiri" w:hAnsi="Amiri" w:eastAsia="Amiri" w:cs="Amiri"/>
          <w:color w:val="111111"/>
          <w:sz w:val="28"/>
          <w:sz w:val="28"/>
          <w:szCs w:val="28"/>
          <w:rtl w:val="true"/>
          <w:lang w:bidi="ar-SA"/>
        </w:rPr>
        <w:t>ضَرّابٌ كان يضرب ذلك الدرهم في الإسلام</w:t>
      </w:r>
      <w:r>
        <w:rPr>
          <w:rStyle w:val="FootnoteAnchor"/>
          <w:rtl w:val="true"/>
        </w:rPr>
        <w:footnoteReference w:id="1092"/>
      </w:r>
      <w:r>
        <w:rPr>
          <w:rFonts w:ascii="IRNazanin" w:hAnsi="IRNazanin" w:eastAsia="IRNazanin"/>
          <w:color w:val="111111"/>
          <w:sz w:val="28"/>
          <w:sz w:val="28"/>
          <w:szCs w:val="28"/>
          <w:rtl w:val="true"/>
          <w:lang w:bidi="fa-IR"/>
        </w:rPr>
        <w:t xml:space="preserve">، </w:t>
      </w:r>
      <w:bookmarkStart w:id="373" w:name="pg8927_84653"/>
    </w:p>
    <w:p>
      <w:pPr>
        <w:pStyle w:val="BookText"/>
        <w:rPr/>
      </w:pPr>
      <w:bookmarkEnd w:id="373"/>
      <w:r>
        <w:rPr>
          <w:rFonts w:ascii="Amiri" w:hAnsi="Amiri" w:eastAsia="Amiri" w:cs="Amiri"/>
          <w:color w:val="111111"/>
          <w:sz w:val="28"/>
          <w:sz w:val="28"/>
          <w:szCs w:val="28"/>
          <w:rtl w:val="true"/>
          <w:lang w:bidi="ar-SA"/>
        </w:rPr>
        <w:t>فنُسب إليه</w:t>
      </w:r>
      <w:r>
        <w:rPr>
          <w:rStyle w:val="FootnoteAnchor"/>
          <w:rtl w:val="true"/>
        </w:rPr>
        <w:footnoteReference w:id="1093"/>
      </w:r>
      <w:r>
        <w:rPr>
          <w:rFonts w:ascii="Amiri" w:hAnsi="Amiri" w:eastAsia="Amiri" w:cs="Amiri"/>
          <w:color w:val="111111"/>
          <w:sz w:val="28"/>
          <w:sz w:val="28"/>
          <w:szCs w:val="28"/>
          <w:rtl w:val="true"/>
          <w:lang w:bidi="ar-SA"/>
        </w:rPr>
        <w:t>، وسعة ذلك الدّرهم تقرب من أخمص الرّاحة، كما سينقل عن ابن إدريس أنّه شاهدها فكانت كذلك</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يعفى عنه لصحيح عبد الله بن أبي يعفور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يغسله ولا يعيد صلاته، إلا أن يكون مقدار الدّرهم مجتمعاً فيغسله ويعيد</w:t>
      </w:r>
      <w:r>
        <w:rPr>
          <w:rFonts w:eastAsia="Amiri" w:cs="Amiri" w:ascii="Amiri" w:hAnsi="Amiri"/>
          <w:color w:val="111111"/>
          <w:sz w:val="28"/>
          <w:szCs w:val="28"/>
          <w:rtl w:val="true"/>
          <w:lang w:bidi="ar-SA"/>
        </w:rPr>
        <w:t>)</w:t>
      </w:r>
      <w:r>
        <w:rPr>
          <w:rStyle w:val="FootnoteAnchor"/>
          <w:rtl w:val="true"/>
        </w:rPr>
        <w:footnoteReference w:id="1095"/>
      </w:r>
      <w:r>
        <w:rPr>
          <w:rFonts w:ascii="Amiri" w:hAnsi="Amiri" w:eastAsia="Amiri" w:cs="Amiri"/>
          <w:color w:val="111111"/>
          <w:sz w:val="28"/>
          <w:sz w:val="28"/>
          <w:szCs w:val="28"/>
          <w:rtl w:val="true"/>
          <w:lang w:bidi="ar-SA"/>
        </w:rPr>
        <w:t>، ونُقل فيه الإجماع</w:t>
      </w:r>
      <w:r>
        <w:rPr>
          <w:rStyle w:val="FootnoteAnchor"/>
          <w:rtl w:val="true"/>
        </w:rPr>
        <w:footnoteReference w:id="109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يعيد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العفو في الصلاة، وإلّا لوجبت الإعادة، فيحمل الغَسْل على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إلى المنقول</w:t>
      </w:r>
      <w:r>
        <w:rPr>
          <w:rFonts w:eastAsia="IRNazanin" w:cs="IRNazanin"/>
          <w:color w:val="111111"/>
          <w:sz w:val="28"/>
          <w:szCs w:val="28"/>
          <w:rtl w:val="true"/>
          <w:lang w:bidi="fa-IR"/>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إلى ما نقله ابن دريد</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279314_2870459653"/>
      <w:bookmarkStart w:id="375" w:name="_Toc129"/>
      <w:bookmarkEnd w:id="374"/>
      <w:r>
        <w:rPr>
          <w:rtl w:val="true"/>
        </w:rPr>
        <w:t>(</w:t>
      </w:r>
      <w:r>
        <w:rPr>
          <w:rtl w:val="true"/>
        </w:rPr>
        <w:t>عدم العفو عن الدّماء الثلاثة ودم نجس العين</w:t>
      </w:r>
      <w:r>
        <w:rPr>
          <w:rtl w:val="true"/>
        </w:rPr>
        <w:t>]</w:t>
      </w:r>
      <w:bookmarkEnd w:id="375"/>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الأصحاب</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bookmarkStart w:id="376" w:name="pg8927_84654"/>
    </w:p>
    <w:p>
      <w:pPr>
        <w:pStyle w:val="BookText"/>
        <w:rPr/>
      </w:pPr>
      <w:bookmarkEnd w:id="376"/>
      <w:r>
        <w:rPr>
          <w:rFonts w:ascii="IRNazanin" w:hAnsi="IRNazanin" w:eastAsia="IRNazanin"/>
          <w:color w:val="111111"/>
          <w:sz w:val="28"/>
          <w:sz w:val="28"/>
          <w:szCs w:val="28"/>
          <w:rtl w:val="true"/>
          <w:lang w:bidi="fa-IR"/>
        </w:rPr>
        <w:t>أشار إلى أنّ عمل الأصحاب</w:t>
      </w:r>
      <w:r>
        <w:rPr>
          <w:rStyle w:val="FootnoteAnchor"/>
          <w:rtl w:val="true"/>
        </w:rPr>
        <w:footnoteReference w:id="1099"/>
      </w:r>
      <w:r>
        <w:rPr>
          <w:rFonts w:ascii="Amiri" w:hAnsi="Amiri" w:eastAsia="Amiri" w:cs="Amiri"/>
          <w:color w:val="111111"/>
          <w:sz w:val="28"/>
          <w:sz w:val="28"/>
          <w:szCs w:val="28"/>
          <w:rtl w:val="true"/>
          <w:lang w:bidi="ar-SA"/>
        </w:rPr>
        <w:t>واشتهار الرّواية</w:t>
      </w:r>
      <w:r>
        <w:rPr>
          <w:rStyle w:val="FootnoteAnchor"/>
          <w:rtl w:val="true"/>
        </w:rPr>
        <w:footnoteReference w:id="1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موقوفة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أوجب القول بوجوب إزالة قليله وكثيره، وهو الموافق للأصل، وفي حكمه دم الاستحاضة والنفاس</w:t>
      </w:r>
    </w:p>
    <w:p>
      <w:pPr>
        <w:pStyle w:val="BookText"/>
        <w:rPr/>
      </w:pPr>
      <w:r>
        <w:rPr>
          <w:rFonts w:ascii="Amiri" w:hAnsi="Amiri" w:eastAsia="Amiri" w:cs="Amiri"/>
          <w:color w:val="111111"/>
          <w:sz w:val="28"/>
          <w:sz w:val="28"/>
          <w:szCs w:val="28"/>
          <w:rtl w:val="true"/>
          <w:lang w:bidi="ar-SA"/>
        </w:rPr>
        <w:t>أمّا الأوّل فلاشتقاقه منه، فالمعقول من الحيض حاصل فيه، واختلاف الأحكام إنّما نشأ من أمور خارجة، كما في أقسام المستحاضة، مع أنَّ دمها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حيض احتبس بالولد، ومثل ذلك لا يوجب تخفيفاً في الاستقذار قطعاً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1279316_2870459653"/>
      <w:bookmarkStart w:id="378" w:name="_Toc130"/>
      <w:bookmarkEnd w:id="377"/>
      <w:r>
        <w:rPr>
          <w:rtl w:val="true"/>
        </w:rPr>
        <w:t>[</w:t>
      </w:r>
      <w:r>
        <w:rPr>
          <w:rtl w:val="true"/>
        </w:rPr>
        <w:t>ما عُفي عنه من النّجاسات في الصّلاة</w:t>
      </w:r>
      <w:r>
        <w:rPr>
          <w:rtl w:val="true"/>
        </w:rPr>
        <w:t>]</w:t>
      </w:r>
      <w:bookmarkEnd w:id="378"/>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1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وعفي أيضاً</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الأخبار دلّت على العفو عنها</w:t>
      </w:r>
      <w:r>
        <w:rPr>
          <w:rStyle w:val="FootnoteAnchor"/>
          <w:rtl w:val="true"/>
        </w:rPr>
        <w:footnoteReference w:id="1103"/>
      </w:r>
      <w:r>
        <w:rPr>
          <w:rFonts w:ascii="Amiri" w:hAnsi="Amiri" w:eastAsia="Amiri" w:cs="Amiri"/>
          <w:color w:val="111111"/>
          <w:sz w:val="28"/>
          <w:sz w:val="28"/>
          <w:szCs w:val="28"/>
          <w:rtl w:val="true"/>
          <w:lang w:bidi="ar-SA"/>
        </w:rPr>
        <w:t>،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مشقة الإزالة إلى علّة العفو، كما دلّ عليه كلامه في المنتهى،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دم الجروح السائلة والقروح الدّائمة التي تشقّ إزالتها، ولا يقف جريانها</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لمشقة 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ألحق ابن بابويه العمامة</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Style w:val="FootnoteAnchor"/>
          <w:rtl w:val="true"/>
        </w:rPr>
        <w:footnoteReference w:id="1107"/>
      </w:r>
      <w:r>
        <w:rPr>
          <w:rFonts w:ascii="Amiri" w:hAnsi="Amiri" w:eastAsia="Amiri" w:cs="Amiri"/>
          <w:color w:val="111111"/>
          <w:sz w:val="28"/>
          <w:sz w:val="28"/>
          <w:szCs w:val="28"/>
          <w:rtl w:val="true"/>
          <w:lang w:bidi="ar-SA"/>
        </w:rPr>
        <w:t xml:space="preserve">الراوندي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عمامة صغيرة كالعصابة؛ لأنّها لا يمكن ستر العورة بها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Style w:val="FootnoteAnchor"/>
          <w:rtl w:val="true"/>
        </w:rPr>
        <w:footnoteReference w:id="11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الملابس</w:t>
      </w:r>
      <w:r>
        <w:rPr>
          <w:rFonts w:eastAsia="IRNazanin" w:cs="IRNazanin"/>
          <w:color w:val="111111"/>
          <w:sz w:val="28"/>
          <w:szCs w:val="28"/>
          <w:rtl w:val="true"/>
          <w:lang w:bidi="fa-IR"/>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bookmarkStart w:id="379" w:name="pg8927_84656"/>
    </w:p>
    <w:p>
      <w:pPr>
        <w:pStyle w:val="BookText"/>
        <w:rPr/>
      </w:pPr>
      <w:bookmarkEnd w:id="379"/>
      <w:r>
        <w:rPr>
          <w:rFonts w:ascii="Amiri" w:hAnsi="Amiri" w:eastAsia="Amiri" w:cs="Amiri"/>
          <w:color w:val="111111"/>
          <w:sz w:val="28"/>
          <w:sz w:val="28"/>
          <w:szCs w:val="28"/>
          <w:rtl w:val="true"/>
          <w:lang w:bidi="ar-SA"/>
        </w:rPr>
        <w:t>الأصح عدم القصر على ذلك</w:t>
      </w:r>
      <w:r>
        <w:rPr>
          <w:rFonts w:eastAsia="Amiri" w:cs="Amiri" w:ascii="Amiri" w:hAnsi="Amiri"/>
          <w:color w:val="111111"/>
          <w:sz w:val="28"/>
          <w:szCs w:val="28"/>
          <w:rtl w:val="true"/>
          <w:lang w:bidi="ar-SA"/>
        </w:rPr>
        <w:t>.</w:t>
      </w:r>
    </w:p>
    <w:p>
      <w:pPr>
        <w:pStyle w:val="Heading3"/>
        <w:numPr>
          <w:ilvl w:val="2"/>
          <w:numId w:val="1"/>
        </w:numPr>
        <w:rPr/>
      </w:pPr>
      <w:bookmarkStart w:id="380" w:name="__RefHeading___Toc1279318_2870459653"/>
      <w:bookmarkStart w:id="381" w:name="_Toc131"/>
      <w:bookmarkEnd w:id="380"/>
      <w:r>
        <w:rPr>
          <w:rtl w:val="true"/>
        </w:rPr>
        <w:t>[</w:t>
      </w:r>
      <w:r>
        <w:rPr>
          <w:rtl w:val="true"/>
        </w:rPr>
        <w:t>تطهير التياب من البول</w:t>
      </w:r>
      <w:r>
        <w:rPr>
          <w:rtl w:val="true"/>
        </w:rPr>
        <w:t>]</w:t>
      </w:r>
      <w:bookmarkEnd w:id="38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والأصح وجوب المرّتين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المختار، وقوفاً على ما هو المعلوم شرعاً من الطهارة مع تعدّد الغسلة، وعلّل المصنّف في المنتهى الاكتفاء بالمرّة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المطلوب إنّما هو إزالة العين والأثر، وغير المرئيّة لا عين لها، فكان الاكتفاء فيها بالمرة ثابتاً</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ويتوجّه عليه المنع من أنّ المطلوب مطلقُ زوالِ الأثر؛ لجواز تعلّق الغرض بزواله بالماء الطّاهر ، فكما يزيل العين يعدّ المحلّ لقبول الطّهارة بالثّانية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 وجوب العصر</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صاحب المعتبر أنّ الغسل يتضمّن العصر، ومع عدم العصر يكون صبا</w:t>
      </w:r>
      <w:r>
        <w:rPr>
          <w:rStyle w:val="FootnoteAnchor"/>
          <w:rtl w:val="true"/>
        </w:rPr>
        <w:footnoteReference w:id="1114"/>
      </w:r>
      <w:r>
        <w:rPr>
          <w:rFonts w:ascii="Amiri" w:hAnsi="Amiri" w:eastAsia="Amiri" w:cs="Amiri"/>
          <w:color w:val="111111"/>
          <w:sz w:val="28"/>
          <w:sz w:val="28"/>
          <w:szCs w:val="28"/>
          <w:rtl w:val="true"/>
          <w:lang w:bidi="ar-SA"/>
        </w:rPr>
        <w:t>، فعلى هذا وجوب العصر إنّما ثبت لوجوب الغسل في التّياب، والحقائق تثبت بالنقل خصوصاً من مثله، مع أن من تتبع كلام الفقهاء عَلِمَ صحة نقله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بعدم التّعدّي</w:t>
      </w:r>
      <w:r>
        <w:rPr>
          <w:rStyle w:val="FootnoteAnchor"/>
          <w:rtl w:val="true"/>
        </w:rPr>
        <w:footnoteReference w:id="1115"/>
      </w:r>
      <w:r>
        <w:rPr>
          <w:rFonts w:ascii="Amiri" w:hAnsi="Amiri" w:eastAsia="Amiri" w:cs="Amiri"/>
          <w:color w:val="111111"/>
          <w:sz w:val="28"/>
          <w:sz w:val="28"/>
          <w:szCs w:val="28"/>
          <w:rtl w:val="true"/>
          <w:lang w:bidi="ar-SA"/>
        </w:rPr>
        <w:t>النّجاسة</w:t>
      </w:r>
      <w:r>
        <w:rPr>
          <w:rFonts w:eastAsia="Amiri" w:cs="Amiri" w:ascii="Amiri" w:hAnsi="Amiri"/>
          <w:color w:val="111111"/>
          <w:sz w:val="28"/>
          <w:szCs w:val="28"/>
          <w:rtl w:val="true"/>
          <w:lang w:bidi="ar-SA"/>
        </w:rPr>
        <w:t>)</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أنّ التّعدّي لا يحصل بمجرّد احتمال الملاقاة له، بل لا بُدَّ في ذلك من العلم، وهو إنّما يكون بملاقاة الجميع، وهذا هو الحق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الوجه في ذلك عموم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 ما أصاب ثوبك منه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9"/>
      </w:r>
      <w:r>
        <w:rPr>
          <w:rFonts w:ascii="Amiri" w:hAnsi="Amiri" w:eastAsia="Amiri" w:cs="Amiri"/>
          <w:color w:val="111111"/>
          <w:sz w:val="28"/>
          <w:sz w:val="28"/>
          <w:szCs w:val="28"/>
          <w:rtl w:val="true"/>
          <w:lang w:bidi="ar-SA"/>
        </w:rPr>
        <w:t>، وترك الاستفصال دليل العموم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بالغسل غير صريح في الدّلالة على النّجاسة؛ لجواز كون العلة شيئاً سوى ذلك، فلا يعارض ما دلّ بصريحه على انتفاء النّجاسة مع اليبوسة</w:t>
      </w:r>
      <w:r>
        <w:rPr>
          <w:rStyle w:val="FootnoteAnchor"/>
          <w:rtl w:val="true"/>
        </w:rPr>
        <w:footnoteReference w:id="1120"/>
      </w:r>
      <w:r>
        <w:rPr>
          <w:rFonts w:ascii="Amiri" w:hAnsi="Amiri" w:eastAsia="Amiri" w:cs="Amiri"/>
          <w:color w:val="111111"/>
          <w:sz w:val="28"/>
          <w:sz w:val="28"/>
          <w:szCs w:val="28"/>
          <w:rtl w:val="true"/>
          <w:lang w:bidi="ar-SA"/>
        </w:rPr>
        <w:t>، والحمل على الاستحباب أولى؛ إذ التعبّد بعيد</w:t>
      </w:r>
      <w:r>
        <w:rPr>
          <w:rFonts w:eastAsia="Amiri" w:cs="Amiri" w:ascii="Amiri" w:hAnsi="Amiri"/>
          <w:color w:val="111111"/>
          <w:sz w:val="28"/>
          <w:szCs w:val="28"/>
          <w:rtl w:val="true"/>
          <w:lang w:bidi="ar-SA"/>
        </w:rPr>
        <w:t xml:space="preserve">. </w:t>
      </w:r>
      <w:bookmarkStart w:id="382" w:name="pg8927_84658"/>
    </w:p>
    <w:p>
      <w:pPr>
        <w:pStyle w:val="BookText"/>
        <w:rPr/>
      </w:pPr>
      <w:bookmarkEnd w:id="382"/>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سبق</w:t>
      </w:r>
      <w:r>
        <w:rPr>
          <w:rFonts w:eastAsia="IRNazanin" w:cs="IRNazanin"/>
          <w:color w:val="111111"/>
          <w:sz w:val="28"/>
          <w:szCs w:val="28"/>
          <w:rtl w:val="true"/>
          <w:lang w:bidi="fa-IR"/>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أراد أنّ حكم هذه المسألة قد علم مما سبق ذكره في أحكام المياه وإن لم يجر لها ذكر ؛ فإنّ المعلوم حكمه مما سبق ذكره كالمذكور ، فصح إطلاق المذكور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بُدَّ من تقييد</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3" w:name="__RefHeading___Toc1279320_2870459653"/>
      <w:bookmarkStart w:id="384" w:name="_Toc132"/>
      <w:bookmarkEnd w:id="383"/>
      <w:r>
        <w:rPr>
          <w:rtl w:val="true"/>
        </w:rPr>
        <w:t>[</w:t>
      </w:r>
      <w:r>
        <w:rPr>
          <w:rtl w:val="true"/>
        </w:rPr>
        <w:t>الصّلاة مع الجهل بالنّجاسة</w:t>
      </w:r>
      <w:r>
        <w:rPr>
          <w:rtl w:val="true"/>
        </w:rPr>
        <w:t>]</w:t>
      </w:r>
      <w:bookmarkEnd w:id="384"/>
    </w:p>
    <w:p>
      <w:pPr>
        <w:pStyle w:val="BookText"/>
        <w:rPr/>
      </w:pPr>
      <w:r>
        <w:rPr>
          <w:rFonts w:ascii="Amiri" w:hAnsi="Amiri" w:eastAsia="Amiri" w:cs="Amiri"/>
          <w:color w:val="111111"/>
          <w:sz w:val="28"/>
          <w:sz w:val="28"/>
          <w:szCs w:val="28"/>
          <w:rtl w:val="true"/>
          <w:lang w:bidi="ar-SA"/>
        </w:rPr>
        <w:t xml:space="preserve">فيه بحث؛ إذ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الغالب في إطلاق حصول العلم ما لا سبق معه، ومعه يعبّر عنه غالباً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بالاستمرار مع الضّيق</w:t>
      </w:r>
      <w:r>
        <w:rPr>
          <w:rFonts w:eastAsia="Amiri" w:cs="Amiri" w:ascii="Amiri" w:hAnsi="Amiri"/>
          <w:color w:val="111111"/>
          <w:sz w:val="28"/>
          <w:szCs w:val="28"/>
          <w:rtl w:val="true"/>
          <w:lang w:bidi="ar-SA"/>
        </w:rPr>
        <w:t>)</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الأصح وجوب الاستمرار مع الضّيق؛ للخطاب بالفعل في الوقت، ومانعيّة النّجاسة </w:t>
      </w:r>
      <w:bookmarkStart w:id="385" w:name="pg8927_84659"/>
    </w:p>
    <w:p>
      <w:pPr>
        <w:pStyle w:val="BookText"/>
        <w:rPr/>
      </w:pPr>
      <w:bookmarkEnd w:id="385"/>
      <w:r>
        <w:rPr>
          <w:rFonts w:ascii="Amiri" w:hAnsi="Amiri" w:eastAsia="Amiri" w:cs="Amiri"/>
          <w:color w:val="111111"/>
          <w:sz w:val="28"/>
          <w:sz w:val="28"/>
          <w:szCs w:val="28"/>
          <w:rtl w:val="true"/>
          <w:lang w:bidi="ar-SA"/>
        </w:rPr>
        <w:t>لم تثبت على وجه كلّيّ بل مع القدرة على الإزالة، وانتفاء القدرة قد يكون لعدم التمكن من الفعل نفسه، وقد يكون لعدم التمكن من الجمع بينه وبين غيره، ومع إطلاق الأمر بالفعل يطرأ الشّكّ في المراد فيؤول إلى الشّكّ في كونه مانعاً فينفيه الأصل</w:t>
      </w:r>
      <w:r>
        <w:rPr>
          <w:rFonts w:eastAsia="Amiri" w:cs="Amiri" w:ascii="Amiri" w:hAnsi="Amiri"/>
          <w:color w:val="111111"/>
          <w:sz w:val="28"/>
          <w:szCs w:val="28"/>
          <w:rtl w:val="true"/>
          <w:lang w:bidi="ar-SA"/>
        </w:rPr>
        <w:t>.</w:t>
      </w:r>
    </w:p>
    <w:p>
      <w:pPr>
        <w:pStyle w:val="Heading3"/>
        <w:numPr>
          <w:ilvl w:val="2"/>
          <w:numId w:val="1"/>
        </w:numPr>
        <w:rPr/>
      </w:pPr>
      <w:bookmarkStart w:id="386" w:name="__RefHeading___Toc1279322_2870459653"/>
      <w:bookmarkStart w:id="387" w:name="_Toc133"/>
      <w:bookmarkEnd w:id="386"/>
      <w:r>
        <w:rPr>
          <w:rtl w:val="true"/>
        </w:rPr>
        <w:t>[</w:t>
      </w:r>
      <w:r>
        <w:rPr>
          <w:rtl w:val="true"/>
        </w:rPr>
        <w:t>نجاسة ثوب المربية للصبي</w:t>
      </w:r>
      <w:r>
        <w:rPr>
          <w:rtl w:val="true"/>
        </w:rPr>
        <w:t>]</w:t>
      </w:r>
      <w:bookmarkEnd w:id="387"/>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للصبي</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خصّ الصّبي بالذكر لدلالة ظاهر الخبر عليه؛ إذ هو المتبادر من المولود</w:t>
      </w:r>
      <w:r>
        <w:rPr>
          <w:rStyle w:val="FootnoteAnchor"/>
          <w:rtl w:val="true"/>
        </w:rPr>
        <w:footnoteReference w:id="1125"/>
      </w:r>
      <w:r>
        <w:rPr>
          <w:rFonts w:ascii="Amiri" w:hAnsi="Amiri" w:eastAsia="Amiri" w:cs="Amiri"/>
          <w:color w:val="111111"/>
          <w:sz w:val="28"/>
          <w:sz w:val="28"/>
          <w:szCs w:val="28"/>
          <w:rtl w:val="true"/>
          <w:lang w:bidi="ar-SA"/>
        </w:rPr>
        <w:t>، ومشقة التّحرّز مع وحدة الثّوب اقتضت عدم التكليف بالإزالة سواء الصبي والصبية والولد المتعدّد، وسواء المربي والمربية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قلنا بوجوب غسل الثّوب في اليوم مرّة للخَبر الدّالّ على وجوبه</w:t>
      </w:r>
      <w:r>
        <w:rPr>
          <w:rStyle w:val="FootnoteAnchor"/>
          <w:rtl w:val="true"/>
        </w:rPr>
        <w:footnoteReference w:id="1126"/>
      </w:r>
      <w:r>
        <w:rPr>
          <w:rFonts w:ascii="Amiri" w:hAnsi="Amiri" w:eastAsia="Amiri" w:cs="Amiri"/>
          <w:color w:val="111111"/>
          <w:sz w:val="28"/>
          <w:sz w:val="28"/>
          <w:szCs w:val="28"/>
          <w:rtl w:val="true"/>
          <w:lang w:bidi="ar-SA"/>
        </w:rPr>
        <w:t>فيقتصر على المعلوم ، وهو ما شمل الليل اقتصاراً على المتيقن في مخالفة ما هو الظاهر من انتفاء التكليف مع المشقة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اشترط ذلك</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388" w:name="pg8927_84660"/>
    </w:p>
    <w:p>
      <w:pPr>
        <w:pStyle w:val="BookText"/>
        <w:rPr/>
      </w:pPr>
      <w:bookmarkEnd w:id="388"/>
      <w:r>
        <w:rPr>
          <w:rFonts w:ascii="Amiri" w:hAnsi="Amiri" w:eastAsia="Amiri" w:cs="Amiri"/>
          <w:color w:val="111111"/>
          <w:sz w:val="28"/>
          <w:sz w:val="28"/>
          <w:szCs w:val="28"/>
          <w:rtl w:val="true"/>
          <w:lang w:bidi="ar-SA"/>
        </w:rPr>
        <w:t>لأنّ تجنيب الصّلاة عن النّجاسة واجب ولا يحصل إلا باجتنابهما، أما مع فقد غيرهما فيتعارض وجوب التجنيب مع وجوب الستر فيقدّم وجوب الستر لأصالته، ووجوب اجتناب</w:t>
      </w:r>
      <w:r>
        <w:rPr>
          <w:rStyle w:val="FootnoteAnchor"/>
          <w:rtl w:val="true"/>
        </w:rPr>
        <w:footnoteReference w:id="1128"/>
      </w:r>
      <w:r>
        <w:rPr>
          <w:rFonts w:ascii="Amiri" w:hAnsi="Amiri" w:eastAsia="Amiri" w:cs="Amiri"/>
          <w:color w:val="111111"/>
          <w:sz w:val="28"/>
          <w:sz w:val="28"/>
          <w:szCs w:val="28"/>
          <w:rtl w:val="true"/>
          <w:lang w:bidi="ar-SA"/>
        </w:rPr>
        <w:t>كلّ منهما بالتبع المختلف فيه؛ فإنّ وجوب المقدّمة لا وفاق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احتجاجاً بما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بما تقدّم ذكره في هذا المبحث من الجزم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أيضاً سبق من أن الجزم إنّما هو بحسب الممكن</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1279324_2870459653"/>
      <w:bookmarkStart w:id="390" w:name="_Toc134"/>
      <w:bookmarkEnd w:id="389"/>
      <w:r>
        <w:rPr>
          <w:rtl w:val="true"/>
        </w:rPr>
        <w:t>[</w:t>
      </w:r>
      <w:r>
        <w:rPr>
          <w:rtl w:val="true"/>
        </w:rPr>
        <w:t>انحصار الثّوب بالنّجس</w:t>
      </w:r>
      <w:r>
        <w:rPr>
          <w:rtl w:val="true"/>
        </w:rPr>
        <w:t>]</w:t>
      </w:r>
      <w:bookmarkEnd w:id="390"/>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 ما ذهب إليه المصنّف</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ومستنده ضعیف</w:t>
      </w:r>
      <w:r>
        <w:rPr>
          <w:rFonts w:eastAsia="IRNazanin" w:cs="IRNazanin"/>
          <w:color w:val="111111"/>
          <w:sz w:val="28"/>
          <w:szCs w:val="28"/>
          <w:rtl w:val="true"/>
          <w:lang w:bidi="fa-IR"/>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إلى ما رواه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سُئِل عن رجل ليس معه إلا ثوب، ولا تحلّ الصّلاة فيه، وليس يجد ماء يغسله، كيف يصنع؟ قال</w:t>
      </w:r>
      <w:r>
        <w:rPr>
          <w:rFonts w:eastAsia="Amiri" w:cs="Amiri" w:ascii="Amiri" w:hAnsi="Amiri"/>
          <w:color w:val="111111"/>
          <w:sz w:val="28"/>
          <w:szCs w:val="28"/>
          <w:rtl w:val="true"/>
          <w:lang w:bidi="ar-SA"/>
        </w:rPr>
        <w:t xml:space="preserve">: </w:t>
      </w:r>
      <w:bookmarkStart w:id="391" w:name="pg8927_84661"/>
    </w:p>
    <w:p>
      <w:pPr>
        <w:pStyle w:val="BookText"/>
        <w:rPr/>
      </w:pPr>
      <w:bookmarkEnd w:id="3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 ويصلّي، فإذا أصاب ماءً غسله وأعاد الصلاة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صحة سندها</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 xml:space="preserve">الدمشقية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1279326_2870459653"/>
      <w:bookmarkStart w:id="393" w:name="_Toc135"/>
      <w:bookmarkEnd w:id="392"/>
      <w:r>
        <w:rPr>
          <w:rtl w:val="true"/>
        </w:rPr>
        <w:t>[</w:t>
      </w:r>
      <w:r>
        <w:rPr>
          <w:rtl w:val="true"/>
        </w:rPr>
        <w:t>تطهير الحصر والبواري والأرض</w:t>
      </w:r>
      <w:r>
        <w:rPr>
          <w:rtl w:val="true"/>
        </w:rPr>
        <w:t>..]</w:t>
      </w:r>
      <w:bookmarkEnd w:id="393"/>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القائل بذلك هو القطب الراوندي، ومال إليه ابن سعيد</w:t>
      </w:r>
      <w:r>
        <w:rPr>
          <w:rStyle w:val="FootnoteAnchor"/>
          <w:rtl w:val="true"/>
        </w:rPr>
        <w:footnoteReference w:id="1134"/>
      </w:r>
      <w:r>
        <w:rPr>
          <w:rFonts w:ascii="IRNazanin" w:hAnsi="IRNazanin" w:eastAsia="IRNazanin"/>
          <w:color w:val="111111"/>
          <w:sz w:val="28"/>
          <w:sz w:val="28"/>
          <w:szCs w:val="28"/>
          <w:rtl w:val="true"/>
          <w:lang w:bidi="fa-IR"/>
        </w:rPr>
        <w:t>، والأصح ما اختاره المصنف</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صبّ الماء عليها دفعة</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هذل مع صلابة الأرض، أمّا مع رخاوتها فالظاهر اعتبار الزيادة؛ إذ ملاقاة الكرّ مع بأجمعه للأرض إنّما يكون في زمان وإن قصر، وحينئذ فبوصول أوّله يغور منه شيء فينقص الباقي عن الكرّ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ينفصل الماء المغسول به</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أبو حنيفة إلى أنّ الأرض إن كانت رخوة ينزل الماء فيها كفى الصبّ، وإن كانت صلبة لم يجز فيها إلّا حفرها ونقل التراب؛ لأنّ الماء المزال به النّجاسة نجس، فإذا لم ينزل في الأرض كان على وجهها نجساً</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حصول الطّهارة</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أنّه روي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بأخذ التّراب الذي أصابه البول، فيلقى ويصبّ على مكانه ماء</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394" w:name="pg8927_84663"/>
    </w:p>
    <w:p>
      <w:pPr>
        <w:pStyle w:val="Heading3"/>
        <w:numPr>
          <w:ilvl w:val="2"/>
          <w:numId w:val="1"/>
        </w:numPr>
        <w:rPr/>
      </w:pPr>
      <w:bookmarkStart w:id="395" w:name="__RefHeading___Toc1279328_2870459653"/>
      <w:bookmarkStart w:id="396" w:name="_Toc136"/>
      <w:bookmarkEnd w:id="394"/>
      <w:bookmarkEnd w:id="395"/>
      <w:r>
        <w:rPr>
          <w:rtl w:val="true"/>
        </w:rPr>
        <w:t>[</w:t>
      </w:r>
      <w:r>
        <w:rPr>
          <w:rtl w:val="true"/>
        </w:rPr>
        <w:t>طهورية الانقلاب</w:t>
      </w:r>
      <w:r>
        <w:rPr>
          <w:rtl w:val="true"/>
        </w:rPr>
        <w:t>]</w:t>
      </w:r>
      <w:bookmarkEnd w:id="396"/>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بالانقلاب</w:t>
      </w:r>
      <w:r>
        <w:rPr>
          <w:rFonts w:eastAsia="IRNazanin" w:cs="IRNazanin"/>
          <w:color w:val="111111"/>
          <w:sz w:val="28"/>
          <w:szCs w:val="28"/>
          <w:rtl w:val="true"/>
          <w:lang w:bidi="fa-IR"/>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أجمع أهل الإسلام على أنّ الخمر المتخلّل طاهر، وكذا النطفة والعلقة والدّم في البيضة إذا صارت حيواناً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طرح</w:t>
      </w:r>
      <w:r>
        <w:rPr>
          <w:rFonts w:eastAsia="IRNazanin" w:cs="IRNazanin"/>
          <w:color w:val="111111"/>
          <w:sz w:val="28"/>
          <w:szCs w:val="28"/>
          <w:rtl w:val="true"/>
          <w:lang w:bidi="fa-IR"/>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 به إلى الرّدّ على الشّافعي حيث ذهب إلى بقاء نجاسة الأجسام بعد انقلاب الخمر فلا يطهر</w:t>
      </w:r>
      <w:r>
        <w:rPr>
          <w:rStyle w:val="FootnoteAnchor"/>
          <w:rtl w:val="true"/>
        </w:rPr>
        <w:footnoteReference w:id="1142"/>
      </w:r>
      <w:r>
        <w:rPr>
          <w:rFonts w:ascii="Amiri" w:hAnsi="Amiri" w:eastAsia="Amiri" w:cs="Amiri"/>
          <w:color w:val="111111"/>
          <w:sz w:val="28"/>
          <w:sz w:val="28"/>
          <w:szCs w:val="28"/>
          <w:rtl w:val="true"/>
          <w:lang w:bidi="ar-SA"/>
        </w:rPr>
        <w:t xml:space="preserve">، ولما روي من 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تخليله</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ويردّه أنّ نجاسة الأجسام إنما هي مستفادة من النّجاسة الخمرية، فإذا انقلبت طهر، والنهي الوارد محمول على الكراهية لورود الأخبار الصحيحة بطهارته</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7" w:name="__RefHeading___Toc1279330_2870459653"/>
      <w:bookmarkStart w:id="398" w:name="_Toc137"/>
      <w:bookmarkEnd w:id="397"/>
      <w:r>
        <w:rPr>
          <w:rtl w:val="true"/>
        </w:rPr>
        <w:t>[</w:t>
      </w:r>
      <w:r>
        <w:rPr>
          <w:rtl w:val="true"/>
        </w:rPr>
        <w:t>طهورية الاستحالة</w:t>
      </w:r>
      <w:r>
        <w:rPr>
          <w:rtl w:val="true"/>
        </w:rPr>
        <w:t>]</w:t>
      </w:r>
      <w:bookmarkEnd w:id="39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استحالت تراباً نظر</w:t>
      </w:r>
      <w:r>
        <w:rPr>
          <w:rFonts w:eastAsia="IRNazanin" w:cs="IRNazanin"/>
          <w:color w:val="111111"/>
          <w:sz w:val="28"/>
          <w:szCs w:val="28"/>
          <w:rtl w:val="true"/>
          <w:lang w:bidi="fa-IR"/>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منشأ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حدوث الطهارة في جسم بعد أن كان ثابتاً له الضّدّ يفتقر إلى دليل، ولم يثبت أنّ تغيّر الصورة النوعية هو العلة في زوال الحكم وإن ثبت تغيّر الحكم مع تبدلها، كما في صيرورة الخمر خلّاً، والعلقة حيواناً؛ إذ الدّوران لا يفيد العلّيّة قطعاً ولا ظناً كما حقق في موضعه، وأنّ الأحكام الشّرعيّة جارية على المسمّيات بواسطة الأسماء، ولذا صح الوضوء بماء صار مطلقاً بعد أن كان ممنوعاً من الوضوء به حين كان مضافاً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الاستفصال في جميع ما رتب على المسمّيات بتلك الأسماء من 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يفرّق بين ما كانت في أصل الخلقة كذلك، أو عرض لها ذلك الاسم، وترك الاستفصال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أنّ السائل لم يتنبه لهذا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التسوية، وإلّا لزم تأخير البيان عن محلّ الحاجة، وأنّه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المخاطب بها كافّة النّاس</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الاستدلال نظر </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لما كان المجمع عليه مستغنياً عن بيان وجه له لم يتوقف هناك، وتوقف هنا لانتفاء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دخل له في بقاء النّجاسة</w:t>
      </w:r>
      <w:r>
        <w:rPr>
          <w:rFonts w:eastAsia="Amiri" w:cs="Amiri" w:ascii="Amiri" w:hAnsi="Amiri"/>
          <w:color w:val="111111"/>
          <w:sz w:val="28"/>
          <w:szCs w:val="28"/>
          <w:rtl w:val="true"/>
          <w:lang w:bidi="ar-SA"/>
        </w:rPr>
        <w:t>)</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فيه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مستغن عن التعريف</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دام الدّليل باقياً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تكون طاهرة</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بحث؛ لما مرّ من أنّ الأجسام الواقعة في الخمر المخلّل تطهر بزوال تلك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يفرّق بورود النّصّ هناك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والأحوط ما اختاره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399" w:name="pg8927_84666"/>
    </w:p>
    <w:p>
      <w:pPr>
        <w:pStyle w:val="Heading3"/>
        <w:numPr>
          <w:ilvl w:val="2"/>
          <w:numId w:val="1"/>
        </w:numPr>
        <w:rPr/>
      </w:pPr>
      <w:bookmarkStart w:id="400" w:name="__RefHeading___Toc1279332_2870459653"/>
      <w:bookmarkStart w:id="401" w:name="_Toc138"/>
      <w:bookmarkEnd w:id="399"/>
      <w:bookmarkEnd w:id="400"/>
      <w:r>
        <w:rPr>
          <w:rtl w:val="true"/>
        </w:rPr>
        <w:t>[</w:t>
      </w:r>
      <w:r>
        <w:rPr>
          <w:rtl w:val="true"/>
        </w:rPr>
        <w:t>تطهير المائعات</w:t>
      </w:r>
      <w:r>
        <w:rPr>
          <w:rtl w:val="true"/>
        </w:rPr>
        <w:t>]</w:t>
      </w:r>
      <w:bookmarkEnd w:id="401"/>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يعلم</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تذكير لما هو الحق مما سبق</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من إفادات الشّيخ الأجل الأعلم الشّيخ عبد العالي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نقلتها حين استفادتي القواعد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bookmarkStart w:id="402" w:name="pg8927_84667"/>
    </w:p>
    <w:p>
      <w:pPr>
        <w:pStyle w:val="Heading2"/>
        <w:numPr>
          <w:ilvl w:val="1"/>
          <w:numId w:val="1"/>
        </w:numPr>
        <w:rPr/>
      </w:pPr>
      <w:bookmarkStart w:id="403" w:name="__RefHeading___Toc1279334_2870459653"/>
      <w:bookmarkStart w:id="404" w:name="_Toc139"/>
      <w:bookmarkEnd w:id="402"/>
      <w:bookmarkEnd w:id="403"/>
      <w:r>
        <w:rPr>
          <w:rtl w:val="true"/>
        </w:rPr>
        <w:t>مصادر التحقيق والترجمة</w:t>
      </w:r>
      <w:bookmarkEnd w:id="404"/>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إجازات الحديث للعلامة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اختيار معرفة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الثالث المير داماد، محمد باقر الحسيني الاستربادي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مطبعة بعثت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إرشاد الأذهان إلى أحكام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ابن المطهر الأسدي،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مطبعة مؤسسة النشر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الاستبصار في ما اختلف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حسن الموسوي الخرسان، نهض بمشروعه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بازار سلطاني،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إشارة السبق إلى معرفة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الحسن علي بن الحسن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w:t>
      </w:r>
    </w:p>
    <w:p>
      <w:pPr>
        <w:pStyle w:val="BookText"/>
        <w:rPr/>
      </w:pPr>
      <w:r>
        <w:rPr>
          <w:rFonts w:ascii="Amiri" w:hAnsi="Amiri" w:eastAsia="Amiri" w:cs="Amiri"/>
          <w:color w:val="111111"/>
          <w:sz w:val="28"/>
          <w:sz w:val="28"/>
          <w:szCs w:val="28"/>
          <w:rtl w:val="true"/>
          <w:lang w:bidi="ar-SA"/>
        </w:rPr>
        <w:t>المدرّسين بقم المشرفة،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شعبان المعظم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إصباح الشّيعة بمصباح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قطب الدين البيهقي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ق</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 ،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أعيان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حققه وأخرجه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أمل الآمل في علماء جبل 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الأندلس شارع المتنبي بغداد، 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علم الهدى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الفوائد في شرح إشكالات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المحققين الشيخ أبو طالب محمد ابن الحسن بن يوسف بن المطهر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علّق عليه وأشرف على طبعه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السّيّد حسين الموسوي الكرماني، والشيخ علي پناه الإشتهاردي، والشيخ عبد الرحيم البروجردي، الطبعة الأولى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المطبعة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بدائع الصنائع في ترتيب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علاء الدين أبو بكر بن مسعود الكاساني الحنفي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الحبيبية كانسي رود حاجي غيبي چوك كوئته باكستان،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بهجة الآمال في شرح زبدة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 علي بن عبد الله العلياري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p>
    <w:p>
      <w:pPr>
        <w:pStyle w:val="BookText"/>
        <w:rPr/>
      </w:pP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عنى بتصحيحها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الحائري،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 اسلامي کوشانپور،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مكّي الجزيني العاملي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المطبعة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تبصرة المتعلمين في أحكام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جمال الدين أبو منصور الحسن بن يوسف ابن المطهر الأسدي،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حسين الأعلمي،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أحمد الحسيني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هادي اليوسفي،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طهران،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تحرير الأحكام الشّرعيّة على مذهب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منصور الحسن بن يوسف بن المطهر المعروف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 xml:space="preserve">هـ ، المطبعة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بن المطهر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بتفسير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فخر الدين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 الثالثة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أمل الآمل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علي محفوظ، عدنان الدباغ، عبد الكريم الدباغ،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المؤرّخ العربي، طبع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التنقيح الرائع لمختصر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مقداد بن عبد الله السيوري الحلّ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الفاضل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اللطيف الحسيني الكوه كمري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الأحكام في شرح المقنعة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أبو جعفر محمد بن الحسن بن علي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حسن الموسوي الخرسان،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وصححه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عبد اللطيف،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 xml:space="preserve">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الحسين مسلم بن الحجاج بن مسلم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بن الحسين بن عبد العالي الكركي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المحقق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المطبعة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يحيى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من الفضلاء،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جمل العلم والعمل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 عليّ بن الحسين الموسوي العلوي،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الطبعة الأولى، </w:t>
      </w:r>
      <w:r>
        <w:rPr>
          <w:rFonts w:eastAsia="Amiri" w:cs="Amiri" w:ascii="Amiri" w:hAnsi="Amiri"/>
          <w:color w:val="111111"/>
          <w:sz w:val="28"/>
          <w:szCs w:val="28"/>
          <w:lang w:bidi="ar-SA"/>
        </w:rPr>
        <w:t>1378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مطبعة الآداب في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 والعقود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وترجمة وحواشي ومقدّمة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واعظ زادة الخراساني، مطبعة جامعة مشهد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 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الأولى على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الإسلامي،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التابع لمكتب الإعلام الإسلامي، مطبعة مكتب الإعلام الإسلامي،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بن موسى ابن بابويه القمّي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أكبر الغفاري،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الطَّائفة الشيخ أبو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المحققين،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الدروس الشّرعيّة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مكي الجزيني العاملي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الذريعة إلى تصانيف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الشيخ آقا بزرگ الطهراني،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الثالثة،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محمد بن مكي الجزيني العاملي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الموجز الحاوي لتحرير الفتاوي المطبوع ضمن الرّسائل العشر لابن فهد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العظمى المرعشي النجفي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 الجنان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إحياء التراث الإسلامي،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 التابع لمكتب الإعلام الإسلامي، مطبعة مكتب الإعلام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روضات الجنّات في أحوال العلماء والسّادات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باقر بن زین العابدين الخوانساري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الله إسماعيليان،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إسماعيليان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المطبعة الحيدرية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الرّوضة البهيّة في شرح اللمعة الدمشقية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كلانتر،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النجف الدينية، مطبعة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w:t>
      </w:r>
    </w:p>
    <w:p>
      <w:pPr>
        <w:pStyle w:val="BookText"/>
        <w:rPr/>
      </w:pPr>
      <w:r>
        <w:rPr>
          <w:rFonts w:ascii="IRNazanin" w:hAnsi="IRNazanin" w:eastAsia="IRNazanin"/>
          <w:color w:val="111111"/>
          <w:sz w:val="28"/>
          <w:sz w:val="28"/>
          <w:szCs w:val="28"/>
          <w:rtl w:val="true"/>
          <w:lang w:bidi="fa-IR"/>
        </w:rPr>
        <w:t>أفست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العلماء وحياض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بن عيسى الأفندي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1130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الحسيني الأشكوري،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التاريخ العربي،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 الحاوي لتحرير الفتاوي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منصور بن أحمد بن إدريس 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مطبعة مؤسسة النشر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منصور بن أحمد بن إدريس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العجلي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مهدي الموسوي الخرسان،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الروضة الحيدرية،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العلويّة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اللحام،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بن سيّد الشّورى،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 بن عبد الرحمن بن الفضل بن بهرام الدارمي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دمشق عام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هـ ، طبع بعناية محمد أحمد دهمان دمشق، باب البريد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الشيخ محمد بن يزيد القزويني، المعروفة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حقق نصوصه، ورقم كتبه، وأبوابه، وأحاديثه،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للطباعة والنشر والتوزيع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عبد الرحمن أحمد بن شعيب بن علي بن بحر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شرائع الإسلام في مسائل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نجم الدين جعفر ابن الحسن الهذلي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إسماعيليان،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أحمد عبد الغفور عطار،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إسماعيل بن إبراهيم بن المغيرة ابن بردزبة البخاري الجعفي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طبعة بالأوفست عن طبعة دار الطباعة العامرة بإسطنبول،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 دار الفكر للطباعة والنشر والتوزيع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أعلام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القاري في شرح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محمود بن أحمد بن موسى بن أحمد، بدر </w:t>
      </w:r>
    </w:p>
    <w:p>
      <w:pPr>
        <w:pStyle w:val="BookText"/>
        <w:rPr/>
      </w:pPr>
      <w:r>
        <w:rPr>
          <w:rFonts w:ascii="Amiri" w:hAnsi="Amiri" w:eastAsia="Amiri" w:cs="Amiri"/>
          <w:color w:val="111111"/>
          <w:sz w:val="28"/>
          <w:sz w:val="28"/>
          <w:szCs w:val="28"/>
          <w:rtl w:val="true"/>
          <w:lang w:bidi="ar-SA"/>
        </w:rPr>
        <w:t xml:space="preserve">الدّين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غاية المراد في شرح نكت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شمس الدين محمد بن مكيّ الجزيني العاملي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786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الأبحاث والدراسات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رضا المختاري، المساعدون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أكبر زماني نژاد، الشيخ علي المختاري، السّيّد أبو الحسن المطلبي،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الإعلام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المرام في شرح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الحسن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جعفر الكوثراني العاملي،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للطباعة والنشر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غنية النزوع إلى علمي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البهادري ، إشراف الشيخ جعفر السبحاني،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للتحقيق والتأليف،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شرح الوجيز الشيخ عبد الكريم بن محمّد الرّافعي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النسخ الخطية في إيران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الدرايتي، ناشر وطبع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ملي الجمهورية الإسلامية في إيران،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مصنفي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العباس أحمد بن عليّ ابن أحمد بن العباس النّجاشي الأسدي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w:t>
      </w:r>
    </w:p>
    <w:p>
      <w:pPr>
        <w:pStyle w:val="BookText"/>
        <w:rPr/>
      </w:pPr>
      <w:r>
        <w:rPr>
          <w:rFonts w:ascii="Amiri" w:hAnsi="Amiri" w:eastAsia="Amiri" w:cs="Amiri"/>
          <w:color w:val="111111"/>
          <w:sz w:val="28"/>
          <w:sz w:val="28"/>
          <w:szCs w:val="28"/>
          <w:rtl w:val="true"/>
          <w:lang w:bidi="ar-SA"/>
        </w:rPr>
        <w:t>الشبيريّ الزّنجاني،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جواد القيومي،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نشر الفقاهة،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شعبان المعظم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مجد الدين أبو طاهر محمد بن يعقوب بن محمد بن إبراهيم بن عمر الشيرازي الفيروز 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قطعة من رسالة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الأقدم الشيخ علي بن الحسين بن موسى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كريم مسير والشّيخ شاكر المحمدي،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دراسات علمية، المطبعة دار المؤرّخ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الأحكام في معرفة 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ابن يوسف بن المطهر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الأقدم الشيخ أبو الصّلاح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رضا أستادي،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الشّيخ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أكبر الغفاري،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w:t>
      </w:r>
    </w:p>
    <w:p>
      <w:pPr>
        <w:pStyle w:val="BookText"/>
        <w:rPr/>
      </w:pPr>
      <w:r>
        <w:rPr>
          <w:rFonts w:ascii="Amiri" w:hAnsi="Amiri" w:eastAsia="Amiri" w:cs="Amiri"/>
          <w:color w:val="111111"/>
          <w:sz w:val="28"/>
          <w:sz w:val="28"/>
          <w:szCs w:val="28"/>
          <w:rtl w:val="true"/>
          <w:lang w:bidi="ar-SA"/>
        </w:rPr>
        <w:t xml:space="preserve">الإسلاميّة، ط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والنشر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الالتباس عن موجز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مفلح بن الحسن الصيمري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حدود </w:t>
      </w:r>
      <w:r>
        <w:rPr>
          <w:rFonts w:eastAsia="Amiri" w:cs="Amiri" w:ascii="Amiri" w:hAnsi="Amiri"/>
          <w:color w:val="111111"/>
          <w:sz w:val="28"/>
          <w:szCs w:val="28"/>
          <w:lang w:bidi="ar-SA"/>
        </w:rPr>
        <w:t>900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الرموز في شرح المختصر النافع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زين الدين أبو علي الحسن بن أبي طالب ابن أبي المجد اليوسفي،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والمحقق الآبي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690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عليّ پناه الإشتهاردي، الحاج آغا حسين اليزدي،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النشر الإسلامي التابعة لجماعة المدرّسين بقم المشرفة، الطبع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الفوائد في حلّ مشكلات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عميد الدين عبد المطلب بن محمد الأعرج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754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في 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 السّيّد محمّد تقي الكشفي،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شمس الدين محمد بن أحمد بن أبي سهل السرخسي الخزرجي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الفائدة والبرهان في شرح إرشاد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الشيخ أحمد الأردبيلي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صححه ونمّقه وعلّق عليه وأشرف على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مجتبى العراقي والشيخ علي پناه الاشتهاردي والشيخ حسين اليزدي الأصفهاني،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الإسلامي التابعة لجماعة المدرّسين في الحوزة العلميّة في قم المقدّسة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المجموع شرح 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المختصر النافع في فقه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نجم الدين جعفر بن الحسن الهذلي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الدراسات الإسلامية في مؤسسة البعثة، ط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ابن المطهر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الحلّيّ 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المراسم العلويّة في الأحكام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يعلى حمزة بن عبد العزيز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الحسيني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المعاونية الثقافية للمجمع العالميّ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مسالك الأفهام إلى تنقيح شرائع الإسلام الشيخ زين الدين بن علي العاملي المعروف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الشهيد الثاني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گرافيك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الناصريات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المرتضى علم الهدى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البحوث والدراسات العلميّة،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الثقافة والعلاقات الإسلامية، مديرية الترجمة والنشر،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الهدى، تاريخ</w:t>
      </w:r>
    </w:p>
    <w:p>
      <w:pPr>
        <w:pStyle w:val="BookText"/>
        <w:rPr/>
      </w:pPr>
      <w:r>
        <w:rPr>
          <w:rFonts w:ascii="IRNazanin" w:hAnsi="IRNazanin" w:eastAsia="IRNazanin"/>
          <w:color w:val="111111"/>
          <w:sz w:val="28"/>
          <w:sz w:val="28"/>
          <w:szCs w:val="28"/>
          <w:rtl w:val="true"/>
          <w:lang w:bidi="fa-IR"/>
        </w:rPr>
        <w:t xml:space="preserve">النشر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وبهامشه منتخب كنز العمال في سنّن الأقوال والأفعال،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عني بتحقيق نصوصه وتخريج أحاديثه والتعليق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حبيب الرّحمن الأعظمي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في شرح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القاسم نجم الدين جعفر بن الحسن الهذلي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المحقق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الأفاضل،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مدرسة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تاريخ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السنن والآثار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أحمد بن الحسين البيهقي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کسروي حسن،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المطبعة دار الكتب العلمية،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على مختصر الخرقي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الله بن أحمد بن محمد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للنشر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جديدة بالأوفست</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المقاصد العليّة في شرح الرّسالة الألفية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والدراسات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الحسون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إحياء التراث الإسلامي،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w:t>
      </w:r>
    </w:p>
    <w:p>
      <w:pPr>
        <w:pStyle w:val="BookText"/>
        <w:rPr/>
      </w:pPr>
      <w:r>
        <w:rPr>
          <w:rFonts w:ascii="Amiri" w:hAnsi="Amiri" w:eastAsia="Amiri" w:cs="Amiri"/>
          <w:color w:val="111111"/>
          <w:sz w:val="28"/>
          <w:sz w:val="28"/>
          <w:szCs w:val="28"/>
          <w:rtl w:val="true"/>
          <w:lang w:bidi="ar-SA"/>
        </w:rPr>
        <w:t>النشر التابع لمكتب الإعلام الإسلامي،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ابن بابويه القمي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 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التحقيق التابعة لمؤسسة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عبد الله محمد بن محمد بن النّعمان العكبري البغدادي الملقب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التابعة لجماعة المدرّسين بقم المشرّفة،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الشيخ أبو جعفر محمّد بن علي بن الحسين ابن بابويه القمّي المعروف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المدرّسين في الحوزة العلميّة في قم المقدسة،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منتهى المطلب في تحقيق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ابن المطهّر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الفقه في مجمع البحوث الإسلامية،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الطبع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الطبع والنشر في الآستانة الرّضويّة المقدّسة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المهذب البارع في شرح المختصر النافع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جمال الدين أبو العباس أحمد بن محمد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غرة رجب المرجب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الأقدم القاضي عبد العزيز بن البراج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جعفر السبحاني، الناشر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المشرفة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الإحكام في معرفة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جمال الدين أبو منصور الحسن بن يوسف ابن المطهّر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726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مهدي الرجائي،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للطباعة والنشر والتوزيع،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النّهاية في مجرد الفقه والفتاوى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الشيخ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في الأصول والفروع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جعفر محمد بن علي بن الحسين ابن بابويه القمّي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رجب المرجب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الوسيلة إلى نيل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عماد الدين أبو جعفر محمد بن عليّ الطوسي، المعروف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قسيمة الاشتراك السنوي</w:t>
      </w:r>
    </w:p>
    <w:p>
      <w:pPr>
        <w:pStyle w:val="BookText"/>
        <w:rPr/>
      </w:pPr>
      <w:r>
        <w:rPr>
          <w:rFonts w:ascii="Amiri" w:hAnsi="Amiri" w:eastAsia="Amiri" w:cs="Amiri"/>
          <w:color w:val="111111"/>
          <w:sz w:val="28"/>
          <w:sz w:val="28"/>
          <w:szCs w:val="28"/>
          <w:rtl w:val="true"/>
          <w:lang w:bidi="ar-SA"/>
        </w:rPr>
        <w:t>أرجو قبول اشتراكي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سنتين ثلاث سنوات</w:t>
      </w:r>
    </w:p>
    <w:p>
      <w:pPr>
        <w:pStyle w:val="BookText"/>
        <w:rPr/>
      </w:pPr>
      <w:r>
        <w:rPr>
          <w:rFonts w:ascii="IRNazanin" w:hAnsi="IRNazanin" w:eastAsia="IRNazanin"/>
          <w:color w:val="111111"/>
          <w:sz w:val="28"/>
          <w:sz w:val="28"/>
          <w:szCs w:val="28"/>
          <w:rtl w:val="true"/>
          <w:lang w:bidi="fa-IR"/>
        </w:rPr>
        <w:t>الاسم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العنوان الكامل</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التوقيع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التأريخ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تملأ هذه القسيمة وترسل مع قيمة الاشتراك إلى أحد مراكز التوزيع المذكورة، أو إلى مقر المجلة على العنوان التالي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القديمة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مكتبة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للاستفسار</w:t>
      </w:r>
      <w:r>
        <w:rPr>
          <w:rFonts w:eastAsia="IRNazanin" w:cs="IRNazanin"/>
          <w:color w:val="111111"/>
          <w:sz w:val="28"/>
          <w:szCs w:val="28"/>
          <w:rtl w:val="true"/>
          <w:lang w:bidi="fa-IR"/>
        </w:rPr>
        <w:t xml:space="preserve">: </w:t>
      </w:r>
      <w:r>
        <w:rPr>
          <w:rFonts w:eastAsia="IRNazanin" w:cs="IRNazanin"/>
          <w:color w:val="111111"/>
          <w:sz w:val="28"/>
          <w:szCs w:val="28"/>
          <w:lang w:bidi="fa-IR"/>
        </w:rPr>
        <w:t>7800093930</w:t>
      </w:r>
      <w:r>
        <w:rPr>
          <w:rFonts w:eastAsia="IRNazanin" w:cs="IRNazanin"/>
          <w:color w:val="111111"/>
          <w:sz w:val="28"/>
          <w:szCs w:val="28"/>
          <w:rtl w:val="true"/>
          <w:lang w:bidi="fa-IR"/>
        </w:rPr>
        <w:t xml:space="preserve">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قيمة الاشتراك السنوي</w:t>
      </w:r>
    </w:p>
    <w:p>
      <w:pPr>
        <w:pStyle w:val="BookText"/>
        <w:rPr/>
      </w:pPr>
      <w:r>
        <w:rPr>
          <w:rFonts w:ascii="IRNazanin" w:hAnsi="IRNazanin" w:eastAsia="IRNazanin"/>
          <w:color w:val="111111"/>
          <w:sz w:val="28"/>
          <w:sz w:val="28"/>
          <w:szCs w:val="28"/>
          <w:rtl w:val="true"/>
          <w:lang w:bidi="fa-IR"/>
        </w:rPr>
        <w:t>داخل العراق</w:t>
      </w:r>
      <w:r>
        <w:rPr>
          <w:rFonts w:eastAsia="IRNazanin" w:cs="IRNazanin"/>
          <w:color w:val="111111"/>
          <w:sz w:val="28"/>
          <w:szCs w:val="28"/>
          <w:rtl w:val="true"/>
          <w:lang w:bidi="fa-IR"/>
        </w:rPr>
        <w:t>: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الدول الأخرى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دولاراً أو ما يُعادلها </w:t>
      </w:r>
    </w:p>
    <w:p>
      <w:pPr>
        <w:pStyle w:val="BookText"/>
        <w:rPr/>
      </w:pPr>
      <w:r>
        <w:rPr>
          <w:rFonts w:ascii="Amiri" w:hAnsi="Amiri" w:eastAsia="Amiri" w:cs="Amiri"/>
          <w:color w:val="111111"/>
          <w:sz w:val="28"/>
          <w:sz w:val="28"/>
          <w:szCs w:val="28"/>
          <w:rtl w:val="true"/>
          <w:lang w:bidi="ar-SA"/>
        </w:rPr>
        <w:t>مراكز التوزيع في العراق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الرسولﷺ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البذرة للطباعة والنشر</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07802450230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القاموسي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الكاظمية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عبد المحسن الكاظمي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مستشفى الضرغام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معرض البيع المباشر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07901770672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فندق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07834413784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الجديدة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مجاور جامع الرسولﷺ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مؤسسة المعرفة للثقافة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معرض البيع المباشر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07807976000</w:t>
      </w:r>
    </w:p>
    <w:p>
      <w:pPr>
        <w:pStyle w:val="BookText"/>
        <w:rPr/>
      </w:pPr>
      <w:r>
        <w:rPr>
          <w:rFonts w:ascii="Amiri" w:hAnsi="Amiri" w:eastAsia="Amiri" w:cs="Amiri"/>
          <w:color w:val="111111"/>
          <w:sz w:val="28"/>
          <w:sz w:val="28"/>
          <w:szCs w:val="28"/>
          <w:rtl w:val="true"/>
          <w:lang w:bidi="ar-SA"/>
        </w:rPr>
        <w:t>مراكز التوزيع خارج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صفائية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الإمام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فدك</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w:t>
      </w:r>
      <w:r>
        <w:rPr>
          <w:rFonts w:eastAsia="IRNazanin" w:cs="IRNazanin"/>
          <w:color w:val="111111"/>
          <w:sz w:val="28"/>
          <w:szCs w:val="28"/>
          <w:lang w:bidi="fa-IR"/>
        </w:rPr>
        <w:t>025</w:t>
      </w:r>
      <w:r>
        <w:rPr>
          <w:rFonts w:eastAsia="IRNazanin" w:cs="IRNazanin"/>
          <w:color w:val="111111"/>
          <w:sz w:val="28"/>
          <w:szCs w:val="28"/>
          <w:rtl w:val="true"/>
          <w:lang w:bidi="fa-IR"/>
        </w:rPr>
        <w:t>)</w:t>
      </w:r>
      <w:r>
        <w:rPr>
          <w:rFonts w:eastAsia="IRNazanin" w:cs="IRNazanin"/>
          <w:color w:val="111111"/>
          <w:sz w:val="28"/>
          <w:szCs w:val="28"/>
          <w:lang w:bidi="fa-IR"/>
        </w:rPr>
        <w:t>37833624</w:t>
      </w:r>
    </w:p>
    <w:p>
      <w:pPr>
        <w:pStyle w:val="BookText"/>
        <w:rPr/>
      </w:pP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المؤرخ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544805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مداد للثقافة والإعلام 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36671135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00973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بل ربما يظهر من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وذخيرة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نية النزوع إلى علمي الأصول والفروع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المستند في شرح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السيد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اللآلئ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xml:space="preserve">، غاية المراد في شرح نكت 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الصِّيَامُ كَمَا كُتِبَ عَلَى الَّذِينَ مِن قَبْلِكُمْ لَعَلَّكُمْ تَتَّقُونَ أَيَّامًا مَّعْدُودَاتٍ فَمَن كَانَ مِنكُم مَّرِيضًا أَوْ عَلَى سَفَرٍ فَعِدَّةٌ مِّنْ أَيَّامٍ أُخَرَ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الحيض والاستحاضة والنفاس ،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المريض يفطر ثُمّ يصح في بعض النهار والحائض تطهر والمسافر يقدم،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يدلّ على الحكم ما رواه في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المغمى عليه وصاحب المرة والمجنون في الصلاة والصيام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أفطر متعمداً،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باب الكفّارة في اعتماد إفطار يوم من شهر رمضان ،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عن المشرقي عن أبي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رجل أفطر من شهر رمضان أياماً متعمداً ما عليه من الكفّارة؟ فكتب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أفطر يوماً من شهر رمضان متعمداً فعليه عتق رقبة مؤمنة ويصوم يوماً بدل يوم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وحكم من أفطر فيه على التعمّد والنسيان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مدارك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وحكم من أفطر فيه على التعمّد والنسيان،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المنهاج ،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كُتِبَ عَلَيْكُمُ الصَّيَامُ كَمَا كُتِبَ عَلَى الَّذِينَ مِنْ قَبْلِكُمْ لَعَلَّكُمْ تَتَّقُونَ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أَيَّامًا مَعْدُودَاتٍ فَمَنْ كَانَ مِنْكُمْ مَرِيضًا أَوْ عَلَى سَفَرٍ فَعِدَّةٌ مِنْ أَيَّامٍ أُخَرَ وَعَلَى الَّذِينَ يُطِيقُونَهُ فِدْيَةٌ طَعَامُ مِسْكِينٍ فَمَنْ تَطَوَّعَ خَيْرًا فَهُوَ خَيْرٌ لَهُ وَأَنْ تَصُومُوا خَيْرٌ لَكُمْ إِنْ كُنتُمْ تَعْلَمُونَ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 رَمَضَانَ الَّذِي أُنْزِلَ فِيهِ الْقُرْآنُ هُدًى لِلنَّاسِ وَبَيِّنَاتٍ مِنَ الْهُدَى وَالْفُرْقَانِ فَمَنْ شَهِدَ مِنْكُمُ الشَّهْرَ فَلْيَصُمْهُ وَمَنْ كَانَ مَرِيضًا أَوْ عَلَى سَفَرٍ فَعِدَّةٌ مِنْ أَيَّامٍ أُخَرَ يُرِيدُ اللَّهُ بِكُمُ الْيُسْرَ وَلَا يُرِيدُ بِكُمُ الْعُسْرَ وَلِتُكْمِلُوا الْعِدَّةَ وَلِتُكَبِّرُوا اللَّهَ عَلَى مَا هَدَاكُمْ وَلَعَلَّكُمْ تَشْكُرُونَ</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طوق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تسنيم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 إلى آيات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تبنّاه سماحة الشيخ الفياض في فيض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يريد السفر أو يقدم من سفر متى يجب عليه التقصير أو التمام،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ناقشنا الإشكالات الواردة حول سند الرواية بالتفصيل لاحتواء الرواية على مضامين عديدة نافعة في الكثير من الأبواب الفقهية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مشيخة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إلى هذا المعنى سماحة شيخنا الأستاذ آل راضي، وكرّره في عدد من دروسه التي حضرناها، يلاحظ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عدد من علمائنا إلى تفسير الصحة عند القدماء بمعنى مخالف لما هو المصطلح عليه عند المتأخرين، فيكون وصف الصحة عندهم لا يلازم وثاقة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كتبه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للمأمون في محض الإسلام وشرائع الدين،ح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ترجمة محمد بن عيسى بن عبيد اليقطيني، رقم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إعلام الورى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ذلك شيخنا الأستاذ آل راضي دام ظله في بحثه الفقهي في كتاب الخمس سنة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هـ رقم الدرس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رابط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http://shiavoice.com/cat-10274-3.html</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سندها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الأسدي عن أبيه، وكلاهما لم يوثّق</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الاحتمال الثاني في قبسات من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الواضح أنّ صياغتها من الفضل نفسه؛ لأنّ الرواية مرتبة تبدأ بأصل الخلقة والعقائد وولاية الفقيه، ثُمّ تنتقل للأبواب الفقهية الأخرى</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سماحة السيد محمد رضا السيستاني نقلاً عن رسالة سماحة المرجع الأعلى السّيّد عليّ السيستاني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قبسات من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تلك المواضع في هامش سابق</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العلل التي ذكر الفضل بن شاذان في آخرها أنه سمعها عن الرضا</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أبو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الفضل 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كنت في قطيعة الربيع في مسجد الزيتونة أقرأ على مقرئ 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عبّاد، فرأيت يوماً في المسجد نفراً يتناجون، فقال أحدهم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بالجبل رجلاً 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فضال أعبد من رأيت أو سمعت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وإنّه ليخرج إلى الصحراء فيسجد السجدة فيجيء الطير فيقع عليه فما يظن إلّا أنّه ثوب أو خرقة، وإنّ الوحش ليرعى حوله فما ينفر منه لما قد آنست به وإنّ، عسكر الصعاليك ليجيئون يريدون الغارة، أو قتال قوم فإذا رأوا شخصه طاروا في الدنيا، فذهبوا حتى لا يراهم ولا يرونه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فظننت أنّ هذا رجل كان في الزمان الأوّل، فبينا أنا بعد ذلك بسنتين قاعد في قطيعة الربيع مع أبي له إذ جاء شيخ حلو الوجه حسن الشمائل عليه قميص نرسي، ورداء نرسي، وفي رجله نعل مخصر، فسلّم على أبي فقام إليه أبي فرحب به و بجله، فلما أن مضى يريد ابن أبي عمير، قلت لشيخي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رجل حسن الشمائل، من هذا الشيخ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الحسن بن علي بن فضال، 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ذاك العابد الفاضل؟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هو ذاك؟،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أليس ذلك بالجبل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كان يكون بالجبل،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ذاك،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أقل عقلك من غلام، فأخبرته ما سمعته من أولئك القوم فيه،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ذاك، فكان بعد ذلك يختلف إلى أبي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التقريبات الثلاثة وما يرد عليها من إفادات شيخنا الأستاذ آل راضي دام ظله في بحثه الشريف بتاريخ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جمادى الأولى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في مسائل الحلال والحرام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استفدنا هذا الوجه من درس شيخنا الأستاذ آل راضي في مجلس درسه الفقهي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1439/6</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295/8</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توالى عليه رمضانان، 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توالى عليه رمضانان،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أسلم في شهر رمضان وحكم من بلغ الحلم فيه،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مواقيت الصلاة،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وحكم من بلغ الحلم فيه،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57/15</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بعدها،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وحكم من بلغ الحلم فيه،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بقية الكفارات،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المرتقى إلى الفقه الأرقى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خطّية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به الميرزا جواد التبريزي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مباني العروة، كتاب الصوم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باب دعائم الإسلام،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المنسوب إلى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الجمل والعقود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اللمعة الدمشقية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البهية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 المحشّاة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نوادر أحمد بن محمّد بن عيسى الأشعري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الحسن الصيقل</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لهذا المثال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الصالحين لسماحة السيد علي الحسيني السيستاني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وهما روايتا المشرقي وعبد الرحمن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رقبة بدل نسمة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السيّد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شرح مناسك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مهذب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وآراء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معرفة الإمام والردّ عليه،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الحائض والمستحاضة،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تهذيب</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الفقيه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الفأرة تموت في الطعام والشراب،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السهو في الثلاث والأربع،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التقريرات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المباحث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نقلاً عن المحقق العراقي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المباحث الأصولية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أضواء وأراء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الإمام الخوئي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شرح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منتقى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391/4</w:t>
      </w:r>
      <w:r>
        <w:rPr>
          <w:rFonts w:eastAsia="IRNazanin" w:cs="IRNazanin"/>
          <w:b w:val="false"/>
          <w:bCs w:val="false"/>
          <w:i w:val="false"/>
          <w:iCs w:val="false"/>
          <w:color w:val="333333"/>
          <w:sz w:val="20"/>
          <w:szCs w:val="20"/>
          <w:rtl w:val="true"/>
        </w:rPr>
        <w:t xml:space="preserve"> .</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442/3</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الصائم،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الصوم للشيخ الأنصاري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إيضاح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 الأصول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7/173</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الإمام الخوئي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المقال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المتاجر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الذهبي في المغني في الضعفاء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أبان بن تغلب ثقة معروف، قال ابن عدي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 في التشيع</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275/6</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393/7</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425/43</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سيأتي إن شاء الله تعالى التعرّض لذلك مفصلاً في القسم الثالث من هذا البحث، حيث عُقِدَ لذكر من تعرّض لهم من الرواة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337/42</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311/40</w:t>
      </w:r>
      <w:r>
        <w:rPr>
          <w:rFonts w:ascii="IRNazanin" w:hAnsi="IRNazanin" w:eastAsia="IRNazanin"/>
          <w:b w:val="false"/>
          <w:b w:val="false"/>
          <w:bCs w:val="false"/>
          <w:i w:val="false"/>
          <w:i w:val="false"/>
          <w:iCs w:val="false"/>
          <w:color w:val="333333"/>
          <w:sz w:val="20"/>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390/30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282/29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365/8</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17/191</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أي 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بن خالد لم يوثقه النجاشي، ولا الشيخ الطوسي، ولكن روى الكشي عن حمدويه أنه سأل أيوب بن نوح عنه أثقة هو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يكون 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فالأصل في توثيقه أيوب بن نوح، وناهيك به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في سليمان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وناهيك به؛ لأنَّ المعتبر في المعدّل العدالة وهو ثقة ويزيد عليها زيادة جلالته ومعروفيّته وقرب عهده، فما في المدارك في بحث توجيه المحتضر لم يثبت توثيقه فيه ما فيه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352.42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164/98</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 ديدنهم التعرّض لفساد العقيدة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وسيأتي بيان وجه التأييد في ترجمة الحسن بن علي بن النعمان في القسم</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للكلباسي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مسالك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رجال الشيخ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لكن لم يبن السيد الخوئي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إفادة الوكالة لوثاقة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378/42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والوجيزة في علم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ومفتاح الكرامة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الوجيزة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289/43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أبو جعفر شيخ القمّيّين، وفقيههم، ومتقدمهم، ووجههم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نزيل قم، وما كان أصله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ثقة، عين مسكون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قال بعد ذكر طرقه لكتاب نوادر الحكمة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أبو</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مالك ، كوفي ، ثقة، ويضعفه قوم، روى في مولد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أعاجيب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النجاشي في ترجمة محمد بن عيسى بن عبيد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عيسى بن عبيد بن يقطين بن موسى مولى أسد بن خزيمة، أبو جعفر، جليل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أصحابنا، ثقة، عين، كثير الرواية، حسن التصانيف، روى عن أبي جعفر الثانيقال الشيخ في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 بن محمد بن مالك ، كوفي ، ثقة، ويضعفه قوم، روى في مولد القائم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أعاجيب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مكاتبة ومشافهة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أبو جعفر ابن بابويه، عن ابن الوليد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تفرّد به محمّد بن عيسى من كتب يونس وحديثه لا يعتمد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ورأيت أصحابنا ينكرون هذا القول، ويقولون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مثل أبي جعفر 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بغداد</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الرجال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زياد الآدمي، يكنى أبا سعيد، ثقة، 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141/40</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204/42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274/39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 للكجوري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يعقوب بن إسحاق أبو جعفر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خاله علان الكليني الرازي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أصحابنا في وقته بالري ووجههم، وكان أوثق الناس في الحديث، وأثبتهم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والد الصدوق</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يبعد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استفاد ذلك مما ذكره السيّد بحر العلوم في ترجمة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بالري سنة إحدى وثمانين وثلاثمائة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ولد بعد وفاة محمد بن عثمان العمري في أوائل سفارة الحسين بن روح، وقد كانت وفاة العمري سنة خمس وثلاثمائة، فيكون قد أدرك من الطبقة السابعة فوق الأربعين، ومن الثامنة إحدى وثلاثين، ويكون عمره نيفاً وسبعين سنة، ومقامه مع والده ومع شيخه أبي جعفر محمد بن يعقوب 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الغيبة الصغرى نيفاً وعشرين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السيّد بحر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محبوب السراد، ويقال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الزرّاد، ويكنى أبا علي، مولى بجيلة، 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أبي الحسن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وروى عن ستين رجلاً من أصحاب أبي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وكان جليل القدر، ويعدّ في الأركان الأربعة في عصره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سعد بن عبد الله بن أبي خلف الأشعري القمي، أبو القاسم، شيخ هذه الطائفة وفقيهها ووجهها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بن محبوب الأشعري القمّي أبو جعفر، شيخ القميّين في زمانه، ثقة، عين، فقيه،</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توضيح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الرجالية، للسيّد بحر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على منهج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منتقى الجمان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الرواة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المدارك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فإنَّه جعل إكثار الكليني عن سهل بن زياد مما يجبر ضعف السند، ومن المعلوم أنَّ الكليني لا يروي عنه مباشرة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السماويّة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تعليقة على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الخاقاني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هيثم بن أبي مسروق أبو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أبي مسروق عبد الله النهدي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كوفي، قريب الأمر له كتاب 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علي بن محبوب عنه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والشيخ في الفهرست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الهيثم بن أبي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أخبرنا به جماعة، عن أبي المفضّل، عن ابن بطة عن الصفّار، عنه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وفي رجاله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الهيثم بن أبي مسروق النهدي، روى عنه سعد بن عبد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6378</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حمزة بن حمران، قال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حمزة بن حمران بن أعين الشيباني روى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210/34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414/36</w:t>
      </w:r>
      <w:r>
        <w:rPr>
          <w:rFonts w:eastAsia="IRNazanin" w:cs="IRNazanin"/>
          <w:b w:val="false"/>
          <w:bCs w:val="false"/>
          <w:i w:val="false"/>
          <w:iCs w:val="false"/>
          <w:color w:val="333333"/>
          <w:sz w:val="20"/>
          <w:szCs w:val="20"/>
          <w:rtl w:val="true"/>
        </w:rPr>
        <w:t xml:space="preserve">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وسائل الشيعة إلى مسائل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الأمة إلى أحكام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الرواشح السماوية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الراشحة التاسعة والعشرون</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الاشتباه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ومثله في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463/3</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في دراية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مصنّفى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الغضائري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 الغضائري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أسماء مصنّفي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موارد تصريح العلّامة وابن داود ما ذكراه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أحمد الجاموراني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بشير وأحمد بن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موارد تلويح العلّامة ما ذكره في 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علي الهمذاني، ومحمّد بن يحيى المعاذي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إنّه ضعفهما، ولم يذكر مستنداً للتضعيف ، ولا وجه له سوى استثناء ابن الوليد لهما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مشايخ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ذخيرة المعاد في شرح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عدته السيد الصدر في نهايته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التي أثبتها على صفحة العنوان من هذه الحاشية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كإجازة الشَّيخ شهاب الدين أحمد ابن الشَّيخ الصَّالح محمد بن أبي جامع العاملي حيث أجازه في جمادى الآخرة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كتبها له في المشهد المطهَّر الغروي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الدائر من مآثر أهل القرن العاشر</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والموضع</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الجامعة لدرر أخبار الأئمة الأطهار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في علماء جبل عامل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مقابس الأنوار ونفائس الأسرار في أحكام النبي المختار وآله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الجامعة لدرر أخبار الأئمة الأطهار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طرائف المقال في معرفة طبقات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خاتمة 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الآمال في شرح زبدة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للرّسالات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إحياء الداثر من مآثر أهل القرن العاشر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تصانيف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280/22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في أحوال العلماء والسادات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الفوائد التي أثبتها على صفحة العنوان من هذه الحاشية</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فيساوي بحساب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فيساوي بحساب الجمل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بهجة الآمال في شرح زبدة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مفهرسة في مكتبة مجلس الشورى في طهران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مفهرسة في مكتبة مجلس الشورى في طهران تحت الرّقم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مفهرسة في مكتبة مجلس الشورى في طهران تحت الرّقم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 في علماء المائة الحادية 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في علماء جبل عامل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معقوفين من محقق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محقق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ذكر ذلك محقق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عزّه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العبارة مقتبسة من كلام الميرزا الأفندي في رياضه، كما تقدّم</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الروضة النّضرة في علماء المائة الحادية عشرة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النسخ الخطية في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فنخا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ويستحب للصلاة والطواف المندوبين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شبهة في استحبابه لهما ؛ لامتناع وجوب شيء لغاية مندوبة، لكنّه شرط في الصلاة؛ إذ لا صلاة إلّا بوضوء، بخلاف الطواف المندوب لصحته من المحدث على الأصح</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إذا نسي الوضوء للطواف، فيعيد الطواف بعد الوضوء إن كان الطواف واجباً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إلى ذلك ابن الجنيد، كما في مختلف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وأيضاً الشيخ وابن حمزة وابن إدريس والمحقق والعلّامة والشهيد الثاني والمحقق الأردبيلي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الموسوعة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المختصر النافع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مسالك الأفهام إلى تنقيح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واستحباب الوضوء للكون على طهارة معناه استحباب فعله للبقاء على حكمه، وهذا معنى صحيح لا فساد فيه، وما يوجد في الحواشي المنسوبة إلى شيخنا الشهيد من أنّ ذلك في قوّة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الوضوء للكون على 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ظاهر الفساد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الوضوء المجدّد لا تتصوّر فيه الإباحة؛ لأن وضعه على أن يكون بعد وضوء مبيح، لكن لو فعل كذلك، وظهر في الأوّل خلل، هل يكون رافعاً أم لا؟ قولان للأصحاب</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لكن يجب أن يستثنى من دخول المساجد الاجتياز في غير المسجدين؛ إذ ليس بمحرّم على الجنب، وشبهه للنّصّ</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طاب ثراه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ولدخول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يرد عليه أنّه يرى وجوب الغسل للجنابة لنفسه، فتعليق وجوبه بالصّوم ينافي مذهبه؛ لأنّ وجوبه لنفسه لا ينافي وجوبه لأمر آخر، لكونه شرطاً فيه، لأنّ علل الشرع معرّفات للأحكام، فلا محذور في تعدّدها</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يخفى أن تضيق وجوب الغسل وضدّه دائر مع تضيق الغاية وعدمه، لا مع وجوبه لنفسه، فيظهر به اختلاف منشأ الوجوب</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وينبغي التنبه لشيء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الغمس لو صادف الليل هل يجب تقديم الغسل على الفجر، بحيث يقارن طلوعه علماً أو ظنّاً، أم يجوز تأخيره إلى وقت صلاته؟ فيه وجهان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أثبتناه هو الأنسب</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يلتفتان إلى أنّ الغسل شرط للصّوم، والشّرط مقدّم، وأنّ شرطيّته للصّوم في الاستحاضة دائرة مع شرطيته للصلاة وجوداً وعدماً</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وليلة سبع عشرة ليلة التقاء الجمعين ببدر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السّبعة عشر،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نيروز الفرس فهو أوّل سنة الفرس، وفسّر بحلول الشمس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ببرج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وبعاشر آيار، وبأول يوم من شهر فروردين القديم الفارسي</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في شرح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والمولود، وللسعي إلى رؤية المصلوب بعد ثلاثة، والتّوبة عن فسق أو كفر ، وصلاة الحاجة والاستخارة، ودخول الحرم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بوجوبه أبو الصلاح الحلبي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تداخل وإن انضم إليها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أفتى به المصنّف من عدم تداخلها عند من عدم تداخلها عند الاجتماع،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عدم الاكتفاء بغسل واحد لأسباب متعدّدة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عيّنها في النّيّة أم لا، وسواء كان معها غسل واجب أم 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القول المنصور؛ لعدم الدليل الدال على التداخل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كالأغسال الواجبة؛ لأنّ المطلوب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الرفع أو الاستباحة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واحد بخلاف المندوبة، ومع انضمام الواجب فعدم التداخل أظهر؛ لاختلاف الوجه بالوجوب والندب، وهما متضادّان</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اغتسلت</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باب الأغسال المفترضات والمسنونات،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وأيضاً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 بالتداخل مطلقاً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ولخروج المجنب من المسجدين</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التيمم وأحكامه،ح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وإلحاق من عرض له الجنابة فيه بسبب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هو ظاهر العبارة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أجنب خارجاً، ودخل إلى أحد المسجدين عامداً، أو ناسياً، أو جاهلاً، لعدم تعقل الفرق بين من ذكر وبين المحتلم ، رجوع إلى ظنّ لا يفيده النّصّ</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المجنب يأكل ويشرب ويقرأ ويدخل المسجد ويختضب ويدهن ويطلي ويحتجم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الجنابة وصفة الطهارة منها،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كيفية الأغسال وكيفية الغسل من الجنابة ،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ومستنده الإجماع منا على تحريم المرور في المسجدين للجنب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أوّل من وقفنا على تصريحه بالإجماع، والمذكور في كلام الفقهاء هو حرمة</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عرفت ذلك فاعلم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مورد الخبر التيمم للخروج، فلو أمكن الغسل فهل يقدّم؟ يحتمل ذلك؛ لعدم شرعيّة التيمم مع التمكن من مبدله، وخصوصاً مع مساواة زمانه لزمان التيمم، أو قصوره عنه، والأصح العدم وقوفاً مع ظاهر النّصّ، ولعدم العلم بإرادة حقيقة الطهارة، ولأنّ الخروج واجب، ولو جاز الغسل لم يجب</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إصباح الشيعة بمصباح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إرشاد الأذهان إلى أحكام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أسبابها يجب الوضوء بخروج البول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أسبابها أراد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الأمور التي يترتب عليها فعل الطهارة في الجملة، أعم من أن تكون واجبة أو مندوبة؛ إذ لا تجب إلا بوجوب شيء من الغايات السابقة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البول والغائط إذا خرجا من غير السبيلين من موضع في البدن ينقض الوضوء إذا كان مما دون المعدة، وإن كان فوقها لا ينقض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في 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وإطلاق الشيخ النقض بالخارج مما تحت المعدة دون غيره ضعيف</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والنوم المبطل للحاستين مطلقاً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عن أبي موسى الأشعري وأبي مخلّد وحميد الأعرج وعمرو بن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وأراد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تعميم النقض في جميع الحالات، سواء كان النائم قاعداً، أو منفرجاً، أو قائماً، أو راكعاً؛ لأنّ 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 نام فليتوضأ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للعموم، وتخصيص ابن بابويه الحكم بالمنفرج ضعيف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ينفرج</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 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ونفس الرّقم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إشارة إلى أنّ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المستصحب</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والمستصحب للنّواقض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كالدود المتلطخ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ناقض، أما غيره فلا</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عن الشافعي وأبي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كتاب الأم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ورد في أخبارنا من وجوب الوضوء بغير ما ذكر، مما لا يقول به الأصحاب؛ إما لضعف الحديث، أو لشذوذه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والاستحاضة مع غمس القطنة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يورد عليه شيخنا هاهنا وجوب التقييد في المتوسطة بوقت الصبح ، مع أنه وارد عليه، لما عرفت من أنها في غير الصبح من أسباب الوضوء خاصة، وليس له أن 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أنّها من أسباب الغسل في الجملة؛ لأنّ الظاهر أنّ المراد في جميع الأسباب أنها أسباب متى حصلت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والجنابة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الحالة التي تحصل بالإنزال أو بالجماع، فهي غنية عن تقدير شيء، ولو قدرت معها الخروج الذي لا بُدّ من تقديره مع الحيض فسد المعنى، فحينئذٍ يجب أن تكون العبارة هكذا يجب الغسل بالجنابة، وبخروج الحيض، وأخويه، إلى آخره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الموضع والكلام في العبارة السابقة من جامع المقاصد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ومس الميت من الناس بعد برده قبل الغسل</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والد الصدوق، ونقله المحقق عن ابن أبي عقيل، ونقله العلّامة عن ابن الجنيد أيضاً، وذهب إليه أيضاً الصدوق والمفيد وأبو الصلاح وسلار والشيخ وابن البراج وابن حمزة وابن زهرة وابن إدريس والمحقق والفاضل الآبي والعلّامة والشهيد وابن فهد والصيمري والشهيد الثاني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قطعة من رسالة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التبوية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غنية النزوع إلى علمي الأصول والفروع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الرموز في شرح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رسالة المحرّر في الفتوى المطبوعة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الروضة البهيّة في شرح اللمعة الدمشقية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إليه الشيخ والمحقق القول بالاستحباب في شرح الرّسالة والمصباح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کتاب الطهارة،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ascii="IRNazanin" w:hAnsi="IRNazanin" w:eastAsia="IRNazanin"/>
          <w:b w:val="false"/>
          <w:b w:val="false"/>
          <w:bCs w:val="false"/>
          <w:i w:val="false"/>
          <w:i w:val="false"/>
          <w:iCs w:val="false"/>
          <w:color w:val="333333"/>
          <w:sz w:val="20"/>
          <w:sz w:val="20"/>
          <w:szCs w:val="20"/>
          <w:rtl w:val="true"/>
        </w:rPr>
        <w:t xml:space="preserve">، وأيضاً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للسرخسي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تلقين المحتضرين،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بعدم وجوب الغسل يظهر من المحقق البناء عليه؛ لأنّه بنى على أنّ نجاسة الميت نجاسة عينيّة، ولازم ذلك أنّ العضو يطهر بمجرد الانتهاء من غسله، لا أنّه لا يطهر إلا بتمام غسل الجسد، كما هو مبنى النّجاسة الحكميّة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وحكم القطعة ذات العظم حكم الميت في ذلك، سواء أبينت من حيّ أو ميت وفي العظم المجرّد قول بالمساواة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هذا كل من يجب تغسيله يجب بمسّه الغسل، ومن لا فلا</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فوق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بعد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مقطوعة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والعمل بها قليل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ويكفي غسل الجنابة عن غيره منها لو جامعه دون العكس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الأغسال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العلّامة في 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على مختصر الخرقي لابن قدامة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الأحداث التي هي أسباب الطهارة وإن تعدّدت؛ فإنّ مسببها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النّجاسة الحكمية التي هي المانع من الأشياء المخصوصة، ويعبّر عنها بالحدث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متحد</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بيان الملازمة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الأسباب المتعدّدة إذا اجتمعت فالأصل عدم تداخل مسبّباتها، ومن ثَمَّ لم تتعدّد الطَّهارة الصغرى بتعدّد أسبابها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بيان الملازمة نظر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ختم التلميذ هذه التعليقة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 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الفقرة موجودة على الحاشية العلوية للأصل وليس في مكانها محلّ إرجاع، ووضعناها في هذا المحلّ مقارنة بكتاب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وجوب الغسلين معاً، إما أن يكون بمعنى تحتمهما معاً، أو التخيير بينهما على أن يجزئ كلّ منهما عن الآخر التعبّد به ، أو بمعنى إجزاء أحدهما الآخر خاصة، دون العكس، والأوّل معلوم البطلان والفرض بطلان الثاني، فتعيّن الثالث، وحينئذ فلا يكون لوجوب ذلك الآخر فائدة؛ لأنّه لو أتى به لم يكن مجزئاً، ولو أتى بغيره أجزاً عنه، وذلك يقتضي أن لا يكون لوجوبه فائدة، وأن يكون وجوده كعدمه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بزوال التحريم هو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باب أحكام الحائض والمستحاضة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ويمكن أن يساق الدليل على وجه أوضح من هذا، بأن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يجزئ غسل الحيض عن الجنابة عند وجوبهما امتنع وجوبه، والتالي واضح البطلان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في جانب الأصل تعليقة من الماتن لم يحدّد مكانها، والأنسب وضعها في هذا المحلّ،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وجوب العملين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أن يكون حتماً أو تخييراً ولا ثالث؛ لأنّ وجوبَ واحد فقط ينافي وجوبهما، والقسم الأوّل منتف قطعاً، فتعيّن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والوجوب فيه للأمر الكلّيّ المتحقق بكلّ واحد منهما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الوجوب ينقسم باعتبار الفعل إلى</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التعداد بالحروف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النّصّ، فمنه رواية حريز عن أبي جعفر عليه السّلام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حاضت المرأة وهي جنب أجزأها غسل واحد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الأغسال المفترضات والمسنونات،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أنّ الغسل وحده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ومنشأ الإشكال من أنّ غير الجنابة مع الوضوء يكافئ غسل الجنابة، لثبوت إباحة الصلاة ونحوها بكلّ واحدٍ منهما عند الانفراد، وكلّ من المتكافئين يقوم مقام الآخر، فيجزئ عنه، ومن أنّ الغسل وحده لا يجزئ عن الجنابة؛ لضعفه وقصوره، والوضوء لا مدخل له في رفع حدث الجنابة، فيبقى الحدث بحاله</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الأوفق للسّياق</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في حل مشكلات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ريب أنّ المتيمم لو وجد الماء وتمكن من استعماله في الطهارة انتقض تيمّمه، فإذا فقد وجب التيمم ، فيكون التّمكّن من استعمال الماء سبباً ناقضاً لوجوب التيمم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والذي عليه الأصحاب نفي استحباب الوضوء، قال المصنّف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يستحبّ الوضوء عندنا فيه، خلافاً للشّيخ في التهذيب وعبارة الكتاب تنفيه أيضاً، حيث نفى الوضوء مع غسل الجنابة، ونفى فرضه مع غسل الأموات، فظهر من تقييده في الثاني إرادة الإطلاق في الأوّل</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الوضوء قبله وبعده ،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 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حكم الجنابة وصفة الطهارة منها ،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الخلوة وكيفية</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هامش الأصل حاشية لم يحدّد مكانها بالضبط، وهذا المكان هو الأنسب لها،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الاستنجاء لغة القطع؛ فإنّ المستنجي يقطع الأذى من نفسه بالحجر أو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تاج اللغة وصحاح العربية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2502/6</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جاء مثل هذا التعريف في كلام الشهيد في الذكرى،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أقله مثلاه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المشهور بين الأصحاب، وبه رواية نشيط بن صالح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سألته كم يجزئ من الماء في الاستنجاء من البول ؟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ما على الحشفة من البلل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باب آداب الأحداث الموجبة للطهارة،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الاستبراء من البول وغسله ومَنْ لم يجد الماء،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التّياب وغيرها من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 المراد وجوب غسل مخرج البول مرّتين، والتعبير بالمثلين لبيان أقل ما يجزئ وقد وردت عدة أخبار بوجوب غسل البول مرّتين، فهي مؤيّدة لهذه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وأنكر بعض الأصحاب وجوب المثلين واكتفى بالغسل مرّة، سواء كان مثلين أو أقل؛ استضعافاً للرواية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وأقل ما يجزي من الماء لغسله ما يكون جارياً ويسمّى غسلاً</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أنّ هنا سؤالاً، وهو أنّ الغسل إنّما يتحقق إذا ورد الماء على محلّ النّجاسة شاملاً له مع الغلبة والجريان، وذلك منتفٍ مع كلّ واحدٍ من المثلين؛ فإنّ المماثل للبلل الذي على الحشفة كيف يكون غالباً عليه ؟</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أنّه يجب على الأغلف في الاستنجاء من البول كشف البشرة، وتطهير محلّ النّجاسة؛ لأنّ ما تحتها من الظواهر، ولو ارتتقت أمكن القول بوجوب التوصل إليه بحسب الممكن، وقد صرّح المصنف في المنتهى وشيخنا في الذكرى بإلحاقه بالبواطن، فيغسل ما ظهر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حتى تزول العين والأثر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عبرة بالرّائحة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ذلك ما روي عن أبي الحسن الرّضا عليه السّلام، واعترض على ذلك شيخنا بأن وجود الرائحة يرفع أحد أوصاف الماء، وذلك يقتضي النّجاسة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وشبهها من خرق وخشب وجلد</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الشهيد الأوّل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الأشنان والسعد،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وأيضاً لاحظ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أبواب الزيادات في أبواب الطّهارة، باب الأحداث الموجبة للطهارة،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 ح</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باب القول عند دخول الخلاء وعند الخروج والاستنجاء ومَنْ نسيه ،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المنكرين الشيخ وابن إدريس والمرتضى وابن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مُدَّ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والماء أفضل، كما أن الجمع في المتعدّي أفضل</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المصدر سابقة لما قبلها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مزيلة للعين احترز به عما يكون صقيلاً جداً يزلق عن النّجاسة، أو خشناً جداً لا يمكن الاعتماد عليه في قلعها، أو رخواً كذلك، ويستفاد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مزيلة للعين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زوال الأثر في الأحجار غير لازم لتعذره، فيعفى عنه، حتى لو عرض للمحلّ بلل بعد ذلك كان طاهراً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ويجزئ ذو الجهات الثلاث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 القولين؛ لأنّه ثلاثة أحجار قوّة، ولأنّ المطلوب تعدّد موضع المسح، كما دلّ عليه قوله عليه السّلام في بعض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فليتمسح ثلاث مسحات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ابن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والموجود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مرّات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كتبنا 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أحجار أن يمسح العجان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وورد ويجزيك من الاستنجاء ثلاثة 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التّيمم وأحكام المحدثين منه وما ينبغي أن يعملوا عليه من الاستبراء والاستظهار،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رسالة الموجز الحاوي لتحرير الفتاوي المطبوعة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اقتضاها السّياق</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نقي بدونها وجب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أصحٌ القولين؛ لإطلاق النصوص اعتبار مسحات ثلاث، فيجب الوقوف معها، ولأنّ زوال النّجاسة حكم شرعيّ، فيتوقف على سببه الشّرعيّ</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بنى على أن إكمال العدد سُنّة الشيخ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نقله 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الطوسي وابن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يوجد في عبارة بعض الأصحاب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كتب عليه القرآن، وفيه شيء؛ فإن هذا يقتضي كفر فاعله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الأصل حاشية لم يحدّد مكانها بالضبط، 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في العبادات، وفي غيرها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والاستبراء في البول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في الاستبصار بوجوبه، وبه رواية محمولة على الاستحباب</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هامش الأصل حاشية لم يحدّد مكانها بالضبط، وهذا المكان هو الأنسب لها، ونصها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النتر هنا كناية عن الاستبراء؛ لأنّ ما ذكر من عدم المبالاة بالبلل بعده حكم يتبع الاستبراء، فهو من باب تسمية الكلّ باسم جزئه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الاستبراء قبل الاستنجاء من البول،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إشارة إلى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قلنا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قيل باستحبابه لها، فتستبرئ 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قلنا به فهل تتعدّى إليها فائدته بحيث يحكم بطهارة البلل المشتبه بعده، وعدم كونه ناقضاً؟</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 المرأة</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والمرأة يغتسلان من الجنابة ثُمَّ يخرج منهما شيء بعد الغسل، ذيل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الاستبراء من البول وغسله ومَن لم يجد الماء،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آداب الأحداث الموجبة للطّهارة ،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الطهارة من الأحداث،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حكم الجنابة وصفة الطهارة منها، ح</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ويكره استقبال الشمس والقمر بفرجه في</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من لا يحضره</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الماء جارياً وراكداً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في الأخبار بأنّ للماء أهلاً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للوضوء،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ريب أنّ الرّاكد أشدّ كراهية؛ لأنه أشد قبولاً</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الإحكام في معرفة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الأشجار المثمرة، والظاهر أنه لا يراد بها ذات الثّمر بالفعل، بل ما من شأنها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إنّما هو في المملوك له أو المباح، أمّا ملك الغير فلا يجوز قطعاً إلا بإذنه، ويضمن ما يتلف</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موضع الظَّل المعدّ لنزول القوافل والمتردّدين، كموضع ظل جبل، أو شجرة،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يراد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 من ذلك، وهو الموضع المعدّ لنزولهم مطلقاً؛ نظراً إلى أنهم يرجعون في النزول إليه، من فاء إذا رجع، وفيه تجوّز ، والأوّل هو الموجود في الأخبار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الموضع الذي يكره أن يتغوط فيه أو يبال،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الأحداث الموجبة للطهارة،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وجحرة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الجيم وفتح الحاء والراء المهملتين جمع جحر ؛ للنهي عنه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سنن أبي</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أما الذكر فيدلّ عليه 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ذكري على كل حال حسن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وربّما قيل بجواز التيمم قبل الاستنجاء من غير التفات إلى هذا التفصيل، فلا يكون الحكم بجوازه حينئذ مبنياً على القول بجوازه مطلقاً، أو مع عدم رجاء زوال العذر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أنّ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الأخبار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تعليقة على هذه الكلمة،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والإعادة مستحبّ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الأقرب جواز الاستنجاء في الخارج من غير المعتاد إذا صار معتادا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أنّ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استجمر بالنجس بالغائط يكفي الثلاثة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الأحجار الثلاثة أو ما في حكمها المعلومة مما سبق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غيره، أي غير ذلك النجس بالغائط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تعيّن الماء؛ لأنّ الاستجمار رخصة، فيختص بنجاسة المحل</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المطهر من الحدث والخبث خاصة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أكد بقوله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خاصة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استفيد من الحصر في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المطهر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فهي حال مؤكّدة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اختصاصه بالأمرين معاً، من بين سائر المائعات، فلا يرد المضاف عند بعض الأصحاب؛ إذ ليس كذلك</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نقله عن السّيّد في شرح الرسالة</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إلى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المختصر النافع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التنقيح الرائع لمختصر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والمفروض أن يكون الرقم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ليكون المعنى أنَّ المشتبه بالنّجس لا يطهر من الحدث ولا من الخبث</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به التابع ؛ لأنّ الجاري لا عن نبع من أقسام الراكد تعتبر فيه الكرّية اتفاقاً ممن عدا ابن أبي عقيل رحمه الله بخلاف النابع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والمراد برائحة الماء سلامته من رائحة مكتسبة، سواء كان له رائحة في أصله أم لا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أفاد بذلك اشتراط الكرية في الجاري فينجس بالملاقاة لو كان دون الكرّ عنده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تحرير الأحكام الشّرعيّة على مذهب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 البئر يقع فيها ما يغيّر أحد أوصاف المياه،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احتج به من العموم معارض بعموم نفي البأس عن البول في الماء الجاري من غير تقييد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وإطلاق عبارة المصنّف يتخرّج على مذهب الأصحاب، لا على اشتراط الكرّيّة في الجاري، وهكذا صنع في غير ذلك من مسائل الجاري</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العبارة في الهامش السابق</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وماء المطر حال تقاطره كالجاري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وكذا تحت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أجزاءه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تحت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إشارة إلى أن المقصود بالضّمير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الجاري</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رسالة ، الموجز الحاوي لتحرير الفتاوي المطبوعة ضمن الرّسائل العشر لابن فهد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كشف الالتباس عن موجز أبي العبّاس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تشترط فيه الكرّيّة، ولا يعتبر جريانه من ميزاب؛ لإطلاق الخبر، خلافاً للشيخ رحمه الله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المياه وأحكامها،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اشتراط الكرية في المادة هو أصح القولين للأصحاب؛ لانفعال ما دون الكرّ بالملاقاة، فلا يدفع النّجاسة عن غيره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العبارة في الهامش السابق</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وافقت النّجاسة الجاري في الصفات فالوجه عندي الحكم بنجاسته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حاشية الأصل على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في الجاري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المسألة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شيخنا في الذكرى، محتجاً بأنَّ النّصّ دال على انحصار نجاسة الماء في تغيّر أحد أوصافه، والتغيّر حقيقةً إنّما هو الحسّيّ، واختيار المصنف هو الثاني</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طهور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ولاحظ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الأصل تحت هذه الكلمة 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هذا التوهم لفخر الدين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أنها من التلميذ، وإلّا لأشار إلى ذلك، كما فعل في غيرها من الموارد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الذي تكون فيه قلّة، والماء فيه الجيف، والرّجل يأتي الماء ويده قذرة،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المياه وأحكامها وما يجوز التطهر به وما لا يجوز،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ولاحظ أيضاً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ويمكن الاحتجاج بأن المضاف المسلوب الأوصاف لو وقع في الماء وجب اعتباره، إما بقلة الأجزاء وكثرتها، أو بتقديره مخالفاً في الأوصاف، على اختلاف القولين، وإذا وجب الاعتبار في الجملة للمضاف فللنّجاسة أولى</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عدم وجوب التقدير يفضي إلى جواز الاستعمال وإن زادت النّجاسة على الماء أضعافاً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فعلى هذا يمكن أن تقدّر المخالفة على وجه أشدّ، كحدة الخل، وذكاء المسك، وسواد الحبر، لمناسبة النّجاسة تغليظ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اعتبار الوسط؛ اعتباراً للأغلب، لرجحانه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ذهب بعض العامة إلى أن الجريات الحاصلة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عند جريانه متفاصلة معنى وإن تواصلت حسّاً، فلكل جرية حكم نفسها، فيعتبر فيها الكثرة، وإلّا تنجست عند ملاقاة النّجاسة لها، فلو مرّت الجريات على نجاسة واقعة في النهر وكانت كلّ واحدة منها لا تبلغ الكثرة تنجست جميعها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كان هذا من الأوهام الفاسدة التي لا يدلّ عليها دليل نبّه المصنّف على الحكم مع الردّ على المخالف</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الواقف غير البئر إن كان كرّاً فصاعداً مائعاً على 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 بملاقاة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ascii="IRNazanin" w:hAnsi="IRNazanin" w:eastAsia="IRNazanin"/>
          <w:b w:val="false"/>
          <w:b w:val="false"/>
          <w:bCs w:val="false"/>
          <w:i w:val="false"/>
          <w:i w:val="false"/>
          <w:iCs w:val="false"/>
          <w:color w:val="333333"/>
          <w:sz w:val="20"/>
          <w:sz w:val="20"/>
          <w:szCs w:val="20"/>
          <w:rtl w:val="true"/>
        </w:rPr>
        <w:t>، وعلّق عليه في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مائعاً على إشكال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الإشكال في اشتراط المائعيّة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اعتبار المائعية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للأصحاب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الأرطال 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رطل منها أحد وتسعون مثقالاً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مدنية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رطل منها رطل ونصف بالعراقي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والمشهور بين الأصحاب الأوّل، وعليه الفتوى</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الحاوي لتحرير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إشارة السبق إلى معرفة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ثلاثة أشبار ونصف طولاً في عرض في 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الحساب ليكون الحكم دائراً مع هذا المقدار وإن تغيّرت هذه الصورة، فيكون مجموع تكسيرها اثنين وأربعين وسبعة أثمان شبر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 في العبادات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الحاوي لتحرير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شرائع الإسلام في مسائل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في تحقيق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الدروس الشرعية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التنقيح الرّائع لمختصر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الماء الذي لا ينجسه شيء،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الأحداث الموجبة للطهارة،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 الشيخ رحمه الله في الحكم الأوّل،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القليل من الدّم جداً بحيث لا يدركه الطرف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يكاد يدركه لقلّته، ومثل له المصنف برؤوس الإبر، والأمر 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ينجس الماء القليل ؛ تعويلاً على رواية لا دلالة فيها على ذلك</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من أبواب كتاب الطهارة، باب المياه وأحكامها، 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يظهر من كلام ابن الجنيد أن الكرّ ما بلغ تكسيره نحواً من مائة شبر أنّ التقدير 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والأصح أنه تحقيق، فلا يغتفر نقصان شيء وإلّا لم يكن الحدّ حداً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وهنا سؤالان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أحد الحدّين للكرّ مرجعه إلى الأشبار ، وهي متفاوتة، حتّى أنّه قل أن يكون شبر شخص مطابقاً لشير آخر، ومع التفاوت كيف يكون تحقيقاً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والجواب عن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ليس المراد من التقدير التحقيقي عدم التفاوت أصلاً؛ فإنّ الموازين تتفاوت فكيف الأشبار ؟ بل المراد عدم جواز نقصان شيء مما جعل حداً بعد تعيينه في قدر مخصوص، وعلى التقريب يجوز</w:t>
      </w:r>
      <w:r>
        <w:rPr>
          <w:rFonts w:eastAsia="IRNazanin" w:cs="IRNazanin"/>
          <w:b w:val="false"/>
          <w:bCs w:val="false"/>
          <w:i w:val="false"/>
          <w:iCs w:val="false"/>
          <w:color w:val="333333"/>
          <w:sz w:val="20"/>
          <w:szCs w:val="20"/>
          <w:rtl w:val="true"/>
        </w:rPr>
        <w:t>) .</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اغترف ماءً من الكرّ المتصل بالنجاسة المتميّزة كان المأخوذ طاهراً والباقي نجساً</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تكن مستهلكة، لتشمل الجامدة والمائعة</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ريب أنّ بلوغ الماء حدّ الكرية سبب لزوال التنجيس</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الماء كرّاً لم يحمل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نسبها السيد المرتضى إلى كتب الجمهور، ونسبها الشّيخ إلى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وادّعى ابن إدريس عليها إجماع المخالف والمؤالف، وردّه المحقق،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كتب الحديث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عن هذا الخبر أصلاً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والذي عثرنا عليه في كتب حديث العامة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قدر الماء القلتين لم يحمل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 ذلك من مصادرهم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لو وجد نجاسة في الكرّ وشكّ في وقوعها قبل بلوغ الكرّيّة أو بعدها فهو طاهر، ولو شكّ في بلوغ الكرّية فهو نجس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 شيخنا الشهيد في شرح الإرشاد البئر بأنّها مجمع ماء نابع من الأرض لا يتعدّاها غالباً، ولا يخرج عن مسماها عرفاً</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بعدم النّجاسة مع وجوب التزح تعبداً، وهو قول الشيخ في التهذيب</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تعليقة على هذه الكلمة، نصها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لأنّه لا يصار إليه إلّا بدليل قوي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البئر وما يقع فيها،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المياه وأحكامها وما يجوز التطهر به وما لا يجوز، 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وأيضاً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234/1</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البئر يقع فيها ما يغيّر أحد أوصاف الماء،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لاقته من غير تغيير فقولان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أقربهما البقاء على الطهارة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تغيّر النّجاسة ماء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للأصحاب في المسألة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بالنَّجاسة بالملاقاة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 ببقاء الطَّهارة والنّزح مستحب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الأولان فالأخبار في الدّلالة عليهما مختلفة، ولا يكاد يوجد خبر واحد من الأخبار الدّالّة على النّجاسة سليماً عن الطعن، وأخبار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سلامتها عن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أقوى دلالة ومتأيّدة بالأصل وبدلائل أخرى</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الدلو والرّشا وجوانب البئر تتنجس بملاقاة الماء النجس، ونجاستها مانعة من حصول الطّهارة في الماء بالتزح؛ لدوام ملاقاتها، وكذا المتساقط من الدلو حال النّزح خصوصاً الدلو الأخير</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المراد في شرح نكت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389/1</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وليس ارتكاب الحكم بطهارتها بعد استيفاء ما يجب نزحه بأولى من القول بعدم النّجاسة بالملاقاة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حاشية على هذه الكلمة 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بالمجاز هنا العمل بالاستحباب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بيان الملازمة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نجاسة ماء البئر بملاقاة النّجاسة يقتضي نجاسة الماء الواقع ؛ لاستحالة أن يكون بعض الماء الواحد طاهراً وبعضه نجساً، مع عدم التغيّر</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تعليقة على هذه الكلمة ونصها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أنّه تعبدي، وهو 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المصدر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المضاف هو ما لا يصدق إطلاق اسم الماء عليه، ويمكن سلبه عنه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طاهر غير مطهر لا من الحدث ولا من الخبث</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في هامش الأصل على هذه الكلمة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لو أمكن الرفع بالمضاف لقدم على التيمم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 ب مد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التوقيع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الشيخ عبد العالي الكركي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فبطل كلام ابن بابويه منه</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التيمم وأحكامه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405/1</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التيمم وأحكامه،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حكم المياه المضافة،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غاية المرام في شرح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وهي إشارة إلى أن مرجع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الماء</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 الثانية والعشرون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الآية وَأَنْزَلْنَا مِنَ السَّمَاءِإلخ</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تكون إعادة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العطف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من الخبث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للاعتناء بالرّد على المخالف في ذلك؛ فإنّ كلاً من الأمرين قد وقع الخلاف فيه، فقال ابن بابويه بتطهيره من الحدث؛ تعويلاً على رواية شاذة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218/18</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البول يصيب الثّوب أو الجسد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التّياب وغيرها من النجاسات،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بول الصبي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178/1</w:t>
      </w:r>
      <w:r>
        <w:rPr>
          <w:rFonts w:ascii="IRNazanin" w:hAnsi="IRNazanin" w:eastAsia="IRNazanin"/>
          <w:b w:val="false"/>
          <w:b w:val="false"/>
          <w:bCs w:val="false"/>
          <w:i w:val="false"/>
          <w:i w:val="false"/>
          <w:iCs w:val="false"/>
          <w:color w:val="333333"/>
          <w:sz w:val="20"/>
          <w:sz w:val="20"/>
          <w:szCs w:val="20"/>
          <w:rtl w:val="true"/>
        </w:rPr>
        <w:t>، باب عرق الجنب والحائض يصيب الثّوب،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أسماء مصنفي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مزج طاهره بالمطلق، فإن بقي الإطلاق فهو مطلق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يمكن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المتولد من الكلب والخنزير إذا لم يغلب عليه اسم واحد منهما لاستواء الشّبهين وارد على عبارته؛ لأنه نجس</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كلّ مولود يولد على الفطرة وإنّما أبواه يُهودانه ويُنصرانه ويمجسانه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والحائض المتهمة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بعدم التحفظ من النّجاسة والمبالاة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جمعاً بين رواية النهي عن الوضوء بفضلها، ونفي البأس إذا كانت مأمونة، وتعدية الحكم إلى كل متهم تصرف في النّصّ</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النّهي عن الوضوء من سؤر الحائض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الوضوء من سؤر الحائض والجنب واليهودي والنصراني والناصب،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وأما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أعني الحكم بطهارة المضاف النّجس،مع بقاء الإضافة باختلاطه بالكثير الطاهر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مختار المصنّف في هذا الكتاب وفي غيره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الذي يظهر من عبارة المختلف أنّ خلاف الشيخ رحمه الله في وجوب التيمم خاصة، وكأنّ وجوب الوضوء بعده لا نزاع فيه، وكذا يدلّ آخر كلام الشارح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من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الشيخ يقول بصحة الوضوء بعد التيمم ولا يوجبه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وجوابه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إن أراد بإيجاد الماء ما لا يدخل تحت قدرة المكلّف فاشتراط الأمر بالطهارة به حق ولا يضرنا ، وإن أريد به الأعم فليس بجيّد؛ إذ لا دليل يدل على ذلك، والإيجاد المتنازع فيه معلوم؛ كونه مقدوراً للمكلف، والأمر بالطهارة خالٍ من الاشتراط، فلا يجوز تقييده إلّا بدليل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التقييد</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خلاف الأصل</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ماء الوضوء فإنّه طاهر مطهّر ، وكذا فضلته وفضلة الغسل</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ولكن العبارة غير موجودة في متن القواعد المطبوع</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خلاف عندنا في أنّ ماء الوضوء على حكمه قبل الاستعمال، من أنّه طاهر مطهّر ، وقد خالف في الأمرين بعض العامة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المغني على مختصر الخرقي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 الصواب</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يلوح من العبارة أنّ الخلاف في رفع الحدث به ثانياً وإزالة الخبث، حيث جعل مناطه كونه مطهراً وأطلق، والشارح نقل الإجماع على جواز إزالة الخبث به، وحكى شيخنا في الذكرى في ذلك خلافاً، ولعلّه الصّواب</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المراد بماء الوضوء والغسل الماء القليل المنفصل عن أعضاء الطهارة؛ إذ الكثير لا يتصوّر فيه الاستعمال، والمتردّد على الأعضاء لا يمكن الحكم باستعماله ، وإلا لامتنع فعل الطهارة</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والمستعمل في غسل النّجاسة نجس وإن لم يتغيّر بالنّجاسة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القول الأشهر بين متأخري الأصحاب، والأشهر بين المتقدمين أنّه غير رافع، كالمستعمل في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المرتضى وابن إدريس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وقواه في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بعدم نجاسته إذا لم يتغيّر، وإلا لم يطهر المحل ؛ لأنّه إذا تنجس لوروده لم يفد المحلّ طهارة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والتزم المصنّف بعدم نجاسته حين الورود، بل بعد الانفصال، وفيه اعتراف بالعجز عن دفع ما استدل به من مكان قريب؛ فإنّ القول بنجاسة القليل الملاقي للنّجاسة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مفارقتها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يعقل وجهه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واعلم أنّ قول المصنف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مقتضاه أنّه كغيره من المياه الطاهرة في ثبوت الطّهارة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الاستنجاء تصريح بالطهارة إنّما هو بالعفو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اللّازم أحد الأمرين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عدم إطلاق العفو عنه، أو القول بطهارته؛ لأنّه إن جاز مباشرته من كل الوجوه لزم الثاني</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وتكره الطهارة بالمشمس في الآنية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والقُمْقُمُ في اللغة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يسخّن فيه الماء من نحاس وغيره، ويكون ضيق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495/12</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الأغسال وكيفية الغسل من الجنابة،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استعمال الماء الذي تسخنه الشمس،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 أنّه لا فرق في الكراهية بين الآنية المنطبعة</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وربّما خصّ الكراهية بعض بكون ذلك في إناء منطبع ، وقطر حار، وقد دلّلنا على ضعفه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وهذا لا يصح</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والطريق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رواه الشيخ بإسناده عن محمد بن علي بن محبوب، عن محمد بن عيسى العبيدي،عن درست، عن إبراهيم بن عبد الحميد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الكراهة هنا للإرشاد على حد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وَأَشْهِدُوا إِذَا تَبَايَعْتُمْ أم للعبادة؟ كلّ محتمل، ولعلّ الأوّل أوضح</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وتغسيل الميت بالمسخّن بالنّار، إلّا مع</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للبيهقي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باب التيمم وأحكامه،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الجنب إذا تيمّم وصلّى هل تجب عليه إعادة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وغسالة الحمام لا يجوز استعمالها إلّا مع العلم بخلوّها من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يصرح المصنّف بنجاستها؛ لعدم التصريح بذلك في الأخبار إنّما الّذي ورد النهي عن استعماله في الغسل</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وكذلك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وهذا إشارة إلى أنّ الرّواية الثانية أيضاً عن أبي الحسن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الحمام وآدابه وسنته،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ماء الحمام والماء الذي تسخّنه الشمس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الأغسال وكيفية الغسل من الجنابة،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والمتخلف في الثوب بعد عصره طاهر،فإن انفصل فهو نجس</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عصر الثّوب من الغسل المعتبر في تطهيره حكم بطهارته قطعاً، ولا ريب أنّ المتخلّف فيه من الماء على حكم الطهارة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بالغ أحد في عصره فانفصل منه شيء كان نجساً؛ لما عرفت من أنّ أثر ملاقاته للمحلّ النّجس إنّما يظهر بعد انفصاله</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الحكم عنده مختص بالغسل المقتضي لحصول الطهارة، فلو غسل زيادة عن الموظف كان ماء الغسل الزائد طاهراً؛ لعدم ملاقاته للمحل في حال نجاسته، مع إمكان أن يقول بنجاسته أيضاً؛ لانفصال شيء من الماء المتخلف المحلّ معه، والتنجيس فيه بعد انفصاله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 وهو الصحيح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عبّر في الذكرى بإلقاء كرّ عليه متصل، وفيه تسامح؛ لأنّ وصول أقل جزء إلى النجس يقتضي نقصانه عن الكرّ، فلا يطهر حينئذ، ولورود النّصّ بالدفعة وتصريح الأصحاب بها، ويمكن أن يريد به هذا المعنى؛ لأنّ اتصال جميع الأجزاء حين إلقائه لا يتحقق إلّا بهذا المعنى وإن كان خفيّاً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أما القليل فإنّما يطهر بإلقاء كر دفعة عليه، لا بإتمامه كرّاً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الأصح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بالتبع من تحته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الفقرة في المصدر قبل السابقة، وهو الصواب؛ لأنّ الكلام يتعلّق برواية مروية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الماء قدر كرّاً لم يحمل خبثاً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وفسّرها العامة بتفسير، ولم يقبله الأصحاب، فردّ الماتن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والمتأخّرون على استصحاب حكم النّجاسة، وارتكبوا في الحديث تأويلات لا يدلّ عليها دليل، وطعنوا فيه بمطاعن ضعيفة، ولا شبهة في أنّ الاحتياط هو العمل بقولهم، وللتحقيق حكم آخر</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على هذه الكلمة ما نصه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بلغ الماء قدر كرّ لم ينجسه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الماء الذي لا ينجسه شيء،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الأحداث الموجبة للطهارة،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أعني الماء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وهذا إشارة إلى أنّ كثرة النّجاسة تغيّر الماء وتزيل طهارته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 وجب إلقاء كرّ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دفعة؛ اكتفاء بما سبق، وإنّما يجب إلقاء كرّ آخر إذا تغيّر الكرّ الأوّل بالنّجاسة</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يطهر بزوال التغيّر من نفسه</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مجرد اتصال الماء الطاهر بالنجس لا يقتضي طهارة النّجس، بل لا بُدّ من الامتزاج مع صلاحيته للتطهير، فيستوي في ذلك الجاري والواقف وماء الحمام وماء الكوز النجس إذا غمس في الكثير، والأصح أنّ الامتزاج غير شرط ؛ للأصل، ولأنّه ليس للامتزاج معنی معتمد محصل</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انتفاء الامتزاج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خالف الشيخ رحمه الله في الحكم الأوّل، فحكم بأنّ حصول التغيّر في المطلق بالمضاف النّجس موجب لنجاسته وإن بقي إطلاق الاسم؛ لأنه متغيّر بنجس</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تغيّره بغير النّجاسة، والمقتضي للتنجيس هو الأوّل دون الثّاني، ولأنّ المضاف يصير طهوراً بأوّل خروجه عن الإضافة؛ لقبوله الطهارة، فإنّه ليس عين 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إذا لم يسلب المضاف المطلق إطلاقه، فإن سلبه خرج عن الطهورية، لا عن الطاهرية عند المصنّف</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يكن التغيّر بالنّجاسة فيخرج عن الطهارة</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وماء البئر بالنّزح حتى يزول التغيّر </w:t>
      </w:r>
      <w:r>
        <w:rPr>
          <w:rFonts w:eastAsia="IRNazanin" w:cs="IRNazanin"/>
          <w:b w:val="false"/>
          <w:bCs w:val="false"/>
          <w:i w:val="false"/>
          <w:iCs w:val="false"/>
          <w:color w:val="333333"/>
          <w:sz w:val="20"/>
          <w:szCs w:val="20"/>
          <w:rtl w:val="true"/>
        </w:rPr>
        <w:t>) .</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تعليقة على هذه العبارة، ونصها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فيه بحث؛ فإنّ إيجاب الكرّيّة في الجاري لا يستلزم إيجابها في البئر بوجه؛ إذ الدلائل الدّالّة على اعتبارها فيه لم تدلّ على اعتبارها في البئر، والعلة غير معلومة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قيل بالعكس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أن عدم اعتبار الكرّيّة في البئر يستلزم عدم اعتبارها فيه لكان له وجه، مع أنّه قد يلتزم العدم للخلاف في منصوص العلة، مع احتمال عدم جريان القياس بأقسامه في الأسباب لوقوع الخلاف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سلّمه الله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لكن بناءً على أصله من اعتبار الكرية في الجاري يجب اعتبارها هنا بطريق أولى </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ورد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ماء البئر واسع لا يفسده شيء إلّا أن يتغيّر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ذيله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له مادّة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باب البئر يقع فيها ما يغيّر أحد أوصاف الماء،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فرق فيه بين الخمر وغيره؛ لأنّ كل مسكر خمر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 كل مسكر قليله وكثيره،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 وما يحرم منه، ح</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الخمر إنّما حرّمت لفعلها، فما فعل فعل الخمر فهو خمر،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 وما يحرم منه،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الوقوع المسكر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 فرق أيضاً بين كثيره وقليله حتى القطرة، كما يظهر من العبارة، وقد فرّق بعض الأصحاب، فأوجب في القطرة عشرين</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وقفنا على تصريحه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 والعلّامة والشهيد الأوّل والفاضل المقداد والصيمري والمحقق الكركيّ والشهيد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 أكثر علمائنا إلى عدم الفرق بين القليل والكثير من الخمر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في المنتهى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أحداً من أصحابنا لم يفرّق بين قليل الخمر وكثيرها إلَّا مَنْ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روض الجنان في شرح إرشاد الأذهان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القول بذلك بين الأصحاب، ولا نص فيه، على ما ذكره الشيخ أبو علي ابن الشيخ أبي جعفر في شرح نهاية والده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تقدير نجاسة البئر بالملاقاة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دم الحيض، أو الاستحاضة، أو النفاس</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القول بالمساواة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تحديد يوم الصّوم بالليل</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والمعتبر يوم الصّوم من طلوع الفجر الثاني إلى الغروب</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ونزح كرّ لموت الدّابة، أو الحمار، أو البقرة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باب البئر يقع فيها البعير أو الحمار وما أشبهها أو يصب فيها الخمر،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الناقل هو ابن فهد الحلّي في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الطعن وتصدّى للجواب عنه المحقق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وأمّا الدّابة والبقرة فللشهرة؛ إذ هما مما لا نص فيه، ذكره في المعتبر، وفي المختلف لم نقف على حديث يتعلق بالبقرة</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العارية،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السرائر الحاوي لتحرير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وسبعين دلواً لموت الإنسان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أن الميت في البئر إذا كان كافراً يجب أن ينزح له أكثر الأمرين من الواجب لما لا نص فيه، والواجب لنجاسة الموت، فيبنى على الخلاف فيما لا نص فيه، فإن قيل بوجوب الجميع فلا بحث ، وإلا فسبعون مع احتمال التضاعف؛ لاختلاف النّجاسة</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في مجرّد الفقه والفتاوى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وخمسين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والدّم الكثير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الشيخ وأتباعه</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إشارة السبق إلى معرفة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البئر وما يقع فيها،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حيث ورد في الحديث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ينزح منها ما بين الثلاثين إلى الأربعين دلواً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والمواضع المذكورة هامش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واعلم أنّ إطلاق الأصحاب يقتضي عدم الفرق بين دم نجس العين وغيره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البئر يقع فيها البعير أو الحمار وما أشبهها أو يصبّ</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ولبول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رواه علي بن أبي حمزة عن أبي عبد الله عليه السّلام، ولا يلحق به بول المرأة، خلافاً لابن إدريس؛ لعدم النّصّ، وبطلان القياس، فيجب له ما يجب لما لا نصّ فيه، وكذا الخنثى على الأقرب</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أبواب الزيادات في أبواب كتاب الطهارة، باب المياه وأحكامها ،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من</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وسبع لموت الطير كالحمامة والنعامة وما</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وظاهر قول المصنف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واغتسال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يؤذن بأنّ النزح إنّما هو إذا اغتسل في البئر لا بمجرّد الملاقاة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 ففي هذا الحكم إشكال؛ لأنّ النّزح لا يستقيم كونه لنجاسة البئر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نجاسة البئر بلا منجس معلوم البطلان؛ إذ الفرض إسلام الجنب، وخلو بدنه من نجاسة عينية، وإلا لم يجزئ السّبع</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إضافة منا لاقتضاء السّياق</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فوق هذه الكلمة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الاغتسال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ليجوز أن يكون لانتفاء النّفرة منه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يقتضي فساد غسله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ومورد الأخبار أعمّ من الاغتسال كما قدمناه وحديث عبد الله بن أبي يعفور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بالنهي عن نزوله إلى البئر يقتضي فساد غسله</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قلنا به فهل تلحق به الحائض والنفساء والمستحاضة الكثيرة الدم؟ فيه احتمال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أوجب بعض هؤلاء نزح الجميع، فيما لم يرد فيه نصّ، وبعضهم 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وأوجب بعضهم ثلاثين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المصنّف في المختلف القول بالثلاثين محتجاً برواية كردويه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البئر تقع فيها العذرة اليابسة أو الرطبة ،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لا وجه له منه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عجيب؛ إذ لا دلالة فيها على المتنازع بوجه، ولو دلّت عليه كان ما لا نص فيه منصوصاً؛ لأنّ المراد بالنّص الدليل النقلي من الكتاب أو السنّة، لا ما يدلّ على المعنى</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رواية كردويه</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فرق في الإنسان بين المسلم والكافر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خالف ابن إدريس في ذلك، فحكم بوجوب نزح الجميع لمباشرة الكافر ميتاً؛ محتجاً بأن مباشرته حيّاً توجب نزح الجميع؛ إذ لا نص فيه، فبعد الموت أولى</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فلو اتخذ آلة تسع العدد فالأقرب الاكتفاء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القرب أنّ الغرض إخراج ذلك القدر من الماء وقد 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وأنت خبير بورود المنع على المقدمة الأولى، والإجزاء إنّما يتحقق بالإتيان بالمأمور به على وجهه فيبقى في العهدة، فالأقرب عدم الاكتفاء</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تغيّرت البئر بالجيفة حكم بالنّجاسة من حين الوجدان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لأنّ الأصل عدم التقدّم، ومستنده خبر الدّجاجة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إشارة إلى أصالة الطهارة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البئر يقع فيها ما يغيّر أحد أوصاف الماء،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يجزئ العدد بعد إخراج النّجاسة، أو استحالتها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الحكم الثّاني فإنّما يستقيم على ظاهره إذا قيل بوجوب نزح المتغيرة بالنّجاسة، حتى يزول التغيّر، ثُمّ يستوفى المقدر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الطهارة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،غنية النزوع إلى علمي الأصول والفروع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 بالنّجاسة بالملاقاة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 والسّيّد المرتضى وسلّار والشّيخ في بعض كتبه وابن البرّاج وابن إدريس والمحقق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النّهاية في مجرّد الفقه والفتاوى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السرائر الحاوي لتحرير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زال تغيّرها بغير النزح والاتصال فالأقرب نزح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وجوب نزح الجميع في النّجاسة التي يكفي لها نزح البعض وإن زال التغيّر بنزح بعض الماء لو كان التغيّر باقياً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ووجه القرب أنّ المقدار الذي نزحه غير معلوم حيث زال التغيّر؛ لأنّ زوال التغيّر بالنّزح له مدخل في حصول الطهارة، والماء محكوم بنجاسته، فيتوقف الحكم بطهارته على نزح الجميع</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قد جرت عادة المصنّف في هذا الكتاب وفي غيره، بأن يذكر بعد المباحث التي هو بصدد بيانها مثل أقسام المياه، وأعداد النّجاسات، وكيفية الوضوء إلى غير ذلك من المباحث، فصلاً يذكر فيه أحكام ما سبق، مع كون المباحث السابقة أيضاً مشتملة على بيان أحكام، فكأنه يريد بذلك الأحكام الثانية التي تترتب على الأحكام الأولى</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المراد بالتحريم هنا هو المتعارف، أعني طلب الترك المانع من النقيض الذي يترتب على فعل متعلّقه الذم والعقاب، وإنّما كان كذلك لأنّ استعمال المكلّف الماء النّجس فيما يعدّ طهارة في نظر الشارع أو إزالة نجس يتضمن إدخال ما ليس من الشرع فيه، فيكون حراماً لا محالة</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من المصدر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تطهر به لم يرتفع حدثه، ولو صلّى أعادهما مطلقاً</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الحكم الأوّل فلأنّ النجس لا يطهر غيره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الثّاني فلأنّه صلّى محدثاً، فتقع صلاته فاسدة، ويجب إعادتها في الوقت</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إذا علم بالنّجاسة في الماء ثُمّ نسي وقت فعل الصلاة وقد أزال نجاسة ثوبه به فقد قيل بوجوب الإعادة في الوقت دون خارجه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ثوب فيه نجاسة قبل أن يعلم ،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 ح</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ascii="IRNazanin" w:hAnsi="IRNazanin" w:eastAsia="IRNazanin"/>
          <w:b w:val="false"/>
          <w:b w:val="false"/>
          <w:bCs w:val="false"/>
          <w:i w:val="false"/>
          <w:i w:val="false"/>
          <w:iCs w:val="false"/>
          <w:color w:val="333333"/>
          <w:sz w:val="20"/>
          <w:sz w:val="20"/>
          <w:szCs w:val="20"/>
          <w:rtl w:val="true"/>
        </w:rPr>
        <w:t>، باب الرّجل يصلّي في ثوب فيه نجاسة قبل أن يعلم،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المقدار الذي يجب إزالته من الدم وما لا يجب،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تضييع الصلاة بسبب النسيان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عمل بإطلاقها الشيخ المفيد والسّيّد المرتضى في المصباح والشّيخ الطوسي والمحقق والفاضل الآبي والعلّامة في بعض كتبه والشهيد وابن فهد والمحقق الكركي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الصلاة،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كشف الرموز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المهذب البارع في شرح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يجوز الصلاة فيه من اللباس والمكان وما لا يجوز،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أنها متروكة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لم يسبقه العلم أعاد في الوقت دون خارجه إذا ثبت أنّ النّجاسة كانت في الماء وقت الاستعمال، ومستند ذلك خبران مطلقان بالإعادة وبعدمها، فجمع بينهما بحمل خبر الإعادة على الوقت، والآخر على خارجه، وهو جمع ظاهر</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لخبر الإعادة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عند دخول الخلاء وعند الخروج والاستنجاء ومَن نسيه،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آداب الأحداث الموجبة للطهارة، ح</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الاستنجاء من الغائط والبول،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ولاحظ الخبر عدم الإعادة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آداب الأحداث الموجبة للطهارة، ح</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وجوب الاستنجاء من الغائط والبول،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وحكم المشتبه بالنّجس حكمه أي حكم النّجس في وجوب اجتنابه في الصلاة وإزالة النّجاسة وعدم جوازه في الأكل والشرب اختياراً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الوضوء من سؤر الدواب والسّباع والطير،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xml:space="preserve">، باب المياه وأحكامها وما يجوز التطهر به وما لا يجوز ،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الماء القليل يحصل فيه شيء من النّجاسة،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والشّيخ الطوسي،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له التّحرّي وإن انقلب 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 انقلاب أحد الإناءين فالتحرّي عند بعض الشافعية ثابت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بعضهم يتعيّن استعمال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فحاول المصنّف الرّدّ عليهم؛ مشيراً إلى الوجه الأخير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انقلب أحدهما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 العبارة شائبة التكلّف</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تجب الإراقة، بل قد تحرم عند خوف العطش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الشيخ في ذلك فقال بوجوب الإراقة؛ لورود الأمر بها في بعض الأخبار، وهو ضعيف، وربّما كانت حراماً؛ لخوف العطش ونحوه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ومع انقلاب أحدهما فالوجه الوضوء والتيهم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مقدّمة لتحصيل الطّهارة بالمطلق في الجملة فيجب</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الوجه في وجوب فعل الصلاة مرتين، كما</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وسيأتي أنّ الأصح أفضلية الصلاة فيه، فلا تتعيّن الصّلاة عارياً، بل ولا يجب، وإنّما الواجب فعلها في الباقي من الثّوبين خاصة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اشتبه بالمغصوب وجب اجتنابهما،</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هذا الحكم ما ورد في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باب الوضوء من سؤر الدواب والسّباع والطير،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المياه من النجاسات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الماء القليل يحصل فيه شيء من النّجاسة،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وقد ادّعي الإجماع على أنه لو نجس أحد الإناءين واشتبها يتجنّب عنهما ويتيمم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في حلّ مشكلات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إيضاح الفوائد في شرح إشكالات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في شرح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مجرّد الفقه والفتاوى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المهذب البارع في شرح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تطهر بهما فالوجه البطلان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وجهه ثبوت النهي عن استعمال كلّ منهما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والنهي في العبادة يقتضي الفساد، وتوهّم القلب هنا ضعيف؛ لأنّ مقدّمة الواجب المطلق لا بُدّ من كونها مباحة؛ لامتناع كون الحرام مقدّمة الواجب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يقوم ظنّ النّجاسة مقام العلم؟ فيه 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بقيامه مقام العلم إجراؤه مجرى العلم بحصول النّجاسة، أو مكافأته للعلم بطهارة المحلّ السابق على حصول ظنّ النّجاسة، ومنشأ النّظر من اختلاف الأصحاب</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المقصود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فيكون المقصود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في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فيما بين أيدينا من كتب أحاديث الإمامية، ولكنّه موجود في مصادر الجمهور غير الرّوائيّة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كتاب الأم للشّافعيّ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هذا الكلام تفسيراً منه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أنا بشر، وإنّكم تختصمون إلي، فلعل بعضكم أن يكون ألحن بحجته من بعض، وأقضي له على نحو ما أسمع وأقضي له على نحو ما أسمع منه، فمن قضيت له بشيء من حق أخيه فلا يأخذ به، فإنّي إنّما أقطع له قطعة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ascii="IRNazanin" w:hAnsi="IRNazanin" w:eastAsia="IRNazanin"/>
          <w:b w:val="false"/>
          <w:b w:val="false"/>
          <w:bCs w:val="false"/>
          <w:i w:val="false"/>
          <w:i w:val="false"/>
          <w:iCs w:val="false"/>
          <w:color w:val="333333"/>
          <w:sz w:val="20"/>
          <w:sz w:val="20"/>
          <w:szCs w:val="20"/>
          <w:rtl w:val="true"/>
        </w:rPr>
        <w:t>، كتاب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وهذه الرواية قريب ما موجود في مصادرنا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القضاء بالبينات والأيمان،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كيفية الحكم والقضاء،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ابن البراج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تثبت النّجاسة بالظَّنّ مطلقاً، أي وإن كان الظَّنّ بسبب شرعيّ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كشهادة العدلين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تمسّكاً باليقين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ضعف؛ لأنّ المثمر للظَّنّ شرعاً جارٍ مجرى اليقين عند الشّارع</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أقربه ذلك إن استند إلى سبب، وإلا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وجهي النظر القول بقيام الظَّنّ مقام العلم إذا كان الظَّنّ مستنداً إلى سبب، والمراد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اعتبر الشارع سببيته، كشهادة العدلين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شهد عدل بنجاسة الماء لم يجب القبول، وإن استند إلى السبب</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عارضهما مثلها فالوجه إلحاقه بالمشتبه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بالمعارضة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استجماع كلّ من الشهادتين ما به يتحقق التنافي بينهما بحيث لا يمكن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هو إما في إناء واحد، أو في إناءين، وفي الفرض الأوّل أقوال الطّهارة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والنّجاسة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وإلحاقه بالمشتبه؛ لتكافؤ البيّنتين ، وهذا ، أحوط، وإن كان القول بالطّهارة لا يخلو من وجه</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الفرض الثاني فيحتمل فيه القول بالطهارة، للتّعارض الموجب للتساقط، والرّجوع إلى حكم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نظر؛ لأنهما إنما تعارضتا في تعيين النّجس لا في حصول النّجاسة لاتفاقهما على نجاسة أحدهما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ومثله القول بالنّجاسة تقريراً للبينتين؛ لاتفاقها على طهارة ،واحد فلم يبقَ إلا إلحاقه بالمشتبه؛ لاتفاقهما على نجاسة واحد وانتفاء المقتضي للتّعيين؛ لتعارضها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أو يترجح بعضها على بعض وحكم القرعة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اشتبه استناد موت الصيد في القليل إلى الجرح أو الماء احتمل العمل بالأصلين والوجه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 أمّا الأصلان فالمراد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طهارة الماء وتحريم الصيد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والتحقيق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تحريم الصيد إن كان مستنداً إلى عدم التذكية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هي عبارة عن موته حتف أنفه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 التنافي الذي ادعى لزومه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 مستنداً إلى عدم العلم بالتذكية لم يتمّ ما ادعاه من التنافي؛ لأنّ الحكم بطهارة الماء يستلزم عدم العلم بوجود النّجاسة فيه، لا عدم النجاسة في الواقع؛ فإنّه لو شكّ في نجاسة الواقع لم ينجس الماء قطعاً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أثبتاه هو الأنسب </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ترد في كتبنا الحديثية، وإنّما أوّل من عثرنا على إيراده لها الفاضل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التنقيح الرائع لمختصر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ولاحظ من مصادر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السنن والآثار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299/5</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لم ترد في كتبنا الحديثيّة، وأوّل من وقفنا على إيراده لها 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مسألة الزّنا بذات بعل، ولاحظ من مصادر الجمهور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،صحیح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ويستحبّ التباعد بين البئر والبالوعة بقدر خمس أذرع مع صلابة الأرض، أو فوقيّة البئر، وإلا فسبع هذا هو المشهور بين الأصحاب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فيه جمعاً بين رواية حسن بن رباط الدّالّة على اعتبار الفوقية والتحتيّة في الخمس والسبع، ومرسل قدامة بن 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الدّالّة على اعتبار السّهولة والجبلية فيهما أيضاً</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مقدار ما يكون بين البئر والبالوعة،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البئر تكون إلى جنب البالوعة،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باب البئر تكون إلى جنب البالوعة،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مقدار ما يكون بين البئر والبالوعة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في فقه الإمامية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ascii="IRNazanin" w:hAnsi="IRNazanin" w:eastAsia="IRNazanin"/>
          <w:b w:val="false"/>
          <w:b w:val="false"/>
          <w:bCs w:val="false"/>
          <w:i w:val="false"/>
          <w:i w:val="false"/>
          <w:iCs w:val="false"/>
          <w:color w:val="333333"/>
          <w:sz w:val="20"/>
          <w:sz w:val="20"/>
          <w:szCs w:val="20"/>
          <w:rtl w:val="true"/>
        </w:rPr>
        <w:t>، 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 في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فوق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تحديد المسافة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أربع وعشرين إصبعاً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شرائع الإسلام في مسائل الحلال والحرام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xml:space="preserve">، تذكرة الفقهاء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ascii="IRNazanin" w:hAnsi="IRNazanin" w:eastAsia="IRNazanin"/>
          <w:b w:val="false"/>
          <w:b w:val="false"/>
          <w:bCs w:val="false"/>
          <w:i w:val="false"/>
          <w:i w:val="false"/>
          <w:iCs w:val="false"/>
          <w:color w:val="333333"/>
          <w:sz w:val="20"/>
          <w:sz w:val="20"/>
          <w:szCs w:val="20"/>
          <w:rtl w:val="true"/>
        </w:rPr>
        <w:t xml:space="preserve">، التنقيح الرائع لمختصر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ascii="IRNazanin" w:hAnsi="IRNazanin" w:eastAsia="IRNazanin"/>
          <w:b w:val="false"/>
          <w:b w:val="false"/>
          <w:bCs w:val="false"/>
          <w:i w:val="false"/>
          <w:i w:val="false"/>
          <w:iCs w:val="false"/>
          <w:color w:val="333333"/>
          <w:sz w:val="20"/>
          <w:sz w:val="20"/>
          <w:szCs w:val="20"/>
          <w:rtl w:val="true"/>
        </w:rPr>
        <w:t>، رسالة المحرّر في الفتوى المطبوعة ضمن الرسائل العشر لابن فهد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يحكم بنجاسة البئر مع التقارب ما لم يعلم وصول ماء البالوعة إليها مع التغيّر عندنا، ومطلقاً عند آخرين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تمن بنى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والسّيّد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عنه المحقق في المعتبر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وسلّار والشّيخ الطوسي وابن البرّاج وابن حمزة وابن إدريس والمحقق وابن سعيد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المراسم العلوية في الأحكام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المبسوط في فقه الإماميّة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الوسيلة إلى نيل الفضيلة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كإخبار الشاهدين، وإخبار المالك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والأمر بالتزح للوزغة ولا يمنع من استعماله؛ لأنّ الأمر بذلك محمول على الندب للتنزه أو السم، إذ لا نفس لهما، وضررهما غير متيقن ولا مظنون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يطهر العجين النجس بخبزه، بل باستحالته رماداً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خالف في ذلك الشيخ رحمه الله فقال في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يطهر بخبزه؛ استناداً إلى مرسلة ابن أبي عمير الصحيحة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أبواب الزيادات في أبواب كتاب الطهارة، باب المياه وأحكامها، 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الماء يقع فيه شيء ينجسه ويستعمل في العجين وغيره،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هذه الكلمة وكلمة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إلى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ترفع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بيعه على مستحلّ الميتة أو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الرّوايتان صحيحتان من مراسيل ابن أبي عمير الملحقة بالمسانيد، قال المصنف في المنتهى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أنّه</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أبواب الزيادات في أبواب كتاب الطهارة، باب المياه وأحكامها،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الماء يقع فيه شيء ينجسه ويستعمل في العجين وغيره،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والميتة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ذي النفس السائلة مطلقاً</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فوق هذه الكلمة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المخالفين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ascii="IRNazanin" w:hAnsi="IRNazanin" w:eastAsia="IRNazanin"/>
          <w:b w:val="false"/>
          <w:b w:val="false"/>
          <w:bCs w:val="false"/>
          <w:i w:val="false"/>
          <w:i w:val="false"/>
          <w:iCs w:val="false"/>
          <w:color w:val="333333"/>
          <w:sz w:val="20"/>
          <w:sz w:val="20"/>
          <w:szCs w:val="20"/>
          <w:rtl w:val="true"/>
        </w:rPr>
        <w:t>، 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والكلب والخنزير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المتولّد بينهما إذا أشبهه أحدهما بحيث يعدّ من نوعه، ويطلق عليه اسمه، ولو انتفى عنه الشّبهان والاسمان، ففي الحكم بطهارته أو نجاسته تردّد، ولو قيل بالنجاسة لم يكن بعيداً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وأجزاؤهما وإن لم تلجها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 المرتضى رحمه الله في ذلك فحكم بطهارة ما لا تلجه الحياة منهما ؛ استناداً إلى عموم عدم تنجس ما لا تلجه الحياة بالموت</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كلام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والمسكرات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المائعة بأنواعها من خمر وغيره</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إِنَّمَا الْخَمْرُ وَالمَيْسِرُ وَالْأَنْصَابُ وَالْأَزْلَامُ رِجْسٌ مِنْ عَمَلِ الشَّيْطَانِ فَاجْتَنِبُوهُ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السادسة عشرة، المراسم العلويّة في الأحكام النّبويّة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النّهاية في مجرّد الفقه والفتاوى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غنية النزوع إلى علمي الأصول والفروع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إشارة السبق إلى معرفة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إصباح الشيعة بمصباح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المقصود به الصدوق، كما صرّح باسمه في المعتبر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مرح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المخالفين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أنّ الخمر إنّما حرّمت لفعلها فما فَعَل فعل الخمر فهو خمر،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الذبائح والأطعمة وما يحلّ من ذلك وما يحرم منه، ح</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ويلحق بها العصير إذا غلا واشتدّ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بغليانه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صيرورة أعلاه أسفله وباشتداده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حصول الثّخانة المسببة عن مجرّد الغليان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هو المشهور بين الأصحاب كما ذكره في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وعبارة الذكرى تدلّ على خلاف ذلك</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الذكرى</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غير موجودة في المطبوع من جامع المقاصد، والموجود في متن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والكافر سواء كان أصليّاً أو مرتدّاً، وسواء انتمى إلى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كالخوارج والغلاة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الاشتراك</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الناصريات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المسألة العاشرة،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الوضوء من سؤر الحائض والجنب واليهودي والنصراني والناصب،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المياه وأحكامها وما يجوز التطهر به وما لا يجوز،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التّياب وغيرها من النجاسات، ح</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الفقرة متأخرة في القواعد وشرحه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لبن مستحيل في جوف السخلة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وإن كانت ميتة</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تسكينه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تسكين الرّاء</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دلّ على الطّهارة ما رواه الكليني بإسناده عن الحسين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كنت عند 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وأبي يسأله عن اللبن من الميتة والبيضة من الميتة وإنفحة الميتة،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هذا ذكي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ينتفع به من الميتة وما لا ينتفع به منها،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وما يحلّ من ذلك وما يحرم منه ،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الحسن بن محبوب، عن علي بن رئاب، عن زرارة،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الإنفحة تخرج من الجدي الميت،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 يكون في ضرع الشّاة وقد ماتت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الذبائح وما يحلّ من ذلك وما يحرم منه،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والأقرب طهارة المسوخ، ومن عدا الخوارج والغلاة والنواصب من المسلمين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المجسمة فقسمان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بالحقيقة،وهم  الذين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تعالى جسم كالأجسام والمجسّمة بالتسمية المجرّدة، وهم القائلون بأنّه جسم لا كالأجسام، وربّما تردّد بعضهم في نجاسة القسم الثاني، والأصح نجاسة الجميع</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والفأرة والوزغة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الأقرب طهارتهما، وقال الشيخ بنجاستها؛ لأمر الكاظم عليه السّلام بغسل أثر الفأرة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 وغيره مما يكره أن يمس شيء منه،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 ح</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366/2</w:t>
      </w:r>
      <w:r>
        <w:rPr>
          <w:rFonts w:ascii="IRNazanin" w:hAnsi="IRNazanin" w:eastAsia="IRNazanin"/>
          <w:b w:val="false"/>
          <w:b w:val="false"/>
          <w:bCs w:val="false"/>
          <w:i w:val="false"/>
          <w:i w:val="false"/>
          <w:iCs w:val="false"/>
          <w:color w:val="333333"/>
          <w:sz w:val="20"/>
          <w:sz w:val="20"/>
          <w:szCs w:val="20"/>
          <w:rtl w:val="true"/>
        </w:rPr>
        <w:t>، باب ما يجوز الصلاة فيه من اللباس والمكان وما لا يجوز،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المياه وأحكامها وما يجوز التطهر به وما لا يجوز،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الماء إذا ولغ فيه الكلب،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ويعارضان بحديث الفضل أبي العباس، وبنفي البأس عن السمن والزيت تقع فيه الفأرة، مع الاعتضاد بالأصل والشهرة، فالقول بالنّجاسة ضعيف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المياه من النّجاسات، ح</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حكم الفأرة والوزغة والحيّة والعقرب إذا وقع في الماء وخرج منه حيّاً،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والثّعلب والأرنب قال أيضاً بنجاستهما لأمر ماسهما بغسل يده، وفي الاستدلال نظر</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 وغيره مما يكره أن يمس شيء منه،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القياب وغيرها من النجاسات، ح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والمتولد من الكلب والشّاة يتبع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إذا كان بصورة أحد النوعين، بحيث استحق إطلاق اسم ذلك النوع عليه عرفاً، لحقته أحكامه؛ لأنّه إذا سمّي بأحدهما اقتراحاً تلحقه الأحكام، ولو لم تغلب عليه صورة أحد النوعين فهو طاهر غير حلال، تمسّكاً بالأصل في الأمرين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هو الأنسب</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الصنعاني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والحديث موقوف على عبد الله بن مسعود</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في معرفة الحلال والحرام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564/2</w:t>
      </w:r>
      <w:r>
        <w:rPr>
          <w:rFonts w:ascii="IRNazanin" w:hAnsi="IRNazanin" w:eastAsia="IRNazanin"/>
          <w:b w:val="false"/>
          <w:b w:val="false"/>
          <w:bCs w:val="false"/>
          <w:i w:val="false"/>
          <w:i w:val="false"/>
          <w:iCs w:val="false"/>
          <w:color w:val="333333"/>
          <w:sz w:val="20"/>
          <w:sz w:val="20"/>
          <w:szCs w:val="20"/>
          <w:rtl w:val="true"/>
        </w:rPr>
        <w:t>، فتح العزيز شرح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أصل القياس</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الدّود المتولد من الميتة، أو من العذرة طاهر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فتح العزيز شرح الوجيز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المرتضى</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الآدمي ينجس بالموت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الأصح والمشهور بين الأصحاب، وخالف فيه المرتضى، وسيأتي الكلام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غسل مسّ الأموات</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ألحق بعض أصحابنا مس الميت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والعلقة نجسة وإن كانت في البيضة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ظاهر؛ فإنّ العلقة دم حيوان له نفس</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تكوّن العلقة منه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نجاسة العلقة منه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الصلاة،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بما ادعاه</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 طهارة لبن الحيوان الذي عرضت له النّجاسة بالموت قول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الصلاة، مسألة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اختلف الكلام في تفسير الإنفحة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وعبارة الذكرى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تشعر بالأوّل ؛ لأنّ فيها والأولى تطهير ظاهرها من الميتة</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ما نقص عن سعة الدرهم البغلي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الثّوب يصيبه الدّم ،والمدّة،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 ح</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المقدار الذي يجب إزالته من الدّم وما لا يجب،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البغل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وهذا إشارة إلى أنّ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رأس البغل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فوق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كان شخصاً ضراباً</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عمدة القاري في شرح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إدريس</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تطهير التّياب من النّجاسات ،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المقدار الذي يجب إزالته من الدم وما لا يجب،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ذكرى الشّيعة في أحكام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بإسكان الغين وتخفيف اللام منسوب إلى رأس البغل، ضربه الثّاني في خلافته بسكّة كسرويّة، وزنته ثمانية دوانيق كالدّراهم الكسرويّة، وهذا الاسم حدث في الإسلام، والوزن كما كان، وجرت في المعاملة مع الطبرية، وهي أربعة دوانيق، وفي زمن عبد الملك جمع بينهما، واتخذ الدّراهم منهما، واستقر أمر الإسلام على ذلك، نقل ذلك شيخنا في الذكرى عن 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نزاع في التسمية، وإن كان الرّجوع إلى المنقول أولى</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موقوف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دم الحيض لا يعفى عن كثيره ولا قليله وعليه الأصحاب</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المحقق في المعتبر عن ابن الجنيد وجوب إزالة قليله وكثيره، وأيضاً ممن قال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والمفيد وسلّار والشّيخ وابن البرّاج وابن حمزة وابن إدريس والمحقق والشهيد الأول وابن فهد والصيمري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عليهم أجمعين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المراسم العلوية في الأحكام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ذكرى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في شرح المختصر النافع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كشف الالتباس عن موجز أبي العباس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باب الرّجل يصلي في الثّوب وهو غير طاهر عالماً أو جاهلاً،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وعفي أيضاً عن دم القروح اللّازمة،والجروح الدامية، وإن كثر مع مشقة الإزالة</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التّياب من النجاسات، ح</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المقدار الذي يجب إزالته من الدّم،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فيما لا تتم الصلاة فيه منفرداً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بذلك إمّا البناء على الغالب، أو أنّه لا تتمّ الصّلاة فيه باعتبار وضعه المعيّن وليس من ذلك العمامة التي يمكن السّتر بها، خلافاً لابن بابويه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أثبتناه أوفق بالسياق</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تحت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مصنف</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الملابس خاصة إذا كانت في محالها</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تقرّر ذلك، فالذي اختاره المصنف من الاكتفاء بغسل البول عن التّوب مرّة أحد القولين للأصحاب، والأصح وجوب المرتين في غسله عن الثّوب والبدن، كما وردت به الأخبار الكثيرة الصّريحة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في تحقيق المذهب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ويجب العصر إلّا في بول الرّضيع، فإنّه يكتفى بصب الماء عليه لا ريب في وجوب العصر إذا كان الغسل في غير الكثير والجاري؛ لأنّ النّجاسة تزول به، ولأنّ الماء القليل ينجس بها، فلو بقي في المحل لم يحكم بطهره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في شرح المختصر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الأصح</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اشتبه موضع النّجاسة وجب غسل جميع ما يحتمل ملاقاتها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لأنّ الدّخول به في الصلاة موقوف على القطع بطهارته، وهو موقوف على غسل الجميع، أما الحكم بعدم تعدّي النّجاسة منه فليس موقوفاً على ذلك</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إلّا الميت فإنّه ينجس الملاقي له مطلقاً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تحت هذه الكلمة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من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الكلب يصيب الثّوب والجسد وغيره مما يكره أن يمس شيء منه،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الثّياب وغيرها من النجاسات،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آداب الأحداث الموجبة للطهارة، 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تطهير القياب وغيرها من النجاسات، ح</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الثّوب يصيب جسد الميت من الإنسان وغيره،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صلّى وعلى بدنه أو ثوبه نجاسة مغلّظة وهي التي لم يعف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الكلام على هذه المسألة في أحكام المياه، وإنما أعاد الكلام عليها هاهنا؛ لأنّ موضع البحث عنها في الحقيقة هو أحكام النجاسات، فأعادها مع زيادة</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ولو علم في الأثناء ألقى الثوب واستتر بغيره وأتمّ هذا إذا لم يعلم سبق النّجاسة بأن جوّز حصولها حين الوجدان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 علم سبقها فعلى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الجاهل بالنّجاسة يعيد في الوقت يجب الإعادة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بد من تقييد عبارة الكتاب بما يدفع عنها التنافي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يفتقر إلى فعل كثير أو استدبار فيستأنف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في الوقت سعة فلا إشكال في الاستئناف هنا، أما مع الضّيق ففيه إشكال ينشأ من أنّ النجاسة مانع الصحة، حة، ومن أنّ أداء الفريضة في الوقت واجب بحسب الإمكان، وأفتى في البيان بالاستمرار مع الضّيق</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وتجتزئ المربية للصبي ذات الثوب الواحد أو المربّي بغسله في اليوم مرّة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الثياب وغيرها من النّجاسات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الهامش السابق</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وفَقْد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اشترط ذلك لأنّ الجزم في النّيّة شرط الصّحة، ومع الصّلاة في الثّوبين لا جزم، إذ لا يعلم أي الصلاتين فرضه؛ لعدم علمه بالتّوب الطّاهر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 فقد غيرهما فلا مانع ؛ لأنّ الجزم إنّما يجب بحسب الممكن، وخالف ابن إدريس فمنع من الصلاة فيهما مطلقاً، وحتّم الصلاة عارياً مع فقد غيرهما، احتجاجاً بما سبق</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هو الأنسب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ولو لم يجد إلّا النجس تعيّن نزعه، وصلّى عارياً، ولا إعادة عليه هذا مذهب الشيخ وجمع من الأصحاب؛ للأمر بالصلاة عارياً في عدة أخبار، والحق ما ذهب إليه المصنف في المنتهى من التخيير بين الصلاة فيه وعارياً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لم يتمكن من نزعه لبرد أو غيره صلّى فيه ولا إعادة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 الشيخ الإعادة إذا لم يجد ما يغسله به فتيمم وصلّى فيه، ثُمّ وجد الماء، ومستنده ضعيف</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الزيادات في أبواب كتاب الطهارة، باب التيمم وأحكامه، 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الاستبصار في ما اختلف من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تصيب ثوبه الجنابة ولا يجد الماء ليغسله وليس معه غيره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بعض رواة هذه الرّواية من الفطحيّة،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ابن فضال، عمرو بن سعيد، مصدق بن صدقة، عمار الساباطي، وهم ثقات، لكن الماتن لا يقبل رواية غير الإمامي وإن كان ثقة، كما على ذلك غيره كابن إدريس والعلّامة والشهيد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السرائر الحاوي لتحرير الفتاوي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في أحكام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 البهية في شرح اللمعة</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وتطهر الحصر والبواري والأرض والنبات بتجفيف الشّمس خاصة من نجاسة البول وشبهه كالماء النّجس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الحكم مقصور على الحصر والبواري والأرض وأنها لا تطهر ، بل تجوز الصلاة عليها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المحقق واستجوده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 في 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الزائد على الكرّ عليها الظاهر أنّه لا تشترط الزّيادة على الكرّ إذا صب الماء عليها دفعة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بالذنوب وشبهه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فيها ماء، أو الملأ، أو دون الملء، ذكره في القاموس، وإنّما لم يطهر به؛ لأنّه إنّما يطهر بالغسل بالقليل ما ينفصل الماء المغسول به عنه كما سيأتي، وليست الأرض كذلك</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الصلاة، مسألة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ascii="IRNazanin" w:hAnsi="IRNazanin" w:eastAsia="IRNazanin"/>
          <w:b w:val="false"/>
          <w:b w:val="false"/>
          <w:bCs w:val="false"/>
          <w:i w:val="false"/>
          <w:i w:val="false"/>
          <w:iCs w:val="false"/>
          <w:color w:val="333333"/>
          <w:sz w:val="20"/>
          <w:sz w:val="20"/>
          <w:szCs w:val="20"/>
          <w:rtl w:val="true"/>
        </w:rPr>
        <w:t xml:space="preserve">، بدائع الصنائع في ترتيب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المجموع شرح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الشيخ يطهر بذلك؛ لأمر النبي صلّى الله عليه وآله بإلقائه على بول الأعرابي في المسجد، ولا دلالة فيه على كونه قليلاً، ولا على حصول الطّهارة بإلقائه، فربّما جعل معدّاً لتجفيف الشمس، ونحو ذلك</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الأرض يصيبها البول، ح</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سنن الدار 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طهارة الأرض من البول، ح</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ويطهر الخمر بالانقلاب خلاً وإن طرح فيها أجسام طاهرة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لاحظ العبارة في الهامش السابق</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في تحقيق المذهب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الخمر تخلّل، ح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سبيل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تطهير التّياب وغيرها من النجاسات،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في ما اختلف من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الخمر يصيب الثّوب والنّبيذ المسكر،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في معرفة الحلال والحرام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 تطهير الكلب والخنزير إذا وقعا في المملحة فصارا ملحاً، والعذرة إذا امتزجت بالتراب وتقادم عهدها حتى استحالت تراباً، نظر</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ينشأ من أنّ أجزاء النجاسة باقية لم تزل، وإنّما تغيّرت الصورة، وكما أنّ النّجاسة حكم شرعي لا يثبت إلّا بدليل كذا حصول الطهارة موقوف على الدليل ولم يثبت، ومن أن مناط النجاسة هو تلك الصورة مع الاسم؛ لأنّ أحكام الشرع جارية على المسمّيات بواسطة الأسماء؛ لأنّ المخاطب بها كافة النّاس</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القول في العذرة بعد صيرورتها تراباً، فيجب الآن أن يجري عليها الأحكام المرتبة شرعاً على التراب والملح، على أنّ جميع ما أجمعوا على طهارته من نحو العذرة تصير دوداً، والمني يصير حيواناً طاهر العين، ونحو ذلك، لا يزيد على هذا، فكان التوقف في الطّهارة هنا لا وجه 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المراد بكون النّجاسة ذاتيّة للشّيء حكم الشارع بها، لا باعتبار طروء شيء آخر عليه، وهذا لا دخل له في بقاء النّجاسة وزوالها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أنّ هذا البناء لا يستقيم أصلاً؛ لأنّ احتياج الباقي وعدمه إنّما هو في العلّل الحقيقية المؤثرة دون علل الشرع؛ فإنّها معرّفات الأحكام، والحكم بعد ثبوته بدلالة معرّفه عليه مستغن عن التعريف إلى أن يثبت معرّف بحكم آخر</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والحق أن تخريج مسائل الفقه على مثل هذه القواعد بعيد، وينبغي أن تفرض المسألة فيما إذا كانت العذرة يابسة، إذ لو كانت رطبة لتنجست الأرض بها، فإذا استحالت اختلطت أجزاؤها بالمتنجّسة، فلا تكون طاهرة، نعم لا تكون عين نجاسة</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في شرح القواعد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وفي طهارة الدّهن المائع بالكثير إذا ضرب وشاع فيه الماء قول، اختاره المصنّف في المنتهى، والتذكرة إذا علم وصول الماء إلى جميع أجزائه، وهو حق على هذا التقدير، إلّا أنّه لا يعلم، بل قد يعلم خلافه؛ لأنّه الدّهن يبقى في الماء مودعاً فيه غير مختلط به، وإنّما يصيب سطحه الظاهر، ولو كان الدّهن جامداً جداً كسائر الجامدات طهر ظاهره بالغسل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image" Target="media/image3.jpeg"/><Relationship Id="rId291" Type="http://schemas.openxmlformats.org/officeDocument/2006/relationships/image" Target="media/image3.jpeg"/><Relationship Id="rId292" Type="http://schemas.openxmlformats.org/officeDocument/2006/relationships/footer" Target="footer285.xml"/><Relationship Id="rId293" Type="http://schemas.openxmlformats.org/officeDocument/2006/relationships/image" Target="media/image4.jpeg"/><Relationship Id="rId294" Type="http://schemas.openxmlformats.org/officeDocument/2006/relationships/image" Target="media/image4.jpeg"/><Relationship Id="rId295" Type="http://schemas.openxmlformats.org/officeDocument/2006/relationships/footer" Target="footer286.xml"/><Relationship Id="rId296" Type="http://schemas.openxmlformats.org/officeDocument/2006/relationships/image" Target="media/image5.jpeg"/><Relationship Id="rId297" Type="http://schemas.openxmlformats.org/officeDocument/2006/relationships/image" Target="media/image5.jpeg"/><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image" Target="media/image2.jpeg"/><Relationship Id="rId441" Type="http://schemas.openxmlformats.org/officeDocument/2006/relationships/image" Target="media/image2.jpeg"/><Relationship Id="rId442" Type="http://schemas.openxmlformats.org/officeDocument/2006/relationships/footer" Target="footer429.xml"/><Relationship Id="rId443" Type="http://schemas.openxmlformats.org/officeDocument/2006/relationships/footnotes" Target="footnotes.xml"/><Relationship Id="rId444" Type="http://schemas.openxmlformats.org/officeDocument/2006/relationships/numbering" Target="numbering.xml"/><Relationship Id="rId445" Type="http://schemas.openxmlformats.org/officeDocument/2006/relationships/fontTable" Target="fontTable.xml"/><Relationship Id="rId446" Type="http://schemas.openxmlformats.org/officeDocument/2006/relationships/settings" Target="settings.xml"/><Relationship Id="rId4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434</Pages>
  <Words>65128</Words>
  <Characters>297761</Characters>
  <CharactersWithSpaces>360401</CharactersWithSpaces>
  <Paragraphs>2881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2026-08-20T07:19:36Z</dcterms:created>
  <dc:creator>ghaemiyeh.com</dc:creator>
  <dc:description/>
  <dc:language>en-US</dc:language>
  <cp:lastModifiedBy/>
  <dcterms:modified xsi:type="dcterms:W3CDTF">2026-08-20T10:49:50Z</dcterms:modified>
  <cp:revision>1</cp:revision>
  <dc:subject/>
  <dc:title>دراسات علمیة - 15 مجلة نصف سنویة تعنى بالأبحاث التخصصیة فی الحوزة العلمیة</dc:title>
</cp:coreProperties>
</file>

<file path=docProps/custom.xml><?xml version="1.0" encoding="utf-8"?>
<Properties xmlns="http://schemas.openxmlformats.org/officeDocument/2006/custom-properties" xmlns:vt="http://schemas.openxmlformats.org/officeDocument/2006/docPropsVTypes"/>
</file>